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452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452235"/>
                    </a:xfrm>
                    <a:prstGeom prst="rect">
                      <a:avLst/>
                    </a:prstGeom>
                    <a:noFill/>
                  </pic:spPr>
                </pic:pic>
              </a:graphicData>
            </a:graphic>
          </wp:anchor>
        </w:drawing>
      </w:r>
    </w:p>
    <w:p>
      <w:pPr>
        <w:spacing w:after="0" w:line="1183" w:lineRule="exact"/>
        <w:rPr>
          <w:sz w:val="24"/>
          <w:szCs w:val="24"/>
          <w:color w:val="auto"/>
        </w:rPr>
      </w:pPr>
    </w:p>
    <w:p>
      <w:pPr>
        <w:sectPr>
          <w:pgSz w:w="11900" w:h="16905"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THANGARAJ IMMANUEL</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ACURA 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2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ACUR </w:t>
            </w:r>
            <w:r>
              <w:rPr>
                <w:rFonts w:ascii="Times New Roman" w:cs="Times New Roman" w:eastAsia="Times New Roman" w:hAnsi="Times New Roman"/>
                <w:sz w:val="20"/>
                <w:szCs w:val="20"/>
                <w:color w:val="000000"/>
              </w:rPr>
              <w:t>]</w:t>
            </w:r>
          </w:p>
        </w:tc>
        <w:tc>
          <w:tcPr>
            <w:tcW w:w="5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64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260" w:type="dxa"/>
            <w:vAlign w:val="bottom"/>
            <w:tcBorders>
              <w:top w:val="single" w:sz="8" w:color="0000EE"/>
            </w:tcBorders>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2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ACURA PHARMACEUTICALS INC</w:t>
            </w:r>
          </w:p>
        </w:tc>
        <w:tc>
          <w:tcPr>
            <w:tcW w:w="10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5"/>
            <w:vMerge w:val="continue"/>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01/02/2026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616 N. NORTH COURT, SUITE 120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0"/>
          <w:szCs w:val="20"/>
          <w:color w:val="auto"/>
        </w:rPr>
      </w:pPr>
    </w:p>
    <w:p>
      <w:pPr>
        <w:sectPr>
          <w:pgSz w:w="11900" w:h="16905" w:orient="portrait"/>
          <w:cols w:equalWidth="0" w:num="2">
            <w:col w:w="7660" w:space="63"/>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640" w:type="dxa"/>
            <w:vAlign w:val="bottom"/>
            <w:gridSpan w:val="5"/>
          </w:tcPr>
          <w:p>
            <w:pPr>
              <w:ind w:left="160"/>
              <w:spacing w:after="0" w:line="135"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6"/>
          </w:tcPr>
          <w:p>
            <w:pPr>
              <w:ind w:left="34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PALATINE</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IL</w:t>
            </w:r>
          </w:p>
        </w:tc>
        <w:tc>
          <w:tcPr>
            <w:tcW w:w="17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60067</w:t>
            </w: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9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5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(State)</w:t>
            </w:r>
          </w:p>
        </w:tc>
        <w:tc>
          <w:tcPr>
            <w:tcW w:w="224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2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40" w:type="dxa"/>
            <w:vAlign w:val="bottom"/>
            <w:gridSpan w:val="2"/>
          </w:tcPr>
          <w:p>
            <w:pPr>
              <w:ind w:left="12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40" w:type="dxa"/>
            <w:vAlign w:val="bottom"/>
            <w:gridSpan w:val="2"/>
          </w:tcPr>
          <w:p>
            <w:pPr>
              <w:ind w:left="12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40" w:type="dxa"/>
            <w:vAlign w:val="bottom"/>
            <w:gridSpan w:val="2"/>
          </w:tcPr>
          <w:p>
            <w:pPr>
              <w:ind w:left="122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gridSpan w:val="2"/>
          </w:tcPr>
          <w:p>
            <w:pPr>
              <w:ind w:left="1320"/>
              <w:spacing w:after="0"/>
              <w:rPr>
                <w:sz w:val="20"/>
                <w:szCs w:val="20"/>
                <w:color w:val="auto"/>
              </w:rPr>
            </w:pPr>
            <w:r>
              <w:rPr>
                <w:rFonts w:ascii="Times New Roman" w:cs="Times New Roman" w:eastAsia="Times New Roman" w:hAnsi="Times New Roman"/>
                <w:sz w:val="17"/>
                <w:szCs w:val="17"/>
                <w:color w:val="0000FF"/>
              </w:rPr>
              <w:t>01/02/2026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50,000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547,647</w:t>
            </w:r>
            <w:r>
              <w:rPr>
                <w:rFonts w:ascii="Times New Roman" w:cs="Times New Roman" w:eastAsia="Times New Roman" w:hAnsi="Times New Roman"/>
                <w:sz w:val="21"/>
                <w:szCs w:val="21"/>
                <w:color w:val="008000"/>
                <w:vertAlign w:val="superscript"/>
              </w:rPr>
              <w:t>(3)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Essex</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Woodlands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1,956,396</w:t>
            </w:r>
          </w:p>
        </w:tc>
        <w:tc>
          <w:tcPr>
            <w:tcW w:w="940" w:type="dxa"/>
            <w:vAlign w:val="bottom"/>
          </w:tcPr>
          <w:p>
            <w:pPr>
              <w:ind w:left="400"/>
              <w:spacing w:after="0" w:line="225" w:lineRule="exact"/>
              <w:rPr>
                <w:sz w:val="20"/>
                <w:szCs w:val="20"/>
                <w:color w:val="auto"/>
              </w:rPr>
            </w:pPr>
            <w:r>
              <w:rPr>
                <w:rFonts w:ascii="Times New Roman" w:cs="Times New Roman" w:eastAsia="Times New Roman" w:hAnsi="Times New Roman"/>
                <w:sz w:val="26"/>
                <w:szCs w:val="26"/>
                <w:color w:val="0000FF"/>
                <w:vertAlign w:val="subscript"/>
              </w:rPr>
              <w:t>I</w:t>
            </w:r>
            <w:r>
              <w:rPr>
                <w:rFonts w:ascii="Times New Roman" w:cs="Times New Roman" w:eastAsia="Times New Roman" w:hAnsi="Times New Roman"/>
                <w:sz w:val="10"/>
                <w:szCs w:val="10"/>
                <w:color w:val="008000"/>
              </w:rPr>
              <w:t>(8)</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Health</w:t>
            </w: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Venture</w:t>
      </w:r>
    </w:p>
    <w:p>
      <w:pPr>
        <w:spacing w:after="0" w:line="4"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7"/>
          <w:szCs w:val="17"/>
          <w:color w:val="0000FF"/>
        </w:rPr>
        <w:t>Fund V,</w:t>
      </w:r>
    </w:p>
    <w:p>
      <w:pPr>
        <w:spacing w:after="0" w:line="11"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7"/>
          <w:szCs w:val="17"/>
          <w:color w:val="0000FF"/>
        </w:rPr>
        <w:t>L.P.</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(2)(4)</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01/02/2026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right"/>
              <w:ind w:right="38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Plan)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(2)(4)</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01/02/2026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right"/>
              <w:ind w:right="241"/>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(2021</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Plan)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exchange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Par value of $.01 per share must be paid by Reporting Person upon exchange of Restricted Stock Units for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Does not include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 for - 1</w:t>
      </w:r>
    </w:p>
    <w:p>
      <w:pPr>
        <w:spacing w:after="0" w:line="44"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50,000 Restricted Stock Units were granted on January 2, 2025. 25% of Restricted Stock Units vested on the last day of each of March, June, September and December 2025. Restricted Stock Units are being exchanged on a one for one basis for common stock, in each case upon payment of par value.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4" w:lineRule="exact"/>
        <w:rPr>
          <w:rFonts w:ascii="Times New Roman" w:cs="Times New Roman" w:eastAsia="Times New Roman" w:hAnsi="Times New Roman"/>
          <w:sz w:val="13"/>
          <w:szCs w:val="13"/>
          <w:color w:val="008000"/>
        </w:rPr>
      </w:pPr>
    </w:p>
    <w:p>
      <w:pPr>
        <w:jc w:val="both"/>
        <w:ind w:left="40" w:right="20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50,000 Restricted Stock Units were granted on January 2, 2026. 25% of Restricted Stock Units vest on the last day of each of March, June, September and December 2026, subject to immediate vesting in the event of a change of control and certain other events. Reporting Person may elect to exchange up to 40% of Restricted Stock Units for cash and the remaining Restricted Stock Units will be exchanged on a one for one basis for common stock, in each case upon payment of, or deduction of par value. Distributions in respect of vested Restricted Stock Units will be made on the first business day of January 2027 or earlier upon a change of control.</w:t>
      </w:r>
    </w:p>
    <w:p>
      <w:pPr>
        <w:spacing w:after="0" w:line="26"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the general partner of Essex Woodlands Health Ventures Fund V, L.P. The reporting person disclaims beneficial ownership of the reported securities except to the extent of his pecuniary interest therein.</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Immanuel Thangaraj</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01/15/2026</w:t>
            </w:r>
          </w:p>
        </w:tc>
      </w:tr>
      <w:tr>
        <w:trPr>
          <w:trHeight w:val="20"/>
        </w:trPr>
        <w:tc>
          <w:tcPr>
            <w:tcW w:w="65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65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r>
        <w:trPr>
          <w:trHeight w:val="194"/>
        </w:trPr>
        <w:tc>
          <w:tcPr>
            <w:tcW w:w="87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4"/>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r>
        <w:trPr>
          <w:trHeight w:val="194"/>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r>
    </w:tbl>
    <w:p>
      <w:pPr>
        <w:sectPr>
          <w:pgSz w:w="11900" w:h="1690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3308" TargetMode="External"/><Relationship Id="rId14" Type="http://schemas.openxmlformats.org/officeDocument/2006/relationships/hyperlink" Target="http://www.sec.gov/cgi-bin/browse-edgar?action=getcompany&amp;CIK=00007869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2026-01-15T13:40:40Z</dcterms:created>
  <dcterms:modified xsi:type="dcterms:W3CDTF">2026-01-15T13:40:40Z</dcterms:modified>
</cp:coreProperties>
</file>