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1320" w:type="dxa"/>
            <w:vAlign w:val="bottom"/>
          </w:tcPr>
          <w:p>
            <w:pPr>
              <w:spacing w:after="0"/>
              <w:rPr>
                <w:sz w:val="19"/>
                <w:szCs w:val="19"/>
                <w:color w:val="auto"/>
              </w:rPr>
            </w:pPr>
          </w:p>
        </w:tc>
        <w:tc>
          <w:tcPr>
            <w:tcW w:w="6560" w:type="dxa"/>
            <w:vAlign w:val="bottom"/>
            <w:tcBorders>
              <w:right w:val="single" w:sz="8" w:color="auto"/>
            </w:tcBorders>
            <w:vMerge w:val="restart"/>
          </w:tcPr>
          <w:p>
            <w:pPr>
              <w:jc w:val="center"/>
              <w:ind w:left="1944"/>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3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OMB APPROVAL</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6560" w:type="dxa"/>
            <w:vAlign w:val="bottom"/>
            <w:tcBorders>
              <w:right w:val="single" w:sz="8" w:color="auto"/>
            </w:tcBorders>
            <w:vMerge w:val="continue"/>
          </w:tcPr>
          <w:p>
            <w:pPr>
              <w:spacing w:after="0"/>
              <w:rPr>
                <w:sz w:val="15"/>
                <w:szCs w:val="15"/>
                <w:color w:val="auto"/>
              </w:rPr>
            </w:pPr>
          </w:p>
        </w:tc>
        <w:tc>
          <w:tcPr>
            <w:tcW w:w="158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80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60" w:type="dxa"/>
            <w:vAlign w:val="bottom"/>
            <w:tcBorders>
              <w:right w:val="single" w:sz="8" w:color="auto"/>
            </w:tcBorders>
          </w:tcPr>
          <w:p>
            <w:pPr>
              <w:jc w:val="center"/>
              <w:ind w:left="194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6560" w:type="dxa"/>
            <w:vAlign w:val="bottom"/>
            <w:tcBorders>
              <w:right w:val="single" w:sz="8" w:color="auto"/>
            </w:tcBorders>
          </w:tcPr>
          <w:p>
            <w:pPr>
              <w:jc w:val="center"/>
              <w:ind w:left="1964"/>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3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560" w:type="dxa"/>
            <w:vAlign w:val="bottom"/>
            <w:tcBorders>
              <w:right w:val="single" w:sz="8" w:color="auto"/>
            </w:tcBorders>
          </w:tcPr>
          <w:p>
            <w:pPr>
              <w:spacing w:after="0"/>
              <w:rPr>
                <w:sz w:val="20"/>
                <w:szCs w:val="20"/>
                <w:color w:val="auto"/>
              </w:rPr>
            </w:pPr>
          </w:p>
        </w:tc>
        <w:tc>
          <w:tcPr>
            <w:tcW w:w="1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hours per response.</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3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6560" w:type="dxa"/>
            <w:vAlign w:val="bottom"/>
            <w:tcBorders>
              <w:right w:val="single" w:sz="8" w:color="auto"/>
            </w:tcBorders>
            <w:vMerge w:val="restart"/>
          </w:tcPr>
          <w:p>
            <w:pPr>
              <w:jc w:val="center"/>
              <w:ind w:left="1944"/>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33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SEC FILE NUMBER</w:t>
            </w: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6560" w:type="dxa"/>
            <w:vAlign w:val="bottom"/>
            <w:tcBorders>
              <w:right w:val="single" w:sz="8" w:color="auto"/>
            </w:tcBorders>
            <w:vMerge w:val="continue"/>
          </w:tcPr>
          <w:p>
            <w:pPr>
              <w:spacing w:after="0"/>
              <w:rPr>
                <w:sz w:val="14"/>
                <w:szCs w:val="14"/>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1-10113</w:t>
            </w: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320" w:type="dxa"/>
            <w:vAlign w:val="bottom"/>
          </w:tcPr>
          <w:p>
            <w:pPr>
              <w:spacing w:after="0"/>
              <w:rPr>
                <w:sz w:val="6"/>
                <w:szCs w:val="6"/>
                <w:color w:val="auto"/>
              </w:rPr>
            </w:pPr>
          </w:p>
        </w:tc>
        <w:tc>
          <w:tcPr>
            <w:tcW w:w="6560" w:type="dxa"/>
            <w:vAlign w:val="bottom"/>
            <w:tcBorders>
              <w:right w:val="single" w:sz="8" w:color="auto"/>
            </w:tcBorders>
          </w:tcPr>
          <w:p>
            <w:pPr>
              <w:spacing w:after="0"/>
              <w:rPr>
                <w:sz w:val="6"/>
                <w:szCs w:val="6"/>
                <w:color w:val="auto"/>
              </w:rPr>
            </w:pPr>
          </w:p>
        </w:tc>
        <w:tc>
          <w:tcPr>
            <w:tcW w:w="1580" w:type="dxa"/>
            <w:vAlign w:val="bottom"/>
            <w:tcBorders>
              <w:bottom w:val="single" w:sz="8" w:color="auto"/>
            </w:tcBorders>
            <w:vMerge w:val="continue"/>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6560" w:type="dxa"/>
            <w:vAlign w:val="bottom"/>
            <w:tcBorders>
              <w:right w:val="single" w:sz="8" w:color="auto"/>
            </w:tcBorders>
            <w:vMerge w:val="restart"/>
          </w:tcPr>
          <w:p>
            <w:pPr>
              <w:jc w:val="center"/>
              <w:ind w:left="1944"/>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3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560" w:type="dxa"/>
            <w:vAlign w:val="bottom"/>
            <w:tcBorders>
              <w:right w:val="single" w:sz="8" w:color="auto"/>
            </w:tcBorders>
            <w:vMerge w:val="continue"/>
          </w:tcPr>
          <w:p>
            <w:pPr>
              <w:spacing w:after="0"/>
              <w:rPr>
                <w:sz w:val="20"/>
                <w:szCs w:val="20"/>
                <w:color w:val="auto"/>
              </w:rPr>
            </w:pPr>
          </w:p>
        </w:tc>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00509L 802</w:t>
            </w:r>
          </w:p>
        </w:tc>
        <w:tc>
          <w:tcPr>
            <w:tcW w:w="1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656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 ]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15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800" w:type="dxa"/>
            <w:vAlign w:val="bottom"/>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0" w:type="dxa"/>
            <w:vAlign w:val="bottom"/>
          </w:tcPr>
          <w:p>
            <w:pPr>
              <w:spacing w:after="0"/>
              <w:rPr>
                <w:sz w:val="1"/>
                <w:szCs w:val="1"/>
                <w:color w:val="auto"/>
              </w:rPr>
            </w:pPr>
          </w:p>
        </w:tc>
      </w:tr>
    </w:tbl>
    <w:p>
      <w:pPr>
        <w:spacing w:after="0" w:line="1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18"/>
          <w:szCs w:val="18"/>
          <w:color w:val="auto"/>
        </w:rPr>
        <w:t>For Period Ended:  March 31, 2025</w:t>
      </w:r>
    </w:p>
    <w:p>
      <w:pPr>
        <w:spacing w:after="0" w:line="22" w:lineRule="exact"/>
        <w:rPr>
          <w:sz w:val="24"/>
          <w:szCs w:val="24"/>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980" w:hanging="312"/>
        <w:spacing w:after="0"/>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60067-8121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(a)The reason described in reasonable detail in Part III of this form could not be eliminated without unreasonable effort or expense;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(b)The subject annual report, semi-annual report, transition report on Form 10-K, Form 20-F, Form 11-K, Form N-CEN or Form N-CSR, or portion</w:t>
      </w:r>
    </w:p>
    <w:p>
      <w:pPr>
        <w:spacing w:after="0" w:line="27" w:lineRule="exact"/>
        <w:rPr>
          <w:sz w:val="20"/>
          <w:szCs w:val="20"/>
          <w:color w:val="auto"/>
        </w:rPr>
      </w:pPr>
    </w:p>
    <w:p>
      <w:pPr>
        <w:jc w:val="both"/>
        <w:ind w:left="580" w:hanging="560"/>
        <w:spacing w:after="0" w:line="187" w:lineRule="auto"/>
        <w:tabs>
          <w:tab w:leader="none" w:pos="580" w:val="left"/>
        </w:tabs>
        <w:numPr>
          <w:ilvl w:val="0"/>
          <w:numId w:val="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Registrant’s Quarterly Report on Form 10-Q for the period ended March 31, 2025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2022, December 31, 2023 nor December 31, 2024. We have not filed our Quarterly Reports for any of the quarterly periods in our fiscal year of 2022, 2023 or 2024. We have appointed and announced in February 2024, a new independent registered public accounting firm for the Company. We had delayed our public accounting firm’s review services of each of our 2022 and 2023 quarterly results and their audit services of our 2022 and 2023 annual results, pending finding funding solutions and/or the receipt of loans from Abuse Deterrent Pharma, LLC; which may meet day-to-day operation obligations on a longer term basis.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A. Seiser</w:t>
            </w:r>
          </w:p>
        </w:tc>
        <w:tc>
          <w:tcPr>
            <w:tcW w:w="19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847</w:t>
            </w:r>
          </w:p>
        </w:tc>
        <w:tc>
          <w:tcPr>
            <w:tcW w:w="28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705-7709</w:t>
            </w:r>
          </w:p>
        </w:tc>
      </w:tr>
      <w:tr>
        <w:trPr>
          <w:trHeight w:val="228"/>
        </w:trPr>
        <w:tc>
          <w:tcPr>
            <w:tcW w:w="5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580" w:hanging="572"/>
        <w:spacing w:after="0" w:line="255"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 w:lineRule="exact"/>
        <w:rPr>
          <w:sz w:val="20"/>
          <w:szCs w:val="20"/>
          <w:color w:val="auto"/>
        </w:rPr>
      </w:pPr>
    </w:p>
    <w:p>
      <w:pPr>
        <w:ind w:left="998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Quarterly Report for the quarterly period ended March 31, 2025 will not be filed on time. The Quarterly Reports for the quarterly periods</w:t>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September 30, 2024, June 30, 2024, March 31, 2024, September 30, 2023, June 30, 2023, March 31, 2023, September 30, 2022, June 30, 2022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March 31, 2022 have not been filed. The Annual Report for each of the annual periods ended December 31, 2024, 2023 and 2022 have not been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6772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27" w:lineRule="exact"/>
        <w:rPr>
          <w:sz w:val="20"/>
          <w:szCs w:val="20"/>
          <w:color w:val="auto"/>
        </w:rPr>
      </w:pPr>
    </w:p>
    <w:p>
      <w:pPr>
        <w:ind w:left="580" w:right="340" w:hanging="572"/>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9940"/>
        <w:spacing w:after="0" w:line="207" w:lineRule="exact"/>
        <w:tabs>
          <w:tab w:leader="none" w:pos="10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w:t>
      </w:r>
    </w:p>
    <w:p>
      <w:pPr>
        <w:spacing w:after="0" w:line="64" w:lineRule="exact"/>
        <w:rPr>
          <w:sz w:val="20"/>
          <w:szCs w:val="20"/>
          <w:color w:val="auto"/>
        </w:rPr>
      </w:pPr>
    </w:p>
    <w:p>
      <w:pPr>
        <w:ind w:left="580" w:right="340"/>
        <w:spacing w:after="0" w:line="259"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080"/>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840" w:val="left"/>
        </w:tabs>
        <w:rPr>
          <w:sz w:val="20"/>
          <w:szCs w:val="20"/>
          <w:color w:val="auto"/>
        </w:rPr>
      </w:pPr>
      <w:r>
        <w:rPr>
          <w:rFonts w:ascii="Times New Roman" w:cs="Times New Roman" w:eastAsia="Times New Roman" w:hAnsi="Times New Roman"/>
          <w:sz w:val="18"/>
          <w:szCs w:val="18"/>
          <w:color w:val="auto"/>
        </w:rPr>
        <w:t>Date:</w:t>
        <w:tab/>
        <w:t>May 14, 2025</w:t>
      </w:r>
      <w:r>
        <w:rPr>
          <w:sz w:val="20"/>
          <w:szCs w:val="20"/>
          <w:color w:val="auto"/>
        </w:rPr>
        <w:tab/>
      </w:r>
      <w:r>
        <w:rPr>
          <w:rFonts w:ascii="Times New Roman" w:cs="Times New Roman" w:eastAsia="Times New Roman" w:hAnsi="Times New Roman"/>
          <w:sz w:val="18"/>
          <w:szCs w:val="18"/>
          <w:color w:val="auto"/>
        </w:rPr>
        <w:t>By: /s/ Robert A. Seiser,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2025-05-14T07:56:43Z</dcterms:created>
  <dcterms:modified xsi:type="dcterms:W3CDTF">2025-05-14T07:56:43Z</dcterms:modified>
</cp:coreProperties>
</file>