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340360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4"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10-Q</w:t>
      </w:r>
    </w:p>
    <w:p>
      <w:pPr>
        <w:spacing w:after="0" w:line="202" w:lineRule="exact"/>
        <w:rPr>
          <w:sz w:val="24"/>
          <w:szCs w:val="24"/>
          <w:color w:val="auto"/>
        </w:rPr>
      </w:pPr>
    </w:p>
    <w:p>
      <w:pPr>
        <w:ind w:left="428" w:hanging="428"/>
        <w:spacing w:after="0"/>
        <w:tabs>
          <w:tab w:leader="none" w:pos="428"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quarterly period ended March 31, 2021</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ectPr>
          <w:pgSz w:w="11900" w:h="16838" w:orient="portrait"/>
          <w:cols w:equalWidth="0" w:num="1">
            <w:col w:w="11308"/>
          </w:cols>
          <w:pgMar w:left="292" w:top="710" w:right="299" w:bottom="1440" w:gutter="0" w:footer="0" w:header="0"/>
        </w:sectPr>
      </w:pPr>
    </w:p>
    <w:p>
      <w:pPr>
        <w:spacing w:after="0" w:line="132" w:lineRule="exact"/>
        <w:rPr>
          <w:sz w:val="24"/>
          <w:szCs w:val="24"/>
          <w:color w:val="auto"/>
        </w:rPr>
      </w:pPr>
    </w:p>
    <w:p>
      <w:pPr>
        <w:ind w:left="8"/>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TRANSACTION REPORT PURSUANT TO SECTION 13 OR 15(D) OF THE SECURITIES EXCHANGE ACT OF 1934</w:t>
      </w:r>
    </w:p>
    <w:p>
      <w:pPr>
        <w:spacing w:after="0" w:line="162" w:lineRule="exact"/>
        <w:rPr>
          <w:sz w:val="24"/>
          <w:szCs w:val="24"/>
          <w:color w:val="auto"/>
        </w:rPr>
      </w:pPr>
    </w:p>
    <w:p>
      <w:pPr>
        <w:sectPr>
          <w:pgSz w:w="11900" w:h="16838" w:orient="portrait"/>
          <w:cols w:equalWidth="0" w:num="2">
            <w:col w:w="108" w:space="320"/>
            <w:col w:w="10880"/>
          </w:cols>
          <w:pgMar w:left="292" w:top="710" w:right="299" w:bottom="1440" w:gutter="0" w:footer="0" w:header="0"/>
          <w:type w:val="continuous"/>
        </w:sectPr>
      </w:pPr>
    </w:p>
    <w:p>
      <w:pPr>
        <w:ind w:left="4588"/>
        <w:spacing w:after="0"/>
        <w:rPr>
          <w:sz w:val="20"/>
          <w:szCs w:val="20"/>
          <w:color w:val="auto"/>
        </w:rPr>
      </w:pPr>
      <w:r>
        <w:rPr>
          <w:rFonts w:ascii="Arial" w:cs="Arial" w:eastAsia="Arial" w:hAnsi="Arial"/>
          <w:sz w:val="12"/>
          <w:szCs w:val="12"/>
          <w:b w:val="1"/>
          <w:bCs w:val="1"/>
          <w:color w:val="auto"/>
        </w:rPr>
        <w:t>For the transition period from ___ to____</w:t>
      </w:r>
    </w:p>
    <w:p>
      <w:pPr>
        <w:spacing w:after="0" w:line="15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Commission File Number 1-10113</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Acura Pharmaceuticals, Inc.</w:t>
      </w:r>
    </w:p>
    <w:p>
      <w:pPr>
        <w:spacing w:after="0" w:line="4" w:lineRule="exact"/>
        <w:rPr>
          <w:sz w:val="24"/>
          <w:szCs w:val="24"/>
          <w:color w:val="auto"/>
        </w:rPr>
      </w:pPr>
    </w:p>
    <w:p>
      <w:pPr>
        <w:jc w:val="center"/>
        <w:ind w:right="12"/>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308"/>
          </w:cols>
          <w:pgMar w:left="292" w:top="710" w:right="299" w:bottom="1440" w:gutter="0" w:footer="0" w:header="0"/>
          <w:type w:val="continuous"/>
        </w:sectPr>
      </w:pPr>
    </w:p>
    <w:p>
      <w:pPr>
        <w:spacing w:after="0" w:line="28" w:lineRule="exact"/>
        <w:rPr>
          <w:sz w:val="24"/>
          <w:szCs w:val="24"/>
          <w:color w:val="auto"/>
        </w:rPr>
      </w:pPr>
    </w:p>
    <w:p>
      <w:pPr>
        <w:jc w:val="center"/>
        <w:ind w:right="1192"/>
        <w:spacing w:after="0"/>
        <w:rPr>
          <w:sz w:val="20"/>
          <w:szCs w:val="20"/>
          <w:color w:val="auto"/>
        </w:rPr>
      </w:pPr>
      <w:r>
        <w:rPr>
          <w:rFonts w:ascii="Arial" w:cs="Arial" w:eastAsia="Arial" w:hAnsi="Arial"/>
          <w:sz w:val="12"/>
          <w:szCs w:val="12"/>
          <w:b w:val="1"/>
          <w:bCs w:val="1"/>
          <w:color w:val="auto"/>
        </w:rPr>
        <w:t>New York</w:t>
      </w:r>
    </w:p>
    <w:p>
      <w:pPr>
        <w:spacing w:after="0" w:line="6" w:lineRule="exact"/>
        <w:rPr>
          <w:sz w:val="24"/>
          <w:szCs w:val="24"/>
          <w:color w:val="auto"/>
        </w:rPr>
      </w:pPr>
    </w:p>
    <w:p>
      <w:pPr>
        <w:jc w:val="center"/>
        <w:ind w:right="1192"/>
        <w:spacing w:after="0"/>
        <w:rPr>
          <w:sz w:val="20"/>
          <w:szCs w:val="20"/>
          <w:color w:val="auto"/>
        </w:rPr>
      </w:pPr>
      <w:r>
        <w:rPr>
          <w:rFonts w:ascii="Arial" w:cs="Arial" w:eastAsia="Arial" w:hAnsi="Arial"/>
          <w:sz w:val="11"/>
          <w:szCs w:val="11"/>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920"/>
        <w:spacing w:after="0"/>
        <w:rPr>
          <w:sz w:val="20"/>
          <w:szCs w:val="20"/>
          <w:color w:val="auto"/>
        </w:rPr>
      </w:pPr>
      <w:r>
        <w:rPr>
          <w:rFonts w:ascii="Arial" w:cs="Arial" w:eastAsia="Arial" w:hAnsi="Arial"/>
          <w:sz w:val="12"/>
          <w:szCs w:val="12"/>
          <w:b w:val="1"/>
          <w:bCs w:val="1"/>
          <w:color w:val="auto"/>
        </w:rPr>
        <w:t>11-0853640</w:t>
      </w:r>
    </w:p>
    <w:p>
      <w:pPr>
        <w:spacing w:after="0" w:line="6" w:lineRule="exact"/>
        <w:rPr>
          <w:sz w:val="24"/>
          <w:szCs w:val="24"/>
          <w:color w:val="auto"/>
        </w:rPr>
      </w:pPr>
    </w:p>
    <w:p>
      <w:pPr>
        <w:jc w:val="center"/>
        <w:ind w:right="1920"/>
        <w:spacing w:after="0"/>
        <w:rPr>
          <w:sz w:val="20"/>
          <w:szCs w:val="20"/>
          <w:color w:val="auto"/>
        </w:rPr>
      </w:pPr>
      <w:r>
        <w:rPr>
          <w:rFonts w:ascii="Arial" w:cs="Arial" w:eastAsia="Arial" w:hAnsi="Arial"/>
          <w:sz w:val="11"/>
          <w:szCs w:val="11"/>
          <w:i w:val="1"/>
          <w:iCs w:val="1"/>
          <w:color w:val="auto"/>
        </w:rPr>
        <w:t>(I.R.S. Employer Identification No.)</w:t>
      </w:r>
    </w:p>
    <w:p>
      <w:pPr>
        <w:spacing w:after="0" w:line="149" w:lineRule="exact"/>
        <w:rPr>
          <w:sz w:val="24"/>
          <w:szCs w:val="24"/>
          <w:color w:val="auto"/>
        </w:rPr>
      </w:pPr>
    </w:p>
    <w:p>
      <w:pPr>
        <w:sectPr>
          <w:pgSz w:w="11900" w:h="16838" w:orient="portrait"/>
          <w:cols w:equalWidth="0" w:num="2">
            <w:col w:w="6968" w:space="720"/>
            <w:col w:w="3620"/>
          </w:cols>
          <w:pgMar w:left="292" w:top="710" w:right="299" w:bottom="1440" w:gutter="0" w:footer="0" w:header="0"/>
          <w:type w:val="continuous"/>
        </w:sectPr>
      </w:pPr>
    </w:p>
    <w:p>
      <w:pPr>
        <w:jc w:val="center"/>
        <w:ind w:right="1792"/>
        <w:spacing w:after="0"/>
        <w:rPr>
          <w:sz w:val="20"/>
          <w:szCs w:val="20"/>
          <w:color w:val="auto"/>
        </w:rPr>
      </w:pPr>
      <w:r>
        <w:rPr>
          <w:rFonts w:ascii="Arial" w:cs="Arial" w:eastAsia="Arial" w:hAnsi="Arial"/>
          <w:sz w:val="11"/>
          <w:szCs w:val="11"/>
          <w:b w:val="1"/>
          <w:bCs w:val="1"/>
          <w:color w:val="auto"/>
        </w:rPr>
        <w:t>616 N. North Court, Suite 120, Palatine, Illinois</w:t>
      </w:r>
    </w:p>
    <w:p>
      <w:pPr>
        <w:spacing w:after="0" w:line="30" w:lineRule="exact"/>
        <w:rPr>
          <w:sz w:val="24"/>
          <w:szCs w:val="24"/>
          <w:color w:val="auto"/>
        </w:rPr>
      </w:pPr>
    </w:p>
    <w:p>
      <w:pPr>
        <w:jc w:val="center"/>
        <w:ind w:right="1792"/>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2"/>
          <w:szCs w:val="12"/>
          <w:b w:val="1"/>
          <w:bCs w:val="1"/>
          <w:color w:val="auto"/>
        </w:rPr>
        <w:t>60067</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i w:val="1"/>
          <w:iCs w:val="1"/>
          <w:color w:val="auto"/>
        </w:rPr>
        <w:t>(Zip Code)</w:t>
      </w:r>
    </w:p>
    <w:p>
      <w:pPr>
        <w:spacing w:after="0" w:line="148" w:lineRule="exact"/>
        <w:rPr>
          <w:sz w:val="24"/>
          <w:szCs w:val="24"/>
          <w:color w:val="auto"/>
        </w:rPr>
      </w:pPr>
    </w:p>
    <w:p>
      <w:pPr>
        <w:sectPr>
          <w:pgSz w:w="11900" w:h="16838" w:orient="portrait"/>
          <w:cols w:equalWidth="0" w:num="2">
            <w:col w:w="7548" w:space="720"/>
            <w:col w:w="3040"/>
          </w:cols>
          <w:pgMar w:left="292" w:top="710" w:right="299" w:bottom="1440" w:gutter="0" w:footer="0" w:header="0"/>
          <w:type w:val="continuous"/>
        </w:sectPr>
      </w:pPr>
    </w:p>
    <w:p>
      <w:pPr>
        <w:jc w:val="center"/>
        <w:ind w:right="12"/>
        <w:spacing w:after="0"/>
        <w:rPr>
          <w:sz w:val="20"/>
          <w:szCs w:val="20"/>
          <w:color w:val="auto"/>
        </w:rPr>
      </w:pPr>
      <w:r>
        <w:rPr>
          <w:rFonts w:ascii="Arial" w:cs="Arial" w:eastAsia="Arial" w:hAnsi="Arial"/>
          <w:sz w:val="10"/>
          <w:szCs w:val="10"/>
          <w:i w:val="1"/>
          <w:iCs w:val="1"/>
          <w:color w:val="auto"/>
        </w:rPr>
        <w:t>(Registrant's telephone number, including area code: (</w:t>
      </w:r>
      <w:r>
        <w:rPr>
          <w:rFonts w:ascii="Arial" w:cs="Arial" w:eastAsia="Arial" w:hAnsi="Arial"/>
          <w:sz w:val="10"/>
          <w:szCs w:val="10"/>
          <w:b w:val="1"/>
          <w:bCs w:val="1"/>
          <w:color w:val="auto"/>
        </w:rPr>
        <w:t>847) 705-7709</w:t>
      </w:r>
    </w:p>
    <w:p>
      <w:pPr>
        <w:sectPr>
          <w:pgSz w:w="11900" w:h="16838" w:orient="portrait"/>
          <w:cols w:equalWidth="0" w:num="1">
            <w:col w:w="11308"/>
          </w:cols>
          <w:pgMar w:left="292" w:top="710" w:right="299" w:bottom="1440" w:gutter="0" w:footer="0" w:header="0"/>
          <w:type w:val="continuous"/>
        </w:sectPr>
      </w:pPr>
    </w:p>
    <w:p>
      <w:pPr>
        <w:spacing w:after="0" w:line="177" w:lineRule="exact"/>
        <w:rPr>
          <w:sz w:val="24"/>
          <w:szCs w:val="24"/>
          <w:color w:val="auto"/>
        </w:rPr>
      </w:pPr>
    </w:p>
    <w:p>
      <w:pPr>
        <w:ind w:left="8" w:right="20"/>
        <w:spacing w:after="0" w:line="25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ind w:left="8"/>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44" w:lineRule="exact"/>
        <w:rPr>
          <w:sz w:val="24"/>
          <w:szCs w:val="24"/>
          <w:color w:val="auto"/>
        </w:rPr>
      </w:pPr>
    </w:p>
    <w:p>
      <w:pPr>
        <w:ind w:left="8"/>
        <w:spacing w:after="0" w:line="255"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w:t>
      </w:r>
    </w:p>
    <w:p>
      <w:pPr>
        <w:ind w:left="8"/>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44"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ectPr>
          <w:pgSz w:w="11900" w:h="16838" w:orient="portrait"/>
          <w:cols w:equalWidth="0" w:num="1">
            <w:col w:w="11308"/>
          </w:cols>
          <w:pgMar w:left="292" w:top="710" w:right="299" w:bottom="1440" w:gutter="0" w:footer="0" w:header="0"/>
          <w:type w:val="continuous"/>
        </w:sectPr>
      </w:pPr>
    </w:p>
    <w:p>
      <w:pPr>
        <w:spacing w:after="0" w:line="128" w:lineRule="exact"/>
        <w:rPr>
          <w:sz w:val="24"/>
          <w:szCs w:val="24"/>
          <w:color w:val="auto"/>
        </w:rPr>
      </w:pPr>
    </w:p>
    <w:p>
      <w:pPr>
        <w:ind w:left="8" w:right="340"/>
        <w:spacing w:after="0" w:line="160"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 þ Non-accelerated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þ Smaller reporting company</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195" w:lineRule="exact"/>
        <w:rPr>
          <w:sz w:val="24"/>
          <w:szCs w:val="24"/>
          <w:color w:val="auto"/>
        </w:rPr>
      </w:pPr>
    </w:p>
    <w:p>
      <w:pPr>
        <w:sectPr>
          <w:pgSz w:w="11900" w:h="16838" w:orient="portrait"/>
          <w:cols w:equalWidth="0" w:num="3">
            <w:col w:w="1548" w:space="720"/>
            <w:col w:w="1420" w:space="120"/>
            <w:col w:w="7500"/>
          </w:cols>
          <w:pgMar w:left="292" w:top="710" w:right="299" w:bottom="1440" w:gutter="0" w:footer="0" w:header="0"/>
          <w:type w:val="continuous"/>
        </w:sect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1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Yes o No </w:t>
      </w:r>
      <w:r>
        <w:rPr>
          <w:rFonts w:ascii="MS PGothic" w:cs="MS PGothic" w:eastAsia="MS PGothic" w:hAnsi="MS PGothic"/>
          <w:sz w:val="12"/>
          <w:szCs w:val="12"/>
          <w:color w:val="auto"/>
        </w:rPr>
        <w:t>☒</w:t>
      </w:r>
    </w:p>
    <w:p>
      <w:pPr>
        <w:spacing w:after="0" w:line="162" w:lineRule="exact"/>
        <w:rPr>
          <w:sz w:val="24"/>
          <w:szCs w:val="24"/>
          <w:color w:val="auto"/>
        </w:rPr>
      </w:pPr>
    </w:p>
    <w:p>
      <w:pPr>
        <w:ind w:left="2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 w:lineRule="exact"/>
        <w:rPr>
          <w:sz w:val="24"/>
          <w:szCs w:val="24"/>
          <w:color w:val="auto"/>
        </w:rPr>
      </w:pPr>
    </w:p>
    <w:tbl>
      <w:tblPr>
        <w:tblLayout w:type="fixed"/>
        <w:tblInd w:w="18" w:type="dxa"/>
        <w:tblCellMar>
          <w:top w:w="0" w:type="dxa"/>
          <w:left w:w="0" w:type="dxa"/>
          <w:bottom w:w="0" w:type="dxa"/>
          <w:right w:w="0" w:type="dxa"/>
        </w:tblCellMar>
      </w:tblPr>
      <w:tr>
        <w:trPr>
          <w:trHeight w:val="178"/>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6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Common Stock, $0.01 par value</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ACUR</w:t>
            </w: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OTCQB Market</w:t>
            </w:r>
          </w:p>
        </w:tc>
      </w:tr>
      <w:tr>
        <w:trPr>
          <w:trHeight w:val="277"/>
        </w:trPr>
        <w:tc>
          <w:tcPr>
            <w:tcW w:w="7020" w:type="dxa"/>
            <w:vAlign w:val="bottom"/>
            <w:gridSpan w:val="2"/>
          </w:tcPr>
          <w:p>
            <w:pPr>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practical date:</w:t>
            </w:r>
          </w:p>
        </w:tc>
        <w:tc>
          <w:tcPr>
            <w:tcW w:w="4300" w:type="dxa"/>
            <w:vAlign w:val="bottom"/>
          </w:tcPr>
          <w:p>
            <w:pPr>
              <w:spacing w:after="0"/>
              <w:rPr>
                <w:sz w:val="24"/>
                <w:szCs w:val="24"/>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Common Stock, $0.01 par value</w:t>
            </w:r>
          </w:p>
        </w:tc>
        <w:tc>
          <w:tcPr>
            <w:tcW w:w="3620" w:type="dxa"/>
            <w:vAlign w:val="bottom"/>
          </w:tcPr>
          <w:p>
            <w:pPr>
              <w:spacing w:after="0"/>
              <w:rPr>
                <w:sz w:val="20"/>
                <w:szCs w:val="20"/>
                <w:color w:val="auto"/>
              </w:rPr>
            </w:pPr>
            <w:r>
              <w:rPr>
                <w:rFonts w:ascii="Arial" w:cs="Arial" w:eastAsia="Arial" w:hAnsi="Arial"/>
                <w:sz w:val="12"/>
                <w:szCs w:val="12"/>
                <w:color w:val="auto"/>
              </w:rPr>
              <w:t>Shares outstanding as of May 14, 2021: 22,104,668</w:t>
            </w:r>
          </w:p>
        </w:tc>
        <w:tc>
          <w:tcPr>
            <w:tcW w:w="4300" w:type="dxa"/>
            <w:vAlign w:val="bottom"/>
          </w:tcPr>
          <w:p>
            <w:pPr>
              <w:spacing w:after="0"/>
              <w:rPr>
                <w:sz w:val="13"/>
                <w:szCs w:val="13"/>
                <w:color w:val="auto"/>
              </w:rPr>
            </w:pPr>
          </w:p>
        </w:tc>
      </w:tr>
      <w:tr>
        <w:trPr>
          <w:trHeight w:val="169"/>
        </w:trPr>
        <w:tc>
          <w:tcPr>
            <w:tcW w:w="34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tcPr>
          <w:p>
            <w:pPr>
              <w:spacing w:after="0"/>
              <w:rPr>
                <w:sz w:val="14"/>
                <w:szCs w:val="14"/>
                <w:color w:val="auto"/>
              </w:rPr>
            </w:pPr>
          </w:p>
        </w:tc>
      </w:tr>
      <w:tr>
        <w:trPr>
          <w:trHeight w:val="288"/>
        </w:trPr>
        <w:tc>
          <w:tcPr>
            <w:tcW w:w="3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710"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ACURA PHARMACEUTICALS,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OF CONTENTS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10-Q FOR THE QUARTERLY PERIOD ENDED MARCH 31,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gridSpan w:val="4"/>
          </w:tcPr>
          <w:p>
            <w:pPr>
              <w:ind w:left="1460"/>
              <w:spacing w:after="0"/>
              <w:rPr>
                <w:sz w:val="20"/>
                <w:szCs w:val="20"/>
                <w:color w:val="auto"/>
              </w:rPr>
            </w:pPr>
            <w:r>
              <w:rPr>
                <w:rFonts w:ascii="Arial" w:cs="Arial" w:eastAsia="Arial" w:hAnsi="Arial"/>
                <w:sz w:val="12"/>
                <w:szCs w:val="12"/>
                <w:b w:val="1"/>
                <w:bCs w:val="1"/>
                <w:color w:val="auto"/>
              </w:rPr>
              <w:t>Page No.</w:t>
            </w:r>
          </w:p>
        </w:tc>
        <w:tc>
          <w:tcPr>
            <w:tcW w:w="0" w:type="dxa"/>
            <w:vAlign w:val="bottom"/>
          </w:tcPr>
          <w:p>
            <w:pPr>
              <w:spacing w:after="0"/>
              <w:rPr>
                <w:sz w:val="1"/>
                <w:szCs w:val="1"/>
                <w:color w:val="auto"/>
              </w:rPr>
            </w:pPr>
          </w:p>
        </w:tc>
      </w:tr>
      <w:tr>
        <w:trPr>
          <w:trHeight w:val="144"/>
        </w:trPr>
        <w:tc>
          <w:tcPr>
            <w:tcW w:w="5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Part 1.</w:t>
            </w:r>
          </w:p>
        </w:tc>
        <w:tc>
          <w:tcPr>
            <w:tcW w:w="8580" w:type="dxa"/>
            <w:vAlign w:val="bottom"/>
            <w:gridSpan w:val="14"/>
            <w:shd w:val="clear" w:color="auto" w:fill="CCEEFF"/>
          </w:tcPr>
          <w:p>
            <w:pPr>
              <w:ind w:left="40"/>
              <w:spacing w:after="0"/>
              <w:rPr>
                <w:sz w:val="20"/>
                <w:szCs w:val="20"/>
                <w:color w:val="auto"/>
              </w:rPr>
            </w:pPr>
            <w:r>
              <w:rPr>
                <w:rFonts w:ascii="Arial" w:cs="Arial" w:eastAsia="Arial" w:hAnsi="Arial"/>
                <w:sz w:val="12"/>
                <w:szCs w:val="12"/>
                <w:b w:val="1"/>
                <w:bCs w:val="1"/>
                <w:color w:val="auto"/>
              </w:rPr>
              <w:t>FINANCIAL INFORMATION</w:t>
            </w:r>
          </w:p>
        </w:tc>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20" w:type="dxa"/>
            <w:vAlign w:val="bottom"/>
            <w:gridSpan w:val="3"/>
            <w:shd w:val="clear" w:color="auto" w:fill="CCEEFF"/>
          </w:tcPr>
          <w:p>
            <w:pPr>
              <w:spacing w:after="0" w:line="117" w:lineRule="exact"/>
              <w:rPr>
                <w:rFonts w:ascii="Arial" w:cs="Arial" w:eastAsia="Arial" w:hAnsi="Arial"/>
                <w:sz w:val="12"/>
                <w:szCs w:val="12"/>
                <w:color w:val="0000EE"/>
              </w:rPr>
            </w:pPr>
            <w:hyperlink w:anchor="page3">
              <w:r>
                <w:rPr>
                  <w:rFonts w:ascii="Arial" w:cs="Arial" w:eastAsia="Arial" w:hAnsi="Arial"/>
                  <w:sz w:val="12"/>
                  <w:szCs w:val="12"/>
                  <w:color w:val="0000EE"/>
                </w:rPr>
                <w:t>Item 1.</w:t>
              </w:r>
            </w:hyperlink>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spacing w:after="0" w:line="117" w:lineRule="exact"/>
              <w:rPr>
                <w:rFonts w:ascii="Arial" w:cs="Arial" w:eastAsia="Arial" w:hAnsi="Arial"/>
                <w:sz w:val="12"/>
                <w:szCs w:val="12"/>
                <w:color w:val="0000EE"/>
              </w:rPr>
            </w:pPr>
            <w:hyperlink w:anchor="page3">
              <w:r>
                <w:rPr>
                  <w:rFonts w:ascii="Arial" w:cs="Arial" w:eastAsia="Arial" w:hAnsi="Arial"/>
                  <w:sz w:val="12"/>
                  <w:szCs w:val="12"/>
                  <w:color w:val="0000EE"/>
                </w:rPr>
                <w:t>Financial Statements (Unaudited):</w:t>
              </w:r>
            </w:hyperlink>
          </w:p>
        </w:tc>
        <w:tc>
          <w:tcPr>
            <w:tcW w:w="1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5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3">
              <w:r>
                <w:rPr>
                  <w:rFonts w:ascii="Arial" w:cs="Arial" w:eastAsia="Arial" w:hAnsi="Arial"/>
                  <w:sz w:val="12"/>
                  <w:szCs w:val="12"/>
                  <w:color w:val="0000EE"/>
                </w:rPr>
                <w:t>Consolidated Balance Sheets as of March 31, 2021 and December 31, 2020</w:t>
              </w:r>
            </w:hyperlink>
          </w:p>
        </w:tc>
        <w:tc>
          <w:tcPr>
            <w:tcW w:w="19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7" w:lineRule="exact"/>
              <w:rPr>
                <w:rFonts w:ascii="Arial" w:cs="Arial" w:eastAsia="Arial" w:hAnsi="Arial"/>
                <w:sz w:val="12"/>
                <w:szCs w:val="12"/>
                <w:color w:val="0000EE"/>
              </w:rPr>
            </w:pPr>
            <w:hyperlink w:anchor="page3">
              <w:r>
                <w:rPr>
                  <w:rFonts w:ascii="Arial" w:cs="Arial" w:eastAsia="Arial" w:hAnsi="Arial"/>
                  <w:sz w:val="12"/>
                  <w:szCs w:val="12"/>
                  <w:color w:val="0000EE"/>
                </w:rPr>
                <w:t>F-2</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1520" w:type="dxa"/>
            <w:vAlign w:val="bottom"/>
            <w:tcBorders>
              <w:top w:val="single" w:sz="8" w:color="0000EE"/>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Consolidated Statements of Operations for the Three months Ended March 31, 2021 and 2020</w:t>
              </w:r>
            </w:hyperlink>
          </w:p>
        </w:tc>
        <w:tc>
          <w:tcPr>
            <w:tcW w:w="19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F-3</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152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60" w:type="dxa"/>
            <w:vAlign w:val="bottom"/>
            <w:gridSpan w:val="12"/>
            <w:shd w:val="clear" w:color="auto" w:fill="CCEEFF"/>
          </w:tcPr>
          <w:p>
            <w:pPr>
              <w:ind w:left="20"/>
              <w:spacing w:after="0" w:line="117" w:lineRule="exact"/>
              <w:rPr>
                <w:rFonts w:ascii="Arial" w:cs="Arial" w:eastAsia="Arial" w:hAnsi="Arial"/>
                <w:sz w:val="12"/>
                <w:szCs w:val="12"/>
                <w:color w:val="0000EE"/>
              </w:rPr>
            </w:pPr>
            <w:hyperlink w:anchor="page5">
              <w:r>
                <w:rPr>
                  <w:rFonts w:ascii="Arial" w:cs="Arial" w:eastAsia="Arial" w:hAnsi="Arial"/>
                  <w:sz w:val="12"/>
                  <w:szCs w:val="12"/>
                  <w:color w:val="0000EE"/>
                </w:rPr>
                <w:t>Consolidated Statement of Changes in Accumulated Stockholders’ Deficit for the Three months Ended March 31, 2021 and 2020</w:t>
              </w:r>
            </w:hyperlink>
          </w:p>
        </w:tc>
        <w:tc>
          <w:tcPr>
            <w:tcW w:w="19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7" w:lineRule="exact"/>
              <w:rPr>
                <w:rFonts w:ascii="Arial" w:cs="Arial" w:eastAsia="Arial" w:hAnsi="Arial"/>
                <w:sz w:val="12"/>
                <w:szCs w:val="12"/>
                <w:color w:val="0000EE"/>
              </w:rPr>
            </w:pPr>
            <w:hyperlink w:anchor="page5">
              <w:r>
                <w:rPr>
                  <w:rFonts w:ascii="Arial" w:cs="Arial" w:eastAsia="Arial" w:hAnsi="Arial"/>
                  <w:sz w:val="12"/>
                  <w:szCs w:val="12"/>
                  <w:color w:val="0000EE"/>
                </w:rPr>
                <w:t>F-4</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152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660" w:type="dxa"/>
            <w:vAlign w:val="bottom"/>
            <w:tcBorders>
              <w:top w:val="single" w:sz="8" w:color="0000EE"/>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6">
              <w:r>
                <w:rPr>
                  <w:rFonts w:ascii="Arial" w:cs="Arial" w:eastAsia="Arial" w:hAnsi="Arial"/>
                  <w:sz w:val="12"/>
                  <w:szCs w:val="12"/>
                  <w:color w:val="0000EE"/>
                </w:rPr>
                <w:t>Consolidated Statements of Cash Flows for the Three months Ended March 31, 2021 and 2020</w:t>
              </w:r>
            </w:hyperlink>
          </w:p>
        </w:tc>
        <w:tc>
          <w:tcPr>
            <w:tcW w:w="19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7" w:lineRule="exact"/>
              <w:rPr>
                <w:rFonts w:ascii="Arial" w:cs="Arial" w:eastAsia="Arial" w:hAnsi="Arial"/>
                <w:sz w:val="12"/>
                <w:szCs w:val="12"/>
                <w:color w:val="0000EE"/>
              </w:rPr>
            </w:pPr>
            <w:hyperlink w:anchor="page6">
              <w:r>
                <w:rPr>
                  <w:rFonts w:ascii="Arial" w:cs="Arial" w:eastAsia="Arial" w:hAnsi="Arial"/>
                  <w:sz w:val="12"/>
                  <w:szCs w:val="12"/>
                  <w:color w:val="0000EE"/>
                </w:rPr>
                <w:t>F-5</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152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Notes to Consolidated Financial Statements</w:t>
              </w:r>
            </w:hyperlink>
          </w:p>
        </w:tc>
        <w:tc>
          <w:tcPr>
            <w:tcW w:w="19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F-6</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15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20" w:type="dxa"/>
            <w:vAlign w:val="bottom"/>
            <w:gridSpan w:val="3"/>
            <w:shd w:val="clear" w:color="auto" w:fill="CCEEFF"/>
          </w:tcPr>
          <w:p>
            <w:pPr>
              <w:spacing w:after="0" w:line="117" w:lineRule="exact"/>
              <w:rPr>
                <w:rFonts w:ascii="Arial" w:cs="Arial" w:eastAsia="Arial" w:hAnsi="Arial"/>
                <w:sz w:val="12"/>
                <w:szCs w:val="12"/>
                <w:color w:val="0000EE"/>
              </w:rPr>
            </w:pPr>
            <w:hyperlink w:anchor="page22">
              <w:r>
                <w:rPr>
                  <w:rFonts w:ascii="Arial" w:cs="Arial" w:eastAsia="Arial" w:hAnsi="Arial"/>
                  <w:sz w:val="12"/>
                  <w:szCs w:val="12"/>
                  <w:color w:val="0000EE"/>
                </w:rPr>
                <w:t>Item 2.</w:t>
              </w:r>
            </w:hyperlink>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22">
              <w:r>
                <w:rPr>
                  <w:rFonts w:ascii="Arial" w:cs="Arial" w:eastAsia="Arial" w:hAnsi="Arial"/>
                  <w:sz w:val="12"/>
                  <w:szCs w:val="12"/>
                  <w:color w:val="0000EE"/>
                </w:rPr>
                <w:t>Management's Discussion and Analysis of Financial Condition and Results of Operations</w:t>
              </w:r>
            </w:hyperlink>
          </w:p>
        </w:tc>
        <w:tc>
          <w:tcPr>
            <w:tcW w:w="2200" w:type="dxa"/>
            <w:vAlign w:val="bottom"/>
            <w:gridSpan w:val="3"/>
            <w:shd w:val="clear" w:color="auto" w:fill="CCEEFF"/>
          </w:tcPr>
          <w:p>
            <w:pPr>
              <w:jc w:val="right"/>
              <w:spacing w:after="0" w:line="117" w:lineRule="exact"/>
              <w:rPr>
                <w:rFonts w:ascii="Arial" w:cs="Arial" w:eastAsia="Arial" w:hAnsi="Arial"/>
                <w:sz w:val="12"/>
                <w:szCs w:val="12"/>
                <w:color w:val="0000EE"/>
              </w:rPr>
            </w:pPr>
            <w:hyperlink w:anchor="page22">
              <w:r>
                <w:rPr>
                  <w:rFonts w:ascii="Arial" w:cs="Arial" w:eastAsia="Arial" w:hAnsi="Arial"/>
                  <w:sz w:val="12"/>
                  <w:szCs w:val="12"/>
                  <w:color w:val="0000EE"/>
                </w:rPr>
                <w:t>F-21</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152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20" w:type="dxa"/>
            <w:vAlign w:val="bottom"/>
            <w:gridSpan w:val="3"/>
            <w:shd w:val="clear" w:color="auto" w:fill="CCEEFF"/>
          </w:tcPr>
          <w:p>
            <w:pPr>
              <w:spacing w:after="0" w:line="117" w:lineRule="exact"/>
              <w:rPr>
                <w:rFonts w:ascii="Arial" w:cs="Arial" w:eastAsia="Arial" w:hAnsi="Arial"/>
                <w:sz w:val="12"/>
                <w:szCs w:val="12"/>
                <w:color w:val="0000EE"/>
              </w:rPr>
            </w:pPr>
            <w:hyperlink w:anchor="page39">
              <w:r>
                <w:rPr>
                  <w:rFonts w:ascii="Arial" w:cs="Arial" w:eastAsia="Arial" w:hAnsi="Arial"/>
                  <w:sz w:val="12"/>
                  <w:szCs w:val="12"/>
                  <w:color w:val="0000EE"/>
                </w:rPr>
                <w:t>Item 4.</w:t>
              </w:r>
            </w:hyperlink>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39">
              <w:r>
                <w:rPr>
                  <w:rFonts w:ascii="Arial" w:cs="Arial" w:eastAsia="Arial" w:hAnsi="Arial"/>
                  <w:sz w:val="12"/>
                  <w:szCs w:val="12"/>
                  <w:color w:val="0000EE"/>
                </w:rPr>
                <w:t>Controls and Procedures</w:t>
              </w:r>
            </w:hyperlink>
          </w:p>
        </w:tc>
        <w:tc>
          <w:tcPr>
            <w:tcW w:w="2200" w:type="dxa"/>
            <w:vAlign w:val="bottom"/>
            <w:gridSpan w:val="3"/>
            <w:shd w:val="clear" w:color="auto" w:fill="CCEEFF"/>
          </w:tcPr>
          <w:p>
            <w:pPr>
              <w:jc w:val="right"/>
              <w:spacing w:after="0" w:line="117" w:lineRule="exact"/>
              <w:rPr>
                <w:rFonts w:ascii="Arial" w:cs="Arial" w:eastAsia="Arial" w:hAnsi="Arial"/>
                <w:sz w:val="12"/>
                <w:szCs w:val="12"/>
                <w:color w:val="0000EE"/>
              </w:rPr>
            </w:pPr>
            <w:hyperlink w:anchor="page39">
              <w:r>
                <w:rPr>
                  <w:rFonts w:ascii="Arial" w:cs="Arial" w:eastAsia="Arial" w:hAnsi="Arial"/>
                  <w:sz w:val="12"/>
                  <w:szCs w:val="12"/>
                  <w:color w:val="0000EE"/>
                </w:rPr>
                <w:t>F-38</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gridSpan w:val="2"/>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5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100" w:type="dxa"/>
            <w:vAlign w:val="bottom"/>
            <w:gridSpan w:val="17"/>
            <w:shd w:val="clear" w:color="auto" w:fill="CCEEFF"/>
          </w:tcPr>
          <w:p>
            <w:pPr>
              <w:spacing w:after="0" w:line="117" w:lineRule="exact"/>
              <w:rPr>
                <w:rFonts w:ascii="Arial" w:cs="Arial" w:eastAsia="Arial" w:hAnsi="Arial"/>
                <w:sz w:val="12"/>
                <w:szCs w:val="12"/>
                <w:b w:val="1"/>
                <w:bCs w:val="1"/>
                <w:color w:val="0000EE"/>
              </w:rPr>
            </w:pPr>
            <w:hyperlink w:anchor="page40">
              <w:r>
                <w:rPr>
                  <w:rFonts w:ascii="Arial" w:cs="Arial" w:eastAsia="Arial" w:hAnsi="Arial"/>
                  <w:sz w:val="12"/>
                  <w:szCs w:val="12"/>
                  <w:b w:val="1"/>
                  <w:bCs w:val="1"/>
                  <w:color w:val="0000EE"/>
                </w:rPr>
                <w:t>Part II. OTHER INFORMATION</w:t>
              </w:r>
            </w:hyperlink>
          </w:p>
        </w:tc>
        <w:tc>
          <w:tcPr>
            <w:tcW w:w="1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5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20" w:type="dxa"/>
            <w:vAlign w:val="bottom"/>
            <w:gridSpan w:val="3"/>
            <w:shd w:val="clear" w:color="auto" w:fill="CCEEFF"/>
          </w:tcPr>
          <w:p>
            <w:pPr>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Item 1.</w:t>
              </w:r>
            </w:hyperlink>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Legal Proceedings</w:t>
              </w:r>
            </w:hyperlink>
          </w:p>
        </w:tc>
        <w:tc>
          <w:tcPr>
            <w:tcW w:w="2200" w:type="dxa"/>
            <w:vAlign w:val="bottom"/>
            <w:gridSpan w:val="3"/>
            <w:shd w:val="clear" w:color="auto" w:fill="CCEEFF"/>
          </w:tcPr>
          <w:p>
            <w:pPr>
              <w:jc w:val="right"/>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F-39</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5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Item 1A.</w:t>
            </w:r>
          </w:p>
        </w:tc>
        <w:tc>
          <w:tcPr>
            <w:tcW w:w="600" w:type="dxa"/>
            <w:vAlign w:val="bottom"/>
            <w:shd w:val="clear" w:color="auto" w:fill="CCEEFF"/>
          </w:tcPr>
          <w:p>
            <w:pPr>
              <w:spacing w:after="0"/>
              <w:rPr>
                <w:sz w:val="12"/>
                <w:szCs w:val="12"/>
                <w:color w:val="auto"/>
              </w:rPr>
            </w:pPr>
          </w:p>
        </w:tc>
        <w:tc>
          <w:tcPr>
            <w:tcW w:w="7980" w:type="dxa"/>
            <w:vAlign w:val="bottom"/>
            <w:gridSpan w:val="13"/>
            <w:shd w:val="clear" w:color="auto" w:fill="CCEEFF"/>
          </w:tcPr>
          <w:p>
            <w:pPr>
              <w:ind w:left="320"/>
              <w:spacing w:after="0"/>
              <w:rPr>
                <w:sz w:val="20"/>
                <w:szCs w:val="20"/>
                <w:color w:val="auto"/>
              </w:rPr>
            </w:pPr>
            <w:r>
              <w:rPr>
                <w:rFonts w:ascii="Arial" w:cs="Arial" w:eastAsia="Arial" w:hAnsi="Arial"/>
                <w:sz w:val="12"/>
                <w:szCs w:val="12"/>
                <w:color w:val="auto"/>
              </w:rPr>
              <w:t>Risk Factors</w:t>
            </w:r>
          </w:p>
        </w:tc>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20" w:type="dxa"/>
            <w:vAlign w:val="bottom"/>
            <w:gridSpan w:val="3"/>
            <w:shd w:val="clear" w:color="auto" w:fill="CCEEFF"/>
          </w:tcPr>
          <w:p>
            <w:pPr>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Item 6.</w:t>
              </w:r>
            </w:hyperlink>
          </w:p>
        </w:tc>
        <w:tc>
          <w:tcPr>
            <w:tcW w:w="600" w:type="dxa"/>
            <w:vAlign w:val="bottom"/>
            <w:shd w:val="clear" w:color="auto" w:fill="CCEEFF"/>
          </w:tcPr>
          <w:p>
            <w:pPr>
              <w:spacing w:after="0"/>
              <w:rPr>
                <w:sz w:val="10"/>
                <w:szCs w:val="10"/>
                <w:color w:val="auto"/>
              </w:rPr>
            </w:pPr>
          </w:p>
        </w:tc>
        <w:tc>
          <w:tcPr>
            <w:tcW w:w="7980" w:type="dxa"/>
            <w:vAlign w:val="bottom"/>
            <w:gridSpan w:val="13"/>
            <w:shd w:val="clear" w:color="auto" w:fill="CCEEFF"/>
          </w:tcPr>
          <w:p>
            <w:pPr>
              <w:ind w:left="320"/>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Exhibits</w:t>
              </w:r>
            </w:hyperlink>
          </w:p>
        </w:tc>
        <w:tc>
          <w:tcPr>
            <w:tcW w:w="2200" w:type="dxa"/>
            <w:vAlign w:val="bottom"/>
            <w:gridSpan w:val="3"/>
            <w:shd w:val="clear" w:color="auto" w:fill="CCEEFF"/>
          </w:tcPr>
          <w:p>
            <w:pPr>
              <w:jc w:val="right"/>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F-39</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5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0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3"/>
              </w:rPr>
            </w:pPr>
            <w:hyperlink w:anchor="page41">
              <w:r>
                <w:rPr>
                  <w:rFonts w:ascii="Arial" w:cs="Arial" w:eastAsia="Arial" w:hAnsi="Arial"/>
                  <w:sz w:val="12"/>
                  <w:szCs w:val="12"/>
                  <w:color w:val="0000EE"/>
                  <w:w w:val="83"/>
                </w:rPr>
                <w:t>Signatures</w:t>
              </w:r>
            </w:hyperlink>
          </w:p>
        </w:tc>
        <w:tc>
          <w:tcPr>
            <w:tcW w:w="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1440" w:type="dxa"/>
            <w:vAlign w:val="bottom"/>
            <w:tcBorders>
              <w:bottom w:val="single" w:sz="8" w:color="CCEEFF"/>
            </w:tcBorders>
            <w:shd w:val="clear" w:color="auto" w:fill="CCEEFF"/>
          </w:tcPr>
          <w:p>
            <w:pPr>
              <w:spacing w:after="0"/>
              <w:rPr>
                <w:sz w:val="10"/>
                <w:szCs w:val="10"/>
                <w:color w:val="auto"/>
              </w:rPr>
            </w:pPr>
          </w:p>
        </w:tc>
        <w:tc>
          <w:tcPr>
            <w:tcW w:w="19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0000EE"/>
            </w:tcBorders>
            <w:gridSpan w:val="2"/>
            <w:shd w:val="clear" w:color="auto" w:fill="CCEEFF"/>
          </w:tcPr>
          <w:p>
            <w:pPr>
              <w:jc w:val="right"/>
              <w:spacing w:after="0" w:line="117" w:lineRule="exact"/>
              <w:rPr>
                <w:rFonts w:ascii="Arial" w:cs="Arial" w:eastAsia="Arial" w:hAnsi="Arial"/>
                <w:sz w:val="12"/>
                <w:szCs w:val="12"/>
                <w:color w:val="0000EE"/>
                <w:w w:val="88"/>
              </w:rPr>
            </w:pPr>
            <w:hyperlink w:anchor="page41">
              <w:r>
                <w:rPr>
                  <w:rFonts w:ascii="Arial" w:cs="Arial" w:eastAsia="Arial" w:hAnsi="Arial"/>
                  <w:sz w:val="12"/>
                  <w:szCs w:val="12"/>
                  <w:color w:val="0000EE"/>
                  <w:w w:val="88"/>
                </w:rPr>
                <w:t>F-40</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Unless otherwise indicated or the context otherwise requires, references to the “Company”, “registrant”,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20"/>
                <w:szCs w:val="20"/>
                <w:color w:val="auto"/>
              </w:rPr>
            </w:pPr>
            <w:r>
              <w:rPr>
                <w:rFonts w:ascii="Arial" w:cs="Arial" w:eastAsia="Arial" w:hAnsi="Arial"/>
                <w:sz w:val="12"/>
                <w:szCs w:val="12"/>
                <w:b w:val="1"/>
                <w:bCs w:val="1"/>
                <w:i w:val="1"/>
                <w:iCs w:val="1"/>
                <w:color w:val="auto"/>
              </w:rPr>
              <w:t>Item 1. Financial Statements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8480" w:type="dxa"/>
            <w:vAlign w:val="bottom"/>
          </w:tcPr>
          <w:p>
            <w:pPr>
              <w:jc w:val="center"/>
              <w:ind w:left="2760"/>
              <w:spacing w:after="0"/>
              <w:rPr>
                <w:sz w:val="20"/>
                <w:szCs w:val="20"/>
                <w:color w:val="auto"/>
              </w:rPr>
            </w:pPr>
            <w:r>
              <w:rPr>
                <w:rFonts w:ascii="Arial" w:cs="Arial" w:eastAsia="Arial" w:hAnsi="Arial"/>
                <w:sz w:val="12"/>
                <w:szCs w:val="12"/>
                <w:b w:val="1"/>
                <w:bCs w:val="1"/>
                <w:color w:val="auto"/>
              </w:rPr>
              <w:t>ACURA PHARMACEUTICALS, INC.</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8480" w:type="dxa"/>
            <w:vAlign w:val="bottom"/>
          </w:tcPr>
          <w:p>
            <w:pPr>
              <w:jc w:val="center"/>
              <w:ind w:left="2740"/>
              <w:spacing w:after="0"/>
              <w:rPr>
                <w:sz w:val="20"/>
                <w:szCs w:val="20"/>
                <w:color w:val="auto"/>
              </w:rPr>
            </w:pPr>
            <w:r>
              <w:rPr>
                <w:rFonts w:ascii="Arial" w:cs="Arial" w:eastAsia="Arial" w:hAnsi="Arial"/>
                <w:sz w:val="12"/>
                <w:szCs w:val="12"/>
                <w:b w:val="1"/>
                <w:bCs w:val="1"/>
                <w:color w:val="auto"/>
                <w:w w:val="99"/>
              </w:rPr>
              <w:t>CONSOLIDATED BALANCE SHEETS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80" w:type="dxa"/>
            <w:vAlign w:val="bottom"/>
          </w:tcPr>
          <w:p>
            <w:pPr>
              <w:jc w:val="center"/>
              <w:ind w:left="2740"/>
              <w:spacing w:after="0"/>
              <w:rPr>
                <w:sz w:val="20"/>
                <w:szCs w:val="20"/>
                <w:color w:val="auto"/>
              </w:rPr>
            </w:pPr>
            <w:r>
              <w:rPr>
                <w:rFonts w:ascii="Arial" w:cs="Arial" w:eastAsia="Arial" w:hAnsi="Arial"/>
                <w:sz w:val="12"/>
                <w:szCs w:val="12"/>
                <w:b w:val="1"/>
                <w:bCs w:val="1"/>
                <w:color w:val="auto"/>
                <w:w w:val="89"/>
              </w:rPr>
              <w:t>(Unaudited; in thousands except par value)</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8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2"/>
                <w:szCs w:val="12"/>
                <w:color w:val="auto"/>
                <w:w w:val="98"/>
              </w:rPr>
              <w:t>March 31, 2021</w:t>
            </w:r>
          </w:p>
        </w:tc>
        <w:tc>
          <w:tcPr>
            <w:tcW w:w="10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w w:val="91"/>
              </w:rPr>
              <w:t>December 31, 2020</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Cash</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361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413</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Royalty receivable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Collaboration revenue receivable from related party</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197</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License fee revenue receivable from related party</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139</w:t>
            </w:r>
          </w:p>
        </w:tc>
      </w:tr>
      <w:tr>
        <w:trPr>
          <w:trHeight w:val="133"/>
        </w:trPr>
        <w:tc>
          <w:tcPr>
            <w:tcW w:w="848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current assets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1,379</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1,179</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Arial" w:cs="Arial" w:eastAsia="Arial" w:hAnsi="Arial"/>
                <w:sz w:val="12"/>
                <w:szCs w:val="12"/>
                <w:color w:val="auto"/>
              </w:rPr>
              <w:t>Property, plant and equipment, net (Note 6)</w:t>
            </w:r>
          </w:p>
        </w:tc>
        <w:tc>
          <w:tcPr>
            <w:tcW w:w="16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473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2"/>
                <w:szCs w:val="12"/>
                <w:color w:val="auto"/>
              </w:rPr>
              <w:t>484</w:t>
            </w:r>
          </w:p>
        </w:tc>
        <w:tc>
          <w:tcPr>
            <w:tcW w:w="120" w:type="dxa"/>
            <w:vAlign w:val="bottom"/>
          </w:tcPr>
          <w:p>
            <w:pPr>
              <w:spacing w:after="0"/>
              <w:rPr>
                <w:sz w:val="11"/>
                <w:szCs w:val="11"/>
                <w:color w:val="auto"/>
              </w:rPr>
            </w:pPr>
          </w:p>
        </w:tc>
      </w:tr>
      <w:tr>
        <w:trPr>
          <w:trHeight w:val="153"/>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 net (Note 3)</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w:t>
            </w:r>
          </w:p>
        </w:tc>
      </w:tr>
      <w:tr>
        <w:trPr>
          <w:trHeight w:val="133"/>
        </w:trPr>
        <w:tc>
          <w:tcPr>
            <w:tcW w:w="8480" w:type="dxa"/>
            <w:vAlign w:val="bottom"/>
            <w:tcBorders>
              <w:bottom w:val="single" w:sz="8" w:color="CCEEFF"/>
            </w:tcBorders>
          </w:tcPr>
          <w:p>
            <w:pPr>
              <w:ind w:left="200"/>
              <w:spacing w:after="0" w:line="133" w:lineRule="exact"/>
              <w:rPr>
                <w:sz w:val="20"/>
                <w:szCs w:val="20"/>
                <w:color w:val="auto"/>
              </w:rPr>
            </w:pPr>
            <w:r>
              <w:rPr>
                <w:rFonts w:ascii="Arial" w:cs="Arial" w:eastAsia="Arial" w:hAnsi="Arial"/>
                <w:sz w:val="12"/>
                <w:szCs w:val="12"/>
                <w:color w:val="auto"/>
              </w:rPr>
              <w:t>Total assets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1,918</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1,736</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Liabilities: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Accrued expenses (Note 7)</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664</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631</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under CARES Act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164</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Other current liabilities (Note 11)</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Convertible debt to related party, net of discounts (Note 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Accrued interest to related party (Note 8)</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791</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678</w:t>
            </w:r>
          </w:p>
        </w:tc>
      </w:tr>
      <w:tr>
        <w:trPr>
          <w:trHeight w:val="133"/>
        </w:trPr>
        <w:tc>
          <w:tcPr>
            <w:tcW w:w="848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7,684</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7,522</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Borders>
              <w:bottom w:val="single" w:sz="8" w:color="CCEEFF"/>
            </w:tcBorders>
          </w:tcPr>
          <w:p>
            <w:pPr>
              <w:ind w:left="100"/>
              <w:spacing w:after="0" w:line="133" w:lineRule="exact"/>
              <w:rPr>
                <w:sz w:val="20"/>
                <w:szCs w:val="20"/>
                <w:color w:val="auto"/>
              </w:rPr>
            </w:pPr>
            <w:r>
              <w:rPr>
                <w:rFonts w:ascii="Arial" w:cs="Arial" w:eastAsia="Arial" w:hAnsi="Arial"/>
                <w:sz w:val="12"/>
                <w:szCs w:val="12"/>
                <w:color w:val="auto"/>
              </w:rPr>
              <w:t>Loans under CARES Act – noncurrent</w:t>
            </w: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371</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105</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liabilities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8,055</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7,627</w:t>
            </w:r>
          </w:p>
        </w:tc>
        <w:tc>
          <w:tcPr>
            <w:tcW w:w="120" w:type="dxa"/>
            <w:vAlign w:val="bottom"/>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Stockholders’ deficit: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8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w w:val="94"/>
              </w:rPr>
              <w:t>Common stock - $0.01 par value per share; 100,000 shares authorized, 22,105 and 21,650 shares issued and outstanding at March 31, 2021 and December 31, 2020,</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respectively</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221</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216</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383,105</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383,097</w:t>
            </w: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(389,463)</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(389,204)</w:t>
            </w:r>
          </w:p>
        </w:tc>
      </w:tr>
      <w:tr>
        <w:trPr>
          <w:trHeight w:val="133"/>
        </w:trPr>
        <w:tc>
          <w:tcPr>
            <w:tcW w:w="8480" w:type="dxa"/>
            <w:vAlign w:val="bottom"/>
            <w:tcBorders>
              <w:bottom w:val="single" w:sz="8" w:color="CCEEFF"/>
            </w:tcBorders>
          </w:tcPr>
          <w:p>
            <w:pPr>
              <w:ind w:left="200"/>
              <w:spacing w:after="0" w:line="133" w:lineRule="exact"/>
              <w:rPr>
                <w:sz w:val="20"/>
                <w:szCs w:val="20"/>
                <w:color w:val="auto"/>
              </w:rPr>
            </w:pPr>
            <w:r>
              <w:rPr>
                <w:rFonts w:ascii="Arial" w:cs="Arial" w:eastAsia="Arial" w:hAnsi="Arial"/>
                <w:sz w:val="12"/>
                <w:szCs w:val="12"/>
                <w:color w:val="auto"/>
              </w:rPr>
              <w:t>Total stockholders’ deficit</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(6,137)</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(5,891)</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8480" w:type="dxa"/>
            <w:vAlign w:val="bottom"/>
          </w:tcPr>
          <w:p>
            <w:pPr>
              <w:ind w:left="200"/>
              <w:spacing w:after="0" w:line="133" w:lineRule="exact"/>
              <w:rPr>
                <w:sz w:val="20"/>
                <w:szCs w:val="20"/>
                <w:color w:val="auto"/>
              </w:rPr>
            </w:pPr>
            <w:r>
              <w:rPr>
                <w:rFonts w:ascii="Arial" w:cs="Arial" w:eastAsia="Arial" w:hAnsi="Arial"/>
                <w:sz w:val="12"/>
                <w:szCs w:val="12"/>
                <w:color w:val="auto"/>
              </w:rPr>
              <w:t>Total liabilities and stockholders’ deficit</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1,918</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1,736</w:t>
            </w:r>
          </w:p>
        </w:tc>
        <w:tc>
          <w:tcPr>
            <w:tcW w:w="120" w:type="dxa"/>
            <w:vAlign w:val="bottom"/>
          </w:tcPr>
          <w:p>
            <w:pPr>
              <w:spacing w:after="0"/>
              <w:rPr>
                <w:sz w:val="11"/>
                <w:szCs w:val="11"/>
                <w:color w:val="auto"/>
              </w:rPr>
            </w:pPr>
          </w:p>
        </w:tc>
      </w:tr>
      <w:tr>
        <w:trPr>
          <w:trHeight w:val="277"/>
        </w:trPr>
        <w:tc>
          <w:tcPr>
            <w:tcW w:w="8480" w:type="dxa"/>
            <w:vAlign w:val="bottom"/>
          </w:tcPr>
          <w:p>
            <w:pPr>
              <w:spacing w:after="0"/>
              <w:rPr>
                <w:sz w:val="20"/>
                <w:szCs w:val="20"/>
                <w:color w:val="auto"/>
              </w:rPr>
            </w:pPr>
            <w:r>
              <w:rPr>
                <w:rFonts w:ascii="Arial" w:cs="Arial" w:eastAsia="Arial" w:hAnsi="Arial"/>
                <w:sz w:val="12"/>
                <w:szCs w:val="12"/>
                <w:color w:val="auto"/>
              </w:rPr>
              <w:t>See accompanying notes to unaudited consolidated financial statements.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480" w:type="dxa"/>
            <w:vAlign w:val="bottom"/>
            <w:tcBorders>
              <w:bottom w:val="single" w:sz="8" w:color="auto"/>
            </w:tcBorders>
          </w:tcPr>
          <w:p>
            <w:pPr>
              <w:jc w:val="center"/>
              <w:ind w:left="2740"/>
              <w:spacing w:after="0"/>
              <w:rPr>
                <w:sz w:val="20"/>
                <w:szCs w:val="20"/>
                <w:color w:val="auto"/>
              </w:rPr>
            </w:pPr>
            <w:r>
              <w:rPr>
                <w:rFonts w:ascii="Arial" w:cs="Arial" w:eastAsia="Arial" w:hAnsi="Arial"/>
                <w:sz w:val="12"/>
                <w:szCs w:val="12"/>
                <w:color w:val="auto"/>
                <w:w w:val="88"/>
              </w:rPr>
              <w:t>F-2</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gridSpan w:val="3"/>
          </w:tcPr>
          <w:p>
            <w:pPr>
              <w:jc w:val="right"/>
              <w:ind w:right="132"/>
              <w:spacing w:after="0"/>
              <w:rPr>
                <w:sz w:val="20"/>
                <w:szCs w:val="20"/>
                <w:color w:val="auto"/>
              </w:rPr>
            </w:pPr>
            <w:r>
              <w:rPr>
                <w:rFonts w:ascii="Arial" w:cs="Arial" w:eastAsia="Arial" w:hAnsi="Arial"/>
                <w:sz w:val="12"/>
                <w:szCs w:val="12"/>
                <w:color w:val="auto"/>
              </w:rPr>
              <w:t>Three months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84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2"/>
                <w:szCs w:val="12"/>
                <w:color w:val="auto"/>
                <w:w w:val="98"/>
              </w:rPr>
              <w:t>Ended March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color w:val="auto"/>
              </w:rPr>
              <w:t>2021</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2020</w:t>
            </w:r>
          </w:p>
        </w:tc>
        <w:tc>
          <w:tcPr>
            <w:tcW w:w="100" w:type="dxa"/>
            <w:vAlign w:val="bottom"/>
            <w:tcBorders>
              <w:bottom w:val="single" w:sz="8" w:color="CCEEFF"/>
            </w:tcBorders>
          </w:tcPr>
          <w:p>
            <w:pPr>
              <w:spacing w:after="0"/>
              <w:rPr>
                <w:sz w:val="12"/>
                <w:szCs w:val="12"/>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Royalties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32</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Collaboration from related party</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w:t>
            </w:r>
          </w:p>
        </w:tc>
        <w:tc>
          <w:tcPr>
            <w:tcW w:w="3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License fees from related party</w:t>
            </w:r>
          </w:p>
        </w:tc>
        <w:tc>
          <w:tcPr>
            <w:tcW w:w="8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w:t>
            </w: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1,050</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revenues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644</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1,091</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Research and development</w:t>
            </w:r>
          </w:p>
        </w:tc>
        <w:tc>
          <w:tcPr>
            <w:tcW w:w="8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405</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387</w:t>
            </w:r>
          </w:p>
        </w:tc>
        <w:tc>
          <w:tcPr>
            <w:tcW w:w="100" w:type="dxa"/>
            <w:vAlign w:val="bottom"/>
          </w:tcPr>
          <w:p>
            <w:pPr>
              <w:spacing w:after="0"/>
              <w:rPr>
                <w:sz w:val="12"/>
                <w:szCs w:val="12"/>
                <w:color w:val="auto"/>
              </w:rPr>
            </w:pP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8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385</w:t>
            </w:r>
          </w:p>
        </w:tc>
        <w:tc>
          <w:tcPr>
            <w:tcW w:w="38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1,187</w:t>
            </w:r>
          </w:p>
        </w:tc>
        <w:tc>
          <w:tcPr>
            <w:tcW w:w="100" w:type="dxa"/>
            <w:vAlign w:val="bottom"/>
            <w:shd w:val="clear" w:color="auto" w:fill="CCEEFF"/>
          </w:tcPr>
          <w:p>
            <w:pPr>
              <w:spacing w:after="0"/>
              <w:rPr>
                <w:sz w:val="13"/>
                <w:szCs w:val="13"/>
                <w:color w:val="auto"/>
              </w:rPr>
            </w:pP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operating expenses</w:t>
            </w:r>
          </w:p>
        </w:tc>
        <w:tc>
          <w:tcPr>
            <w:tcW w:w="8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790</w:t>
            </w:r>
          </w:p>
        </w:tc>
        <w:tc>
          <w:tcPr>
            <w:tcW w:w="2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1,574</w:t>
            </w:r>
          </w:p>
        </w:tc>
        <w:tc>
          <w:tcPr>
            <w:tcW w:w="10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loss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(146)</w:t>
            </w: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1"/>
                <w:szCs w:val="11"/>
                <w:color w:val="auto"/>
              </w:rPr>
            </w:pPr>
          </w:p>
        </w:tc>
      </w:tr>
      <w:tr>
        <w:trPr>
          <w:trHeight w:val="153"/>
        </w:trPr>
        <w:tc>
          <w:tcPr>
            <w:tcW w:w="8480" w:type="dxa"/>
            <w:vAlign w:val="bottom"/>
          </w:tcPr>
          <w:p>
            <w:pPr>
              <w:ind w:left="20"/>
              <w:spacing w:after="0"/>
              <w:rPr>
                <w:sz w:val="20"/>
                <w:szCs w:val="20"/>
                <w:color w:val="auto"/>
              </w:rPr>
            </w:pPr>
            <w:r>
              <w:rPr>
                <w:rFonts w:ascii="Arial" w:cs="Arial" w:eastAsia="Arial" w:hAnsi="Arial"/>
                <w:sz w:val="12"/>
                <w:szCs w:val="12"/>
                <w:color w:val="auto"/>
              </w:rPr>
              <w:t>Interest expense (Note 8)</w:t>
            </w:r>
          </w:p>
        </w:tc>
        <w:tc>
          <w:tcPr>
            <w:tcW w:w="8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(113)</w:t>
            </w:r>
          </w:p>
        </w:tc>
        <w:tc>
          <w:tcPr>
            <w:tcW w:w="3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Loss before provision for income taxes</w:t>
            </w:r>
          </w:p>
        </w:tc>
        <w:tc>
          <w:tcPr>
            <w:tcW w:w="8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(259)</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(595)</w:t>
            </w: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8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Net loss</w:t>
            </w:r>
          </w:p>
        </w:tc>
        <w:tc>
          <w:tcPr>
            <w:tcW w:w="8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(259)</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(595)</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Net loss per share (Note 13):</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Basic</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(0.01)</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(0.02)</w:t>
            </w: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Diluted</w:t>
            </w: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(0.02)</w:t>
            </w:r>
          </w:p>
        </w:tc>
      </w:tr>
      <w:tr>
        <w:trPr>
          <w:trHeight w:val="133"/>
        </w:trPr>
        <w:tc>
          <w:tcPr>
            <w:tcW w:w="8480" w:type="dxa"/>
            <w:vAlign w:val="bottom"/>
          </w:tcPr>
          <w:p>
            <w:pPr>
              <w:spacing w:after="0" w:line="133" w:lineRule="exact"/>
              <w:rPr>
                <w:sz w:val="20"/>
                <w:szCs w:val="20"/>
                <w:color w:val="auto"/>
              </w:rPr>
            </w:pPr>
            <w:r>
              <w:rPr>
                <w:rFonts w:ascii="Arial" w:cs="Arial" w:eastAsia="Arial" w:hAnsi="Arial"/>
                <w:sz w:val="12"/>
                <w:szCs w:val="12"/>
                <w:color w:val="auto"/>
              </w:rPr>
              <w:t>Weighted average number of shares outstanding:</w:t>
            </w:r>
          </w:p>
        </w:tc>
        <w:tc>
          <w:tcPr>
            <w:tcW w:w="8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Basic</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32,464</w:t>
            </w:r>
          </w:p>
        </w:tc>
        <w:tc>
          <w:tcPr>
            <w:tcW w:w="3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32,270</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Diluted</w:t>
            </w:r>
          </w:p>
        </w:tc>
        <w:tc>
          <w:tcPr>
            <w:tcW w:w="8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32,464</w:t>
            </w: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32,270</w:t>
            </w:r>
          </w:p>
        </w:tc>
        <w:tc>
          <w:tcPr>
            <w:tcW w:w="10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CHANGES IN ACCUMULATED STOCKHOLDERS' DEFICIT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280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80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00" w:type="dxa"/>
            <w:vAlign w:val="bottom"/>
            <w:shd w:val="clear" w:color="auto" w:fill="CCEEFF"/>
          </w:tcPr>
          <w:p>
            <w:pPr>
              <w:spacing w:after="0"/>
              <w:rPr>
                <w:sz w:val="12"/>
                <w:szCs w:val="12"/>
                <w:color w:val="auto"/>
              </w:rPr>
            </w:pPr>
          </w:p>
        </w:tc>
        <w:tc>
          <w:tcPr>
            <w:tcW w:w="2080" w:type="dxa"/>
            <w:vAlign w:val="bottom"/>
            <w:tcBorders>
              <w:bottom w:val="single" w:sz="8" w:color="auto"/>
            </w:tcBorders>
            <w:gridSpan w:val="3"/>
            <w:shd w:val="clear" w:color="auto" w:fill="CCEEFF"/>
          </w:tcPr>
          <w:p>
            <w:pPr>
              <w:jc w:val="right"/>
              <w:ind w:right="444"/>
              <w:spacing w:after="0"/>
              <w:rPr>
                <w:sz w:val="20"/>
                <w:szCs w:val="20"/>
                <w:color w:val="auto"/>
              </w:rPr>
            </w:pPr>
            <w:r>
              <w:rPr>
                <w:rFonts w:ascii="Arial" w:cs="Arial" w:eastAsia="Arial" w:hAnsi="Arial"/>
                <w:sz w:val="12"/>
                <w:szCs w:val="12"/>
                <w:color w:val="auto"/>
              </w:rPr>
              <w:t>Common Stock</w:t>
            </w:r>
          </w:p>
        </w:tc>
        <w:tc>
          <w:tcPr>
            <w:tcW w:w="2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color w:val="auto"/>
                <w:w w:val="94"/>
              </w:rPr>
              <w:t>Additional</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24"/>
        </w:trPr>
        <w:tc>
          <w:tcPr>
            <w:tcW w:w="5200" w:type="dxa"/>
            <w:vAlign w:val="bottom"/>
          </w:tcPr>
          <w:p>
            <w:pPr>
              <w:spacing w:after="0"/>
              <w:rPr>
                <w:sz w:val="10"/>
                <w:szCs w:val="10"/>
                <w:color w:val="auto"/>
              </w:rPr>
            </w:pPr>
          </w:p>
        </w:tc>
        <w:tc>
          <w:tcPr>
            <w:tcW w:w="1260" w:type="dxa"/>
            <w:vAlign w:val="bottom"/>
            <w:gridSpan w:val="2"/>
          </w:tcPr>
          <w:p>
            <w:pPr>
              <w:jc w:val="center"/>
              <w:ind w:right="100"/>
              <w:spacing w:after="0" w:line="124" w:lineRule="exact"/>
              <w:rPr>
                <w:sz w:val="20"/>
                <w:szCs w:val="20"/>
                <w:color w:val="auto"/>
              </w:rPr>
            </w:pPr>
            <w:r>
              <w:rPr>
                <w:rFonts w:ascii="Arial" w:cs="Arial" w:eastAsia="Arial" w:hAnsi="Arial"/>
                <w:sz w:val="12"/>
                <w:szCs w:val="12"/>
                <w:color w:val="auto"/>
                <w:w w:val="92"/>
              </w:rPr>
              <w:t>Number of</w:t>
            </w:r>
          </w:p>
        </w:tc>
        <w:tc>
          <w:tcPr>
            <w:tcW w:w="820" w:type="dxa"/>
            <w:vAlign w:val="bottom"/>
          </w:tcPr>
          <w:p>
            <w:pPr>
              <w:jc w:val="center"/>
              <w:ind w:left="264"/>
              <w:spacing w:after="0" w:line="124" w:lineRule="exact"/>
              <w:rPr>
                <w:sz w:val="20"/>
                <w:szCs w:val="20"/>
                <w:color w:val="auto"/>
              </w:rPr>
            </w:pPr>
            <w:r>
              <w:rPr>
                <w:rFonts w:ascii="Arial" w:cs="Arial" w:eastAsia="Arial" w:hAnsi="Arial"/>
                <w:sz w:val="12"/>
                <w:szCs w:val="12"/>
                <w:color w:val="auto"/>
                <w:w w:val="88"/>
              </w:rPr>
              <w:t>$0.01 Par</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4" w:lineRule="exact"/>
              <w:rPr>
                <w:sz w:val="20"/>
                <w:szCs w:val="20"/>
                <w:color w:val="auto"/>
              </w:rPr>
            </w:pPr>
            <w:r>
              <w:rPr>
                <w:rFonts w:ascii="Arial" w:cs="Arial" w:eastAsia="Arial" w:hAnsi="Arial"/>
                <w:sz w:val="12"/>
                <w:szCs w:val="12"/>
                <w:color w:val="auto"/>
                <w:w w:val="90"/>
              </w:rPr>
              <w:t>Paid-in</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92"/>
              </w:rPr>
              <w:t>Accumulated</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52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left="284"/>
              <w:spacing w:after="0"/>
              <w:rPr>
                <w:sz w:val="20"/>
                <w:szCs w:val="20"/>
                <w:color w:val="auto"/>
              </w:rPr>
            </w:pPr>
            <w:r>
              <w:rPr>
                <w:rFonts w:ascii="Arial" w:cs="Arial" w:eastAsia="Arial" w:hAnsi="Arial"/>
                <w:sz w:val="12"/>
                <w:szCs w:val="12"/>
                <w:color w:val="auto"/>
                <w:w w:val="91"/>
              </w:rPr>
              <w:t>Value</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Capital</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2"/>
                <w:szCs w:val="12"/>
                <w:color w:val="auto"/>
              </w:rPr>
              <w:t>Total</w:t>
            </w: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2021</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21,650</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216</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383,097</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(389,204)</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(5,891)</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2"/>
                <w:szCs w:val="12"/>
                <w:color w:val="auto"/>
              </w:rPr>
              <w:t>Net loss</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(259)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(259)</w:t>
            </w:r>
          </w:p>
        </w:tc>
        <w:tc>
          <w:tcPr>
            <w:tcW w:w="120" w:type="dxa"/>
            <w:vAlign w:val="bottom"/>
          </w:tcPr>
          <w:p>
            <w:pPr>
              <w:spacing w:after="0"/>
              <w:rPr>
                <w:sz w:val="11"/>
                <w:szCs w:val="11"/>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Net distribution of common stock pursuant to restricted stock unit award plan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405</w:t>
            </w:r>
          </w:p>
        </w:tc>
        <w:tc>
          <w:tcPr>
            <w:tcW w:w="8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w:t>
            </w:r>
          </w:p>
        </w:tc>
      </w:tr>
      <w:tr>
        <w:trPr>
          <w:trHeight w:val="153"/>
        </w:trPr>
        <w:tc>
          <w:tcPr>
            <w:tcW w:w="5200" w:type="dxa"/>
            <w:vAlign w:val="bottom"/>
          </w:tcPr>
          <w:p>
            <w:pPr>
              <w:spacing w:after="0"/>
              <w:rPr>
                <w:sz w:val="20"/>
                <w:szCs w:val="20"/>
                <w:color w:val="auto"/>
              </w:rPr>
            </w:pPr>
            <w:r>
              <w:rPr>
                <w:rFonts w:ascii="Arial" w:cs="Arial" w:eastAsia="Arial" w:hAnsi="Arial"/>
                <w:sz w:val="12"/>
                <w:szCs w:val="12"/>
                <w:color w:val="auto"/>
              </w:rPr>
              <w:t>Exercise of stock options</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50</w:t>
            </w:r>
          </w:p>
        </w:tc>
        <w:tc>
          <w:tcPr>
            <w:tcW w:w="82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March 31, 2021</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22,105</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221</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383,105</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(389,463)</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(6,137)</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200" w:type="dxa"/>
            <w:vAlign w:val="bottom"/>
          </w:tcPr>
          <w:p>
            <w:pPr>
              <w:spacing w:after="0"/>
              <w:rPr>
                <w:sz w:val="11"/>
                <w:szCs w:val="11"/>
                <w:color w:val="auto"/>
              </w:rPr>
            </w:pPr>
          </w:p>
        </w:tc>
        <w:tc>
          <w:tcPr>
            <w:tcW w:w="208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5200" w:type="dxa"/>
            <w:vAlign w:val="bottom"/>
            <w:shd w:val="clear" w:color="auto" w:fill="CCEEFF"/>
          </w:tcPr>
          <w:p>
            <w:pPr>
              <w:spacing w:after="0"/>
              <w:rPr>
                <w:sz w:val="13"/>
                <w:szCs w:val="13"/>
                <w:color w:val="auto"/>
              </w:rPr>
            </w:pPr>
          </w:p>
        </w:tc>
        <w:tc>
          <w:tcPr>
            <w:tcW w:w="2080" w:type="dxa"/>
            <w:vAlign w:val="bottom"/>
            <w:tcBorders>
              <w:bottom w:val="single" w:sz="8" w:color="auto"/>
            </w:tcBorders>
            <w:gridSpan w:val="3"/>
            <w:shd w:val="clear" w:color="auto" w:fill="CCEEFF"/>
          </w:tcPr>
          <w:p>
            <w:pPr>
              <w:jc w:val="right"/>
              <w:ind w:right="444"/>
              <w:spacing w:after="0"/>
              <w:rPr>
                <w:sz w:val="20"/>
                <w:szCs w:val="20"/>
                <w:color w:val="auto"/>
              </w:rPr>
            </w:pPr>
            <w:r>
              <w:rPr>
                <w:rFonts w:ascii="Arial" w:cs="Arial" w:eastAsia="Arial" w:hAnsi="Arial"/>
                <w:sz w:val="12"/>
                <w:szCs w:val="12"/>
                <w:color w:val="auto"/>
              </w:rPr>
              <w:t>Common Stock</w:t>
            </w:r>
          </w:p>
        </w:tc>
        <w:tc>
          <w:tcPr>
            <w:tcW w:w="20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color w:val="auto"/>
                <w:w w:val="94"/>
              </w:rPr>
              <w:t>Additional</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24"/>
        </w:trPr>
        <w:tc>
          <w:tcPr>
            <w:tcW w:w="5200" w:type="dxa"/>
            <w:vAlign w:val="bottom"/>
          </w:tcPr>
          <w:p>
            <w:pPr>
              <w:spacing w:after="0"/>
              <w:rPr>
                <w:sz w:val="10"/>
                <w:szCs w:val="10"/>
                <w:color w:val="auto"/>
              </w:rPr>
            </w:pPr>
          </w:p>
        </w:tc>
        <w:tc>
          <w:tcPr>
            <w:tcW w:w="1260" w:type="dxa"/>
            <w:vAlign w:val="bottom"/>
            <w:gridSpan w:val="2"/>
          </w:tcPr>
          <w:p>
            <w:pPr>
              <w:jc w:val="center"/>
              <w:ind w:right="100"/>
              <w:spacing w:after="0" w:line="124" w:lineRule="exact"/>
              <w:rPr>
                <w:sz w:val="20"/>
                <w:szCs w:val="20"/>
                <w:color w:val="auto"/>
              </w:rPr>
            </w:pPr>
            <w:r>
              <w:rPr>
                <w:rFonts w:ascii="Arial" w:cs="Arial" w:eastAsia="Arial" w:hAnsi="Arial"/>
                <w:sz w:val="12"/>
                <w:szCs w:val="12"/>
                <w:color w:val="auto"/>
                <w:w w:val="92"/>
              </w:rPr>
              <w:t>Number of</w:t>
            </w:r>
          </w:p>
        </w:tc>
        <w:tc>
          <w:tcPr>
            <w:tcW w:w="820" w:type="dxa"/>
            <w:vAlign w:val="bottom"/>
          </w:tcPr>
          <w:p>
            <w:pPr>
              <w:jc w:val="center"/>
              <w:ind w:left="264"/>
              <w:spacing w:after="0" w:line="124" w:lineRule="exact"/>
              <w:rPr>
                <w:sz w:val="20"/>
                <w:szCs w:val="20"/>
                <w:color w:val="auto"/>
              </w:rPr>
            </w:pPr>
            <w:r>
              <w:rPr>
                <w:rFonts w:ascii="Arial" w:cs="Arial" w:eastAsia="Arial" w:hAnsi="Arial"/>
                <w:sz w:val="12"/>
                <w:szCs w:val="12"/>
                <w:color w:val="auto"/>
                <w:w w:val="88"/>
              </w:rPr>
              <w:t>$0.01 Par</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4" w:lineRule="exact"/>
              <w:rPr>
                <w:sz w:val="20"/>
                <w:szCs w:val="20"/>
                <w:color w:val="auto"/>
              </w:rPr>
            </w:pPr>
            <w:r>
              <w:rPr>
                <w:rFonts w:ascii="Arial" w:cs="Arial" w:eastAsia="Arial" w:hAnsi="Arial"/>
                <w:sz w:val="12"/>
                <w:szCs w:val="12"/>
                <w:color w:val="auto"/>
                <w:w w:val="90"/>
              </w:rPr>
              <w:t>Paid-in</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92"/>
              </w:rPr>
              <w:t>Accumulated</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52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left="284"/>
              <w:spacing w:after="0"/>
              <w:rPr>
                <w:sz w:val="20"/>
                <w:szCs w:val="20"/>
                <w:color w:val="auto"/>
              </w:rPr>
            </w:pPr>
            <w:r>
              <w:rPr>
                <w:rFonts w:ascii="Arial" w:cs="Arial" w:eastAsia="Arial" w:hAnsi="Arial"/>
                <w:sz w:val="12"/>
                <w:szCs w:val="12"/>
                <w:color w:val="auto"/>
                <w:w w:val="91"/>
              </w:rPr>
              <w:t>Value</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Capital</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2"/>
                <w:szCs w:val="12"/>
                <w:color w:val="auto"/>
              </w:rPr>
              <w:t>Total</w:t>
            </w: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2020</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21,300</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213</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383,042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(387,996)</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(4,741)</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2"/>
                <w:szCs w:val="12"/>
                <w:color w:val="auto"/>
              </w:rPr>
              <w:t>Net loss</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(595)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(595)</w:t>
            </w:r>
          </w:p>
        </w:tc>
        <w:tc>
          <w:tcPr>
            <w:tcW w:w="120" w:type="dxa"/>
            <w:vAlign w:val="bottom"/>
          </w:tcPr>
          <w:p>
            <w:pPr>
              <w:spacing w:after="0"/>
              <w:rPr>
                <w:sz w:val="11"/>
                <w:szCs w:val="11"/>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Non-cash share-based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w:t>
            </w:r>
          </w:p>
        </w:tc>
      </w:tr>
      <w:tr>
        <w:trPr>
          <w:trHeight w:val="153"/>
        </w:trPr>
        <w:tc>
          <w:tcPr>
            <w:tcW w:w="5200" w:type="dxa"/>
            <w:vAlign w:val="bottom"/>
          </w:tcPr>
          <w:p>
            <w:pPr>
              <w:spacing w:after="0"/>
              <w:rPr>
                <w:sz w:val="20"/>
                <w:szCs w:val="20"/>
                <w:color w:val="auto"/>
              </w:rPr>
            </w:pPr>
            <w:r>
              <w:rPr>
                <w:rFonts w:ascii="Arial" w:cs="Arial" w:eastAsia="Arial" w:hAnsi="Arial"/>
                <w:sz w:val="12"/>
                <w:szCs w:val="12"/>
                <w:color w:val="auto"/>
              </w:rPr>
              <w:t>Net distribution of common stock pursuant to restricted stock unit award plan</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350</w:t>
            </w:r>
          </w:p>
        </w:tc>
        <w:tc>
          <w:tcPr>
            <w:tcW w:w="82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19</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22</w:t>
            </w: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March 31, 2020</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21,650</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216</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383,070</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(388,591)</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(5,305)</w:t>
            </w:r>
          </w:p>
        </w:tc>
        <w:tc>
          <w:tcPr>
            <w:tcW w:w="12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-770890</wp:posOffset>
            </wp:positionV>
            <wp:extent cx="7178040" cy="285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285750"/>
                    </a:xfrm>
                    <a:prstGeom prst="rect">
                      <a:avLst/>
                    </a:prstGeom>
                    <a:noFill/>
                  </pic:spPr>
                </pic:pic>
              </a:graphicData>
            </a:graphic>
          </wp:anchor>
        </w:drawing>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2"/>
                <w:szCs w:val="12"/>
                <w:color w:val="auto"/>
                <w:w w:val="92"/>
              </w:rPr>
              <w:t>Three months 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0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2"/>
                <w:szCs w:val="12"/>
                <w:color w:val="auto"/>
              </w:rPr>
              <w:t>March 31,</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040" w:type="dxa"/>
            <w:vAlign w:val="bottom"/>
          </w:tcPr>
          <w:p>
            <w:pPr>
              <w:spacing w:after="0"/>
              <w:rPr>
                <w:sz w:val="12"/>
                <w:szCs w:val="12"/>
                <w:color w:val="auto"/>
              </w:rPr>
            </w:pPr>
          </w:p>
        </w:tc>
        <w:tc>
          <w:tcPr>
            <w:tcW w:w="5240" w:type="dxa"/>
            <w:vAlign w:val="bottom"/>
            <w:gridSpan w:val="2"/>
          </w:tcPr>
          <w:p>
            <w:pPr>
              <w:jc w:val="right"/>
              <w:ind w:right="12"/>
              <w:spacing w:after="0"/>
              <w:rPr>
                <w:sz w:val="20"/>
                <w:szCs w:val="20"/>
                <w:color w:val="auto"/>
              </w:rPr>
            </w:pPr>
            <w:r>
              <w:rPr>
                <w:rFonts w:ascii="Arial" w:cs="Arial" w:eastAsia="Arial" w:hAnsi="Arial"/>
                <w:sz w:val="12"/>
                <w:szCs w:val="12"/>
                <w:color w:val="auto"/>
              </w:rPr>
              <w:t>2021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420"/>
              <w:spacing w:after="0"/>
              <w:rPr>
                <w:sz w:val="20"/>
                <w:szCs w:val="20"/>
                <w:color w:val="auto"/>
              </w:rPr>
            </w:pPr>
            <w:r>
              <w:rPr>
                <w:rFonts w:ascii="Arial" w:cs="Arial" w:eastAsia="Arial" w:hAnsi="Arial"/>
                <w:sz w:val="12"/>
                <w:szCs w:val="12"/>
                <w:color w:val="auto"/>
              </w:rPr>
              <w:t>2020</w:t>
            </w:r>
          </w:p>
        </w:tc>
        <w:tc>
          <w:tcPr>
            <w:tcW w:w="120" w:type="dxa"/>
            <w:vAlign w:val="bottom"/>
          </w:tcPr>
          <w:p>
            <w:pPr>
              <w:spacing w:after="0"/>
              <w:rPr>
                <w:sz w:val="12"/>
                <w:szCs w:val="12"/>
                <w:color w:val="auto"/>
              </w:rPr>
            </w:pPr>
          </w:p>
        </w:tc>
      </w:tr>
      <w:tr>
        <w:trPr>
          <w:trHeight w:val="133"/>
        </w:trPr>
        <w:tc>
          <w:tcPr>
            <w:tcW w:w="4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44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040" w:type="dxa"/>
            <w:vAlign w:val="bottom"/>
          </w:tcPr>
          <w:p>
            <w:pPr>
              <w:ind w:left="100"/>
              <w:spacing w:after="0"/>
              <w:rPr>
                <w:sz w:val="20"/>
                <w:szCs w:val="20"/>
                <w:color w:val="auto"/>
              </w:rPr>
            </w:pPr>
            <w:r>
              <w:rPr>
                <w:rFonts w:ascii="Arial" w:cs="Arial" w:eastAsia="Arial" w:hAnsi="Arial"/>
                <w:sz w:val="12"/>
                <w:szCs w:val="12"/>
                <w:color w:val="auto"/>
              </w:rPr>
              <w:t>Net loss</w:t>
            </w:r>
          </w:p>
        </w:tc>
        <w:tc>
          <w:tcPr>
            <w:tcW w:w="524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(259)</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(595)</w:t>
            </w:r>
          </w:p>
        </w:tc>
      </w:tr>
      <w:tr>
        <w:trPr>
          <w:trHeight w:val="144"/>
        </w:trPr>
        <w:tc>
          <w:tcPr>
            <w:tcW w:w="92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Adjustments to reconcile net loss to net cash (used in) provided by operating activities:</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rPr>
              <w:t>Depreciation</w:t>
            </w: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11</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w:t>
            </w: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Non-cash share-based compensation</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w:t>
            </w: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rPr>
              <w:t>Amortization of intangible asset</w:t>
            </w: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Impairment charge on intangible asset</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668</w:t>
            </w:r>
          </w:p>
        </w:tc>
      </w:tr>
      <w:tr>
        <w:trPr>
          <w:trHeight w:val="144"/>
        </w:trPr>
        <w:tc>
          <w:tcPr>
            <w:tcW w:w="4040" w:type="dxa"/>
            <w:vAlign w:val="bottom"/>
          </w:tcPr>
          <w:p>
            <w:pPr>
              <w:ind w:left="100"/>
              <w:spacing w:after="0"/>
              <w:rPr>
                <w:sz w:val="20"/>
                <w:szCs w:val="20"/>
                <w:color w:val="auto"/>
              </w:rPr>
            </w:pPr>
            <w:r>
              <w:rPr>
                <w:rFonts w:ascii="Arial" w:cs="Arial" w:eastAsia="Arial" w:hAnsi="Arial"/>
                <w:sz w:val="12"/>
                <w:szCs w:val="12"/>
                <w:color w:val="auto"/>
              </w:rPr>
              <w:t>Changes in assets and liabilities:</w:t>
            </w: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Royalty receivable</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w:t>
            </w:r>
          </w:p>
        </w:tc>
      </w:tr>
      <w:tr>
        <w:trPr>
          <w:trHeight w:val="144"/>
        </w:trPr>
        <w:tc>
          <w:tcPr>
            <w:tcW w:w="4040" w:type="dxa"/>
            <w:vAlign w:val="bottom"/>
          </w:tcPr>
          <w:p>
            <w:pPr>
              <w:ind w:left="320"/>
              <w:spacing w:after="0"/>
              <w:rPr>
                <w:sz w:val="20"/>
                <w:szCs w:val="20"/>
                <w:color w:val="auto"/>
              </w:rPr>
            </w:pPr>
            <w:r>
              <w:rPr>
                <w:rFonts w:ascii="Arial" w:cs="Arial" w:eastAsia="Arial" w:hAnsi="Arial"/>
                <w:sz w:val="12"/>
                <w:szCs w:val="12"/>
                <w:color w:val="auto"/>
              </w:rPr>
              <w:t>Collaboration revenue receivable from related party</w:t>
            </w: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93</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73</w:t>
            </w: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License fee receivable from related party</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(400)</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4040" w:type="dxa"/>
            <w:vAlign w:val="bottom"/>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55</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47</w:t>
            </w: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Accounts payable</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w:t>
            </w:r>
          </w:p>
        </w:tc>
      </w:tr>
      <w:tr>
        <w:trPr>
          <w:trHeight w:val="144"/>
        </w:trPr>
        <w:tc>
          <w:tcPr>
            <w:tcW w:w="4040" w:type="dxa"/>
            <w:vAlign w:val="bottom"/>
          </w:tcPr>
          <w:p>
            <w:pPr>
              <w:ind w:left="320"/>
              <w:spacing w:after="0"/>
              <w:rPr>
                <w:sz w:val="20"/>
                <w:szCs w:val="20"/>
                <w:color w:val="auto"/>
              </w:rPr>
            </w:pPr>
            <w:r>
              <w:rPr>
                <w:rFonts w:ascii="Arial" w:cs="Arial" w:eastAsia="Arial" w:hAnsi="Arial"/>
                <w:sz w:val="12"/>
                <w:szCs w:val="12"/>
                <w:color w:val="auto"/>
              </w:rPr>
              <w:t>Accrued expenses</w:t>
            </w: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33</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46</w:t>
            </w: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Accrued interest on related party loans</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112</w:t>
            </w:r>
          </w:p>
        </w:tc>
      </w:tr>
      <w:tr>
        <w:trPr>
          <w:trHeight w:val="153"/>
        </w:trPr>
        <w:tc>
          <w:tcPr>
            <w:tcW w:w="4040" w:type="dxa"/>
            <w:vAlign w:val="bottom"/>
          </w:tcPr>
          <w:p>
            <w:pPr>
              <w:ind w:left="320"/>
              <w:spacing w:after="0"/>
              <w:rPr>
                <w:sz w:val="20"/>
                <w:szCs w:val="20"/>
                <w:color w:val="auto"/>
              </w:rPr>
            </w:pPr>
            <w:r>
              <w:rPr>
                <w:rFonts w:ascii="Arial" w:cs="Arial" w:eastAsia="Arial" w:hAnsi="Arial"/>
                <w:sz w:val="12"/>
                <w:szCs w:val="12"/>
                <w:color w:val="auto"/>
              </w:rPr>
              <w:t>Other current liabilities</w:t>
            </w:r>
          </w:p>
        </w:tc>
        <w:tc>
          <w:tcPr>
            <w:tcW w:w="4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r>
      <w:tr>
        <w:trPr>
          <w:trHeight w:val="133"/>
        </w:trPr>
        <w:tc>
          <w:tcPr>
            <w:tcW w:w="4040" w:type="dxa"/>
            <w:vAlign w:val="bottom"/>
            <w:tcBorders>
              <w:top w:val="single" w:sz="8" w:color="CCEEFF"/>
            </w:tcBorders>
            <w:shd w:val="clear" w:color="auto" w:fill="CCEEFF"/>
          </w:tcPr>
          <w:p>
            <w:pPr>
              <w:ind w:left="420"/>
              <w:spacing w:after="0" w:line="133" w:lineRule="exact"/>
              <w:rPr>
                <w:sz w:val="20"/>
                <w:szCs w:val="20"/>
                <w:color w:val="auto"/>
              </w:rPr>
            </w:pPr>
            <w:r>
              <w:rPr>
                <w:rFonts w:ascii="Arial" w:cs="Arial" w:eastAsia="Arial" w:hAnsi="Arial"/>
                <w:sz w:val="12"/>
                <w:szCs w:val="12"/>
                <w:color w:val="auto"/>
              </w:rPr>
              <w:t>Net cash (used in) provided by operating activities</w:t>
            </w:r>
          </w:p>
        </w:tc>
        <w:tc>
          <w:tcPr>
            <w:tcW w:w="44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(313)</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347</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040" w:type="dxa"/>
            <w:vAlign w:val="bottom"/>
          </w:tcPr>
          <w:p>
            <w:pPr>
              <w:spacing w:after="0" w:line="133" w:lineRule="exact"/>
              <w:rPr>
                <w:sz w:val="20"/>
                <w:szCs w:val="20"/>
                <w:color w:val="auto"/>
              </w:rPr>
            </w:pPr>
            <w:r>
              <w:rPr>
                <w:rFonts w:ascii="Arial" w:cs="Arial" w:eastAsia="Arial" w:hAnsi="Arial"/>
                <w:sz w:val="12"/>
                <w:szCs w:val="12"/>
                <w:color w:val="auto"/>
              </w:rPr>
              <w:t>Cash Flows from Financing Activities:</w:t>
            </w:r>
          </w:p>
        </w:tc>
        <w:tc>
          <w:tcPr>
            <w:tcW w:w="4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Proceeds from distribution of restricted stock units</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w w:val="92"/>
              </w:rPr>
              <w:t>Statutory minimum payroll withholding taxes paid on the distribution of shares</w:t>
            </w:r>
          </w:p>
        </w:tc>
        <w:tc>
          <w:tcPr>
            <w:tcW w:w="5240" w:type="dxa"/>
            <w:vAlign w:val="bottom"/>
            <w:gridSpan w:val="2"/>
          </w:tcPr>
          <w:p>
            <w:pPr>
              <w:jc w:val="right"/>
              <w:ind w:right="3812"/>
              <w:spacing w:after="0"/>
              <w:rPr>
                <w:sz w:val="20"/>
                <w:szCs w:val="20"/>
                <w:color w:val="auto"/>
              </w:rPr>
            </w:pPr>
            <w:r>
              <w:rPr>
                <w:rFonts w:ascii="Arial" w:cs="Arial" w:eastAsia="Arial" w:hAnsi="Arial"/>
                <w:sz w:val="12"/>
                <w:szCs w:val="12"/>
                <w:color w:val="auto"/>
                <w:w w:val="90"/>
              </w:rPr>
              <w:t>pursuant to RSU award plan</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(8)</w:t>
            </w:r>
          </w:p>
        </w:tc>
        <w:tc>
          <w:tcPr>
            <w:tcW w:w="4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r>
      <w:tr>
        <w:trPr>
          <w:trHeight w:val="153"/>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Proceeds from loan under CARES Act</w:t>
            </w:r>
          </w:p>
        </w:tc>
        <w:tc>
          <w:tcPr>
            <w:tcW w:w="4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266</w:t>
            </w:r>
          </w:p>
        </w:tc>
        <w:tc>
          <w:tcPr>
            <w:tcW w:w="4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3"/>
        </w:trPr>
        <w:tc>
          <w:tcPr>
            <w:tcW w:w="4040" w:type="dxa"/>
            <w:vAlign w:val="bottom"/>
            <w:tcBorders>
              <w:bottom w:val="single" w:sz="8" w:color="CCEEFF"/>
            </w:tcBorders>
          </w:tcPr>
          <w:p>
            <w:pPr>
              <w:ind w:left="420"/>
              <w:spacing w:after="0" w:line="133" w:lineRule="exact"/>
              <w:rPr>
                <w:sz w:val="20"/>
                <w:szCs w:val="20"/>
                <w:color w:val="auto"/>
              </w:rPr>
            </w:pPr>
            <w:r>
              <w:rPr>
                <w:rFonts w:ascii="Arial" w:cs="Arial" w:eastAsia="Arial" w:hAnsi="Arial"/>
                <w:sz w:val="12"/>
                <w:szCs w:val="12"/>
                <w:color w:val="auto"/>
              </w:rPr>
              <w:t>Net cash provided by financing activities</w:t>
            </w:r>
          </w:p>
        </w:tc>
        <w:tc>
          <w:tcPr>
            <w:tcW w:w="44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261</w:t>
            </w:r>
          </w:p>
        </w:tc>
        <w:tc>
          <w:tcPr>
            <w:tcW w:w="2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1"/>
                <w:szCs w:val="11"/>
                <w:color w:val="auto"/>
              </w:rPr>
            </w:pPr>
          </w:p>
        </w:tc>
      </w:tr>
      <w:tr>
        <w:trPr>
          <w:trHeight w:val="133"/>
        </w:trPr>
        <w:tc>
          <w:tcPr>
            <w:tcW w:w="4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(decrease) increase in cash</w:t>
            </w:r>
          </w:p>
        </w:tc>
        <w:tc>
          <w:tcPr>
            <w:tcW w:w="4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(52)</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348</w:t>
            </w:r>
          </w:p>
        </w:tc>
        <w:tc>
          <w:tcPr>
            <w:tcW w:w="120" w:type="dxa"/>
            <w:vAlign w:val="bottom"/>
            <w:shd w:val="clear" w:color="auto" w:fill="CCEEFF"/>
          </w:tcPr>
          <w:p>
            <w:pPr>
              <w:spacing w:after="0"/>
              <w:rPr>
                <w:sz w:val="11"/>
                <w:szCs w:val="1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2"/>
                <w:szCs w:val="12"/>
                <w:color w:val="auto"/>
              </w:rPr>
              <w:t>Cash at beginning of period</w:t>
            </w:r>
          </w:p>
        </w:tc>
        <w:tc>
          <w:tcPr>
            <w:tcW w:w="4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413</w:t>
            </w:r>
          </w:p>
        </w:tc>
        <w:tc>
          <w:tcPr>
            <w:tcW w:w="4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862</w:t>
            </w:r>
          </w:p>
        </w:tc>
      </w:tr>
      <w:tr>
        <w:trPr>
          <w:trHeight w:val="133"/>
        </w:trPr>
        <w:tc>
          <w:tcPr>
            <w:tcW w:w="4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at end of end of period</w:t>
            </w:r>
          </w:p>
        </w:tc>
        <w:tc>
          <w:tcPr>
            <w:tcW w:w="44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361</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1,210</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0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Disclosures of Cash Flow Information:</w:t>
            </w:r>
          </w:p>
        </w:tc>
        <w:tc>
          <w:tcPr>
            <w:tcW w:w="4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4040" w:type="dxa"/>
            <w:vAlign w:val="bottom"/>
          </w:tcPr>
          <w:p>
            <w:pPr>
              <w:ind w:left="100"/>
              <w:spacing w:after="0"/>
              <w:rPr>
                <w:sz w:val="20"/>
                <w:szCs w:val="20"/>
                <w:color w:val="auto"/>
              </w:rPr>
            </w:pPr>
            <w:r>
              <w:rPr>
                <w:rFonts w:ascii="Arial" w:cs="Arial" w:eastAsia="Arial" w:hAnsi="Arial"/>
                <w:sz w:val="12"/>
                <w:szCs w:val="12"/>
                <w:color w:val="auto"/>
              </w:rPr>
              <w:t>Cash interest payments on loan</w:t>
            </w:r>
          </w:p>
        </w:tc>
        <w:tc>
          <w:tcPr>
            <w:tcW w:w="524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MARCH 31, 2021 AND MARCH 31, 2020</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OPERATIONS AND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Principal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Acura Pharmaceuticals, Inc., a New York corporation, and its subsidiary (the “Company”, “Acura”, “We”, “Us” or “Our”) 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28" w:lineRule="exact"/>
        <w:rPr>
          <w:sz w:val="20"/>
          <w:szCs w:val="20"/>
          <w:color w:val="auto"/>
        </w:rPr>
      </w:pPr>
    </w:p>
    <w:p>
      <w:pPr>
        <w:jc w:val="both"/>
        <w:ind w:left="420" w:hanging="212"/>
        <w:spacing w:after="0" w:line="263" w:lineRule="auto"/>
        <w:tabs>
          <w:tab w:leader="none" w:pos="429" w:val="left"/>
        </w:tabs>
        <w:numPr>
          <w:ilvl w:val="0"/>
          <w:numId w:val="2"/>
        </w:numPr>
        <w:rPr>
          <w:rFonts w:ascii="Arial" w:cs="Arial" w:eastAsia="Arial" w:hAnsi="Arial"/>
          <w:sz w:val="12"/>
          <w:szCs w:val="12"/>
          <w:color w:val="auto"/>
        </w:rPr>
      </w:pPr>
      <w:r>
        <w:rPr>
          <w:rFonts w:ascii="Arial" w:cs="Arial" w:eastAsia="Arial" w:hAnsi="Arial"/>
          <w:sz w:val="12"/>
          <w:szCs w:val="12"/>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The exclusive commercialization rights in the United States to LTX-03 as well as to LTX-02 (oxycodone/acetaminophen) and LTX-09 (alprazolam) are licensed to Abuse Deterrent Pharma, LLC (See Note 3).</w:t>
      </w:r>
    </w:p>
    <w:p>
      <w:pPr>
        <w:spacing w:after="0" w:line="122" w:lineRule="exact"/>
        <w:rPr>
          <w:rFonts w:ascii="Arial" w:cs="Arial" w:eastAsia="Arial" w:hAnsi="Arial"/>
          <w:sz w:val="12"/>
          <w:szCs w:val="12"/>
          <w:color w:val="auto"/>
        </w:rPr>
      </w:pPr>
    </w:p>
    <w:p>
      <w:pPr>
        <w:ind w:left="420" w:hanging="212"/>
        <w:spacing w:after="0" w:line="276" w:lineRule="auto"/>
        <w:tabs>
          <w:tab w:leader="none" w:pos="384"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Aversion Technology has been licensed to Assertio Holdings Inc.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14"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 MainPointe subsequently assigned its interest in the license to Abuse Deterrent Pharma, LLC but continues to market the products.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Liquidity and Substantial Doubt in Going Concern</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March 31, 2021, we had cash of $361 thousand, working capital deficit of $6.3 million and an accumulated deficit of $389.5 million. We had a loss from operations of $146 thousand and a net loss of $259 thousand for the three months ended March 31,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June 28, 2019 we announced a License, Development and Commercialization Agreement, as amended in October 2020 (the "AD Pharma Amended Agreement"), with Abuse Deterrent Pharma, LLC (“AD Pharma”), Currently, the AD Pharma Amended Agreement required AD Pharma to pay us a monthly license payment of $350,000 for a period from inception up to April 2020 at which time the payment became $200,000 per month and continues through the earlier of July 31, 2021 or FDA’s acceptance of a New Drug Application for LTX-03, and reimburse all our outside development costs for LTX-03.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3" w:right="299" w:bottom="1440" w:gutter="0" w:footer="0" w:header="0"/>
        </w:sectPr>
      </w:pPr>
    </w:p>
    <w:bookmarkStart w:id="7" w:name="page8"/>
    <w:bookmarkEnd w:id="7"/>
    <w:p>
      <w:pPr>
        <w:jc w:val="both"/>
        <w:ind w:right="20"/>
        <w:spacing w:after="0" w:line="276" w:lineRule="auto"/>
        <w:rPr>
          <w:sz w:val="20"/>
          <w:szCs w:val="20"/>
          <w:color w:val="auto"/>
        </w:rPr>
      </w:pPr>
      <w:r>
        <w:rPr>
          <w:rFonts w:ascii="Arial" w:cs="Arial" w:eastAsia="Arial" w:hAnsi="Arial"/>
          <w:sz w:val="12"/>
          <w:szCs w:val="12"/>
          <w:color w:val="auto"/>
        </w:rPr>
        <w:t>On May 12, 2021 we received from AD Pharma, the December 2020 license fee payment of $200 thousand. AD Pharma is delinquent in remitting monthly license payments for January, 2021 thru May, 2021 which aggregates to $1.0 million and approximately $100 thousand of reimbursable LTX-03 development expenses. Failure to make these payments is an event of default under the AD Pharma Amended Agreement.</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AD Pharma Amended Agreement, requires the NDA for LTX-03 be accepted by the FDA by July 31, 2021 or AD Pharma has the option to terminate the AD Pharma Amended Agreement and take ownership of the LIMITx intellectual property. Failure to meet this date is an event of default under the Company’s $6.0 million convertible debt to AD Pharma. The AD Pharma Amended Agreement allows AD Pharma to terminate the AD Pharma Amended Agreement “for convenience”. Acura currently expects the submission and FDA acceptance of the NDA for LTX-03 to occur after July 31, 2021. Acura intends to renegotiate the NDA filing acceptance date for LTX-03, of which no assurance can be given. Pending resolution of this matter, the $6.0 million convertible debt is presented as a current liability in our financial statements.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future sources of revenue, if any, will be derived from licensing fees, milestone payments and royalties under the AD Pharma Amended Agreement, the Assertio Agreement, the MainPointe Agreement and similar agreements which we may enter into for our LIMITx products in development with other pharmaceutical company partners, for which there can be no assurance.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COVID-19</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is affecting the United States and global economies. If the outbreak continues to spread,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 There are risks that it may be more difficult to contain if the outbreak reaches a larger population or broader geography, in which case the risks described herein could be elevated significantly.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2"/>
          <w:szCs w:val="12"/>
          <w:color w:val="auto"/>
        </w:rPr>
        <w:t>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example, we had an incident during 2020 where our contract manufacturer had delayed the installation of the auxiliary manufacturing equipment needed for LTX-03 development for several weeks due to COVID-19 risk mitigation strategies implemented in New Jersey, which equipment was needed to further our NDA application submission for LTX-03.</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ultimate impact of coronavirus is highly uncertain and subject to change. The Company does not yet know the full extent of further potential delays or impacts on its business, financing</w:t>
      </w:r>
      <w:r>
        <w:rPr>
          <w:rFonts w:ascii="Arial" w:cs="Arial" w:eastAsia="Arial" w:hAnsi="Arial"/>
          <w:sz w:val="12"/>
          <w:szCs w:val="12"/>
          <w:color w:val="FF0000"/>
        </w:rPr>
        <w:t>,</w:t>
      </w:r>
      <w:r>
        <w:rPr>
          <w:rFonts w:ascii="Arial" w:cs="Arial" w:eastAsia="Arial" w:hAnsi="Arial"/>
          <w:sz w:val="12"/>
          <w:szCs w:val="12"/>
          <w:color w:val="auto"/>
        </w:rPr>
        <w:t xml:space="preserve">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RECENT ANNOUNCING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New accounting standards which have been adopted</w:t>
      </w:r>
    </w:p>
    <w:p>
      <w:pPr>
        <w:spacing w:after="0" w:line="150" w:lineRule="exact"/>
        <w:rPr>
          <w:sz w:val="20"/>
          <w:szCs w:val="20"/>
          <w:color w:val="auto"/>
        </w:rPr>
      </w:pPr>
    </w:p>
    <w:p>
      <w:pPr>
        <w:jc w:val="both"/>
        <w:ind w:right="20"/>
        <w:spacing w:after="0" w:line="340" w:lineRule="auto"/>
        <w:rPr>
          <w:sz w:val="20"/>
          <w:szCs w:val="20"/>
          <w:color w:val="auto"/>
        </w:rPr>
      </w:pPr>
      <w:r>
        <w:rPr>
          <w:rFonts w:ascii="Arial" w:cs="Arial" w:eastAsia="Arial" w:hAnsi="Arial"/>
          <w:sz w:val="10"/>
          <w:szCs w:val="10"/>
          <w:color w:val="auto"/>
        </w:rPr>
        <w:t>In December 2019, the FASB issued ASU No. 2019-12, “Income Taxes (Topic 740): Simplifying the Accounting for Income Taxes”. This new guidance includes several provisions to simplify the accounting for income taxes. The standard removes certain exceptions for recognizing deferred taxes for investments, performing intraperiod allocation, and calculating income taxes in interim periods. This standard is effective for fiscal years beginning after December 15, 2020, including interim reporting periods within those years, with early adoption permitted. The Company’s adoption of ASU No. 2019-12 did not have a impact on the financial statements and related footnote disclosures.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LICENSE AND COLLABORATION AGREEMENTS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 Pharma Agreement covering LTX-03</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June 28, 2019 we entered into a License, Development and Commercialization Agreement which was amended on October 16, 2020 (“the AD Pharma Amended Agreement”) with AD Pharma, for the development and license of LTX-03 (hydrocodone bitartrate with acetaminophen) immediate-release tablets utilizing Acura’s patented LIMITx™. Acura would receive a monthly license payment of $350 thousand by AD Pharma from inception through April 2020, at which time the monthly payments became $200 thousand thereafter until the earlier of July 31, 2021 or FDA’s acceptance of a New Drug Application (“NDA”) for LTX-03. The first license payment was received July 2, 2019. AD Pharma will reimburse all our outside development costs for LTX-03. If the NDA filing for LTX-03 is not accepted by the FDA by July 31, 2021, AD Pharma has the option to terminate the AD Pharma Amended Agreement and take ownership of the Limitx intellectual property. Should AD Pharma choose not to exercise this option to terminate and the NDA for LTX-03 is subsequently accepted by the FDA, such option expires. AD Pharma does have the right to terminate the AD Pharma Amended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2"/>
          <w:szCs w:val="12"/>
          <w:color w:val="auto"/>
        </w:rPr>
        <w:t>We had also previously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Effective with the October 2020 amendment, this option and right was rescinded.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June 28, 2019 Mr. John Schutte assigned and transferred to AD Pharma his $6.0 million convertible debt, the common stock purchase warrant for 10.0 million common shares, and the security agreement granting a security interest in all of the Company’s assets. Mr. Schutte is our largest shareholder and directly owns approximately 45.7% of our common stock (after giving effect to the exercise of remaining common stock purchase warrants he holds). Mr. Schutte controls MainPointe and is the principal investor in AD Pharma.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Assertio Agreement covering Oxaydo</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As of March 31, 2021, the remaining useful life is 2.75 years. The recoverability of the Aversion intangible asset is contingent upon future Assertio royalty revenues to us.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We have recorded amortization expense of $7 thousand and $51 thousand in each of the three months ending March 31, 2021 and 2020, respectively. Amortization of the patent for its remaining life is expected to approximate $6 thousand per quarter.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60" w:type="dxa"/>
            <w:vAlign w:val="bottom"/>
            <w:gridSpan w:val="2"/>
          </w:tcPr>
          <w:p>
            <w:pPr>
              <w:spacing w:after="0"/>
              <w:rPr>
                <w:sz w:val="20"/>
                <w:szCs w:val="20"/>
                <w:color w:val="auto"/>
              </w:rPr>
            </w:pPr>
            <w:r>
              <w:rPr>
                <w:rFonts w:ascii="Arial" w:cs="Arial" w:eastAsia="Arial" w:hAnsi="Arial"/>
                <w:sz w:val="12"/>
                <w:szCs w:val="12"/>
                <w:color w:val="auto"/>
              </w:rPr>
              <w:t>The Aversion intangible asset is summarized as follows (in thousands):</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2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March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w w:val="84"/>
              </w:rPr>
              <w:t>December 31,</w:t>
            </w:r>
          </w:p>
        </w:tc>
      </w:tr>
      <w:tr>
        <w:trPr>
          <w:trHeight w:val="153"/>
        </w:trPr>
        <w:tc>
          <w:tcPr>
            <w:tcW w:w="2260" w:type="dxa"/>
            <w:vAlign w:val="bottom"/>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2021</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2020</w:t>
            </w:r>
          </w:p>
        </w:tc>
        <w:tc>
          <w:tcPr>
            <w:tcW w:w="60" w:type="dxa"/>
            <w:vAlign w:val="bottom"/>
            <w:tcBorders>
              <w:bottom w:val="single" w:sz="8" w:color="auto"/>
            </w:tcBorders>
          </w:tcPr>
          <w:p>
            <w:pPr>
              <w:spacing w:after="0"/>
              <w:rPr>
                <w:sz w:val="13"/>
                <w:szCs w:val="13"/>
                <w:color w:val="auto"/>
              </w:rPr>
            </w:pPr>
          </w:p>
        </w:tc>
      </w:tr>
      <w:tr>
        <w:trPr>
          <w:trHeight w:val="133"/>
        </w:trPr>
        <w:tc>
          <w:tcPr>
            <w:tcW w:w="2260" w:type="dxa"/>
            <w:vAlign w:val="bottom"/>
          </w:tcPr>
          <w:p>
            <w:pPr>
              <w:spacing w:after="0"/>
              <w:rPr>
                <w:sz w:val="11"/>
                <w:szCs w:val="11"/>
                <w:color w:val="auto"/>
              </w:rPr>
            </w:pPr>
          </w:p>
        </w:tc>
        <w:tc>
          <w:tcPr>
            <w:tcW w:w="3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Intangible asset – Aversion</w:t>
            </w: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2,000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2,000</w:t>
            </w:r>
          </w:p>
        </w:tc>
        <w:tc>
          <w:tcPr>
            <w:tcW w:w="60" w:type="dxa"/>
            <w:vAlign w:val="bottom"/>
            <w:shd w:val="clear" w:color="auto" w:fill="CCEEFF"/>
          </w:tcPr>
          <w:p>
            <w:pPr>
              <w:spacing w:after="0"/>
              <w:rPr>
                <w:sz w:val="11"/>
                <w:szCs w:val="11"/>
                <w:color w:val="auto"/>
              </w:rPr>
            </w:pPr>
          </w:p>
        </w:tc>
      </w:tr>
      <w:tr>
        <w:trPr>
          <w:trHeight w:val="144"/>
        </w:trPr>
        <w:tc>
          <w:tcPr>
            <w:tcW w:w="2260" w:type="dxa"/>
            <w:vAlign w:val="bottom"/>
          </w:tcPr>
          <w:p>
            <w:pPr>
              <w:spacing w:after="0"/>
              <w:rPr>
                <w:sz w:val="12"/>
                <w:szCs w:val="12"/>
                <w:color w:val="auto"/>
              </w:rPr>
            </w:pPr>
          </w:p>
        </w:tc>
        <w:tc>
          <w:tcPr>
            <w:tcW w:w="3400" w:type="dxa"/>
            <w:vAlign w:val="bottom"/>
          </w:tcPr>
          <w:p>
            <w:pPr>
              <w:ind w:left="120"/>
              <w:spacing w:after="0"/>
              <w:rPr>
                <w:sz w:val="20"/>
                <w:szCs w:val="20"/>
                <w:color w:val="auto"/>
              </w:rPr>
            </w:pPr>
            <w:r>
              <w:rPr>
                <w:rFonts w:ascii="Arial" w:cs="Arial" w:eastAsia="Arial" w:hAnsi="Arial"/>
                <w:sz w:val="12"/>
                <w:szCs w:val="12"/>
                <w:color w:val="auto"/>
              </w:rPr>
              <w:t>Less: accumulated amortization</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(1,266)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(1,259)</w:t>
            </w:r>
          </w:p>
        </w:tc>
      </w:tr>
      <w:tr>
        <w:trPr>
          <w:trHeight w:val="153"/>
        </w:trPr>
        <w:tc>
          <w:tcPr>
            <w:tcW w:w="2260" w:type="dxa"/>
            <w:vAlign w:val="bottom"/>
          </w:tcPr>
          <w:p>
            <w:pPr>
              <w:spacing w:after="0"/>
              <w:rPr>
                <w:sz w:val="13"/>
                <w:szCs w:val="13"/>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reserve for impairment</w:t>
            </w: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(668)</w:t>
            </w:r>
          </w:p>
        </w:tc>
      </w:tr>
      <w:tr>
        <w:trPr>
          <w:trHeight w:val="133"/>
        </w:trPr>
        <w:tc>
          <w:tcPr>
            <w:tcW w:w="2260" w:type="dxa"/>
            <w:vAlign w:val="bottom"/>
          </w:tcPr>
          <w:p>
            <w:pPr>
              <w:spacing w:after="0"/>
              <w:rPr>
                <w:sz w:val="11"/>
                <w:szCs w:val="11"/>
                <w:color w:val="auto"/>
              </w:rPr>
            </w:pPr>
          </w:p>
        </w:tc>
        <w:tc>
          <w:tcPr>
            <w:tcW w:w="3400" w:type="dxa"/>
            <w:vAlign w:val="bottom"/>
          </w:tcPr>
          <w:p>
            <w:pPr>
              <w:spacing w:after="0" w:line="133" w:lineRule="exact"/>
              <w:rPr>
                <w:sz w:val="20"/>
                <w:szCs w:val="20"/>
                <w:color w:val="auto"/>
              </w:rPr>
            </w:pPr>
            <w:r>
              <w:rPr>
                <w:rFonts w:ascii="Arial" w:cs="Arial" w:eastAsia="Arial" w:hAnsi="Arial"/>
                <w:sz w:val="12"/>
                <w:szCs w:val="12"/>
                <w:color w:val="auto"/>
              </w:rPr>
              <w:t>Net</w:t>
            </w:r>
          </w:p>
        </w:tc>
        <w:tc>
          <w:tcPr>
            <w:tcW w:w="17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66</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w:t>
            </w:r>
          </w:p>
        </w:tc>
        <w:tc>
          <w:tcPr>
            <w:tcW w:w="60" w:type="dxa"/>
            <w:vAlign w:val="bottom"/>
          </w:tcPr>
          <w:p>
            <w:pPr>
              <w:spacing w:after="0"/>
              <w:rPr>
                <w:sz w:val="11"/>
                <w:szCs w:val="11"/>
                <w:color w:val="auto"/>
              </w:rPr>
            </w:pPr>
          </w:p>
        </w:tc>
      </w:tr>
    </w:tbl>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to commercialize Aversion Oxycodone under our tradename Oxaydo. Oxaydo is approved by the FDA for marketing in the United States in 5 mg and 7.5 mg strengths. Under the terms of the Assertio Agreement, we transferred the approved New Drug Application, or NDA, for Oxaydo to Assertio and Assertio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accordance with the Assertio Agreement Assertio is responsible for the fees and expenses relating to the product line extensions of Oxaydo, provided that Assertio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Assertio will bear all of the expenses of development and regulatory approval of Oxaydo for sale outside the United States. Assertio is responsible for all manufacturing and commercialization activities in the Territory for Oxaydo. Subject to certain exceptions, Assertio will have final decision making authority with respect to all development and commercialization activities for Oxaydo, including pricing, subject to our co-promotion right. Assertio may develop Oxaydo for other countries and in additional strengths, in its discretion.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 w:name="page11"/>
    <w:bookmarkEnd w:id="10"/>
    <w:p>
      <w:pPr>
        <w:jc w:val="both"/>
        <w:ind w:left="8"/>
        <w:spacing w:after="0" w:line="254" w:lineRule="auto"/>
        <w:rPr>
          <w:sz w:val="20"/>
          <w:szCs w:val="20"/>
          <w:color w:val="auto"/>
        </w:rPr>
      </w:pPr>
      <w:r>
        <w:rPr>
          <w:rFonts w:ascii="Arial" w:cs="Arial" w:eastAsia="Arial" w:hAnsi="Arial"/>
          <w:sz w:val="12"/>
          <w:szCs w:val="12"/>
          <w:color w:val="auto"/>
        </w:rPr>
        <w:t>Assertio paid us a $5.0 million license fee upon signing of the Assertio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Assertio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Assertio to acquire intellectual property rights to commercialize Oxaydo, with an aggregate minimum floor.</w:t>
      </w:r>
    </w:p>
    <w:p>
      <w:pPr>
        <w:spacing w:after="0" w:line="12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MainPointe Agreement covering Nexafed Products and assignment thereof to AD Pharma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March 2017, we and MainPointe entered into the MainPointe Agreement, pursuant to which we granted MainPointe an exclusive license to our Impede Technology to commercialize both of our Nexafed and Nexafed Sinus Pressure</w:t>
      </w:r>
    </w:p>
    <w:p>
      <w:pPr>
        <w:spacing w:after="0" w:line="38" w:lineRule="exact"/>
        <w:rPr>
          <w:sz w:val="20"/>
          <w:szCs w:val="20"/>
          <w:color w:val="auto"/>
        </w:rPr>
      </w:pPr>
    </w:p>
    <w:p>
      <w:pPr>
        <w:ind w:left="8" w:right="20" w:hanging="8"/>
        <w:spacing w:after="0" w:line="260" w:lineRule="auto"/>
        <w:tabs>
          <w:tab w:leader="none" w:pos="108" w:val="left"/>
        </w:tabs>
        <w:numPr>
          <w:ilvl w:val="0"/>
          <w:numId w:val="3"/>
        </w:numPr>
        <w:rPr>
          <w:rFonts w:ascii="Arial" w:cs="Arial" w:eastAsia="Arial" w:hAnsi="Arial"/>
          <w:sz w:val="12"/>
          <w:szCs w:val="12"/>
          <w:color w:val="auto"/>
        </w:rPr>
      </w:pPr>
      <w:r>
        <w:rPr>
          <w:rFonts w:ascii="Arial" w:cs="Arial" w:eastAsia="Arial" w:hAnsi="Arial"/>
          <w:sz w:val="12"/>
          <w:szCs w:val="12"/>
          <w:color w:val="auto"/>
        </w:rPr>
        <w:t>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2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2"/>
          <w:szCs w:val="12"/>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this option and right was rescinded.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On January 1, 2020, MainPointe assigned to AD Pharma, with Acura’s consent, all of its right, title and interest in the MainPointe Agreement between MainPointe and Acura.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KemPharm Agreement Covering Certain Opioid Prodrugs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REVENUE FROM CONTRACTS WITH CUSTOMERS</w:t>
      </w:r>
    </w:p>
    <w:p>
      <w:pPr>
        <w:spacing w:after="0" w:line="154"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March 31, 2021 or December 31,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 w:name="page13"/>
    <w:bookmarkEnd w:id="12"/>
    <w:p>
      <w:pPr>
        <w:jc w:val="both"/>
        <w:ind w:right="20"/>
        <w:spacing w:after="0" w:line="276" w:lineRule="auto"/>
        <w:rPr>
          <w:sz w:val="20"/>
          <w:szCs w:val="20"/>
          <w:color w:val="auto"/>
        </w:rPr>
      </w:pPr>
      <w:r>
        <w:rPr>
          <w:rFonts w:ascii="Arial" w:cs="Arial" w:eastAsia="Arial" w:hAnsi="Arial"/>
          <w:sz w:val="12"/>
          <w:szCs w:val="12"/>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 Price adjustments are accounted for as variable consideration. Provisions for variable consideration are based on current assumptions, executed contracts, and historical data and are provided for in the period the related revenues are recorded.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Sales-based Milestones and Royalty Revenues</w:t>
      </w:r>
    </w:p>
    <w:p>
      <w:pPr>
        <w:spacing w:after="0" w:line="15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commercial sales-based milestones and sales royalties earned under the license and collaboration for Oxaydo and sales royalties earned under the license for the Nexafed products, are recorded in the period of the related sales by Assertio and MainPointe. Payments of sales-based milestones are generally due within 30 days after the end of a calendar year. Payments of royalties are generally due within 45 days after the end of a calendar quarter.</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and Collaboration Agreement Revenues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9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On June 28, 2019 we entered into an agreement with AD Pharma which was amended in October 2020 for the development and license of LTX-03 (hydrocodone bitartrate with acetaminophen) immediate-release tablets utilizing Acura’s patented LIMITx™ providing a monthly license payment of $350 thousand from AD Pharma to us for a period from inception up to April 2020, at which time the payment became $200 thousand per month thereafter until the earlier of July 31, 2021 or FDA’s acceptance of a New Drug Application (“NDA”) for LTX-03. The Company provided a price adjustment to AD Pharma in September 2020 when it was probable that the monthly license payments were being reduced from $350 thousand to $200 thousand. AD Pharma is delinquent in remitting monthly license payments for January, 2021 thru May, 2021 which aggregates to $1.0 million and approximately $100 thousand of reimbursable LTX-03 development expenses. Failure to make these payments is an event of default under the AD Pharma Amended Agreement. AD Pharma will reimburse all our outside development costs for LTX-03.</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Sales, net of allowance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and therefore, we no longer maintain a sales return allowance liability.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i w:val="1"/>
          <w:iCs w:val="1"/>
          <w:color w:val="auto"/>
        </w:rPr>
        <w:t>Disaggregation of Total Revenues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having a product under development, LTX-03, containing its LIMITx™ technology to AD Pharma. We have recorded $0.6 million and $1.05 million of license fees for LTX-03 during the three months ended March 31, 2021 and 2020, respectively.</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January 1, 2020, MainPointe assigned to AD Pharma, with Acura’s consent, all of its right, title and interest in the MainPointe Agreement between MainPointe and Acura. All of the Company’s royalty revenues are earned from these two license agreements by the licensee’s sale of products in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Royalty revenues by licensee are summarized below:</w:t>
      </w:r>
    </w:p>
    <w:p>
      <w:pPr>
        <w:spacing w:after="0" w:line="30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2940" w:type="dxa"/>
            <w:vAlign w:val="bottom"/>
          </w:tcPr>
          <w:p>
            <w:pPr>
              <w:spacing w:after="0"/>
              <w:rPr>
                <w:sz w:val="13"/>
                <w:szCs w:val="13"/>
                <w:color w:val="auto"/>
              </w:rPr>
            </w:pPr>
          </w:p>
        </w:tc>
        <w:tc>
          <w:tcPr>
            <w:tcW w:w="3840" w:type="dxa"/>
            <w:vAlign w:val="bottom"/>
            <w:gridSpan w:val="7"/>
          </w:tcPr>
          <w:p>
            <w:pPr>
              <w:ind w:left="1880"/>
              <w:spacing w:after="0"/>
              <w:rPr>
                <w:sz w:val="20"/>
                <w:szCs w:val="20"/>
                <w:color w:val="auto"/>
              </w:rPr>
            </w:pPr>
            <w:r>
              <w:rPr>
                <w:rFonts w:ascii="Arial" w:cs="Arial" w:eastAsia="Arial" w:hAnsi="Arial"/>
                <w:sz w:val="12"/>
                <w:szCs w:val="12"/>
                <w:color w:val="auto"/>
                <w:w w:val="92"/>
              </w:rPr>
              <w:t>For the Three Months Ended March 31,</w:t>
            </w:r>
          </w:p>
        </w:tc>
      </w:tr>
      <w:tr>
        <w:trPr>
          <w:trHeight w:val="142"/>
        </w:trPr>
        <w:tc>
          <w:tcPr>
            <w:tcW w:w="2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97"/>
              </w:rPr>
              <w:t>2020</w:t>
            </w:r>
          </w:p>
        </w:tc>
        <w:tc>
          <w:tcPr>
            <w:tcW w:w="60" w:type="dxa"/>
            <w:vAlign w:val="bottom"/>
          </w:tcPr>
          <w:p>
            <w:pPr>
              <w:spacing w:after="0"/>
              <w:rPr>
                <w:sz w:val="12"/>
                <w:szCs w:val="12"/>
                <w:color w:val="auto"/>
              </w:rPr>
            </w:pPr>
          </w:p>
        </w:tc>
      </w:tr>
      <w:tr>
        <w:trPr>
          <w:trHeight w:val="151"/>
        </w:trPr>
        <w:tc>
          <w:tcPr>
            <w:tcW w:w="294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92"/>
              </w:rPr>
              <w:t>(in thousands)</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Zyla (Oxaydo)</w:t>
            </w:r>
          </w:p>
        </w:tc>
        <w:tc>
          <w:tcPr>
            <w:tcW w:w="1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w:t>
            </w:r>
          </w:p>
        </w:tc>
        <w:tc>
          <w:tcPr>
            <w:tcW w:w="480" w:type="dxa"/>
            <w:vAlign w:val="bottom"/>
            <w:gridSpan w:val="2"/>
            <w:shd w:val="clear" w:color="auto" w:fill="CCEEFF"/>
          </w:tcPr>
          <w:p>
            <w:pPr>
              <w:jc w:val="right"/>
              <w:ind w:right="152"/>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1"/>
                <w:szCs w:val="11"/>
                <w:color w:val="auto"/>
              </w:rPr>
            </w:pPr>
          </w:p>
        </w:tc>
      </w:tr>
      <w:tr>
        <w:trPr>
          <w:trHeight w:val="153"/>
        </w:trPr>
        <w:tc>
          <w:tcPr>
            <w:tcW w:w="2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MainPointe (Nexafed)</w:t>
            </w:r>
          </w:p>
        </w:tc>
        <w:tc>
          <w:tcPr>
            <w:tcW w:w="18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60" w:type="dxa"/>
            <w:vAlign w:val="bottom"/>
            <w:tcBorders>
              <w:bottom w:val="single" w:sz="8" w:color="CCEEFF"/>
            </w:tcBorders>
          </w:tcPr>
          <w:p>
            <w:pPr>
              <w:spacing w:after="0"/>
              <w:rPr>
                <w:sz w:val="13"/>
                <w:szCs w:val="13"/>
                <w:color w:val="auto"/>
              </w:rPr>
            </w:pPr>
          </w:p>
        </w:tc>
      </w:tr>
      <w:tr>
        <w:trPr>
          <w:trHeight w:val="133"/>
        </w:trPr>
        <w:tc>
          <w:tcPr>
            <w:tcW w:w="29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Royalty revenues</w:t>
            </w:r>
          </w:p>
        </w:tc>
        <w:tc>
          <w:tcPr>
            <w:tcW w:w="18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Balance and Performance Obligations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had no contract assets and contract liability balances under the license and collaboration agreements at either March 31, 2021 or 2020.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RESEARCH AND DEVELOPMENT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March 31, 2021 and 2020.</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connection with our development and scale-up of LTX-03 under the AD Pharma Amended Agreement (See Note 3) we entered into obligations under non-cancelable arrangements at March 31, 2021 for which approximately $75 thousand has yet to be incurred.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7"/>
        </w:trPr>
        <w:tc>
          <w:tcPr>
            <w:tcW w:w="5660" w:type="dxa"/>
            <w:vAlign w:val="bottom"/>
            <w:gridSpan w:val="2"/>
          </w:tcPr>
          <w:p>
            <w:pPr>
              <w:spacing w:after="0"/>
              <w:rPr>
                <w:sz w:val="20"/>
                <w:szCs w:val="20"/>
                <w:color w:val="auto"/>
              </w:rPr>
            </w:pPr>
            <w:r>
              <w:rPr>
                <w:rFonts w:ascii="Arial" w:cs="Arial" w:eastAsia="Arial" w:hAnsi="Arial"/>
                <w:sz w:val="12"/>
                <w:szCs w:val="12"/>
                <w:b w:val="1"/>
                <w:bCs w:val="1"/>
                <w:color w:val="auto"/>
              </w:rPr>
              <w:t>NOTE 6 – PROPERTY, PLANT AND EQUIPMENT</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5660" w:type="dxa"/>
            <w:vAlign w:val="bottom"/>
            <w:gridSpan w:val="2"/>
          </w:tcPr>
          <w:p>
            <w:pPr>
              <w:spacing w:after="0"/>
              <w:rPr>
                <w:sz w:val="20"/>
                <w:szCs w:val="20"/>
                <w:color w:val="auto"/>
              </w:rPr>
            </w:pPr>
            <w:r>
              <w:rPr>
                <w:rFonts w:ascii="Arial" w:cs="Arial" w:eastAsia="Arial" w:hAnsi="Arial"/>
                <w:sz w:val="12"/>
                <w:szCs w:val="12"/>
                <w:color w:val="auto"/>
              </w:rPr>
              <w:t>Property, plant and equipment is summarized as follows (in thousands):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2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w w:val="93"/>
              </w:rPr>
              <w:t>March 31,</w:t>
            </w:r>
          </w:p>
        </w:tc>
        <w:tc>
          <w:tcPr>
            <w:tcW w:w="2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w w:val="87"/>
              </w:rPr>
              <w:t>December 31,</w:t>
            </w:r>
          </w:p>
        </w:tc>
      </w:tr>
      <w:tr>
        <w:trPr>
          <w:trHeight w:val="153"/>
        </w:trPr>
        <w:tc>
          <w:tcPr>
            <w:tcW w:w="22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2020</w:t>
            </w:r>
          </w:p>
        </w:tc>
        <w:tc>
          <w:tcPr>
            <w:tcW w:w="60" w:type="dxa"/>
            <w:vAlign w:val="bottom"/>
          </w:tcPr>
          <w:p>
            <w:pPr>
              <w:spacing w:after="0"/>
              <w:rPr>
                <w:sz w:val="13"/>
                <w:szCs w:val="13"/>
                <w:color w:val="auto"/>
              </w:rPr>
            </w:pPr>
          </w:p>
        </w:tc>
      </w:tr>
      <w:tr>
        <w:trPr>
          <w:trHeight w:val="151"/>
        </w:trPr>
        <w:tc>
          <w:tcPr>
            <w:tcW w:w="22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2"/>
                <w:szCs w:val="12"/>
                <w:color w:val="auto"/>
              </w:rPr>
              <w:t>(in thousands)</w:t>
            </w:r>
          </w:p>
        </w:tc>
      </w:tr>
      <w:tr>
        <w:trPr>
          <w:trHeight w:val="133"/>
        </w:trPr>
        <w:tc>
          <w:tcPr>
            <w:tcW w:w="2260" w:type="dxa"/>
            <w:vAlign w:val="bottom"/>
          </w:tcPr>
          <w:p>
            <w:pPr>
              <w:spacing w:after="0"/>
              <w:rPr>
                <w:sz w:val="11"/>
                <w:szCs w:val="11"/>
                <w:color w:val="auto"/>
              </w:rPr>
            </w:pPr>
          </w:p>
        </w:tc>
        <w:tc>
          <w:tcPr>
            <w:tcW w:w="34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Building and improvements</w:t>
            </w:r>
          </w:p>
        </w:tc>
        <w:tc>
          <w:tcPr>
            <w:tcW w:w="1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1,273</w:t>
            </w:r>
          </w:p>
        </w:tc>
        <w:tc>
          <w:tcPr>
            <w:tcW w:w="1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1,273</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226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Scientific equipment</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597</w:t>
            </w:r>
          </w:p>
        </w:tc>
        <w:tc>
          <w:tcPr>
            <w:tcW w:w="60" w:type="dxa"/>
            <w:vAlign w:val="bottom"/>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Computer hardware and software</w:t>
            </w: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60" w:type="dxa"/>
            <w:vAlign w:val="bottom"/>
            <w:shd w:val="clear" w:color="auto" w:fill="CCEEFF"/>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Machinery and equipment</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274</w:t>
            </w:r>
          </w:p>
        </w:tc>
        <w:tc>
          <w:tcPr>
            <w:tcW w:w="60" w:type="dxa"/>
            <w:vAlign w:val="bottom"/>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Land and improvements</w:t>
            </w: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60" w:type="dxa"/>
            <w:vAlign w:val="bottom"/>
            <w:shd w:val="clear" w:color="auto" w:fill="CCEEFF"/>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Other personal property</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w:t>
            </w:r>
          </w:p>
        </w:tc>
        <w:tc>
          <w:tcPr>
            <w:tcW w:w="60" w:type="dxa"/>
            <w:vAlign w:val="bottom"/>
          </w:tcPr>
          <w:p>
            <w:pPr>
              <w:spacing w:after="0"/>
              <w:rPr>
                <w:sz w:val="12"/>
                <w:szCs w:val="12"/>
                <w:color w:val="auto"/>
              </w:rPr>
            </w:pPr>
          </w:p>
        </w:tc>
      </w:tr>
      <w:tr>
        <w:trPr>
          <w:trHeight w:val="153"/>
        </w:trPr>
        <w:tc>
          <w:tcPr>
            <w:tcW w:w="226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Office equipment</w:t>
            </w:r>
          </w:p>
        </w:tc>
        <w:tc>
          <w:tcPr>
            <w:tcW w:w="17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60" w:type="dxa"/>
            <w:vAlign w:val="bottom"/>
            <w:shd w:val="clear" w:color="auto" w:fill="CCEEFF"/>
          </w:tcPr>
          <w:p>
            <w:pPr>
              <w:spacing w:after="0"/>
              <w:rPr>
                <w:sz w:val="13"/>
                <w:szCs w:val="13"/>
                <w:color w:val="auto"/>
              </w:rPr>
            </w:pPr>
          </w:p>
        </w:tc>
      </w:tr>
      <w:tr>
        <w:trPr>
          <w:trHeight w:val="133"/>
        </w:trPr>
        <w:tc>
          <w:tcPr>
            <w:tcW w:w="2260" w:type="dxa"/>
            <w:vAlign w:val="bottom"/>
          </w:tcPr>
          <w:p>
            <w:pPr>
              <w:spacing w:after="0"/>
              <w:rPr>
                <w:sz w:val="11"/>
                <w:szCs w:val="11"/>
                <w:color w:val="auto"/>
              </w:rPr>
            </w:pPr>
          </w:p>
        </w:tc>
        <w:tc>
          <w:tcPr>
            <w:tcW w:w="3400" w:type="dxa"/>
            <w:vAlign w:val="bottom"/>
          </w:tcPr>
          <w:p>
            <w:pPr>
              <w:ind w:left="80"/>
              <w:spacing w:after="0" w:line="133" w:lineRule="exact"/>
              <w:rPr>
                <w:sz w:val="20"/>
                <w:szCs w:val="20"/>
                <w:color w:val="auto"/>
              </w:rPr>
            </w:pPr>
            <w:r>
              <w:rPr>
                <w:rFonts w:ascii="Arial" w:cs="Arial" w:eastAsia="Arial" w:hAnsi="Arial"/>
                <w:sz w:val="12"/>
                <w:szCs w:val="12"/>
                <w:color w:val="auto"/>
              </w:rPr>
              <w:t>Total</w:t>
            </w: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2,509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2,509</w:t>
            </w:r>
          </w:p>
        </w:tc>
        <w:tc>
          <w:tcPr>
            <w:tcW w:w="60" w:type="dxa"/>
            <w:vAlign w:val="bottom"/>
          </w:tcPr>
          <w:p>
            <w:pPr>
              <w:spacing w:after="0"/>
              <w:rPr>
                <w:sz w:val="11"/>
                <w:szCs w:val="11"/>
                <w:color w:val="auto"/>
              </w:rPr>
            </w:pPr>
          </w:p>
        </w:tc>
      </w:tr>
      <w:tr>
        <w:trPr>
          <w:trHeight w:val="153"/>
        </w:trPr>
        <w:tc>
          <w:tcPr>
            <w:tcW w:w="226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(2,036)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(2,025)</w:t>
            </w:r>
          </w:p>
        </w:tc>
      </w:tr>
      <w:tr>
        <w:trPr>
          <w:trHeight w:val="133"/>
        </w:trPr>
        <w:tc>
          <w:tcPr>
            <w:tcW w:w="2260" w:type="dxa"/>
            <w:vAlign w:val="bottom"/>
          </w:tcPr>
          <w:p>
            <w:pPr>
              <w:spacing w:after="0"/>
              <w:rPr>
                <w:sz w:val="11"/>
                <w:szCs w:val="11"/>
                <w:color w:val="auto"/>
              </w:rPr>
            </w:pPr>
          </w:p>
        </w:tc>
        <w:tc>
          <w:tcPr>
            <w:tcW w:w="3400" w:type="dxa"/>
            <w:vAlign w:val="bottom"/>
          </w:tcPr>
          <w:p>
            <w:pPr>
              <w:ind w:left="80"/>
              <w:spacing w:after="0" w:line="133" w:lineRule="exact"/>
              <w:rPr>
                <w:sz w:val="20"/>
                <w:szCs w:val="20"/>
                <w:color w:val="auto"/>
              </w:rPr>
            </w:pPr>
            <w:r>
              <w:rPr>
                <w:rFonts w:ascii="Arial" w:cs="Arial" w:eastAsia="Arial" w:hAnsi="Arial"/>
                <w:sz w:val="12"/>
                <w:szCs w:val="12"/>
                <w:color w:val="auto"/>
              </w:rPr>
              <w:t>Net property, plant and equipment</w:t>
            </w:r>
          </w:p>
        </w:tc>
        <w:tc>
          <w:tcPr>
            <w:tcW w:w="17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473</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484</w:t>
            </w:r>
          </w:p>
        </w:tc>
        <w:tc>
          <w:tcPr>
            <w:tcW w:w="60" w:type="dxa"/>
            <w:vAlign w:val="bottom"/>
          </w:tcPr>
          <w:p>
            <w:pPr>
              <w:spacing w:after="0"/>
              <w:rPr>
                <w:sz w:val="11"/>
                <w:szCs w:val="11"/>
                <w:color w:val="auto"/>
              </w:rPr>
            </w:pP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00" w:type="dxa"/>
            <w:vAlign w:val="bottom"/>
            <w:gridSpan w:val="2"/>
          </w:tcPr>
          <w:p>
            <w:pPr>
              <w:spacing w:after="0"/>
              <w:rPr>
                <w:sz w:val="20"/>
                <w:szCs w:val="20"/>
                <w:color w:val="auto"/>
              </w:rPr>
            </w:pPr>
            <w:r>
              <w:rPr>
                <w:rFonts w:ascii="Arial" w:cs="Arial" w:eastAsia="Arial" w:hAnsi="Arial"/>
                <w:sz w:val="12"/>
                <w:szCs w:val="12"/>
                <w:color w:val="auto"/>
                <w:w w:val="96"/>
              </w:rPr>
              <w:t>Depreciation expense was $11 thousand and $15 thousand for each of the three month periods ended March 31, 2021 and 2020, respectively.</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7300" w:type="dxa"/>
            <w:vAlign w:val="bottom"/>
            <w:gridSpan w:val="2"/>
          </w:tcPr>
          <w:p>
            <w:pPr>
              <w:spacing w:after="0"/>
              <w:rPr>
                <w:sz w:val="20"/>
                <w:szCs w:val="20"/>
                <w:color w:val="auto"/>
              </w:rPr>
            </w:pPr>
            <w:r>
              <w:rPr>
                <w:rFonts w:ascii="Arial" w:cs="Arial" w:eastAsia="Arial" w:hAnsi="Arial"/>
                <w:sz w:val="12"/>
                <w:szCs w:val="12"/>
                <w:b w:val="1"/>
                <w:bCs w:val="1"/>
                <w:color w:val="auto"/>
              </w:rPr>
              <w:t>NOTE 7 – ACCRUED EXPENSES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7300" w:type="dxa"/>
            <w:vAlign w:val="bottom"/>
            <w:gridSpan w:val="2"/>
          </w:tcPr>
          <w:p>
            <w:pPr>
              <w:spacing w:after="0"/>
              <w:rPr>
                <w:sz w:val="20"/>
                <w:szCs w:val="20"/>
                <w:color w:val="auto"/>
              </w:rPr>
            </w:pPr>
            <w:r>
              <w:rPr>
                <w:rFonts w:ascii="Arial" w:cs="Arial" w:eastAsia="Arial" w:hAnsi="Arial"/>
                <w:sz w:val="12"/>
                <w:szCs w:val="12"/>
                <w:color w:val="auto"/>
              </w:rPr>
              <w:t>Accrued expenses are summarized as follows (in thousands):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2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color w:val="auto"/>
              </w:rPr>
              <w:t>March 31,</w:t>
            </w:r>
          </w:p>
        </w:tc>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2"/>
                <w:szCs w:val="12"/>
                <w:color w:val="auto"/>
              </w:rPr>
              <w:t>December 31,</w:t>
            </w:r>
          </w:p>
        </w:tc>
      </w:tr>
      <w:tr>
        <w:trPr>
          <w:trHeight w:val="153"/>
        </w:trPr>
        <w:tc>
          <w:tcPr>
            <w:tcW w:w="22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2"/>
              </w:rPr>
              <w:t>2020</w:t>
            </w:r>
          </w:p>
        </w:tc>
        <w:tc>
          <w:tcPr>
            <w:tcW w:w="60" w:type="dxa"/>
            <w:vAlign w:val="bottom"/>
          </w:tcPr>
          <w:p>
            <w:pPr>
              <w:spacing w:after="0"/>
              <w:rPr>
                <w:sz w:val="13"/>
                <w:szCs w:val="13"/>
                <w:color w:val="auto"/>
              </w:rPr>
            </w:pPr>
          </w:p>
        </w:tc>
      </w:tr>
      <w:tr>
        <w:trPr>
          <w:trHeight w:val="151"/>
        </w:trPr>
        <w:tc>
          <w:tcPr>
            <w:tcW w:w="2260" w:type="dxa"/>
            <w:vAlign w:val="bottom"/>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(in thousands)</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33"/>
        </w:trPr>
        <w:tc>
          <w:tcPr>
            <w:tcW w:w="2260" w:type="dxa"/>
            <w:vAlign w:val="bottom"/>
          </w:tcPr>
          <w:p>
            <w:pPr>
              <w:spacing w:after="0"/>
              <w:rPr>
                <w:sz w:val="11"/>
                <w:szCs w:val="11"/>
                <w:color w:val="auto"/>
              </w:rPr>
            </w:pPr>
          </w:p>
        </w:tc>
        <w:tc>
          <w:tcPr>
            <w:tcW w:w="5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Cost sharing expenses under license agreements</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428</w:t>
            </w:r>
          </w:p>
        </w:tc>
        <w:tc>
          <w:tcPr>
            <w:tcW w:w="2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428</w:t>
            </w:r>
          </w:p>
        </w:tc>
        <w:tc>
          <w:tcPr>
            <w:tcW w:w="60" w:type="dxa"/>
            <w:vAlign w:val="bottom"/>
            <w:shd w:val="clear" w:color="auto" w:fill="CCEEFF"/>
          </w:tcPr>
          <w:p>
            <w:pPr>
              <w:spacing w:after="0"/>
              <w:rPr>
                <w:sz w:val="11"/>
                <w:szCs w:val="11"/>
                <w:color w:val="auto"/>
              </w:rPr>
            </w:pPr>
          </w:p>
        </w:tc>
      </w:tr>
      <w:tr>
        <w:trPr>
          <w:trHeight w:val="144"/>
        </w:trPr>
        <w:tc>
          <w:tcPr>
            <w:tcW w:w="226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Other fees and services</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Payroll, payroll taxes and benefits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Professional services</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117</w:t>
            </w:r>
          </w:p>
        </w:tc>
        <w:tc>
          <w:tcPr>
            <w:tcW w:w="60" w:type="dxa"/>
            <w:vAlign w:val="bottom"/>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Financed premiums on insurance policies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60" w:type="dxa"/>
            <w:vAlign w:val="bottom"/>
            <w:shd w:val="clear" w:color="auto" w:fill="CCEEFF"/>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Property taxes</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2"/>
                <w:szCs w:val="12"/>
                <w:color w:val="auto"/>
              </w:rPr>
            </w:pPr>
          </w:p>
        </w:tc>
      </w:tr>
      <w:tr>
        <w:trPr>
          <w:trHeight w:val="153"/>
        </w:trPr>
        <w:tc>
          <w:tcPr>
            <w:tcW w:w="226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Franchise taxes</w:t>
            </w: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60" w:type="dxa"/>
            <w:vAlign w:val="bottom"/>
            <w:shd w:val="clear" w:color="auto" w:fill="CCEEFF"/>
          </w:tcPr>
          <w:p>
            <w:pPr>
              <w:spacing w:after="0"/>
              <w:rPr>
                <w:sz w:val="13"/>
                <w:szCs w:val="13"/>
                <w:color w:val="auto"/>
              </w:rPr>
            </w:pPr>
          </w:p>
        </w:tc>
      </w:tr>
      <w:tr>
        <w:trPr>
          <w:trHeight w:val="133"/>
        </w:trPr>
        <w:tc>
          <w:tcPr>
            <w:tcW w:w="2260" w:type="dxa"/>
            <w:vAlign w:val="bottom"/>
          </w:tcPr>
          <w:p>
            <w:pPr>
              <w:spacing w:after="0"/>
              <w:rPr>
                <w:sz w:val="11"/>
                <w:szCs w:val="11"/>
                <w:color w:val="auto"/>
              </w:rPr>
            </w:pPr>
          </w:p>
        </w:tc>
        <w:tc>
          <w:tcPr>
            <w:tcW w:w="5040" w:type="dxa"/>
            <w:vAlign w:val="bottom"/>
          </w:tcPr>
          <w:p>
            <w:pPr>
              <w:ind w:left="120"/>
              <w:spacing w:after="0" w:line="133" w:lineRule="exact"/>
              <w:rPr>
                <w:sz w:val="20"/>
                <w:szCs w:val="20"/>
                <w:color w:val="auto"/>
              </w:rPr>
            </w:pPr>
            <w:r>
              <w:rPr>
                <w:rFonts w:ascii="Arial" w:cs="Arial" w:eastAsia="Arial" w:hAnsi="Arial"/>
                <w:sz w:val="12"/>
                <w:szCs w:val="12"/>
                <w:color w:val="auto"/>
              </w:rPr>
              <w:t>Total</w:t>
            </w: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664</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ind w:right="138"/>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631</w:t>
            </w:r>
          </w:p>
        </w:tc>
        <w:tc>
          <w:tcPr>
            <w:tcW w:w="60" w:type="dxa"/>
            <w:vAlign w:val="bottom"/>
          </w:tcPr>
          <w:p>
            <w:pPr>
              <w:spacing w:after="0"/>
              <w:rPr>
                <w:sz w:val="11"/>
                <w:szCs w:val="1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DEBT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Related Party Convertible Loan</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At December 31, 2018, we had borrowed an aggregate of $4.35 million from Mr. Schutte, a related-party. From January 1, 2019 and through June 27, 2019, we borrowed additional amounts from Mr. Schutte for $650 thousand and issued various promissory notes to him with the same terms and conditions from the previous loans (the Schutte Notes). On June 28, 2019 we restructured the $5.0 million loan to borrow an additional $725 thousand from Mr. Schutte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$6.0 million convertible debt, the common stock purchase warrant and the security agreement were all assigned and transferred by Mr. Schutte to AD Pharma on June 28, 2019. Interest expense was $113 thousand and $112 thousand for each of the three month periods ended March 31, 2021 and 2020, respectively. The accrued interest balance at March 31, 2021 and December 31, 2020 was $791 thousand and $678 thousand, respectively.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 w:name="page16"/>
    <w:bookmarkEnd w:id="15"/>
    <w:p>
      <w:pPr>
        <w:jc w:val="both"/>
        <w:spacing w:after="0" w:line="323" w:lineRule="auto"/>
        <w:rPr>
          <w:sz w:val="20"/>
          <w:szCs w:val="20"/>
          <w:color w:val="auto"/>
        </w:rPr>
      </w:pPr>
      <w:r>
        <w:rPr>
          <w:rFonts w:ascii="Arial" w:cs="Arial" w:eastAsia="Arial" w:hAnsi="Arial"/>
          <w:sz w:val="11"/>
          <w:szCs w:val="11"/>
          <w:color w:val="auto"/>
        </w:rPr>
        <w:t>The events of default under the $6.0 million convertible debt are limited to bankruptcy defaults, failure to pay interest and principal when due on July 1, 2023 or upon failure to meet certain timelines in the AD Pharma Amended Agreement as defined in the loan agreement, including the date the FDA accepts our filing for LTX-03. The $6.0 million convertible debt may be prepaid at any time in whole or in part but only with the consent of the noteholder.</w:t>
      </w:r>
    </w:p>
    <w:p>
      <w:pPr>
        <w:spacing w:after="0" w:line="9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Included in the AD Pharma Amended Agreement entered into during October 2020, is the requirement that the NDA for LTX-03 now be accepted by the FDA by July 31, 2021, or AD Pharma has the option to terminate the AD Pharma Amended Agreement and take ownership of the LIMITx intellectual property. Importantly, such failure to meet this date is an event of default under the Company’s $6.0 million outstanding convertible debt to AD Pharma. Acura currently expects the submission and FDA acceptance of the NDA for LTX-03 to occur after July 31, 2021 and we have notified AD Pharma of this revised timeline for NDA submission. Acura intends to renegotiate the NDA filing acceptance date for LTX-03, of which no assurance can be given. Pending resolution of this matter, the $6.0 million convertible debt is presented as a current liability in our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Paycheck Protection Program</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w:t>
      </w:r>
      <w:r>
        <w:rPr>
          <w:rFonts w:ascii="Arial" w:cs="Arial" w:eastAsia="Arial" w:hAnsi="Arial"/>
          <w:sz w:val="19"/>
          <w:szCs w:val="19"/>
          <w:b w:val="1"/>
          <w:bCs w:val="1"/>
          <w:i w:val="1"/>
          <w:iCs w:val="1"/>
          <w:color w:val="auto"/>
          <w:vertAlign w:val="superscript"/>
        </w:rPr>
        <w:t>st</w:t>
      </w:r>
      <w:r>
        <w:rPr>
          <w:rFonts w:ascii="Arial" w:cs="Arial" w:eastAsia="Arial" w:hAnsi="Arial"/>
          <w:sz w:val="12"/>
          <w:szCs w:val="12"/>
          <w:b w:val="1"/>
          <w:bCs w:val="1"/>
          <w:i w:val="1"/>
          <w:iCs w:val="1"/>
          <w:color w:val="auto"/>
        </w:rPr>
        <w:t xml:space="preserve"> PPP Loan</w:t>
      </w:r>
    </w:p>
    <w:p>
      <w:pPr>
        <w:spacing w:after="0" w:line="97" w:lineRule="exact"/>
        <w:rPr>
          <w:sz w:val="20"/>
          <w:szCs w:val="20"/>
          <w:color w:val="auto"/>
        </w:rPr>
      </w:pPr>
    </w:p>
    <w:p>
      <w:pPr>
        <w:jc w:val="both"/>
        <w:spacing w:after="0" w:line="245" w:lineRule="auto"/>
        <w:rPr>
          <w:sz w:val="20"/>
          <w:szCs w:val="20"/>
          <w:color w:val="auto"/>
        </w:rPr>
      </w:pPr>
      <w:r>
        <w:rPr>
          <w:rFonts w:ascii="Arial" w:cs="Arial" w:eastAsia="Arial" w:hAnsi="Arial"/>
          <w:sz w:val="10"/>
          <w:szCs w:val="10"/>
          <w:color w:val="auto"/>
        </w:rPr>
        <w:t>On April 13, 2020, the Company received a loan (the “1</w:t>
      </w:r>
      <w:r>
        <w:rPr>
          <w:rFonts w:ascii="Arial" w:cs="Arial" w:eastAsia="Arial" w:hAnsi="Arial"/>
          <w:sz w:val="16"/>
          <w:szCs w:val="16"/>
          <w:color w:val="auto"/>
          <w:vertAlign w:val="superscript"/>
        </w:rPr>
        <w:t>st</w:t>
      </w:r>
      <w:r>
        <w:rPr>
          <w:rFonts w:ascii="Arial" w:cs="Arial" w:eastAsia="Arial" w:hAnsi="Arial"/>
          <w:sz w:val="10"/>
          <w:szCs w:val="10"/>
          <w:color w:val="auto"/>
        </w:rPr>
        <w:t xml:space="preserve"> Loan”) from JP Morgan Chase Bank in the aggregate amount of $269 thousand, pursuant to the Paycheck Protection Program (“PPP”) under Division A, Title I of the CARES Act, which was enacted March 27, 2020. The 1</w:t>
      </w:r>
      <w:r>
        <w:rPr>
          <w:rFonts w:ascii="Arial" w:cs="Arial" w:eastAsia="Arial" w:hAnsi="Arial"/>
          <w:sz w:val="16"/>
          <w:szCs w:val="16"/>
          <w:color w:val="auto"/>
          <w:vertAlign w:val="superscript"/>
        </w:rPr>
        <w:t>st</w:t>
      </w:r>
      <w:r>
        <w:rPr>
          <w:rFonts w:ascii="Arial" w:cs="Arial" w:eastAsia="Arial" w:hAnsi="Arial"/>
          <w:sz w:val="10"/>
          <w:szCs w:val="10"/>
          <w:color w:val="auto"/>
        </w:rPr>
        <w:t xml:space="preserve"> Loan, in the form of a promissory note, matures on April 8, 2022. Under the terms of the PPP, certain amounts of the 1</w:t>
      </w:r>
      <w:r>
        <w:rPr>
          <w:rFonts w:ascii="Arial" w:cs="Arial" w:eastAsia="Arial" w:hAnsi="Arial"/>
          <w:sz w:val="16"/>
          <w:szCs w:val="16"/>
          <w:color w:val="auto"/>
          <w:vertAlign w:val="superscript"/>
        </w:rPr>
        <w:t>st</w:t>
      </w:r>
      <w:r>
        <w:rPr>
          <w:rFonts w:ascii="Arial" w:cs="Arial" w:eastAsia="Arial" w:hAnsi="Arial"/>
          <w:sz w:val="10"/>
          <w:szCs w:val="10"/>
          <w:color w:val="auto"/>
        </w:rPr>
        <w:t xml:space="preserve"> Loan may be forgiven if they are used for qualifying expenses as described in the CARES Act. We have submitted a PPP loan forgiveness application to JP Morgan Chase Bank, who in turn submitted it to the Small Business Administration on or around April 20, 2021. We are awaiting the SBA’s</w:t>
      </w:r>
    </w:p>
    <w:p>
      <w:pPr>
        <w:jc w:val="both"/>
        <w:spacing w:after="0" w:line="256" w:lineRule="auto"/>
        <w:rPr>
          <w:sz w:val="20"/>
          <w:szCs w:val="20"/>
          <w:color w:val="auto"/>
        </w:rPr>
      </w:pPr>
      <w:r>
        <w:rPr>
          <w:rFonts w:ascii="Arial" w:cs="Arial" w:eastAsia="Arial" w:hAnsi="Arial"/>
          <w:sz w:val="11"/>
          <w:szCs w:val="11"/>
          <w:color w:val="auto"/>
        </w:rPr>
        <w:t>review of our forgiveness application and their decision, which we expect can take up to 90 days. To the extent that all or part of the 1</w:t>
      </w:r>
      <w:r>
        <w:rPr>
          <w:rFonts w:ascii="Arial" w:cs="Arial" w:eastAsia="Arial" w:hAnsi="Arial"/>
          <w:sz w:val="18"/>
          <w:szCs w:val="18"/>
          <w:color w:val="auto"/>
          <w:vertAlign w:val="superscript"/>
        </w:rPr>
        <w:t>st</w:t>
      </w:r>
      <w:r>
        <w:rPr>
          <w:rFonts w:ascii="Arial" w:cs="Arial" w:eastAsia="Arial" w:hAnsi="Arial"/>
          <w:sz w:val="11"/>
          <w:szCs w:val="11"/>
          <w:color w:val="auto"/>
        </w:rPr>
        <w:t xml:space="preserve"> Loan is not forgiven, the Company will be required to make payments, including interest accruing at an annual rate of 1.0% beginning on the date of disbursement. The receipt of these funds, and the forgiveness of the loans attendant to these funds, is dependent on the Company having initially qualified for these loans and qualifying for the forgiveness of such loans is based on adherence to the forgiveness criteria. No assurance is provided that forgiveness for any portion of the 1</w:t>
      </w:r>
      <w:r>
        <w:rPr>
          <w:rFonts w:ascii="Arial" w:cs="Arial" w:eastAsia="Arial" w:hAnsi="Arial"/>
          <w:sz w:val="18"/>
          <w:szCs w:val="18"/>
          <w:color w:val="auto"/>
          <w:vertAlign w:val="superscript"/>
        </w:rPr>
        <w:t>st</w:t>
      </w:r>
      <w:r>
        <w:rPr>
          <w:rFonts w:ascii="Arial" w:cs="Arial" w:eastAsia="Arial" w:hAnsi="Arial"/>
          <w:sz w:val="11"/>
          <w:szCs w:val="11"/>
          <w:color w:val="auto"/>
        </w:rPr>
        <w:t xml:space="preserve"> Loan will be obtained.</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w:t>
      </w:r>
      <w:r>
        <w:rPr>
          <w:rFonts w:ascii="Arial" w:cs="Arial" w:eastAsia="Arial" w:hAnsi="Arial"/>
          <w:sz w:val="19"/>
          <w:szCs w:val="19"/>
          <w:b w:val="1"/>
          <w:bCs w:val="1"/>
          <w:i w:val="1"/>
          <w:iCs w:val="1"/>
          <w:color w:val="auto"/>
          <w:vertAlign w:val="superscript"/>
        </w:rPr>
        <w:t>nd</w:t>
      </w:r>
      <w:r>
        <w:rPr>
          <w:rFonts w:ascii="Arial" w:cs="Arial" w:eastAsia="Arial" w:hAnsi="Arial"/>
          <w:sz w:val="12"/>
          <w:szCs w:val="12"/>
          <w:b w:val="1"/>
          <w:bCs w:val="1"/>
          <w:i w:val="1"/>
          <w:iCs w:val="1"/>
          <w:color w:val="auto"/>
        </w:rPr>
        <w:t xml:space="preserve"> PPP Loan</w:t>
      </w:r>
    </w:p>
    <w:p>
      <w:pPr>
        <w:spacing w:after="0" w:line="97" w:lineRule="exact"/>
        <w:rPr>
          <w:sz w:val="20"/>
          <w:szCs w:val="20"/>
          <w:color w:val="auto"/>
        </w:rPr>
      </w:pPr>
    </w:p>
    <w:p>
      <w:pPr>
        <w:jc w:val="both"/>
        <w:spacing w:after="0" w:line="211" w:lineRule="auto"/>
        <w:rPr>
          <w:sz w:val="20"/>
          <w:szCs w:val="20"/>
          <w:color w:val="auto"/>
        </w:rPr>
      </w:pPr>
      <w:r>
        <w:rPr>
          <w:rFonts w:ascii="Arial" w:cs="Arial" w:eastAsia="Arial" w:hAnsi="Arial"/>
          <w:sz w:val="12"/>
          <w:szCs w:val="12"/>
          <w:color w:val="auto"/>
        </w:rPr>
        <w:t>On March 16, 2021, the Company received a loan (the “2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Loan”) from JP Morgan Chase Bank in the aggregate amount of $266 thousand, pursuant to the PPP under Division A, Title I of the CARES Act. The 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Loan, in the form of a promissory note, matures after five years. Under the terms of the PPP, certain amounts of the 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Loan may be forgiven if they are used for qualifying expenses as described in the CARES Act. To the extent that all or part of the 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Loan is not forgiven, the Company will be required to make payments, including interest accruing at an annual rate of 1.0% beginning on the date of disbursement. The receipt of these funds, and the forgiveness of the loans attendant to these funds, is dependent on the Company having initially qualified for these loans and qualifying for the forgiveness of such loans is based on adherence to the forgiveness criteria. No assurance is provided that forgiveness for any portion of the 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Loan will be obtained.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RELATED PARTY TRANSACTIONS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July 2017, we completed a $4.0 million private placement with Mr. Schutte,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As part of the closing of the Transaction, the Company and Essex Woodlands Health Ventures V, L.P. (“Essex”) and Galen Partners III, L.P. (“Galen”) amended and restated the existing Voting Agreement including such parties to provide for Mr. Schutte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Mr. Schutte, and the parties to such agreement would vote for such persons. The right of each of Essex, Galen and Mr. Schutte to designate one director to our Board will continue as long as he or it and their affiliates collectively hold at least 600,000 shares of our common stock (including warrants exercisable for such shares). Immanuel Thangaraj is the designee of Essex. Mr. Schutte has not designated a director as of the date of filing of this Report on Form 10-Q.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MainPointe Pharmaceuticals LLC</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Mr. Schutte is the principal owner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The Company is receiving a 7.5% royalty on sales of licensed products. MainPointe also has options to expand the territory and products covered for additional sums. Included in the reported royalty revenue for the three months ended March 31, 2021 and 2020 is $2 thousand and $3 thousand, respectively of royalty revenue from MainPointe (See Note 3). On January 1, 2020, MainPointe assigned to AD Pharma, with Acura’s consent, all of its right, title and interest in the MainPointe Agreement between MainPointe and Acura.</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Loans with Mr. John Schutte</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At December 31, 2018, we had borrowed an aggregate of $4.35 million from Mr. Schutte, a related-party. During the period January 1, 2019 through June 27, 2019 we borrowed an aggregate of $650 thousand from Mr.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convertible debt, the common stock purchase warrant and the security agreement were all assigned and transferred by Mr. Schutte to AD Pharma on June 28, 2019.</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 Pharma Agreement covering LTX-03</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June 28, 2019, we entered into a License, Development and Commercialization Agreement which was amended in October 2020 (the "AD Pharma Amended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Amended Agreement grants AD Pharma exclusive commercialization rights in the United States to LTX-03 as well as LTX-02 (oxycodone/acetaminophen) and LTX-09 (alprazolam). Financial arrangements include:</w:t>
      </w:r>
    </w:p>
    <w:p>
      <w:pPr>
        <w:spacing w:after="0" w:line="111" w:lineRule="exact"/>
        <w:rPr>
          <w:sz w:val="20"/>
          <w:szCs w:val="20"/>
          <w:color w:val="auto"/>
        </w:rPr>
      </w:pPr>
    </w:p>
    <w:p>
      <w:pPr>
        <w:ind w:left="460" w:hanging="225"/>
        <w:spacing w:after="0"/>
        <w:tabs>
          <w:tab w:leader="none" w:pos="460" w:val="left"/>
        </w:tabs>
        <w:numPr>
          <w:ilvl w:val="0"/>
          <w:numId w:val="4"/>
        </w:numPr>
        <w:rPr>
          <w:rFonts w:ascii="Arial" w:cs="Arial" w:eastAsia="Arial" w:hAnsi="Arial"/>
          <w:sz w:val="11"/>
          <w:szCs w:val="11"/>
          <w:color w:val="auto"/>
        </w:rPr>
      </w:pPr>
      <w:r>
        <w:rPr>
          <w:rFonts w:ascii="Arial" w:cs="Arial" w:eastAsia="Arial" w:hAnsi="Arial"/>
          <w:sz w:val="11"/>
          <w:szCs w:val="11"/>
          <w:color w:val="auto"/>
        </w:rPr>
        <w:t>Monthly license payments to Acura by AD Pharma of $350 thousand from inception through April 2020 and $200 thousand thereafter until July 31, 2021 or FDA’s acceptance of a New Drug Application (“NDA”) for LTX-03;</w:t>
      </w:r>
    </w:p>
    <w:p>
      <w:pPr>
        <w:spacing w:after="0" w:line="161" w:lineRule="exact"/>
        <w:rPr>
          <w:rFonts w:ascii="Arial" w:cs="Arial" w:eastAsia="Arial" w:hAnsi="Arial"/>
          <w:sz w:val="11"/>
          <w:szCs w:val="11"/>
          <w:color w:val="auto"/>
        </w:rPr>
      </w:pPr>
    </w:p>
    <w:p>
      <w:pPr>
        <w:ind w:left="460" w:hanging="225"/>
        <w:spacing w:after="0"/>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Reimbursement of Acura’s LTX-03 outside development expenses; and</w:t>
      </w:r>
    </w:p>
    <w:p>
      <w:pPr>
        <w:spacing w:after="0" w:line="150" w:lineRule="exact"/>
        <w:rPr>
          <w:rFonts w:ascii="Arial" w:cs="Arial" w:eastAsia="Arial" w:hAnsi="Arial"/>
          <w:sz w:val="12"/>
          <w:szCs w:val="12"/>
          <w:color w:val="auto"/>
        </w:rPr>
      </w:pPr>
    </w:p>
    <w:p>
      <w:pPr>
        <w:ind w:left="460" w:hanging="225"/>
        <w:spacing w:after="0"/>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Upon commercialization of the licensed products, Acura receives stepped royalties on sales and is eligible for certain sales related milestones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AD Pharma is delinquent in remitting monthly license payments for January, 2021 thru May, 2021 which aggregates to $1.0 million and approximately $100 thousand of reimbursable LTX-03 development expenses. Failure to make these payments is an event of default under the AD Pharma Amended Agreement.</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AD Pharma may terminate the AD Pharma Amended Agreement at any time. Additionally, if the NDA for LTX-03 is not accepted by the FDA by July 31, 2021, AD Pharma has the option to terminate the AD Pharma Amended Agreement and take ownership of the LIMITx intellectual property. Importantly, such failure to meet this date is an event of default under the Company’s $6.0 million outstanding convertible debt to AD Pharma. Should AD Pharma choose not to exercise this option to terminate and the NDA for LTX-03 is subsequently accepted by the FDA, such option expires. Acura currently expects the submission and FDA acceptance of the NDA for LTX-03 to occur after July 31, 2021 and has notified AD Pharma of this revised timeline for NDA submission. Acura intends to renegotiate the NDA filing acceptance date for LTX-03, of which no assurance can be given.</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7"/>
        </w:trPr>
        <w:tc>
          <w:tcPr>
            <w:tcW w:w="5580" w:type="dxa"/>
            <w:vAlign w:val="bottom"/>
            <w:gridSpan w:val="2"/>
          </w:tcPr>
          <w:p>
            <w:pPr>
              <w:spacing w:after="0"/>
              <w:rPr>
                <w:sz w:val="20"/>
                <w:szCs w:val="20"/>
                <w:color w:val="auto"/>
              </w:rPr>
            </w:pPr>
            <w:r>
              <w:rPr>
                <w:rFonts w:ascii="Arial" w:cs="Arial" w:eastAsia="Arial" w:hAnsi="Arial"/>
                <w:sz w:val="12"/>
                <w:szCs w:val="12"/>
                <w:b w:val="1"/>
                <w:bCs w:val="1"/>
                <w:color w:val="auto"/>
              </w:rPr>
              <w:t>NOTE 10 – COMMON STOCK PURCHASE WARRANTS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6700" w:type="dxa"/>
            <w:vAlign w:val="bottom"/>
            <w:gridSpan w:val="4"/>
          </w:tcPr>
          <w:p>
            <w:pPr>
              <w:spacing w:after="0"/>
              <w:rPr>
                <w:sz w:val="20"/>
                <w:szCs w:val="20"/>
                <w:color w:val="auto"/>
              </w:rPr>
            </w:pPr>
            <w:r>
              <w:rPr>
                <w:rFonts w:ascii="Arial" w:cs="Arial" w:eastAsia="Arial" w:hAnsi="Arial"/>
                <w:sz w:val="12"/>
                <w:szCs w:val="12"/>
                <w:color w:val="auto"/>
                <w:w w:val="94"/>
              </w:rPr>
              <w:t>Our warrant activity during the three month periods ended March 31, 2021 and 2020 is shown below (in thousands except price data):</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4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2021</w:t>
            </w: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2"/>
                <w:szCs w:val="12"/>
                <w:color w:val="auto"/>
              </w:rPr>
              <w:t>2020</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4"/>
        </w:trPr>
        <w:tc>
          <w:tcPr>
            <w:tcW w:w="14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00"/>
              <w:spacing w:after="0" w:line="124" w:lineRule="exact"/>
              <w:rPr>
                <w:sz w:val="20"/>
                <w:szCs w:val="20"/>
                <w:color w:val="auto"/>
              </w:rPr>
            </w:pPr>
            <w:r>
              <w:rPr>
                <w:rFonts w:ascii="Arial" w:cs="Arial" w:eastAsia="Arial" w:hAnsi="Arial"/>
                <w:sz w:val="12"/>
                <w:szCs w:val="12"/>
                <w:color w:val="auto"/>
                <w:w w:val="93"/>
              </w:rPr>
              <w:t>WAvg</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00"/>
              <w:spacing w:after="0" w:line="124" w:lineRule="exact"/>
              <w:rPr>
                <w:sz w:val="20"/>
                <w:szCs w:val="20"/>
                <w:color w:val="auto"/>
              </w:rPr>
            </w:pPr>
            <w:r>
              <w:rPr>
                <w:rFonts w:ascii="Arial" w:cs="Arial" w:eastAsia="Arial" w:hAnsi="Arial"/>
                <w:sz w:val="12"/>
                <w:szCs w:val="12"/>
                <w:color w:val="auto"/>
                <w:w w:val="93"/>
              </w:rPr>
              <w:t>WAvg</w:t>
            </w:r>
          </w:p>
        </w:tc>
        <w:tc>
          <w:tcPr>
            <w:tcW w:w="80" w:type="dxa"/>
            <w:vAlign w:val="bottom"/>
            <w:gridSpan w:val="2"/>
          </w:tcPr>
          <w:p>
            <w:pPr>
              <w:spacing w:after="0"/>
              <w:rPr>
                <w:sz w:val="10"/>
                <w:szCs w:val="10"/>
                <w:color w:val="auto"/>
              </w:rPr>
            </w:pPr>
          </w:p>
        </w:tc>
      </w:tr>
      <w:tr>
        <w:trPr>
          <w:trHeight w:val="144"/>
        </w:trPr>
        <w:tc>
          <w:tcPr>
            <w:tcW w:w="14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540"/>
              <w:spacing w:after="0"/>
              <w:rPr>
                <w:sz w:val="20"/>
                <w:szCs w:val="20"/>
                <w:color w:val="auto"/>
              </w:rPr>
            </w:pPr>
            <w:r>
              <w:rPr>
                <w:rFonts w:ascii="Arial" w:cs="Arial" w:eastAsia="Arial" w:hAnsi="Arial"/>
                <w:sz w:val="12"/>
                <w:szCs w:val="12"/>
                <w:color w:val="auto"/>
                <w:w w:val="91"/>
              </w:rPr>
              <w:t>Exercise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2"/>
                <w:szCs w:val="12"/>
                <w:color w:val="auto"/>
                <w:w w:val="91"/>
              </w:rPr>
              <w:t>Exercise</w:t>
            </w:r>
          </w:p>
        </w:tc>
      </w:tr>
      <w:tr>
        <w:trPr>
          <w:trHeight w:val="153"/>
        </w:trPr>
        <w:tc>
          <w:tcPr>
            <w:tcW w:w="14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20" w:type="dxa"/>
            <w:vAlign w:val="bottom"/>
            <w:gridSpan w:val="2"/>
          </w:tcPr>
          <w:p>
            <w:pPr>
              <w:ind w:left="260"/>
              <w:spacing w:after="0"/>
              <w:rPr>
                <w:sz w:val="20"/>
                <w:szCs w:val="20"/>
                <w:color w:val="auto"/>
              </w:rPr>
            </w:pPr>
            <w:r>
              <w:rPr>
                <w:rFonts w:ascii="Arial" w:cs="Arial" w:eastAsia="Arial" w:hAnsi="Arial"/>
                <w:sz w:val="12"/>
                <w:szCs w:val="12"/>
                <w:color w:val="auto"/>
              </w:rPr>
              <w:t>Number</w:t>
            </w:r>
          </w:p>
        </w:tc>
        <w:tc>
          <w:tcPr>
            <w:tcW w:w="140" w:type="dxa"/>
            <w:vAlign w:val="bottom"/>
          </w:tcPr>
          <w:p>
            <w:pPr>
              <w:spacing w:after="0"/>
              <w:rPr>
                <w:sz w:val="13"/>
                <w:szCs w:val="13"/>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2"/>
                <w:szCs w:val="12"/>
                <w:color w:val="auto"/>
                <w:w w:val="87"/>
              </w:rPr>
              <w:t>Price</w:t>
            </w:r>
          </w:p>
        </w:tc>
        <w:tc>
          <w:tcPr>
            <w:tcW w:w="880" w:type="dxa"/>
            <w:vAlign w:val="bottom"/>
            <w:gridSpan w:val="2"/>
          </w:tcPr>
          <w:p>
            <w:pPr>
              <w:ind w:left="60"/>
              <w:spacing w:after="0"/>
              <w:rPr>
                <w:sz w:val="20"/>
                <w:szCs w:val="20"/>
                <w:color w:val="auto"/>
              </w:rPr>
            </w:pPr>
            <w:r>
              <w:rPr>
                <w:rFonts w:ascii="Arial" w:cs="Arial" w:eastAsia="Arial" w:hAnsi="Arial"/>
                <w:sz w:val="12"/>
                <w:szCs w:val="12"/>
                <w:color w:val="auto"/>
              </w:rPr>
              <w:t>Number</w:t>
            </w:r>
          </w:p>
        </w:tc>
        <w:tc>
          <w:tcPr>
            <w:tcW w:w="140" w:type="dxa"/>
            <w:vAlign w:val="bottom"/>
          </w:tcPr>
          <w:p>
            <w:pPr>
              <w:spacing w:after="0"/>
              <w:rPr>
                <w:sz w:val="13"/>
                <w:szCs w:val="13"/>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2"/>
                <w:szCs w:val="12"/>
                <w:color w:val="auto"/>
                <w:w w:val="87"/>
              </w:rPr>
              <w:t>Price</w:t>
            </w:r>
          </w:p>
        </w:tc>
      </w:tr>
      <w:tr>
        <w:trPr>
          <w:trHeight w:val="133"/>
        </w:trPr>
        <w:tc>
          <w:tcPr>
            <w:tcW w:w="1400" w:type="dxa"/>
            <w:vAlign w:val="bottom"/>
          </w:tcPr>
          <w:p>
            <w:pPr>
              <w:spacing w:after="0"/>
              <w:rPr>
                <w:sz w:val="11"/>
                <w:szCs w:val="11"/>
                <w:color w:val="auto"/>
              </w:rPr>
            </w:pPr>
          </w:p>
        </w:tc>
        <w:tc>
          <w:tcPr>
            <w:tcW w:w="4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Jan. 1</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11,782</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0.09</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11,842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0.10</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33"/>
        </w:trPr>
        <w:tc>
          <w:tcPr>
            <w:tcW w:w="1400" w:type="dxa"/>
            <w:vAlign w:val="bottom"/>
          </w:tcPr>
          <w:p>
            <w:pPr>
              <w:spacing w:after="0"/>
              <w:rPr>
                <w:sz w:val="11"/>
                <w:szCs w:val="11"/>
                <w:color w:val="auto"/>
              </w:rPr>
            </w:pPr>
          </w:p>
        </w:tc>
        <w:tc>
          <w:tcPr>
            <w:tcW w:w="4180" w:type="dxa"/>
            <w:vAlign w:val="bottom"/>
          </w:tcPr>
          <w:p>
            <w:pPr>
              <w:ind w:left="120"/>
              <w:spacing w:after="0" w:line="133" w:lineRule="exact"/>
              <w:rPr>
                <w:sz w:val="20"/>
                <w:szCs w:val="20"/>
                <w:color w:val="auto"/>
              </w:rPr>
            </w:pPr>
            <w:r>
              <w:rPr>
                <w:rFonts w:ascii="Arial" w:cs="Arial" w:eastAsia="Arial" w:hAnsi="Arial"/>
                <w:sz w:val="12"/>
                <w:szCs w:val="12"/>
                <w:color w:val="auto"/>
              </w:rPr>
              <w:t>Issued</w:t>
            </w: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4"/>
        </w:trPr>
        <w:tc>
          <w:tcPr>
            <w:tcW w:w="1400" w:type="dxa"/>
            <w:vAlign w:val="bottom"/>
          </w:tcPr>
          <w:p>
            <w:pPr>
              <w:spacing w:after="0"/>
              <w:rPr>
                <w:sz w:val="12"/>
                <w:szCs w:val="12"/>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Exercised</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r>
      <w:tr>
        <w:trPr>
          <w:trHeight w:val="144"/>
        </w:trPr>
        <w:tc>
          <w:tcPr>
            <w:tcW w:w="1400" w:type="dxa"/>
            <w:vAlign w:val="bottom"/>
          </w:tcPr>
          <w:p>
            <w:pPr>
              <w:spacing w:after="0"/>
              <w:rPr>
                <w:sz w:val="12"/>
                <w:szCs w:val="12"/>
                <w:color w:val="auto"/>
              </w:rPr>
            </w:pPr>
          </w:p>
        </w:tc>
        <w:tc>
          <w:tcPr>
            <w:tcW w:w="4180" w:type="dxa"/>
            <w:vAlign w:val="bottom"/>
          </w:tcPr>
          <w:p>
            <w:pPr>
              <w:ind w:left="120"/>
              <w:spacing w:after="0"/>
              <w:rPr>
                <w:sz w:val="20"/>
                <w:szCs w:val="20"/>
                <w:color w:val="auto"/>
              </w:rPr>
            </w:pPr>
            <w:r>
              <w:rPr>
                <w:rFonts w:ascii="Arial" w:cs="Arial" w:eastAsia="Arial" w:hAnsi="Arial"/>
                <w:sz w:val="12"/>
                <w:szCs w:val="12"/>
                <w:color w:val="auto"/>
              </w:rPr>
              <w:t>Expired</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r>
      <w:tr>
        <w:trPr>
          <w:trHeight w:val="153"/>
        </w:trPr>
        <w:tc>
          <w:tcPr>
            <w:tcW w:w="1400" w:type="dxa"/>
            <w:vAlign w:val="bottom"/>
          </w:tcPr>
          <w:p>
            <w:pPr>
              <w:spacing w:after="0"/>
              <w:rPr>
                <w:sz w:val="13"/>
                <w:szCs w:val="13"/>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Modification</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r>
      <w:tr>
        <w:trPr>
          <w:trHeight w:val="133"/>
        </w:trPr>
        <w:tc>
          <w:tcPr>
            <w:tcW w:w="1400" w:type="dxa"/>
            <w:vAlign w:val="bottom"/>
          </w:tcPr>
          <w:p>
            <w:pPr>
              <w:spacing w:after="0"/>
              <w:rPr>
                <w:sz w:val="11"/>
                <w:szCs w:val="11"/>
                <w:color w:val="auto"/>
              </w:rPr>
            </w:pPr>
          </w:p>
        </w:tc>
        <w:tc>
          <w:tcPr>
            <w:tcW w:w="4180" w:type="dxa"/>
            <w:vAlign w:val="bottom"/>
          </w:tcPr>
          <w:p>
            <w:pPr>
              <w:spacing w:after="0" w:line="133" w:lineRule="exact"/>
              <w:rPr>
                <w:sz w:val="20"/>
                <w:szCs w:val="20"/>
                <w:color w:val="auto"/>
              </w:rPr>
            </w:pPr>
            <w:r>
              <w:rPr>
                <w:rFonts w:ascii="Arial" w:cs="Arial" w:eastAsia="Arial" w:hAnsi="Arial"/>
                <w:sz w:val="12"/>
                <w:szCs w:val="12"/>
                <w:color w:val="auto"/>
              </w:rPr>
              <w:t>Outstanding, Mar. 31</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11,782</w:t>
            </w: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0.09</w:t>
            </w: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11,842</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0.10</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part of our July 2017 private placement transaction with Mr. Schutte, we issued warrants to purchase 1,782,531 shares of our common stock. The warrants are immediately exercisable at a price of $0.528 per share and expire five years after issuance in July 2022. (See Note 9). We have assigned a relative fair value of $495 thousand to the warrants out of the total $4.0 million proceeds from the private placement transaction and have accounted for these warrants as equity.</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June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in June 2024. We obtained a valuation of fair value on the warrant and $1.145 million was allocated to the warrant and accounted for as equity. (See Note 8 and Note 9). The warrant was assigned and transferred by Mr. Schutte to AD Pharma on June 28,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During December 2020, warrants expired that were exercisable for 60 thousand shares of our common stock and had an exercise price of $2.52 per share.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NOTE 11 – SHARE-BASED COMPENSATION EXPENSE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several share-based compensation plans covering stock options and RSUs for our employees and directors.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Our total share-based compensation expense recognized in the Company’s results of operations from non-cash and cash-portioned instruments issued to our employees and directors comprised the following (in thousands):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6380" w:type="dxa"/>
            <w:vAlign w:val="bottom"/>
          </w:tcPr>
          <w:p>
            <w:pPr>
              <w:spacing w:after="0"/>
              <w:rPr>
                <w:sz w:val="12"/>
                <w:szCs w:val="12"/>
                <w:color w:val="auto"/>
              </w:rPr>
            </w:pPr>
          </w:p>
        </w:tc>
        <w:tc>
          <w:tcPr>
            <w:tcW w:w="1800" w:type="dxa"/>
            <w:vAlign w:val="bottom"/>
            <w:gridSpan w:val="4"/>
          </w:tcPr>
          <w:p>
            <w:pPr>
              <w:jc w:val="right"/>
              <w:ind w:right="250"/>
              <w:spacing w:after="0"/>
              <w:rPr>
                <w:sz w:val="20"/>
                <w:szCs w:val="20"/>
                <w:color w:val="auto"/>
              </w:rPr>
            </w:pPr>
            <w:r>
              <w:rPr>
                <w:rFonts w:ascii="Arial" w:cs="Arial" w:eastAsia="Arial" w:hAnsi="Arial"/>
                <w:sz w:val="12"/>
                <w:szCs w:val="12"/>
                <w:color w:val="auto"/>
              </w:rPr>
              <w:t>Three Months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63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2"/>
                <w:szCs w:val="12"/>
                <w:color w:val="auto"/>
              </w:rPr>
              <w:t>March 31,</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color w:val="auto"/>
              </w:rPr>
              <w:t>2021</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color w:val="auto"/>
              </w:rPr>
              <w:t>2020</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33"/>
        </w:trPr>
        <w:tc>
          <w:tcPr>
            <w:tcW w:w="6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 expense:</w:t>
            </w: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6380" w:type="dxa"/>
            <w:vAlign w:val="bottom"/>
          </w:tcPr>
          <w:p>
            <w:pPr>
              <w:ind w:left="120"/>
              <w:spacing w:after="0"/>
              <w:rPr>
                <w:sz w:val="20"/>
                <w:szCs w:val="20"/>
                <w:color w:val="auto"/>
              </w:rPr>
            </w:pPr>
            <w:r>
              <w:rPr>
                <w:rFonts w:ascii="Arial" w:cs="Arial" w:eastAsia="Arial" w:hAnsi="Arial"/>
                <w:sz w:val="12"/>
                <w:szCs w:val="12"/>
                <w:color w:val="auto"/>
              </w:rPr>
              <w:t>Stock option awards</w:t>
            </w:r>
          </w:p>
        </w:tc>
        <w:tc>
          <w:tcPr>
            <w:tcW w:w="680" w:type="dxa"/>
            <w:vAlign w:val="bottom"/>
          </w:tcPr>
          <w:p>
            <w:pPr>
              <w:jc w:val="right"/>
              <w:ind w:right="56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6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RSU awards</w:t>
            </w:r>
          </w:p>
        </w:tc>
        <w:tc>
          <w:tcPr>
            <w:tcW w:w="6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33"/>
        </w:trPr>
        <w:tc>
          <w:tcPr>
            <w:tcW w:w="638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1"/>
                <w:szCs w:val="11"/>
                <w:color w:val="auto"/>
              </w:rPr>
            </w:pPr>
          </w:p>
        </w:tc>
      </w:tr>
      <w:tr>
        <w:trPr>
          <w:trHeight w:val="133"/>
        </w:trPr>
        <w:tc>
          <w:tcPr>
            <w:tcW w:w="6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6380" w:type="dxa"/>
            <w:vAlign w:val="bottom"/>
          </w:tcPr>
          <w:p>
            <w:pPr>
              <w:spacing w:after="0"/>
              <w:rPr>
                <w:sz w:val="20"/>
                <w:szCs w:val="20"/>
                <w:color w:val="auto"/>
              </w:rPr>
            </w:pPr>
            <w:r>
              <w:rPr>
                <w:rFonts w:ascii="Arial" w:cs="Arial" w:eastAsia="Arial" w:hAnsi="Arial"/>
                <w:sz w:val="12"/>
                <w:szCs w:val="12"/>
                <w:color w:val="auto"/>
              </w:rPr>
              <w:t>General and administrative expense: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 awards</w:t>
            </w:r>
          </w:p>
        </w:tc>
        <w:tc>
          <w:tcPr>
            <w:tcW w:w="6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6380" w:type="dxa"/>
            <w:vAlign w:val="bottom"/>
          </w:tcPr>
          <w:p>
            <w:pPr>
              <w:ind w:left="120"/>
              <w:spacing w:after="0"/>
              <w:rPr>
                <w:sz w:val="20"/>
                <w:szCs w:val="20"/>
                <w:color w:val="auto"/>
              </w:rPr>
            </w:pPr>
            <w:r>
              <w:rPr>
                <w:rFonts w:ascii="Arial" w:cs="Arial" w:eastAsia="Arial" w:hAnsi="Arial"/>
                <w:sz w:val="12"/>
                <w:szCs w:val="12"/>
                <w:color w:val="auto"/>
              </w:rPr>
              <w:t>RSU awards</w:t>
            </w:r>
          </w:p>
        </w:tc>
        <w:tc>
          <w:tcPr>
            <w:tcW w:w="6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15</w:t>
            </w:r>
          </w:p>
        </w:tc>
      </w:tr>
      <w:tr>
        <w:trPr>
          <w:trHeight w:val="133"/>
        </w:trPr>
        <w:tc>
          <w:tcPr>
            <w:tcW w:w="63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w:t>
            </w:r>
          </w:p>
        </w:tc>
        <w:tc>
          <w:tcPr>
            <w:tcW w:w="80" w:type="dxa"/>
            <w:vAlign w:val="bottom"/>
            <w:tcBorders>
              <w:top w:val="single" w:sz="8" w:color="CCEEFF"/>
            </w:tcBorders>
            <w:shd w:val="clear" w:color="auto" w:fill="CCEEFF"/>
          </w:tcPr>
          <w:p>
            <w:pPr>
              <w:spacing w:after="0"/>
              <w:rPr>
                <w:sz w:val="11"/>
                <w:szCs w:val="11"/>
                <w:color w:val="auto"/>
              </w:rPr>
            </w:pPr>
          </w:p>
        </w:tc>
      </w:tr>
      <w:tr>
        <w:trPr>
          <w:trHeight w:val="133"/>
        </w:trPr>
        <w:tc>
          <w:tcPr>
            <w:tcW w:w="63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r>
      <w:tr>
        <w:trPr>
          <w:trHeight w:val="133"/>
        </w:trPr>
        <w:tc>
          <w:tcPr>
            <w:tcW w:w="6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share-based compensation expense</w:t>
            </w:r>
          </w:p>
        </w:tc>
        <w:tc>
          <w:tcPr>
            <w:tcW w:w="68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maintain various stock option plans. A summary of our stock option plans as of March 31, 2021 and 2020 and for the three months then ended consisted of the following (in thousands except exercise price):</w:t>
      </w:r>
    </w:p>
    <w:p>
      <w:pPr>
        <w:spacing w:after="0" w:line="150"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Three Months ended March 31,</w:t>
      </w:r>
    </w:p>
    <w:p>
      <w:pPr>
        <w:spacing w:after="0" w:line="15" w:lineRule="exact"/>
        <w:rPr>
          <w:sz w:val="20"/>
          <w:szCs w:val="20"/>
          <w:color w:val="auto"/>
        </w:rPr>
      </w:pPr>
    </w:p>
    <w:tbl>
      <w:tblPr>
        <w:tblLayout w:type="fixed"/>
        <w:tblInd w:w="140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2021</w:t>
            </w:r>
          </w:p>
        </w:tc>
        <w:tc>
          <w:tcPr>
            <w:tcW w:w="7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4"/>
        </w:trPr>
        <w:tc>
          <w:tcPr>
            <w:tcW w:w="4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00"/>
              <w:spacing w:after="0" w:line="124" w:lineRule="exact"/>
              <w:rPr>
                <w:sz w:val="20"/>
                <w:szCs w:val="20"/>
                <w:color w:val="auto"/>
              </w:rPr>
            </w:pPr>
            <w:r>
              <w:rPr>
                <w:rFonts w:ascii="Arial" w:cs="Arial" w:eastAsia="Arial" w:hAnsi="Arial"/>
                <w:sz w:val="12"/>
                <w:szCs w:val="12"/>
                <w:color w:val="auto"/>
                <w:w w:val="90"/>
              </w:rPr>
              <w:t>Weighted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00"/>
              <w:spacing w:after="0" w:line="124" w:lineRule="exact"/>
              <w:rPr>
                <w:sz w:val="20"/>
                <w:szCs w:val="20"/>
                <w:color w:val="auto"/>
              </w:rPr>
            </w:pPr>
            <w:r>
              <w:rPr>
                <w:rFonts w:ascii="Arial" w:cs="Arial" w:eastAsia="Arial" w:hAnsi="Arial"/>
                <w:sz w:val="12"/>
                <w:szCs w:val="12"/>
                <w:color w:val="auto"/>
                <w:w w:val="90"/>
              </w:rPr>
              <w:t>Weighted</w:t>
            </w:r>
          </w:p>
        </w:tc>
        <w:tc>
          <w:tcPr>
            <w:tcW w:w="80" w:type="dxa"/>
            <w:vAlign w:val="bottom"/>
          </w:tcPr>
          <w:p>
            <w:pPr>
              <w:spacing w:after="0"/>
              <w:rPr>
                <w:sz w:val="10"/>
                <w:szCs w:val="10"/>
                <w:color w:val="auto"/>
              </w:rPr>
            </w:pPr>
          </w:p>
        </w:tc>
      </w:tr>
      <w:tr>
        <w:trPr>
          <w:trHeight w:val="144"/>
        </w:trPr>
        <w:tc>
          <w:tcPr>
            <w:tcW w:w="4180" w:type="dxa"/>
            <w:vAlign w:val="bottom"/>
          </w:tcPr>
          <w:p>
            <w:pPr>
              <w:spacing w:after="0"/>
              <w:rPr>
                <w:sz w:val="12"/>
                <w:szCs w:val="12"/>
                <w:color w:val="auto"/>
              </w:rPr>
            </w:pPr>
          </w:p>
        </w:tc>
        <w:tc>
          <w:tcPr>
            <w:tcW w:w="660" w:type="dxa"/>
            <w:vAlign w:val="bottom"/>
          </w:tcPr>
          <w:p>
            <w:pPr>
              <w:ind w:left="260"/>
              <w:spacing w:after="0"/>
              <w:rPr>
                <w:sz w:val="20"/>
                <w:szCs w:val="20"/>
                <w:color w:val="auto"/>
              </w:rPr>
            </w:pPr>
            <w:r>
              <w:rPr>
                <w:rFonts w:ascii="Arial" w:cs="Arial" w:eastAsia="Arial" w:hAnsi="Arial"/>
                <w:sz w:val="12"/>
                <w:szCs w:val="12"/>
                <w:color w:val="auto"/>
                <w:w w:val="88"/>
              </w:rPr>
              <w:t>Number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2"/>
                <w:szCs w:val="12"/>
                <w:color w:val="auto"/>
                <w:w w:val="89"/>
              </w:rPr>
              <w:t>Average</w:t>
            </w: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Number</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Average</w:t>
            </w:r>
          </w:p>
        </w:tc>
      </w:tr>
      <w:tr>
        <w:trPr>
          <w:trHeight w:val="144"/>
        </w:trPr>
        <w:tc>
          <w:tcPr>
            <w:tcW w:w="4180" w:type="dxa"/>
            <w:vAlign w:val="bottom"/>
          </w:tcPr>
          <w:p>
            <w:pPr>
              <w:spacing w:after="0"/>
              <w:rPr>
                <w:sz w:val="12"/>
                <w:szCs w:val="12"/>
                <w:color w:val="auto"/>
              </w:rPr>
            </w:pP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9"/>
              </w:rPr>
              <w:t>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2"/>
                <w:szCs w:val="12"/>
                <w:color w:val="auto"/>
                <w:w w:val="91"/>
              </w:rPr>
              <w:t>Exercise</w:t>
            </w:r>
          </w:p>
        </w:tc>
        <w:tc>
          <w:tcPr>
            <w:tcW w:w="1100" w:type="dxa"/>
            <w:vAlign w:val="bottom"/>
            <w:gridSpan w:val="2"/>
          </w:tcPr>
          <w:p>
            <w:pPr>
              <w:jc w:val="right"/>
              <w:ind w:right="580"/>
              <w:spacing w:after="0"/>
              <w:rPr>
                <w:sz w:val="20"/>
                <w:szCs w:val="20"/>
                <w:color w:val="auto"/>
              </w:rPr>
            </w:pPr>
            <w:r>
              <w:rPr>
                <w:rFonts w:ascii="Arial" w:cs="Arial" w:eastAsia="Arial" w:hAnsi="Arial"/>
                <w:sz w:val="12"/>
                <w:szCs w:val="12"/>
                <w:color w:val="auto"/>
              </w:rPr>
              <w:t>of</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Exercise</w:t>
            </w:r>
          </w:p>
        </w:tc>
      </w:tr>
      <w:tr>
        <w:trPr>
          <w:trHeight w:val="153"/>
        </w:trPr>
        <w:tc>
          <w:tcPr>
            <w:tcW w:w="4180" w:type="dxa"/>
            <w:vAlign w:val="bottom"/>
          </w:tcPr>
          <w:p>
            <w:pPr>
              <w:spacing w:after="0"/>
              <w:rPr>
                <w:sz w:val="13"/>
                <w:szCs w:val="13"/>
                <w:color w:val="auto"/>
              </w:rPr>
            </w:pP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1"/>
              </w:rPr>
              <w:t>Options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ind w:left="200"/>
              <w:spacing w:after="0"/>
              <w:rPr>
                <w:sz w:val="20"/>
                <w:szCs w:val="20"/>
                <w:color w:val="auto"/>
              </w:rPr>
            </w:pPr>
            <w:r>
              <w:rPr>
                <w:rFonts w:ascii="Arial" w:cs="Arial" w:eastAsia="Arial" w:hAnsi="Arial"/>
                <w:sz w:val="12"/>
                <w:szCs w:val="12"/>
                <w:color w:val="auto"/>
              </w:rPr>
              <w:t>Price</w:t>
            </w: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Options</w:t>
            </w:r>
          </w:p>
        </w:tc>
        <w:tc>
          <w:tcPr>
            <w:tcW w:w="14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2"/>
                <w:szCs w:val="12"/>
                <w:color w:val="auto"/>
              </w:rPr>
              <w:t>Price</w:t>
            </w:r>
          </w:p>
        </w:tc>
      </w:tr>
      <w:tr>
        <w:trPr>
          <w:trHeight w:val="133"/>
        </w:trPr>
        <w:tc>
          <w:tcPr>
            <w:tcW w:w="4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Jan. 1</w:t>
            </w: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1,254</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1,356</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4.45</w:t>
            </w:r>
          </w:p>
        </w:tc>
        <w:tc>
          <w:tcPr>
            <w:tcW w:w="80" w:type="dxa"/>
            <w:vAlign w:val="bottom"/>
            <w:tcBorders>
              <w:top w:val="single" w:sz="8" w:color="CCEEFF"/>
            </w:tcBorders>
            <w:shd w:val="clear" w:color="auto" w:fill="CCEEFF"/>
          </w:tcPr>
          <w:p>
            <w:pPr>
              <w:spacing w:after="0"/>
              <w:rPr>
                <w:sz w:val="11"/>
                <w:szCs w:val="11"/>
                <w:color w:val="auto"/>
              </w:rPr>
            </w:pPr>
          </w:p>
        </w:tc>
      </w:tr>
      <w:tr>
        <w:trPr>
          <w:trHeight w:val="133"/>
        </w:trPr>
        <w:tc>
          <w:tcPr>
            <w:tcW w:w="4180" w:type="dxa"/>
            <w:vAlign w:val="bottom"/>
          </w:tcPr>
          <w:p>
            <w:pPr>
              <w:ind w:left="120"/>
              <w:spacing w:after="0" w:line="133" w:lineRule="exact"/>
              <w:rPr>
                <w:sz w:val="20"/>
                <w:szCs w:val="20"/>
                <w:color w:val="auto"/>
              </w:rPr>
            </w:pPr>
            <w:r>
              <w:rPr>
                <w:rFonts w:ascii="Arial" w:cs="Arial" w:eastAsia="Arial" w:hAnsi="Arial"/>
                <w:sz w:val="12"/>
                <w:szCs w:val="12"/>
                <w:color w:val="auto"/>
              </w:rPr>
              <w:t>Granted</w:t>
            </w:r>
          </w:p>
        </w:tc>
        <w:tc>
          <w:tcPr>
            <w:tcW w:w="66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r>
      <w:tr>
        <w:trPr>
          <w:trHeight w:val="144"/>
        </w:trPr>
        <w:tc>
          <w:tcPr>
            <w:tcW w:w="4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Exercised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44"/>
        </w:trPr>
        <w:tc>
          <w:tcPr>
            <w:tcW w:w="4840" w:type="dxa"/>
            <w:vAlign w:val="bottom"/>
            <w:gridSpan w:val="2"/>
          </w:tcPr>
          <w:p>
            <w:pPr>
              <w:ind w:left="120"/>
              <w:spacing w:after="0"/>
              <w:rPr>
                <w:sz w:val="20"/>
                <w:szCs w:val="20"/>
                <w:color w:val="auto"/>
              </w:rPr>
            </w:pPr>
            <w:r>
              <w:rPr>
                <w:rFonts w:ascii="Arial" w:cs="Arial" w:eastAsia="Arial" w:hAnsi="Arial"/>
                <w:sz w:val="12"/>
                <w:szCs w:val="12"/>
                <w:color w:val="auto"/>
              </w:rPr>
              <w:t>Forfeited</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4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Expired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17.30</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27.35</w:t>
            </w:r>
          </w:p>
        </w:tc>
      </w:tr>
      <w:tr>
        <w:trPr>
          <w:trHeight w:val="133"/>
        </w:trPr>
        <w:tc>
          <w:tcPr>
            <w:tcW w:w="41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Outstanding, Mar. 31</w:t>
            </w:r>
          </w:p>
        </w:tc>
        <w:tc>
          <w:tcPr>
            <w:tcW w:w="6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6"/>
              </w:rPr>
              <w:t>1,162</w:t>
            </w: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1,344</w:t>
            </w:r>
          </w:p>
        </w:tc>
        <w:tc>
          <w:tcPr>
            <w:tcW w:w="1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4.24</w:t>
            </w:r>
          </w:p>
        </w:tc>
        <w:tc>
          <w:tcPr>
            <w:tcW w:w="80" w:type="dxa"/>
            <w:vAlign w:val="bottom"/>
            <w:tcBorders>
              <w:bottom w:val="single" w:sz="8" w:color="CCEEFF"/>
            </w:tcBorders>
          </w:tcPr>
          <w:p>
            <w:pPr>
              <w:spacing w:after="0"/>
              <w:rPr>
                <w:sz w:val="11"/>
                <w:szCs w:val="11"/>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Exercisable, Mar. 31</w:t>
            </w:r>
          </w:p>
        </w:tc>
        <w:tc>
          <w:tcPr>
            <w:tcW w:w="6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1,162</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1,344</w:t>
            </w: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4.24</w:t>
            </w:r>
          </w:p>
        </w:tc>
        <w:tc>
          <w:tcPr>
            <w:tcW w:w="80" w:type="dxa"/>
            <w:vAlign w:val="bottom"/>
            <w:shd w:val="clear" w:color="auto" w:fill="CCEEFF"/>
          </w:tcPr>
          <w:p>
            <w:pPr>
              <w:spacing w:after="0"/>
              <w:rPr>
                <w:sz w:val="11"/>
                <w:szCs w:val="11"/>
                <w:color w:val="auto"/>
              </w:rPr>
            </w:pPr>
          </w:p>
        </w:tc>
      </w:tr>
    </w:tbl>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intrinsic value contained in the stock option awards which are vested and outstanding at March 31, 2021 is approximately $25 thousand.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Restricted Stock Unit Award Plans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one Restricted Stock Unit Award Plan for our employees and non-employee directors, a 2017 Restricted Stock Unit Award Plan (the “2017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$6 thousand at December 31, 2020. There are no issued and outstanding non-employee director RSU awards at March 31, 2021.</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grants under the RSU Plan as of March 31, 2021 and 2020, and for the three months then ended consisted of the following (in thousands):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2"/>
                <w:szCs w:val="12"/>
                <w:color w:val="auto"/>
                <w:w w:val="97"/>
              </w:rPr>
              <w:t>Three Months Ended March 31,</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418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2021</w:t>
            </w: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2020</w:t>
            </w: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4"/>
        </w:trPr>
        <w:tc>
          <w:tcPr>
            <w:tcW w:w="4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0"/>
              <w:spacing w:after="0" w:line="124" w:lineRule="exact"/>
              <w:rPr>
                <w:sz w:val="20"/>
                <w:szCs w:val="20"/>
                <w:color w:val="auto"/>
              </w:rPr>
            </w:pPr>
            <w:r>
              <w:rPr>
                <w:rFonts w:ascii="Arial" w:cs="Arial" w:eastAsia="Arial" w:hAnsi="Arial"/>
                <w:sz w:val="12"/>
                <w:szCs w:val="12"/>
                <w:color w:val="auto"/>
                <w:w w:val="92"/>
              </w:rPr>
              <w:t>Number of</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0"/>
              <w:spacing w:after="0" w:line="124" w:lineRule="exact"/>
              <w:rPr>
                <w:sz w:val="20"/>
                <w:szCs w:val="20"/>
                <w:color w:val="auto"/>
              </w:rPr>
            </w:pPr>
            <w:r>
              <w:rPr>
                <w:rFonts w:ascii="Arial" w:cs="Arial" w:eastAsia="Arial" w:hAnsi="Arial"/>
                <w:sz w:val="12"/>
                <w:szCs w:val="12"/>
                <w:color w:val="auto"/>
                <w:w w:val="92"/>
              </w:rPr>
              <w:t>Number of</w:t>
            </w:r>
          </w:p>
        </w:tc>
        <w:tc>
          <w:tcPr>
            <w:tcW w:w="80" w:type="dxa"/>
            <w:vAlign w:val="bottom"/>
            <w:gridSpan w:val="2"/>
          </w:tcPr>
          <w:p>
            <w:pPr>
              <w:spacing w:after="0"/>
              <w:rPr>
                <w:sz w:val="10"/>
                <w:szCs w:val="10"/>
                <w:color w:val="auto"/>
              </w:rPr>
            </w:pPr>
          </w:p>
        </w:tc>
      </w:tr>
      <w:tr>
        <w:trPr>
          <w:trHeight w:val="144"/>
        </w:trPr>
        <w:tc>
          <w:tcPr>
            <w:tcW w:w="4180" w:type="dxa"/>
            <w:vAlign w:val="bottom"/>
          </w:tcPr>
          <w:p>
            <w:pPr>
              <w:spacing w:after="0"/>
              <w:rPr>
                <w:sz w:val="12"/>
                <w:szCs w:val="12"/>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2"/>
                <w:szCs w:val="12"/>
                <w:color w:val="auto"/>
                <w:w w:val="92"/>
              </w:rPr>
              <w:t>Number of</w:t>
            </w:r>
          </w:p>
        </w:tc>
        <w:tc>
          <w:tcPr>
            <w:tcW w:w="98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Vested</w:t>
            </w:r>
          </w:p>
        </w:tc>
        <w:tc>
          <w:tcPr>
            <w:tcW w:w="1220" w:type="dxa"/>
            <w:vAlign w:val="bottom"/>
            <w:gridSpan w:val="3"/>
          </w:tcPr>
          <w:p>
            <w:pPr>
              <w:jc w:val="center"/>
              <w:ind w:right="280"/>
              <w:spacing w:after="0"/>
              <w:rPr>
                <w:sz w:val="20"/>
                <w:szCs w:val="20"/>
                <w:color w:val="auto"/>
              </w:rPr>
            </w:pPr>
            <w:r>
              <w:rPr>
                <w:rFonts w:ascii="Arial" w:cs="Arial" w:eastAsia="Arial" w:hAnsi="Arial"/>
                <w:sz w:val="12"/>
                <w:szCs w:val="12"/>
                <w:color w:val="auto"/>
                <w:w w:val="96"/>
              </w:rPr>
              <w:t>Number of</w:t>
            </w:r>
          </w:p>
        </w:tc>
        <w:tc>
          <w:tcPr>
            <w:tcW w:w="880" w:type="dxa"/>
            <w:vAlign w:val="bottom"/>
            <w:gridSpan w:val="3"/>
          </w:tcPr>
          <w:p>
            <w:pPr>
              <w:jc w:val="center"/>
              <w:ind w:right="200"/>
              <w:spacing w:after="0"/>
              <w:rPr>
                <w:sz w:val="20"/>
                <w:szCs w:val="20"/>
                <w:color w:val="auto"/>
              </w:rPr>
            </w:pPr>
            <w:r>
              <w:rPr>
                <w:rFonts w:ascii="Arial" w:cs="Arial" w:eastAsia="Arial" w:hAnsi="Arial"/>
                <w:sz w:val="12"/>
                <w:szCs w:val="12"/>
                <w:color w:val="auto"/>
                <w:w w:val="85"/>
              </w:rPr>
              <w:t>Vested</w:t>
            </w:r>
          </w:p>
        </w:tc>
      </w:tr>
      <w:tr>
        <w:trPr>
          <w:trHeight w:val="153"/>
        </w:trPr>
        <w:tc>
          <w:tcPr>
            <w:tcW w:w="4180" w:type="dxa"/>
            <w:vAlign w:val="bottom"/>
          </w:tcPr>
          <w:p>
            <w:pPr>
              <w:spacing w:after="0"/>
              <w:rPr>
                <w:sz w:val="13"/>
                <w:szCs w:val="13"/>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2"/>
                <w:szCs w:val="12"/>
                <w:color w:val="auto"/>
                <w:w w:val="89"/>
              </w:rPr>
              <w:t>RSUs</w:t>
            </w:r>
          </w:p>
        </w:tc>
        <w:tc>
          <w:tcPr>
            <w:tcW w:w="98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RSUs</w:t>
            </w:r>
          </w:p>
        </w:tc>
        <w:tc>
          <w:tcPr>
            <w:tcW w:w="1220" w:type="dxa"/>
            <w:vAlign w:val="bottom"/>
            <w:gridSpan w:val="3"/>
          </w:tcPr>
          <w:p>
            <w:pPr>
              <w:jc w:val="center"/>
              <w:ind w:right="300"/>
              <w:spacing w:after="0"/>
              <w:rPr>
                <w:sz w:val="20"/>
                <w:szCs w:val="20"/>
                <w:color w:val="auto"/>
              </w:rPr>
            </w:pPr>
            <w:r>
              <w:rPr>
                <w:rFonts w:ascii="Arial" w:cs="Arial" w:eastAsia="Arial" w:hAnsi="Arial"/>
                <w:sz w:val="12"/>
                <w:szCs w:val="12"/>
                <w:color w:val="auto"/>
                <w:w w:val="89"/>
              </w:rPr>
              <w:t>RSUs</w:t>
            </w:r>
          </w:p>
        </w:tc>
        <w:tc>
          <w:tcPr>
            <w:tcW w:w="880" w:type="dxa"/>
            <w:vAlign w:val="bottom"/>
            <w:gridSpan w:val="3"/>
          </w:tcPr>
          <w:p>
            <w:pPr>
              <w:jc w:val="center"/>
              <w:ind w:right="200"/>
              <w:spacing w:after="0"/>
              <w:rPr>
                <w:sz w:val="20"/>
                <w:szCs w:val="20"/>
                <w:color w:val="auto"/>
              </w:rPr>
            </w:pPr>
            <w:r>
              <w:rPr>
                <w:rFonts w:ascii="Arial" w:cs="Arial" w:eastAsia="Arial" w:hAnsi="Arial"/>
                <w:sz w:val="12"/>
                <w:szCs w:val="12"/>
                <w:color w:val="auto"/>
                <w:w w:val="89"/>
              </w:rPr>
              <w:t>RSUs</w:t>
            </w:r>
          </w:p>
        </w:tc>
      </w:tr>
      <w:tr>
        <w:trPr>
          <w:trHeight w:val="133"/>
        </w:trPr>
        <w:tc>
          <w:tcPr>
            <w:tcW w:w="4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Jan. 1</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839</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839</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1,017</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1,017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33"/>
        </w:trPr>
        <w:tc>
          <w:tcPr>
            <w:tcW w:w="4180" w:type="dxa"/>
            <w:vAlign w:val="bottom"/>
          </w:tcPr>
          <w:p>
            <w:pPr>
              <w:ind w:left="120"/>
              <w:spacing w:after="0" w:line="133" w:lineRule="exact"/>
              <w:rPr>
                <w:sz w:val="20"/>
                <w:szCs w:val="20"/>
                <w:color w:val="auto"/>
              </w:rPr>
            </w:pPr>
            <w:r>
              <w:rPr>
                <w:rFonts w:ascii="Arial" w:cs="Arial" w:eastAsia="Arial" w:hAnsi="Arial"/>
                <w:sz w:val="12"/>
                <w:szCs w:val="12"/>
                <w:color w:val="auto"/>
              </w:rPr>
              <w:t>Granted</w:t>
            </w: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219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4"/>
        </w:trPr>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Distributed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(397)</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(397)</w:t>
            </w:r>
          </w:p>
        </w:tc>
      </w:tr>
      <w:tr>
        <w:trPr>
          <w:trHeight w:val="144"/>
        </w:trPr>
        <w:tc>
          <w:tcPr>
            <w:tcW w:w="4180" w:type="dxa"/>
            <w:vAlign w:val="bottom"/>
          </w:tcPr>
          <w:p>
            <w:pPr>
              <w:ind w:left="120"/>
              <w:spacing w:after="0"/>
              <w:rPr>
                <w:sz w:val="20"/>
                <w:szCs w:val="20"/>
                <w:color w:val="auto"/>
              </w:rPr>
            </w:pPr>
            <w:r>
              <w:rPr>
                <w:rFonts w:ascii="Arial" w:cs="Arial" w:eastAsia="Arial" w:hAnsi="Arial"/>
                <w:sz w:val="12"/>
                <w:szCs w:val="12"/>
                <w:color w:val="auto"/>
              </w:rPr>
              <w:t>Vested</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2"/>
                <w:szCs w:val="12"/>
                <w:color w:val="auto"/>
              </w:rPr>
            </w:pPr>
          </w:p>
        </w:tc>
      </w:tr>
      <w:tr>
        <w:trPr>
          <w:trHeight w:val="153"/>
        </w:trPr>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Forfeited</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r>
      <w:tr>
        <w:trPr>
          <w:trHeight w:val="133"/>
        </w:trPr>
        <w:tc>
          <w:tcPr>
            <w:tcW w:w="4180" w:type="dxa"/>
            <w:vAlign w:val="bottom"/>
          </w:tcPr>
          <w:p>
            <w:pPr>
              <w:spacing w:after="0" w:line="133" w:lineRule="exact"/>
              <w:rPr>
                <w:sz w:val="20"/>
                <w:szCs w:val="20"/>
                <w:color w:val="auto"/>
              </w:rPr>
            </w:pPr>
            <w:r>
              <w:rPr>
                <w:rFonts w:ascii="Arial" w:cs="Arial" w:eastAsia="Arial" w:hAnsi="Arial"/>
                <w:sz w:val="12"/>
                <w:szCs w:val="12"/>
                <w:color w:val="auto"/>
              </w:rPr>
              <w:t>Outstanding, Mar. 31</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392</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392</w:t>
            </w:r>
          </w:p>
        </w:tc>
        <w:tc>
          <w:tcPr>
            <w:tcW w:w="16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839</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675</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2017 Restricted Stock Unit Award Plan</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2017 RSU Plan was approved by shareholders in November 2017 and permits the grant of up to 1.5 million shares of our common stock pursuant to awards under the 2017 RSU Plan. As of March 31, 2021, there are no shares which remain available for award under the 2017 RSU Plan.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Information about the award activity under the 2017 RSU Plan is as follows:</w:t>
      </w:r>
    </w:p>
    <w:p>
      <w:pPr>
        <w:spacing w:after="0" w:line="150" w:lineRule="exact"/>
        <w:rPr>
          <w:sz w:val="20"/>
          <w:szCs w:val="20"/>
          <w:color w:val="auto"/>
        </w:rPr>
      </w:pPr>
    </w:p>
    <w:p>
      <w:pPr>
        <w:ind w:left="320" w:hanging="112"/>
        <w:spacing w:after="0" w:line="276" w:lineRule="auto"/>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December 2017, we awarded 200 thousand RSUs to our employees. Such RSU awards vested 100% after one full year of service. Distributions of the vested RSU awards to the employees are being made in three equal installments on the first business day of each of January 2020, 2021, and 2022 or earlier upon a qualifying change of control.</w:t>
      </w:r>
    </w:p>
    <w:p>
      <w:pPr>
        <w:spacing w:after="0" w:line="114" w:lineRule="exact"/>
        <w:rPr>
          <w:rFonts w:ascii="Arial" w:cs="Arial" w:eastAsia="Arial" w:hAnsi="Arial"/>
          <w:sz w:val="12"/>
          <w:szCs w:val="12"/>
          <w:color w:val="auto"/>
        </w:rPr>
      </w:pPr>
    </w:p>
    <w:p>
      <w:pPr>
        <w:ind w:left="320" w:hanging="112"/>
        <w:spacing w:after="0" w:line="276" w:lineRule="auto"/>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December 2018, we awarded 488 thousand RSUs to our employees. Such RSU awards vested 100% after one full year of service. Distributions of the vested RSU awards to the employees are being made in three equal installments on the first business day of each of January 2021, 2022, and 2023 or earlier upon a qualifying change of control.</w:t>
      </w:r>
    </w:p>
    <w:p>
      <w:pPr>
        <w:spacing w:after="0" w:line="114" w:lineRule="exact"/>
        <w:rPr>
          <w:rFonts w:ascii="Arial" w:cs="Arial" w:eastAsia="Arial" w:hAnsi="Arial"/>
          <w:sz w:val="12"/>
          <w:szCs w:val="12"/>
          <w:color w:val="auto"/>
        </w:rPr>
      </w:pPr>
    </w:p>
    <w:p>
      <w:pPr>
        <w:jc w:val="both"/>
        <w:ind w:left="320" w:hanging="112"/>
        <w:spacing w:after="0" w:line="259" w:lineRule="auto"/>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January 2019, we awarded approximately 83 thousand RSUs to each of our four non-employee directors which also allow for them to receive payment in cash, instead of stock, for up to 40% of each RSU award. Such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124" w:lineRule="exact"/>
        <w:rPr>
          <w:rFonts w:ascii="Arial" w:cs="Arial" w:eastAsia="Arial" w:hAnsi="Arial"/>
          <w:sz w:val="12"/>
          <w:szCs w:val="12"/>
          <w:color w:val="auto"/>
        </w:rPr>
      </w:pPr>
    </w:p>
    <w:p>
      <w:pPr>
        <w:jc w:val="both"/>
        <w:ind w:left="320" w:hanging="112"/>
        <w:spacing w:after="0" w:line="259" w:lineRule="auto"/>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January 2020, we awarded approximately 55 thousand RSUs to each of our four non-employee directors which also allow for them to receive payment in cash, instead of stock, for up to 40% of each RSU award. Such awards vest 25% at the end of each calendar quarter in 2020. Settlement of this RSU award did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auto"/>
        </w:rPr>
        <w:t>Information about the distribution of share activity under the 2017 RSU Plan is as follows:</w:t>
      </w:r>
    </w:p>
    <w:p>
      <w:pPr>
        <w:spacing w:after="0" w:line="150" w:lineRule="exact"/>
        <w:rPr>
          <w:sz w:val="20"/>
          <w:szCs w:val="20"/>
          <w:color w:val="auto"/>
        </w:rPr>
      </w:pPr>
    </w:p>
    <w:p>
      <w:pPr>
        <w:ind w:left="320" w:hanging="112"/>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2019, 267 thousand RSUs were distributed to our non-employee directors from their January 2018 award and settled in common stock.</w:t>
      </w:r>
    </w:p>
    <w:p>
      <w:pPr>
        <w:spacing w:after="0" w:line="150" w:lineRule="exact"/>
        <w:rPr>
          <w:rFonts w:ascii="Arial" w:cs="Arial" w:eastAsia="Arial" w:hAnsi="Arial"/>
          <w:sz w:val="12"/>
          <w:szCs w:val="12"/>
          <w:color w:val="auto"/>
        </w:rPr>
      </w:pPr>
    </w:p>
    <w:p>
      <w:pPr>
        <w:ind w:left="320" w:right="20" w:hanging="112"/>
        <w:spacing w:after="0" w:line="276"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spacing w:after="0" w:line="114" w:lineRule="exact"/>
        <w:rPr>
          <w:rFonts w:ascii="Arial" w:cs="Arial" w:eastAsia="Arial" w:hAnsi="Arial"/>
          <w:sz w:val="12"/>
          <w:szCs w:val="12"/>
          <w:color w:val="auto"/>
        </w:rPr>
      </w:pPr>
    </w:p>
    <w:p>
      <w:pPr>
        <w:ind w:left="320" w:hanging="112"/>
        <w:spacing w:after="0" w:line="276"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2020, 64 thousand RSUs were distributed to our current and former employees representing one third of their 2017 award with 54 thousand RSUs settled in common stock and 10 thousand RSUs used to settle the purchase price and employee withholding taxes.</w:t>
      </w:r>
    </w:p>
    <w:p>
      <w:pPr>
        <w:spacing w:after="0" w:line="114" w:lineRule="exact"/>
        <w:rPr>
          <w:rFonts w:ascii="Arial" w:cs="Arial" w:eastAsia="Arial" w:hAnsi="Arial"/>
          <w:sz w:val="12"/>
          <w:szCs w:val="12"/>
          <w:color w:val="auto"/>
        </w:rPr>
      </w:pPr>
    </w:p>
    <w:p>
      <w:pPr>
        <w:ind w:left="320" w:hanging="112"/>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2021, 219 thousand RSUs were distributed to our non-employee directors from their January 2020 award and settled in common stock.</w:t>
      </w:r>
    </w:p>
    <w:p>
      <w:pPr>
        <w:spacing w:after="0" w:line="150" w:lineRule="exact"/>
        <w:rPr>
          <w:rFonts w:ascii="Arial" w:cs="Arial" w:eastAsia="Arial" w:hAnsi="Arial"/>
          <w:sz w:val="12"/>
          <w:szCs w:val="12"/>
          <w:color w:val="auto"/>
        </w:rPr>
      </w:pPr>
    </w:p>
    <w:p>
      <w:pPr>
        <w:ind w:left="320" w:hanging="112"/>
        <w:spacing w:after="0" w:line="276"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2021, 228 thousand RSUs were distributed to our current and former employees representing one third of their December 2017 award and one third of their December 2018 award, with 185 thousand RSUs settled in common stock and 43 thousand RSUs used to settle the purchase price and employee withholding taxes.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INCOME TAXES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$138 million gross Federal NOLs at December 31, 2020 (of which approximately $132 million was generated prior to January 1, 2018). We believe the gross Federal NOL benefit we generated prior to January 1, 2018 available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while our Federal NOLs generated after 2017 can be carried forward indefinitely. Future common stock transactions, such as the exercise of common stock purchase warrants or the conversion of debt into common stock, may cause another qualifying event under IRC 382 which will most likely further limit our utilization of our NOLs.</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March 31, 2021 and December 31, 2020,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NOTE 13 – BASIC AND DILUTED NET INCOME (LOSS) PER SHARE</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Basic net income (loss) per share is computed by dividing net income or loss by the weighted average common shares outstanding during a period, including shares weighted related to both vested Restricted Stock Units (“RSUs”) which settle in shares (See Note 11) and a stock warrant exercisable for 10.0 million shares having an exercise price of $0.01 per share (See Note 8).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As the Company reported a net loss for the three month periods ending March 31, 2021 and 2020, the effects of common stock equivalents were excluded as the diluted net loss per share calculation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20"/>
                <w:szCs w:val="20"/>
                <w:color w:val="auto"/>
              </w:rPr>
            </w:pPr>
            <w:r>
              <w:rPr>
                <w:rFonts w:ascii="Arial" w:cs="Arial" w:eastAsia="Arial" w:hAnsi="Arial"/>
                <w:sz w:val="12"/>
                <w:szCs w:val="12"/>
                <w:color w:val="auto"/>
                <w:w w:val="93"/>
              </w:rPr>
              <w:t>A reconciliation of the numerators and denominators of basic and diluted earnings (loss) per share (“EPS”) consisted of the following (in thousands except per share data):</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8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2"/>
                <w:szCs w:val="12"/>
                <w:color w:val="auto"/>
                <w:w w:val="92"/>
              </w:rPr>
              <w:t>Three Months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84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2"/>
                <w:szCs w:val="12"/>
                <w:color w:val="auto"/>
              </w:rPr>
              <w:t>March 31,</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2020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Earnings (loss) per share – basic and diluted</w:t>
            </w: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Numerator: net loss</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(259)</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80"/>
              <w:spacing w:after="0"/>
              <w:rPr>
                <w:sz w:val="20"/>
                <w:szCs w:val="20"/>
                <w:color w:val="auto"/>
              </w:rPr>
            </w:pPr>
            <w:r>
              <w:rPr>
                <w:rFonts w:ascii="Arial" w:cs="Arial" w:eastAsia="Arial" w:hAnsi="Arial"/>
                <w:sz w:val="12"/>
                <w:szCs w:val="12"/>
                <w:color w:val="auto"/>
              </w:rPr>
              <w:t>(595)</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Denominator (weighted):</w:t>
            </w: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tcPr>
          <w:p>
            <w:pPr>
              <w:ind w:left="200"/>
              <w:spacing w:after="0"/>
              <w:rPr>
                <w:sz w:val="20"/>
                <w:szCs w:val="20"/>
                <w:color w:val="auto"/>
              </w:rPr>
            </w:pPr>
            <w:r>
              <w:rPr>
                <w:rFonts w:ascii="Arial" w:cs="Arial" w:eastAsia="Arial" w:hAnsi="Arial"/>
                <w:sz w:val="12"/>
                <w:szCs w:val="12"/>
                <w:color w:val="auto"/>
              </w:rPr>
              <w:t>Common shares</w:t>
            </w: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22,072</w:t>
            </w:r>
          </w:p>
        </w:tc>
        <w:tc>
          <w:tcPr>
            <w:tcW w:w="4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21,650</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RSUs - vested</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392</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200"/>
              <w:spacing w:after="0"/>
              <w:rPr>
                <w:sz w:val="20"/>
                <w:szCs w:val="20"/>
                <w:color w:val="auto"/>
              </w:rPr>
            </w:pPr>
            <w:r>
              <w:rPr>
                <w:rFonts w:ascii="Arial" w:cs="Arial" w:eastAsia="Arial" w:hAnsi="Arial"/>
                <w:sz w:val="12"/>
                <w:szCs w:val="12"/>
                <w:color w:val="auto"/>
              </w:rPr>
              <w:t>Common stock purchase warrant</w:t>
            </w:r>
          </w:p>
        </w:tc>
        <w:tc>
          <w:tcPr>
            <w:tcW w:w="7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10,000</w:t>
            </w:r>
          </w:p>
        </w:tc>
        <w:tc>
          <w:tcPr>
            <w:tcW w:w="42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Basic and diluted weighted average shares outstanding</w:t>
            </w: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32,464</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32,270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Arial" w:cs="Arial" w:eastAsia="Arial" w:hAnsi="Arial"/>
                <w:sz w:val="12"/>
                <w:szCs w:val="12"/>
                <w:color w:val="auto"/>
              </w:rPr>
              <w:t>Loss per share – basic and diluted</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(0.01)</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80"/>
              <w:spacing w:after="0" w:line="133" w:lineRule="exact"/>
              <w:rPr>
                <w:sz w:val="20"/>
                <w:szCs w:val="20"/>
                <w:color w:val="auto"/>
              </w:rPr>
            </w:pPr>
            <w:r>
              <w:rPr>
                <w:rFonts w:ascii="Arial" w:cs="Arial" w:eastAsia="Arial" w:hAnsi="Arial"/>
                <w:sz w:val="12"/>
                <w:szCs w:val="12"/>
                <w:color w:val="auto"/>
              </w:rPr>
              <w:t>(0.02)</w:t>
            </w:r>
          </w:p>
        </w:tc>
      </w:tr>
      <w:tr>
        <w:trPr>
          <w:trHeight w:val="133"/>
        </w:trPr>
        <w:tc>
          <w:tcPr>
            <w:tcW w:w="84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Excluded securities (non-weighted):</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Common shares issuable:</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200"/>
              <w:spacing w:after="0"/>
              <w:rPr>
                <w:sz w:val="20"/>
                <w:szCs w:val="20"/>
                <w:color w:val="auto"/>
              </w:rPr>
            </w:pPr>
            <w:r>
              <w:rPr>
                <w:rFonts w:ascii="Arial" w:cs="Arial" w:eastAsia="Arial" w:hAnsi="Arial"/>
                <w:sz w:val="12"/>
                <w:szCs w:val="12"/>
                <w:color w:val="auto"/>
              </w:rPr>
              <w:t>RSUs – nonvested</w:t>
            </w: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Stock options – vested and nonvested</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1,344</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200"/>
              <w:spacing w:after="0"/>
              <w:rPr>
                <w:sz w:val="20"/>
                <w:szCs w:val="20"/>
                <w:color w:val="auto"/>
              </w:rPr>
            </w:pPr>
            <w:r>
              <w:rPr>
                <w:rFonts w:ascii="Arial" w:cs="Arial" w:eastAsia="Arial" w:hAnsi="Arial"/>
                <w:sz w:val="12"/>
                <w:szCs w:val="12"/>
                <w:color w:val="auto"/>
              </w:rPr>
              <w:t>Common stock purchase warrants</w:t>
            </w: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1,782</w:t>
            </w:r>
          </w:p>
        </w:tc>
        <w:tc>
          <w:tcPr>
            <w:tcW w:w="4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1,842</w:t>
            </w:r>
          </w:p>
        </w:tc>
        <w:tc>
          <w:tcPr>
            <w:tcW w:w="100" w:type="dxa"/>
            <w:vAlign w:val="bottom"/>
          </w:tcPr>
          <w:p>
            <w:pPr>
              <w:spacing w:after="0"/>
              <w:rPr>
                <w:sz w:val="12"/>
                <w:szCs w:val="12"/>
                <w:color w:val="auto"/>
              </w:rPr>
            </w:pPr>
          </w:p>
        </w:tc>
      </w:tr>
      <w:tr>
        <w:trPr>
          <w:trHeight w:val="153"/>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Convertible loan</w:t>
            </w:r>
          </w:p>
        </w:tc>
        <w:tc>
          <w:tcPr>
            <w:tcW w:w="7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37,500</w:t>
            </w:r>
          </w:p>
        </w:tc>
        <w:tc>
          <w:tcPr>
            <w:tcW w:w="4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37,500</w:t>
            </w:r>
          </w:p>
        </w:tc>
        <w:tc>
          <w:tcPr>
            <w:tcW w:w="100" w:type="dxa"/>
            <w:vAlign w:val="bottom"/>
            <w:shd w:val="clear" w:color="auto" w:fill="CCEEFF"/>
          </w:tcPr>
          <w:p>
            <w:pPr>
              <w:spacing w:after="0"/>
              <w:rPr>
                <w:sz w:val="13"/>
                <w:szCs w:val="13"/>
                <w:color w:val="auto"/>
              </w:rPr>
            </w:pPr>
          </w:p>
        </w:tc>
      </w:tr>
      <w:tr>
        <w:trPr>
          <w:trHeight w:val="133"/>
        </w:trPr>
        <w:tc>
          <w:tcPr>
            <w:tcW w:w="8480" w:type="dxa"/>
            <w:vAlign w:val="bottom"/>
          </w:tcPr>
          <w:p>
            <w:pPr>
              <w:ind w:left="100"/>
              <w:spacing w:after="0" w:line="133" w:lineRule="exact"/>
              <w:rPr>
                <w:sz w:val="20"/>
                <w:szCs w:val="20"/>
                <w:color w:val="auto"/>
              </w:rPr>
            </w:pPr>
            <w:r>
              <w:rPr>
                <w:rFonts w:ascii="Arial" w:cs="Arial" w:eastAsia="Arial" w:hAnsi="Arial"/>
                <w:sz w:val="12"/>
                <w:szCs w:val="12"/>
                <w:color w:val="auto"/>
              </w:rPr>
              <w:t>Total excluded common shares</w:t>
            </w:r>
          </w:p>
        </w:tc>
        <w:tc>
          <w:tcPr>
            <w:tcW w:w="7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40,444</w:t>
            </w:r>
          </w:p>
        </w:tc>
        <w:tc>
          <w:tcPr>
            <w:tcW w:w="240" w:type="dxa"/>
            <w:vAlign w:val="bottom"/>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40,784</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SUBSEQUENT EVENTS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On May 12, 2021 we received from AD Pharma, the December 2020 license fee payment of $200 thousand.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Item 2. Management’s Discussion and Analysis of Financial Condition and Results of Operations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Forward-Looking Statements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22" w:lineRule="exact"/>
        <w:rPr>
          <w:sz w:val="20"/>
          <w:szCs w:val="20"/>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obtain funding for our continuing operations, including the development of our products utilizing our LIMITx™ and Impede® technologies;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1"/>
          <w:szCs w:val="11"/>
          <w:color w:val="auto"/>
        </w:rPr>
      </w:pPr>
      <w:r>
        <w:rPr>
          <w:rFonts w:ascii="Arial" w:cs="Arial" w:eastAsia="Arial" w:hAnsi="Arial"/>
          <w:sz w:val="11"/>
          <w:szCs w:val="11"/>
          <w:color w:val="auto"/>
        </w:rPr>
        <w:t>whether we can renegotiate the date by which we are required to obtain FDA acceptance, currently July 31, 2021, for an NDA for LTX-03 by our agreement with AD Pharma on which we depend to finance operations;</w:t>
      </w:r>
    </w:p>
    <w:p>
      <w:pPr>
        <w:spacing w:after="0" w:line="161" w:lineRule="exact"/>
        <w:rPr>
          <w:rFonts w:ascii="Arial" w:cs="Arial" w:eastAsia="Arial" w:hAnsi="Arial"/>
          <w:sz w:val="11"/>
          <w:szCs w:val="11"/>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our licensing partners will develop any additional products and utilize Acura for such development;</w:t>
      </w:r>
    </w:p>
    <w:p>
      <w:pPr>
        <w:spacing w:after="0" w:line="150" w:lineRule="exact"/>
        <w:rPr>
          <w:rFonts w:ascii="Arial" w:cs="Arial" w:eastAsia="Arial" w:hAnsi="Arial"/>
          <w:sz w:val="12"/>
          <w:szCs w:val="12"/>
          <w:color w:val="auto"/>
        </w:rPr>
      </w:pPr>
    </w:p>
    <w:p>
      <w:pPr>
        <w:ind w:left="320" w:right="20" w:hanging="112"/>
        <w:spacing w:after="0" w:line="276"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14" w:lineRule="exact"/>
        <w:rPr>
          <w:rFonts w:ascii="Arial" w:cs="Arial" w:eastAsia="Arial" w:hAnsi="Arial"/>
          <w:sz w:val="12"/>
          <w:szCs w:val="12"/>
          <w:color w:val="auto"/>
        </w:rPr>
      </w:pPr>
    </w:p>
    <w:p>
      <w:pPr>
        <w:ind w:left="320" w:hanging="112"/>
        <w:spacing w:after="0" w:line="276"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14"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LIMITx will retard the release of opioid active ingredients as dose levels increase;</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the extent to which products formulated with the LIMITx Technology reduce respiratory depression will be determined sufficient by the FDA to support approval or labelling describing safety features;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our LIMITx Technology can be expanded into extended-release formulations;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and our licensee’s ability to successfully launch and commercialize our products and technologies, including Oxaydo® Tablets and our Nexafed® products;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results and timing of our development of our LIMITx Technology, including, but not limited to, the submission of a New Drug Application and/or FDA filing acceptance;</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or our licensees’ ability to obtain necessary regulatory approvals and commercialize products utilizing our technologies;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market acceptance of, timing of commercial launch and competitive environment for any of our products;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expectations regarding potential market share for our products;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develop and enter into additional license agreements for our product candidates using our technologies;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exposure to product liability and other lawsuits in connection with the commercialization of our products;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increasing cost of insurance and the availability of product liability insurance coverage;</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to avoid infringement of patents, trademarks and other proprietary rights of third parties;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our patents to protect our products from generic competition and our ability to protect and enforce our patent rights in any paragraph IV patent infringement litigation;</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the FDA will agree with or accept the results of our studies for our product candidates;</w:t>
      </w:r>
    </w:p>
    <w:p>
      <w:pPr>
        <w:spacing w:after="0" w:line="150" w:lineRule="exact"/>
        <w:rPr>
          <w:rFonts w:ascii="Arial" w:cs="Arial" w:eastAsia="Arial" w:hAnsi="Arial"/>
          <w:sz w:val="12"/>
          <w:szCs w:val="12"/>
          <w:color w:val="auto"/>
        </w:rPr>
      </w:pPr>
    </w:p>
    <w:p>
      <w:pPr>
        <w:jc w:val="both"/>
        <w:ind w:left="320" w:hanging="112"/>
        <w:spacing w:after="0" w:line="263"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22"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adequacy of the development program for our product candidates, including whether additional clinical studies will be required to support FDA approval of our product candidates;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changes in regulatory requirements;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adverse safety findings relating to our commercialized products or product candidates in development;</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the FDA will agree with our analysis of our clinical and laboratory studies;</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further studies of our product candidates will be required to support FDA approval;</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or when we are able to obtain FDA approval of labeling for our product candidates for the proposed indications and whether we will be able to promote the features of our technologies; and</w:t>
      </w:r>
    </w:p>
    <w:p>
      <w:pPr>
        <w:spacing w:after="0" w:line="150" w:lineRule="exact"/>
        <w:rPr>
          <w:rFonts w:ascii="Arial" w:cs="Arial" w:eastAsia="Arial" w:hAnsi="Arial"/>
          <w:sz w:val="12"/>
          <w:szCs w:val="12"/>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our product candidates will ultimately perform as intended in commercial settings.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2"/>
          <w:szCs w:val="12"/>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2020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11"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June 28, 2019, we entered into License, Development and Commercialization Agreement, which was amended in October 2020, (“AD Pharma Amended Agreement”) with Abuse Deterrent Pharma, LLC, a Kentucky limited liability company (“AD Pharma”), a special purpose company representing a consortium of investors that will finance Acura’s operations through July 2021 and reimburse all our outside development costs for LTX-03. The AD Pharma Amended Agreement grants AD Pharma exclusive commercialization rights in the United States to LTX-03 as well as to LTX-02 (oxycodone/acetaminophen) and LTX-09 (alprazolam). AD Pharma is delinquent in remitting monthly license payments for January, 2021 thru May, 2021 which aggregates to $1.0 million and approximately $100,000 of reimbursable LTX-03 development expenses.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January 2015, we and Egalet US, Inc. and Egalet Ltd., each a subsidiary of Egalet Corporation (now known as Assertio Holdings Inc. and formerly known as Assertio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4" w:name="page25"/>
    <w:bookmarkEnd w:id="24"/>
    <w:p>
      <w:pPr>
        <w:jc w:val="both"/>
        <w:spacing w:after="0" w:line="285" w:lineRule="auto"/>
        <w:rPr>
          <w:sz w:val="20"/>
          <w:szCs w:val="20"/>
          <w:color w:val="auto"/>
        </w:rPr>
      </w:pPr>
      <w:r>
        <w:rPr>
          <w:rFonts w:ascii="Arial" w:cs="Arial" w:eastAsia="Arial" w:hAnsi="Arial"/>
          <w:sz w:val="11"/>
          <w:szCs w:val="11"/>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an entity controlled by Mr. Schutte, with Acura’s consent, all of its right, title and interest in the Agreement between MainPointe and Acura.</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Misuse or Abuse of Prescription Opioid Products and Development of Risk Mitigation Formulations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2018, there were 312,000 incidents of self-harm in the US. In 2019, suicides exceeded 47,000 with half the US states reporting a greater than 30% increase since 1999. For ages 15-24, suicide is the second leading cause of death and veterans die by suicide at a higher rate than the civilian population. Only 54% of suicide decedents had a prior diagnosis of a mental health issue and over 10% had chronic pain representing potential opioid patients. Suicide by poisoning, which would include overdose of prescription medications, make up over 10% of successful suicide attempts with those with prior diagnosed mental health issues twice as likely to die by poisoning.</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Overdose is not limited to intentional acts of self-harm. In 2018, over 67,000 citizens died from accidental licit and illicit drug overdose, with the most prevalent licit drug classes being opioids, psychostimulants, benzodiazepines and antidepressants. The misuse and abuse of opioid analgesics continues to constitute a dynamic and challenging threat to the United States and in 2017, the US Government declared opioid abuse as an epidemic and national health emergency. In 2018, an estimated 9.9 million persons aged 12 years and older, reported opioid misuse in the past year. Overdoses involving opioids killed nearly 47,000 people in 2018 and 32% of those deaths involved prescription opioids.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Overdose Risk Mitigation - Products and Development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Abusers as well as legitimate pain patients are at risk of overdose. In some cases, overdose is accidental but anecdotal reports indicate suicide rates among pain patients are increasing presumably due to their inability to access the pain medications they need to manage their condition.</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 June 2019, FDA issued a draft for public comment guidance on a Benefit-Risk Assessment Framework for Opioid Analgesic Drugs. The draft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of our LIMITx Technology products will likely also entail additional safety and/or efficacy assessment as may be identified by the FDA for each specific formulation during the Investigational New Drug application, or IND, or the NDA phase of development.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LIMITx™ Technology</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LIMITx Technology Products in Development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products in development utilizing our LIMITx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6000" w:type="dxa"/>
            <w:vAlign w:val="bottom"/>
            <w:tcBorders>
              <w:top w:val="single" w:sz="8" w:color="auto"/>
              <w:left w:val="single" w:sz="8" w:color="auto"/>
              <w:bottom w:val="single" w:sz="8" w:color="auto"/>
              <w:right w:val="single" w:sz="8" w:color="auto"/>
            </w:tcBorders>
          </w:tcPr>
          <w:p>
            <w:pPr>
              <w:ind w:left="2240"/>
              <w:spacing w:after="0"/>
              <w:rPr>
                <w:sz w:val="20"/>
                <w:szCs w:val="20"/>
                <w:color w:val="auto"/>
              </w:rPr>
            </w:pPr>
            <w:r>
              <w:rPr>
                <w:rFonts w:ascii="Arial" w:cs="Arial" w:eastAsia="Arial" w:hAnsi="Arial"/>
                <w:sz w:val="12"/>
                <w:szCs w:val="12"/>
                <w:b w:val="1"/>
                <w:bCs w:val="1"/>
                <w:color w:val="auto"/>
              </w:rPr>
              <w:t>LIMITx Technology Products</w:t>
            </w:r>
          </w:p>
        </w:tc>
        <w:tc>
          <w:tcPr>
            <w:tcW w:w="5300" w:type="dxa"/>
            <w:vAlign w:val="bottom"/>
            <w:tcBorders>
              <w:top w:val="single" w:sz="8" w:color="auto"/>
              <w:bottom w:val="single" w:sz="8" w:color="auto"/>
              <w:right w:val="single" w:sz="8" w:color="auto"/>
            </w:tcBorders>
          </w:tcPr>
          <w:p>
            <w:pPr>
              <w:ind w:left="2480"/>
              <w:spacing w:after="0"/>
              <w:rPr>
                <w:sz w:val="20"/>
                <w:szCs w:val="20"/>
                <w:color w:val="auto"/>
              </w:rPr>
            </w:pPr>
            <w:r>
              <w:rPr>
                <w:rFonts w:ascii="Arial" w:cs="Arial" w:eastAsia="Arial" w:hAnsi="Arial"/>
                <w:sz w:val="12"/>
                <w:szCs w:val="12"/>
                <w:b w:val="1"/>
                <w:bCs w:val="1"/>
                <w:color w:val="auto"/>
              </w:rPr>
              <w:t>Status</w:t>
            </w:r>
          </w:p>
        </w:tc>
      </w:tr>
      <w:tr>
        <w:trPr>
          <w:trHeight w:val="124"/>
        </w:trPr>
        <w:tc>
          <w:tcPr>
            <w:tcW w:w="6000" w:type="dxa"/>
            <w:vAlign w:val="bottom"/>
            <w:tcBorders>
              <w:left w:val="single" w:sz="8" w:color="auto"/>
              <w:right w:val="single" w:sz="8" w:color="auto"/>
            </w:tcBorders>
            <w:shd w:val="clear" w:color="auto" w:fill="CCEEFF"/>
          </w:tcPr>
          <w:p>
            <w:pPr>
              <w:ind w:left="60"/>
              <w:spacing w:after="0" w:line="124" w:lineRule="exact"/>
              <w:rPr>
                <w:sz w:val="20"/>
                <w:szCs w:val="20"/>
                <w:color w:val="auto"/>
              </w:rPr>
            </w:pPr>
            <w:r>
              <w:rPr>
                <w:rFonts w:ascii="Arial" w:cs="Arial" w:eastAsia="Arial" w:hAnsi="Arial"/>
                <w:sz w:val="12"/>
                <w:szCs w:val="12"/>
                <w:color w:val="auto"/>
              </w:rPr>
              <w:t>Immediate-release hydrocodone bitartrate with acetaminophen (LTX-03)</w:t>
            </w:r>
          </w:p>
        </w:tc>
        <w:tc>
          <w:tcPr>
            <w:tcW w:w="5300" w:type="dxa"/>
            <w:vAlign w:val="bottom"/>
            <w:tcBorders>
              <w:right w:val="single" w:sz="8" w:color="auto"/>
            </w:tcBorders>
            <w:shd w:val="clear" w:color="auto" w:fill="CCEEFF"/>
          </w:tcPr>
          <w:p>
            <w:pPr>
              <w:ind w:left="60"/>
              <w:spacing w:after="0" w:line="124" w:lineRule="exact"/>
              <w:rPr>
                <w:sz w:val="20"/>
                <w:szCs w:val="20"/>
                <w:color w:val="auto"/>
              </w:rPr>
            </w:pPr>
            <w:r>
              <w:rPr>
                <w:rFonts w:ascii="Arial" w:cs="Arial" w:eastAsia="Arial" w:hAnsi="Arial"/>
                <w:sz w:val="12"/>
                <w:szCs w:val="12"/>
                <w:color w:val="auto"/>
              </w:rPr>
              <w:t>FDA registration/clinical batches complete in Feb. 2021 – quality assurance testing is pending.</w:t>
            </w:r>
          </w:p>
        </w:tc>
      </w:tr>
      <w:tr>
        <w:trPr>
          <w:trHeight w:val="153"/>
        </w:trPr>
        <w:tc>
          <w:tcPr>
            <w:tcW w:w="60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3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IND updated Feb. 2021 with protocols for 3 human clinical studies.</w:t>
            </w:r>
          </w:p>
        </w:tc>
      </w:tr>
      <w:tr>
        <w:trPr>
          <w:trHeight w:val="133"/>
        </w:trPr>
        <w:tc>
          <w:tcPr>
            <w:tcW w:w="600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Immediate-release oxycodone HCl (LTX-01) &amp; (LTX-02)</w:t>
            </w:r>
          </w:p>
        </w:tc>
        <w:tc>
          <w:tcPr>
            <w:tcW w:w="53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Formulation development in process</w:t>
            </w:r>
          </w:p>
        </w:tc>
      </w:tr>
      <w:tr>
        <w:trPr>
          <w:trHeight w:val="133"/>
        </w:trPr>
        <w:tc>
          <w:tcPr>
            <w:tcW w:w="600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Immediate-release non-opioid drug (LTX-09)</w:t>
            </w:r>
          </w:p>
        </w:tc>
        <w:tc>
          <w:tcPr>
            <w:tcW w:w="53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Formulation development in process</w:t>
            </w:r>
          </w:p>
        </w:tc>
      </w:tr>
      <w:tr>
        <w:trPr>
          <w:trHeight w:val="133"/>
        </w:trPr>
        <w:tc>
          <w:tcPr>
            <w:tcW w:w="600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Immediate-release hydromorphone HCI (LTX-04)</w:t>
            </w:r>
          </w:p>
        </w:tc>
        <w:tc>
          <w:tcPr>
            <w:tcW w:w="53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Two Phase I exploratory pharmacokinetic studies completed. IND no longer active.</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LTX-03 Development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Study 301</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3" w:right="299" w:bottom="1440" w:gutter="0" w:footer="0" w:header="0"/>
        </w:sectPr>
      </w:pPr>
    </w:p>
    <w:bookmarkStart w:id="26" w:name="page27"/>
    <w:bookmarkEnd w:id="26"/>
    <w:p>
      <w:pPr>
        <w:ind w:left="428"/>
        <w:spacing w:after="0"/>
        <w:rPr>
          <w:sz w:val="20"/>
          <w:szCs w:val="20"/>
          <w:color w:val="auto"/>
        </w:rPr>
      </w:pPr>
      <w:r>
        <w:rPr>
          <w:rFonts w:ascii="Arial" w:cs="Arial" w:eastAsia="Arial" w:hAnsi="Arial"/>
          <w:sz w:val="12"/>
          <w:szCs w:val="12"/>
          <w:b w:val="1"/>
          <w:bCs w:val="1"/>
          <w:i w:val="1"/>
          <w:iCs w:val="1"/>
          <w:color w:val="auto"/>
        </w:rPr>
        <w:t>Manufacturing</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have completed with AD Pharma, commercial scale-up of the LTX-03 manufacturing process at a contract manufacturing organization. In February 2021, we completed manufacturing three NDA required registration/clinical batches of the to-be-marketed LTX-03 formulation on the commercial scale manufacturing equipment with quality assurance testing of the product pending before these batches can be deemed successful and ready for use. We intend to complete a six month shelf life study on these tablets for submission in the NDA which will start once the tablets are deemed acceptable.</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IND Update</w:t>
      </w:r>
    </w:p>
    <w:p>
      <w:pPr>
        <w:spacing w:after="0" w:line="150"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We submitted an Investigational New Drug Application, or IND with respect to LTX-03, to the FDA in the first quarter of 2018, which became effective in April 2018. In February 2021, we submitted to the FDA an update to the LTX-03 IND with our proposed clinical protocols for further development of LTX-03. The clinical protocols includes:</w:t>
      </w:r>
    </w:p>
    <w:p>
      <w:pPr>
        <w:spacing w:after="0" w:line="115" w:lineRule="exact"/>
        <w:rPr>
          <w:sz w:val="20"/>
          <w:szCs w:val="20"/>
          <w:color w:val="auto"/>
        </w:rPr>
      </w:pPr>
    </w:p>
    <w:p>
      <w:pPr>
        <w:ind w:left="88" w:hanging="88"/>
        <w:spacing w:after="0"/>
        <w:tabs>
          <w:tab w:leader="none" w:pos="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one tablet, single dose pharmacokinetic study in fasted, healthy adult subjects;</w:t>
      </w:r>
    </w:p>
    <w:p>
      <w:pPr>
        <w:spacing w:after="0" w:line="14" w:lineRule="exact"/>
        <w:rPr>
          <w:rFonts w:ascii="Arial" w:cs="Arial" w:eastAsia="Arial" w:hAnsi="Arial"/>
          <w:sz w:val="12"/>
          <w:szCs w:val="12"/>
          <w:color w:val="auto"/>
        </w:rPr>
      </w:pPr>
    </w:p>
    <w:p>
      <w:pPr>
        <w:ind w:left="88" w:hanging="88"/>
        <w:spacing w:after="0"/>
        <w:tabs>
          <w:tab w:leader="none" w:pos="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2, 5 and tablet single dose pharmacokinetic study in fasted, healthy adult subjects; and</w:t>
      </w:r>
    </w:p>
    <w:p>
      <w:pPr>
        <w:spacing w:after="0" w:line="6" w:lineRule="exact"/>
        <w:rPr>
          <w:rFonts w:ascii="Arial" w:cs="Arial" w:eastAsia="Arial" w:hAnsi="Arial"/>
          <w:sz w:val="12"/>
          <w:szCs w:val="12"/>
          <w:color w:val="auto"/>
        </w:rPr>
      </w:pPr>
    </w:p>
    <w:p>
      <w:pPr>
        <w:ind w:left="88" w:hanging="88"/>
        <w:spacing w:after="0"/>
        <w:tabs>
          <w:tab w:leader="none" w:pos="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one tablet, single dose pharmacokinetic study in fed, healthy adult subjects.</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These studies also contains design components to evaluate certain pharmacologic data with respect to, among other things, acidic beverages and drug interactions. These design of these studies was based on advice letters received from the FDA but no guarantees can be made that these studies, even if successful, will be sufficient to warrant FDA approval. We have received no comments or suggested changes to our proposed clinical protocols from the FDA based on this IND update.</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intend to advance LTX-03 to clinical development for a New Drug Application (NDA).</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Non-clinical Study APT-RDR-300</w:t>
      </w:r>
    </w:p>
    <w:p>
      <w:pPr>
        <w:spacing w:after="0" w:line="150"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05" w:lineRule="exact"/>
        <w:rPr>
          <w:sz w:val="20"/>
          <w:szCs w:val="20"/>
          <w:color w:val="auto"/>
        </w:rPr>
      </w:pPr>
    </w:p>
    <w:p>
      <w:pPr>
        <w:jc w:val="both"/>
        <w:ind w:left="8" w:right="20"/>
        <w:spacing w:after="0" w:line="289" w:lineRule="auto"/>
        <w:rPr>
          <w:sz w:val="20"/>
          <w:szCs w:val="20"/>
          <w:color w:val="auto"/>
        </w:rPr>
      </w:pPr>
      <w:r>
        <w:rPr>
          <w:rFonts w:ascii="Arial" w:cs="Arial" w:eastAsia="Arial" w:hAnsi="Arial"/>
          <w:sz w:val="11"/>
          <w:szCs w:val="11"/>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90%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Non-clinical Study APT-RDR-301</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Study APT-RDR-301 was a non-clinical study of respiratory depression in which five groups of 10 Sprague-Dawley rats were orally administered doses of hydrocodone ranging from 100mg of drug per kg of body weight (mg/kg) up to 300 mg/kg and one group receiving placebo. Subjects in each group were measured for OIRD assessing peripheral oxygen saturation (SpO2) of the blood at 30-miniutes post-dose. After the 30-minute SpO2 reading, a blood sample was taken from each subject.</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7" w:name="page28"/>
    <w:bookmarkEnd w:id="27"/>
    <w:p>
      <w:pPr>
        <w:jc w:val="both"/>
        <w:ind w:right="20"/>
        <w:spacing w:after="0" w:line="276" w:lineRule="auto"/>
        <w:rPr>
          <w:sz w:val="20"/>
          <w:szCs w:val="20"/>
          <w:color w:val="auto"/>
        </w:rPr>
      </w:pPr>
      <w:r>
        <w:rPr>
          <w:rFonts w:ascii="Arial" w:cs="Arial" w:eastAsia="Arial" w:hAnsi="Arial"/>
          <w:sz w:val="12"/>
          <w:szCs w:val="12"/>
          <w:color w:val="auto"/>
        </w:rPr>
        <w:t>In Study APT-RDR-301 all drug doses demonstrated with statistical significance (p&lt;.05) SpO2 measured OIRD at 30-minutes post-dosing. The mortality rate was correlated with higher doses with a lethal dose in 50% of the animals (LD50) consistent with study APT-RDR-300. A regression analysis of individual subjects demonstrated a statistically significant association between Cmax and SpO2 at the 30-minute timepoint.</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Since our non-clinical studies are to characterize the pharmacology of our tablet formulation and not the toxicologic safety of the active ingredients, these studies were not run in compliance with FDA’s current good laboratory practices.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 Pharma Agreement covering LTX-03</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June 28, 2019 we announced a License, Development and Commercialization Agreement, as amended in October 2020 (the "AD Pharma Amended Agreement"), with Abuse Deterrent Pharma, LLC (“AD Pharma”), a special purpose company representing a consortium of investors that will finance Acura’s operations through July, 2021,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 AD Pharma also has licensed commercialization rights to LTX-02 (oxycodone/acetaminophen) and LTX-09 (alprazolam).</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AD Pharma Amended Agreement grants AD Pharma exclusive commercialization rights in the United States to LTX-03. Financial arrangements include monthly license payments by AD Pharma of $350,000 up to April 2020 and $200,000 thereafter until the earlier of July 31, 2021 or FDA’s acceptance of a New Drug Application (“NDA”) for LTX-03 and reimburse all our outside development costs for LTX-03. Upon commercialization of LTX-03, Acura receives stepped royalties on sales and is eligible for certain sales related milestones. AD Pharma is delinquent in remitting monthly license payments for January, 2021 thru May, 2021 which aggregates to $1.0 million and approximately $100,000 of reimbursable LTX-03 development expenses. Failure to make these payments is an event of default under the AD Pharma Amended Agreement, as amended.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 Pharma may terminate the AD Pharma Amended Agreement at any time. Additionally, if the NDA for LTX-03 is not accepted by the FDA by July 31, 2021, AD Pharma has the option to terminate the AD Pharma Amended Agreement and take ownership of the LIMITx intellectual property. Should AD Pharma choose not to exercise this option to terminate and the NDA for LTX-03 is subsequently accepted by the FDA, such option expires. Acura expects the submission and FDA acceptance of the NDA for LTX-03 to now occur after July 31, 2021. Acura is currently in discussions with AD Pharma to further amend the AD Pharma Amended Agreement. There can be no assurance that AD Pharma will agree to extend the NDA filing acceptance date or that they will not take ownership of the intellectual property.</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however effective with the October 2020 amendment,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We understand that MainPointe continues to market the Nexafed products.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Mr. Schutte is our largest shareholder and directly owns approximately 44.8% of our common stock (after giving effect to the exercise of warrants he holds) as of February 15, 2021. Mr. Schutte also controls MainPointe and is an investor in AD Pharma.</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Aversion Technology</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Oxaydo Tablets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28" w:lineRule="exact"/>
        <w:rPr>
          <w:sz w:val="20"/>
          <w:szCs w:val="20"/>
          <w:color w:val="auto"/>
        </w:rPr>
      </w:pPr>
    </w:p>
    <w:p>
      <w:pPr>
        <w:ind w:left="540" w:hanging="1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30% of subjects exposed to Oxaydo responded that they would not take the drug again compared to 5% of subjects exposed to immediate-release oxycodone;</w:t>
      </w:r>
    </w:p>
    <w:p>
      <w:pPr>
        <w:spacing w:after="0" w:line="150" w:lineRule="exact"/>
        <w:rPr>
          <w:rFonts w:ascii="Arial" w:cs="Arial" w:eastAsia="Arial" w:hAnsi="Arial"/>
          <w:sz w:val="12"/>
          <w:szCs w:val="12"/>
          <w:color w:val="auto"/>
        </w:rPr>
      </w:pPr>
    </w:p>
    <w:p>
      <w:pPr>
        <w:ind w:left="540" w:hanging="1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subjects taking Oxaydo reported a higher incidence of nasopharyngeal and facial adverse events compared to immediate-release oxycodone;</w:t>
      </w:r>
    </w:p>
    <w:p>
      <w:pPr>
        <w:spacing w:after="0" w:line="150" w:lineRule="exact"/>
        <w:rPr>
          <w:rFonts w:ascii="Arial" w:cs="Arial" w:eastAsia="Arial" w:hAnsi="Arial"/>
          <w:sz w:val="12"/>
          <w:szCs w:val="12"/>
          <w:color w:val="auto"/>
        </w:rPr>
      </w:pPr>
    </w:p>
    <w:p>
      <w:pPr>
        <w:ind w:left="540" w:hanging="116"/>
        <w:spacing w:after="0" w:line="276"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decreased ability to completely insufflate two crushed Oxaydo Tablets within a fixed time period (21 of 40 subjects), while all subjects were able to completely insufflate the entire dose of immediate-release oxycodone; and</w:t>
      </w:r>
    </w:p>
    <w:p>
      <w:pPr>
        <w:spacing w:after="0" w:line="114" w:lineRule="exact"/>
        <w:rPr>
          <w:rFonts w:ascii="Arial" w:cs="Arial" w:eastAsia="Arial" w:hAnsi="Arial"/>
          <w:sz w:val="12"/>
          <w:szCs w:val="12"/>
          <w:color w:val="auto"/>
        </w:rPr>
      </w:pPr>
    </w:p>
    <w:p>
      <w:pPr>
        <w:ind w:left="540" w:hanging="1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small numeric differences in the median and mean drug liking scores, which were lower in response to Oxaydo than immediate-release oxycodone.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and Assertio have a post-approval commitment with the FDA to perform an epidemiology study to assess the actual impact on abuse of Oxaydo Tablets.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We believe that Assertio has shifted focus to marketing other products in their portfolio and deemphasized the marketing Oxaydo.</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Assertio Agreement Covering Oxaydo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January 7, 2015, we and Egalet US, Inc. and Egalet Ltd., each a subsidiary of Egalet Corporation, (now known as Assertio Holdings Inc.),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2"/>
          <w:szCs w:val="12"/>
          <w:color w:val="auto"/>
        </w:rPr>
        <w:t>In accordance with the Assertio Agreement, we and Assertio formed a joint steering committee to oversee commercialization strategies and the development of product line extensions. Assertio pays a significant portion of the expenses relating to (i) annual NDA PDUFA program fees, (ii) expenses of the FDA required post-marketing study for Oxaydo and (iii) expenses of clinical studies for product line extensions (additional strengths) of Oxaydo for the United States and pays all of the expenses of development and regulatory approval of Oxaydo for sale outside the United States. Assertio is responsible for all manufacturing and commercialization activities in the Territory for Oxaydo. Subject to certain exceptions, Assertio has final decision making authority with respect to all development and commercialization activities for Oxaydo, including pricing, subject to our co-promotion right. Assertio may develop Oxaydo for other countries and in additional strengths, in its discretion.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Assertio paid us an upfront payment of $5.0 million upon signing of the Assertio Agreement and a $2.5 million milestone in October 2015 in connection with the launch of Oxaydo. In addition, we will be entitled to a one-time $12.5 million milestone payment when worldwide Oxaydo net sales reach $150.0 million in a calendar year. In addition, we are entitled to receive from Assertio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Assertio to acquire intellectual property rights to commercialize Oxaydo, with an aggregate minimum floor.</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As part of a 2020 restructuring by Assertio, it is our understanding that they have decided to reduce selling efforts pertaining to Oxaydo and as such, we expect royalties to decline over the remainder of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KemPharm Agreement Covering Opioid Prodrugs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December 31, 2020 we are unaware of KemPharm’s use of our Aversion technology under the KemPharm Agreement.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 w:name="page31"/>
    <w:bookmarkEnd w:id="30"/>
    <w:p>
      <w:pPr>
        <w:jc w:val="both"/>
        <w:spacing w:after="0" w:line="289" w:lineRule="auto"/>
        <w:rPr>
          <w:sz w:val="20"/>
          <w:szCs w:val="20"/>
          <w:color w:val="auto"/>
        </w:rPr>
      </w:pPr>
      <w:r>
        <w:rPr>
          <w:rFonts w:ascii="Arial" w:cs="Arial" w:eastAsia="Arial" w:hAnsi="Arial"/>
          <w:sz w:val="11"/>
          <w:szCs w:val="11"/>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Aversion Technology Development Opioid Products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Abuse of Pseudoephedrine Products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2019 CDC Drug Surveillance Report reported two million Americans aged 12 or older having used methamphetamine in the past year. From 2015-2018, an estimated 1.6 million U.S. adults aged ≥18 years, on average, reported past-year methamphetamine use. A 2018 study by researchers at Washington University in St. Louis found that methamphetamine use has increased significantly among people with an existing opioid use disorder (OUD). People with OUD in their study reported substituting methamphetamine for opioids when the latter are hard to obtain or are perceived as unsafe, or that they sought a synergistic high by combining them. People who purposefully combine heroin and cocaine or methamphetamine report that the stimulant helps to balance out the sedative effect of opioids, enabling them to function “normally.” However, the combination can enhance the drugs’ toxicity and lethality, by exacerbating their individual cardiovascular and respiratory effects.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Impede Technology Products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138" w:lineRule="exact"/>
        <w:rPr>
          <w:sz w:val="20"/>
          <w:szCs w:val="20"/>
          <w:color w:val="auto"/>
        </w:rPr>
      </w:pPr>
    </w:p>
    <w:tbl>
      <w:tblPr>
        <w:tblLayout w:type="fixed"/>
        <w:tblInd w:w="16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Meth Resistant</w:t>
            </w: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2"/>
                <w:szCs w:val="12"/>
                <w:b w:val="1"/>
                <w:bCs w:val="1"/>
                <w:color w:val="auto"/>
              </w:rPr>
              <w:t>Meth Recovery</w:t>
            </w:r>
            <w:r>
              <w:rPr>
                <w:rFonts w:ascii="Arial" w:cs="Arial" w:eastAsia="Arial" w:hAnsi="Arial"/>
                <w:sz w:val="19"/>
                <w:szCs w:val="19"/>
                <w:b w:val="1"/>
                <w:bCs w:val="1"/>
                <w:color w:val="auto"/>
                <w:vertAlign w:val="superscript"/>
              </w:rPr>
              <w:t>1</w:t>
            </w: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2"/>
                <w:szCs w:val="12"/>
                <w:b w:val="1"/>
                <w:bCs w:val="1"/>
                <w:color w:val="auto"/>
              </w:rPr>
              <w:t>Purity</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57"/>
        </w:trPr>
        <w:tc>
          <w:tcPr>
            <w:tcW w:w="3880" w:type="dxa"/>
            <w:vAlign w:val="bottom"/>
            <w:gridSpan w:val="2"/>
          </w:tcPr>
          <w:p>
            <w:pPr>
              <w:spacing w:after="0"/>
              <w:rPr>
                <w:sz w:val="20"/>
                <w:szCs w:val="20"/>
                <w:color w:val="auto"/>
              </w:rPr>
            </w:pPr>
            <w:r>
              <w:rPr>
                <w:rFonts w:ascii="Arial" w:cs="Arial" w:eastAsia="Arial" w:hAnsi="Arial"/>
                <w:sz w:val="12"/>
                <w:szCs w:val="12"/>
                <w:b w:val="1"/>
                <w:bCs w:val="1"/>
                <w:color w:val="auto"/>
              </w:rPr>
              <w:t>Product/Formulation</w:t>
            </w:r>
          </w:p>
        </w:tc>
        <w:tc>
          <w:tcPr>
            <w:tcW w:w="1260" w:type="dxa"/>
            <w:vAlign w:val="bottom"/>
            <w:gridSpan w:val="2"/>
          </w:tcPr>
          <w:p>
            <w:pPr>
              <w:ind w:left="300"/>
              <w:spacing w:after="0"/>
              <w:rPr>
                <w:sz w:val="20"/>
                <w:szCs w:val="20"/>
                <w:color w:val="auto"/>
              </w:rPr>
            </w:pPr>
            <w:r>
              <w:rPr>
                <w:rFonts w:ascii="Arial" w:cs="Arial" w:eastAsia="Arial" w:hAnsi="Arial"/>
                <w:sz w:val="12"/>
                <w:szCs w:val="12"/>
                <w:b w:val="1"/>
                <w:bCs w:val="1"/>
                <w:color w:val="auto"/>
              </w:rPr>
              <w:t>Technology</w:t>
            </w:r>
          </w:p>
        </w:tc>
        <w:tc>
          <w:tcPr>
            <w:tcW w:w="142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right w:val="single" w:sz="8" w:color="CCEEFF"/>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Sudafed® 30mg Tablets</w:t>
            </w:r>
          </w:p>
        </w:tc>
        <w:tc>
          <w:tcPr>
            <w:tcW w:w="1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None</w:t>
            </w:r>
          </w:p>
        </w:tc>
        <w:tc>
          <w:tcPr>
            <w:tcW w:w="80" w:type="dxa"/>
            <w:vAlign w:val="bottom"/>
            <w:vMerge w:val="continue"/>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2"/>
                <w:szCs w:val="12"/>
                <w:color w:val="auto"/>
              </w:rPr>
              <w:t>Nexafed 30mg Technology</w:t>
            </w:r>
          </w:p>
        </w:tc>
        <w:tc>
          <w:tcPr>
            <w:tcW w:w="1260" w:type="dxa"/>
            <w:vAlign w:val="bottom"/>
            <w:gridSpan w:val="2"/>
          </w:tcPr>
          <w:p>
            <w:pPr>
              <w:ind w:left="60"/>
              <w:spacing w:after="0"/>
              <w:rPr>
                <w:sz w:val="20"/>
                <w:szCs w:val="20"/>
                <w:color w:val="auto"/>
              </w:rPr>
            </w:pPr>
            <w:r>
              <w:rPr>
                <w:rFonts w:ascii="Arial" w:cs="Arial" w:eastAsia="Arial" w:hAnsi="Arial"/>
                <w:sz w:val="12"/>
                <w:szCs w:val="12"/>
                <w:color w:val="auto"/>
              </w:rPr>
              <w:t>Impede® 1.0</w:t>
            </w: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38%</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Zephrex-D® 30mg Pills</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Tarex®</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2"/>
                <w:szCs w:val="12"/>
                <w:color w:val="auto"/>
              </w:rPr>
              <w:t>Nexafed 120mg Extended-release tablets</w:t>
            </w:r>
          </w:p>
        </w:tc>
        <w:tc>
          <w:tcPr>
            <w:tcW w:w="1260" w:type="dxa"/>
            <w:vAlign w:val="bottom"/>
            <w:gridSpan w:val="2"/>
          </w:tcPr>
          <w:p>
            <w:pPr>
              <w:ind w:left="60"/>
              <w:spacing w:after="0"/>
              <w:rPr>
                <w:sz w:val="20"/>
                <w:szCs w:val="20"/>
                <w:color w:val="auto"/>
              </w:rPr>
            </w:pPr>
            <w:r>
              <w:rPr>
                <w:rFonts w:ascii="Arial" w:cs="Arial" w:eastAsia="Arial" w:hAnsi="Arial"/>
                <w:sz w:val="12"/>
                <w:szCs w:val="12"/>
                <w:color w:val="auto"/>
              </w:rPr>
              <w:t>Impede® 2.0</w:t>
            </w: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hanging="76"/>
        <w:spacing w:after="0"/>
        <w:tabs>
          <w:tab w:leader="none" w:pos="50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Total methamphetamine HCl recovered from the equivalent of 100 PSE 30mg tablets divided by the maximum theoretical yield of 2.7 grams.</w:t>
      </w:r>
    </w:p>
    <w:p>
      <w:pPr>
        <w:spacing w:after="0" w:line="28" w:lineRule="exact"/>
        <w:rPr>
          <w:rFonts w:ascii="Arial" w:cs="Arial" w:eastAsia="Arial" w:hAnsi="Arial"/>
          <w:sz w:val="20"/>
          <w:szCs w:val="20"/>
          <w:color w:val="auto"/>
          <w:vertAlign w:val="superscript"/>
        </w:rPr>
      </w:pPr>
    </w:p>
    <w:p>
      <w:pPr>
        <w:ind w:left="420"/>
        <w:spacing w:after="0"/>
        <w:rPr>
          <w:rFonts w:ascii="Arial" w:cs="Arial" w:eastAsia="Arial" w:hAnsi="Arial"/>
          <w:sz w:val="20"/>
          <w:szCs w:val="20"/>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Total methamphetamine HCl recovered from the equivalent of 100 PSE 30mg tablets divided by the total weight of powder recovered.</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We have previously demonstrated in a pilot clinical study the bioequivalence of a formulation of our Nexafed extended release tablets utilizing our Impede 2.0 Technology to Sudafed® 12-hour Tablets.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Nexafed Products and the MainPointe Agreement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2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MainPointe Agreement and controls the marketing and sale of our Nexafed products.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MainPointe Agreement in such country.</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 however effective with the October 2020 amendment, this option and right was rescinded.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2"/>
          <w:szCs w:val="12"/>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On January 1, 2020, MainPointe assigned to AD Pharma, with Acura’s consent, all of its right, title and interest in the MainPointe Agreement between MainPointe and Acura dated March 16,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Impede Technology Products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Given the fragmented nature of the PSE market with products containing multiple active ingredients, we have developed additional products for our Nexafed franchise:</w:t>
      </w:r>
    </w:p>
    <w:p>
      <w:pPr>
        <w:spacing w:after="0" w:line="139" w:lineRule="exact"/>
        <w:rPr>
          <w:sz w:val="20"/>
          <w:szCs w:val="20"/>
          <w:color w:val="auto"/>
        </w:rPr>
      </w:pPr>
    </w:p>
    <w:tbl>
      <w:tblPr>
        <w:tblLayout w:type="fixed"/>
        <w:tblInd w:w="570" w:type="dxa"/>
        <w:tblCellMar>
          <w:top w:w="0" w:type="dxa"/>
          <w:left w:w="0" w:type="dxa"/>
          <w:bottom w:w="0" w:type="dxa"/>
          <w:right w:w="0" w:type="dxa"/>
        </w:tblCellMar>
      </w:tblPr>
      <w:tr>
        <w:trPr>
          <w:trHeight w:val="153"/>
        </w:trPr>
        <w:tc>
          <w:tcPr>
            <w:tcW w:w="5400" w:type="dxa"/>
            <w:vAlign w:val="bottom"/>
            <w:tcBorders>
              <w:top w:val="single" w:sz="8" w:color="auto"/>
              <w:left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2"/>
                <w:szCs w:val="12"/>
                <w:b w:val="1"/>
                <w:bCs w:val="1"/>
                <w:color w:val="auto"/>
              </w:rPr>
              <w:t>Impede Technology Products</w:t>
            </w:r>
          </w:p>
        </w:tc>
        <w:tc>
          <w:tcPr>
            <w:tcW w:w="4780" w:type="dxa"/>
            <w:vAlign w:val="bottom"/>
            <w:tcBorders>
              <w:top w:val="single" w:sz="8" w:color="auto"/>
              <w:bottom w:val="single" w:sz="8" w:color="auto"/>
              <w:right w:val="single" w:sz="8" w:color="auto"/>
            </w:tcBorders>
          </w:tcPr>
          <w:p>
            <w:pPr>
              <w:ind w:left="2220"/>
              <w:spacing w:after="0"/>
              <w:rPr>
                <w:sz w:val="20"/>
                <w:szCs w:val="20"/>
                <w:color w:val="auto"/>
              </w:rPr>
            </w:pPr>
            <w:r>
              <w:rPr>
                <w:rFonts w:ascii="Arial" w:cs="Arial" w:eastAsia="Arial" w:hAnsi="Arial"/>
                <w:sz w:val="12"/>
                <w:szCs w:val="12"/>
                <w:b w:val="1"/>
                <w:bCs w:val="1"/>
                <w:color w:val="auto"/>
              </w:rPr>
              <w:t>Status</w:t>
            </w:r>
          </w:p>
        </w:tc>
      </w:tr>
      <w:tr>
        <w:trPr>
          <w:trHeight w:val="124"/>
        </w:trPr>
        <w:tc>
          <w:tcPr>
            <w:tcW w:w="540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tcPr>
          <w:p>
            <w:pPr>
              <w:ind w:left="120"/>
              <w:spacing w:after="0" w:line="124" w:lineRule="exact"/>
              <w:rPr>
                <w:sz w:val="20"/>
                <w:szCs w:val="20"/>
                <w:color w:val="auto"/>
              </w:rPr>
            </w:pPr>
            <w:r>
              <w:rPr>
                <w:rFonts w:ascii="Arial" w:cs="Arial" w:eastAsia="Arial" w:hAnsi="Arial"/>
                <w:sz w:val="12"/>
                <w:szCs w:val="12"/>
                <w:color w:val="auto"/>
                <w:w w:val="92"/>
              </w:rPr>
              <w:t>Pilot pharmacokinetic testing demonstrated bioequivalence to Sudafed® 12-hour Tablets. Pre-</w:t>
            </w:r>
          </w:p>
        </w:tc>
      </w:tr>
      <w:tr>
        <w:trPr>
          <w:trHeight w:val="144"/>
        </w:trPr>
        <w:tc>
          <w:tcPr>
            <w:tcW w:w="5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Extended-release formulation utilizing Impede 2.0 Technology</w:t>
            </w:r>
          </w:p>
        </w:tc>
        <w:tc>
          <w:tcPr>
            <w:tcW w:w="4780" w:type="dxa"/>
            <w:vAlign w:val="bottom"/>
            <w:tcBorders>
              <w:right w:val="single" w:sz="8" w:color="auto"/>
            </w:tcBorders>
          </w:tcPr>
          <w:p>
            <w:pPr>
              <w:ind w:left="120"/>
              <w:spacing w:after="0"/>
              <w:rPr>
                <w:sz w:val="20"/>
                <w:szCs w:val="20"/>
                <w:color w:val="auto"/>
              </w:rPr>
            </w:pPr>
            <w:r>
              <w:rPr>
                <w:rFonts w:ascii="Arial" w:cs="Arial" w:eastAsia="Arial" w:hAnsi="Arial"/>
                <w:sz w:val="12"/>
                <w:szCs w:val="12"/>
                <w:color w:val="auto"/>
              </w:rPr>
              <w:t>IND meeting held with the FDA</w:t>
            </w:r>
          </w:p>
        </w:tc>
      </w:tr>
      <w:tr>
        <w:trPr>
          <w:trHeight w:val="153"/>
        </w:trPr>
        <w:tc>
          <w:tcPr>
            <w:tcW w:w="5400" w:type="dxa"/>
            <w:vAlign w:val="bottom"/>
            <w:tcBorders>
              <w:left w:val="single" w:sz="8" w:color="auto"/>
              <w:bottom w:val="single" w:sz="8" w:color="auto"/>
              <w:right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No imminent development planned</w:t>
            </w:r>
          </w:p>
        </w:tc>
      </w:tr>
      <w:tr>
        <w:trPr>
          <w:trHeight w:val="133"/>
        </w:trPr>
        <w:tc>
          <w:tcPr>
            <w:tcW w:w="5400" w:type="dxa"/>
            <w:vAlign w:val="bottom"/>
            <w:tcBorders>
              <w:left w:val="single" w:sz="8" w:color="auto"/>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Extended-release combination products</w:t>
            </w:r>
          </w:p>
        </w:tc>
        <w:tc>
          <w:tcPr>
            <w:tcW w:w="478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No imminent development planned</w:t>
            </w:r>
          </w:p>
        </w:tc>
      </w:tr>
      <w:tr>
        <w:trPr>
          <w:trHeight w:val="133"/>
        </w:trPr>
        <w:tc>
          <w:tcPr>
            <w:tcW w:w="5400" w:type="dxa"/>
            <w:vAlign w:val="bottom"/>
            <w:tcBorders>
              <w:left w:val="single" w:sz="8" w:color="auto"/>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Loratadine with pseudoephedrine</w:t>
            </w:r>
          </w:p>
        </w:tc>
        <w:tc>
          <w:tcPr>
            <w:tcW w:w="478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No imminent development planned</w:t>
            </w:r>
          </w:p>
        </w:tc>
      </w:tr>
    </w:tbl>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Market Opportunity for Impede PSE Products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The top retail selling PSE OTC cold/allergy products are:</w:t>
      </w:r>
    </w:p>
    <w:p>
      <w:pPr>
        <w:spacing w:after="0" w:line="111" w:lineRule="exact"/>
        <w:rPr>
          <w:sz w:val="20"/>
          <w:szCs w:val="20"/>
          <w:color w:val="auto"/>
        </w:rPr>
      </w:pPr>
    </w:p>
    <w:tbl>
      <w:tblPr>
        <w:tblLayout w:type="fixed"/>
        <w:tblInd w:w="2270" w:type="dxa"/>
        <w:tblCellMar>
          <w:top w:w="0" w:type="dxa"/>
          <w:left w:w="0" w:type="dxa"/>
          <w:bottom w:w="0" w:type="dxa"/>
          <w:right w:w="0" w:type="dxa"/>
        </w:tblCellMar>
      </w:tblPr>
      <w:tr>
        <w:trPr>
          <w:trHeight w:val="144"/>
        </w:trPr>
        <w:tc>
          <w:tcPr>
            <w:tcW w:w="200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2"/>
                <w:szCs w:val="12"/>
                <w:b w:val="1"/>
                <w:bCs w:val="1"/>
                <w:color w:val="auto"/>
              </w:rPr>
              <w:t>Reference</w:t>
            </w:r>
          </w:p>
        </w:tc>
        <w:tc>
          <w:tcPr>
            <w:tcW w:w="1960" w:type="dxa"/>
            <w:vAlign w:val="bottom"/>
            <w:tcBorders>
              <w:top w:val="single" w:sz="8" w:color="auto"/>
              <w:right w:val="single" w:sz="8" w:color="auto"/>
            </w:tcBorders>
          </w:tcPr>
          <w:p>
            <w:pPr>
              <w:spacing w:after="0"/>
              <w:rPr>
                <w:sz w:val="12"/>
                <w:szCs w:val="12"/>
                <w:color w:val="auto"/>
              </w:rPr>
            </w:pPr>
          </w:p>
        </w:tc>
        <w:tc>
          <w:tcPr>
            <w:tcW w:w="282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2"/>
                <w:szCs w:val="12"/>
                <w:b w:val="1"/>
                <w:bCs w:val="1"/>
                <w:color w:val="auto"/>
              </w:rPr>
              <w:t>Active</w:t>
            </w:r>
          </w:p>
        </w:tc>
      </w:tr>
      <w:tr>
        <w:trPr>
          <w:trHeight w:val="180"/>
        </w:trPr>
        <w:tc>
          <w:tcPr>
            <w:tcW w:w="2000" w:type="dxa"/>
            <w:vAlign w:val="bottom"/>
            <w:tcBorders>
              <w:left w:val="single" w:sz="8" w:color="auto"/>
              <w:bottom w:val="single" w:sz="8" w:color="auto"/>
              <w:right w:val="single" w:sz="8" w:color="auto"/>
            </w:tcBorders>
          </w:tcPr>
          <w:p>
            <w:pPr>
              <w:ind w:left="800"/>
              <w:spacing w:after="0" w:line="180" w:lineRule="exact"/>
              <w:rPr>
                <w:sz w:val="20"/>
                <w:szCs w:val="20"/>
                <w:color w:val="auto"/>
              </w:rPr>
            </w:pPr>
            <w:r>
              <w:rPr>
                <w:rFonts w:ascii="Arial" w:cs="Arial" w:eastAsia="Arial" w:hAnsi="Arial"/>
                <w:sz w:val="12"/>
                <w:szCs w:val="12"/>
                <w:b w:val="1"/>
                <w:bCs w:val="1"/>
                <w:color w:val="auto"/>
              </w:rPr>
              <w:t>Brand</w:t>
            </w:r>
            <w:r>
              <w:rPr>
                <w:rFonts w:ascii="Arial" w:cs="Arial" w:eastAsia="Arial" w:hAnsi="Arial"/>
                <w:sz w:val="19"/>
                <w:szCs w:val="19"/>
                <w:b w:val="1"/>
                <w:bCs w:val="1"/>
                <w:color w:val="auto"/>
                <w:vertAlign w:val="superscript"/>
              </w:rPr>
              <w:t>1</w:t>
            </w:r>
          </w:p>
        </w:tc>
        <w:tc>
          <w:tcPr>
            <w:tcW w:w="19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2"/>
                <w:szCs w:val="12"/>
                <w:b w:val="1"/>
                <w:bCs w:val="1"/>
                <w:color w:val="auto"/>
              </w:rPr>
              <w:t>Brand Company</w:t>
            </w:r>
          </w:p>
        </w:tc>
        <w:tc>
          <w:tcPr>
            <w:tcW w:w="282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2"/>
                <w:szCs w:val="12"/>
                <w:b w:val="1"/>
                <w:bCs w:val="1"/>
                <w:color w:val="auto"/>
              </w:rPr>
              <w:t>Ingredient(s)</w:t>
            </w:r>
          </w:p>
        </w:tc>
      </w:tr>
      <w:tr>
        <w:trPr>
          <w:trHeight w:val="160"/>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Claritin-D</w:t>
            </w:r>
          </w:p>
        </w:tc>
        <w:tc>
          <w:tcPr>
            <w:tcW w:w="19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Bayer</w:t>
            </w:r>
          </w:p>
        </w:tc>
        <w:tc>
          <w:tcPr>
            <w:tcW w:w="2820" w:type="dxa"/>
            <w:vAlign w:val="bottom"/>
            <w:tcBorders>
              <w:bottom w:val="single" w:sz="8" w:color="auto"/>
              <w:right w:val="single" w:sz="8" w:color="auto"/>
            </w:tcBorders>
            <w:shd w:val="clear" w:color="auto" w:fill="CCEEFF"/>
          </w:tcPr>
          <w:p>
            <w:pPr>
              <w:ind w:left="40"/>
              <w:spacing w:after="0" w:line="160" w:lineRule="exact"/>
              <w:rPr>
                <w:sz w:val="20"/>
                <w:szCs w:val="20"/>
                <w:color w:val="auto"/>
              </w:rPr>
            </w:pPr>
            <w:r>
              <w:rPr>
                <w:rFonts w:ascii="Arial" w:cs="Arial" w:eastAsia="Arial" w:hAnsi="Arial"/>
                <w:sz w:val="11"/>
                <w:szCs w:val="11"/>
                <w:color w:val="auto"/>
              </w:rPr>
              <w:t>PSE &amp; Loraditine</w:t>
            </w:r>
            <w:r>
              <w:rPr>
                <w:rFonts w:ascii="Arial" w:cs="Arial" w:eastAsia="Arial" w:hAnsi="Arial"/>
                <w:sz w:val="18"/>
                <w:szCs w:val="18"/>
                <w:color w:val="auto"/>
                <w:vertAlign w:val="superscript"/>
              </w:rPr>
              <w:t>2</w:t>
            </w:r>
          </w:p>
        </w:tc>
      </w:tr>
      <w:tr>
        <w:trPr>
          <w:trHeight w:val="160"/>
        </w:trPr>
        <w:tc>
          <w:tcPr>
            <w:tcW w:w="2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Allegra-D</w:t>
            </w: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Chattem</w:t>
            </w:r>
          </w:p>
        </w:tc>
        <w:tc>
          <w:tcPr>
            <w:tcW w:w="2820" w:type="dxa"/>
            <w:vAlign w:val="bottom"/>
            <w:tcBorders>
              <w:bottom w:val="single" w:sz="8" w:color="auto"/>
              <w:right w:val="single" w:sz="8" w:color="auto"/>
            </w:tcBorders>
          </w:tcPr>
          <w:p>
            <w:pPr>
              <w:ind w:left="40"/>
              <w:spacing w:after="0" w:line="160" w:lineRule="exact"/>
              <w:rPr>
                <w:sz w:val="20"/>
                <w:szCs w:val="20"/>
                <w:color w:val="auto"/>
              </w:rPr>
            </w:pPr>
            <w:r>
              <w:rPr>
                <w:rFonts w:ascii="Arial" w:cs="Arial" w:eastAsia="Arial" w:hAnsi="Arial"/>
                <w:sz w:val="11"/>
                <w:szCs w:val="11"/>
                <w:color w:val="auto"/>
              </w:rPr>
              <w:t>PSE &amp; Fexofenadine</w:t>
            </w:r>
            <w:r>
              <w:rPr>
                <w:rFonts w:ascii="Arial" w:cs="Arial" w:eastAsia="Arial" w:hAnsi="Arial"/>
                <w:sz w:val="18"/>
                <w:szCs w:val="18"/>
                <w:color w:val="auto"/>
                <w:vertAlign w:val="superscript"/>
              </w:rPr>
              <w:t>2</w:t>
            </w:r>
          </w:p>
        </w:tc>
      </w:tr>
      <w:tr>
        <w:trPr>
          <w:trHeight w:val="160"/>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Zyrtec-D</w:t>
            </w:r>
          </w:p>
        </w:tc>
        <w:tc>
          <w:tcPr>
            <w:tcW w:w="19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Pfizer</w:t>
            </w:r>
          </w:p>
        </w:tc>
        <w:tc>
          <w:tcPr>
            <w:tcW w:w="2820" w:type="dxa"/>
            <w:vAlign w:val="bottom"/>
            <w:tcBorders>
              <w:bottom w:val="single" w:sz="8" w:color="auto"/>
              <w:right w:val="single" w:sz="8" w:color="auto"/>
            </w:tcBorders>
            <w:shd w:val="clear" w:color="auto" w:fill="CCEEFF"/>
          </w:tcPr>
          <w:p>
            <w:pPr>
              <w:ind w:left="40"/>
              <w:spacing w:after="0" w:line="160" w:lineRule="exact"/>
              <w:rPr>
                <w:sz w:val="20"/>
                <w:szCs w:val="20"/>
                <w:color w:val="auto"/>
              </w:rPr>
            </w:pPr>
            <w:r>
              <w:rPr>
                <w:rFonts w:ascii="Arial" w:cs="Arial" w:eastAsia="Arial" w:hAnsi="Arial"/>
                <w:sz w:val="11"/>
                <w:szCs w:val="11"/>
                <w:color w:val="auto"/>
              </w:rPr>
              <w:t>PSE &amp; Ceterizine</w:t>
            </w:r>
            <w:r>
              <w:rPr>
                <w:rFonts w:ascii="Arial" w:cs="Arial" w:eastAsia="Arial" w:hAnsi="Arial"/>
                <w:sz w:val="18"/>
                <w:szCs w:val="18"/>
                <w:color w:val="auto"/>
                <w:vertAlign w:val="superscript"/>
              </w:rPr>
              <w:t>2</w:t>
            </w:r>
          </w:p>
        </w:tc>
      </w:tr>
      <w:tr>
        <w:trPr>
          <w:trHeight w:val="133"/>
        </w:trPr>
        <w:tc>
          <w:tcPr>
            <w:tcW w:w="200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Advil Sinus</w:t>
            </w:r>
          </w:p>
        </w:tc>
        <w:tc>
          <w:tcPr>
            <w:tcW w:w="1960" w:type="dxa"/>
            <w:vAlign w:val="bottom"/>
            <w:tcBorders>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Pfizer</w:t>
            </w:r>
          </w:p>
        </w:tc>
        <w:tc>
          <w:tcPr>
            <w:tcW w:w="2820" w:type="dxa"/>
            <w:vAlign w:val="bottom"/>
            <w:tcBorders>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PSE &amp; Ibuprofen</w:t>
            </w:r>
          </w:p>
        </w:tc>
      </w:tr>
      <w:tr>
        <w:trPr>
          <w:trHeight w:val="160"/>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Sudafed 12 Hour</w:t>
            </w:r>
          </w:p>
        </w:tc>
        <w:tc>
          <w:tcPr>
            <w:tcW w:w="19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J&amp;J</w:t>
            </w:r>
          </w:p>
        </w:tc>
        <w:tc>
          <w:tcPr>
            <w:tcW w:w="2820" w:type="dxa"/>
            <w:vAlign w:val="bottom"/>
            <w:tcBorders>
              <w:bottom w:val="single" w:sz="8" w:color="auto"/>
              <w:right w:val="single" w:sz="8" w:color="auto"/>
            </w:tcBorders>
            <w:shd w:val="clear" w:color="auto" w:fill="CCEEFF"/>
          </w:tcPr>
          <w:p>
            <w:pPr>
              <w:ind w:left="40"/>
              <w:spacing w:after="0" w:line="160" w:lineRule="exact"/>
              <w:rPr>
                <w:sz w:val="20"/>
                <w:szCs w:val="20"/>
                <w:color w:val="auto"/>
              </w:rPr>
            </w:pPr>
            <w:r>
              <w:rPr>
                <w:rFonts w:ascii="Arial" w:cs="Arial" w:eastAsia="Arial" w:hAnsi="Arial"/>
                <w:sz w:val="11"/>
                <w:szCs w:val="11"/>
                <w:color w:val="auto"/>
              </w:rPr>
              <w:t>PSE</w:t>
            </w:r>
            <w:r>
              <w:rPr>
                <w:rFonts w:ascii="Arial" w:cs="Arial" w:eastAsia="Arial" w:hAnsi="Arial"/>
                <w:sz w:val="18"/>
                <w:szCs w:val="18"/>
                <w:color w:val="auto"/>
                <w:vertAlign w:val="superscript"/>
              </w:rPr>
              <w:t>2</w:t>
            </w:r>
          </w:p>
        </w:tc>
      </w:tr>
      <w:tr>
        <w:trPr>
          <w:trHeight w:val="133"/>
        </w:trPr>
        <w:tc>
          <w:tcPr>
            <w:tcW w:w="200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Sudafed 30mg</w:t>
            </w:r>
          </w:p>
        </w:tc>
        <w:tc>
          <w:tcPr>
            <w:tcW w:w="1960" w:type="dxa"/>
            <w:vAlign w:val="bottom"/>
            <w:tcBorders>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J&amp;J</w:t>
            </w:r>
          </w:p>
        </w:tc>
        <w:tc>
          <w:tcPr>
            <w:tcW w:w="2820" w:type="dxa"/>
            <w:vAlign w:val="bottom"/>
            <w:tcBorders>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PSE</w:t>
            </w:r>
          </w:p>
        </w:tc>
      </w:tr>
    </w:tbl>
    <w:p>
      <w:pPr>
        <w:spacing w:after="0" w:line="85" w:lineRule="exact"/>
        <w:rPr>
          <w:sz w:val="20"/>
          <w:szCs w:val="20"/>
          <w:color w:val="auto"/>
        </w:rPr>
      </w:pPr>
    </w:p>
    <w:p>
      <w:pPr>
        <w:ind w:left="1580" w:hanging="76"/>
        <w:spacing w:after="0"/>
        <w:tabs>
          <w:tab w:leader="none" w:pos="1580"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Branded product only. Does not include store brand sales.</w:t>
      </w:r>
    </w:p>
    <w:p>
      <w:pPr>
        <w:spacing w:after="0" w:line="28" w:lineRule="exact"/>
        <w:rPr>
          <w:rFonts w:ascii="Arial" w:cs="Arial" w:eastAsia="Arial" w:hAnsi="Arial"/>
          <w:sz w:val="20"/>
          <w:szCs w:val="20"/>
          <w:color w:val="auto"/>
          <w:vertAlign w:val="superscript"/>
        </w:rPr>
      </w:pPr>
    </w:p>
    <w:p>
      <w:pPr>
        <w:ind w:left="1500"/>
        <w:spacing w:after="0"/>
        <w:rPr>
          <w:rFonts w:ascii="Arial" w:cs="Arial" w:eastAsia="Arial" w:hAnsi="Arial"/>
          <w:sz w:val="20"/>
          <w:szCs w:val="20"/>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Extended release PSE formulations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2"/>
          <w:szCs w:val="12"/>
          <w:color w:val="auto"/>
        </w:rPr>
        <w:t>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Labeling for Impede Technology Products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Market Opportunity for Opioid Analgesic Products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According to the Centers for Drug Control’s 2019 Drug Surveillance Report, opioid analgesics are one of the largest prescription drug markets in the United States with 153 million prescriptions dispensed in 2019 comprised of approximately 139 million and 14 million, immediate and extended release prescriptions, respectively. Further, it is estimated in 2018 that nationally, approximately 49.5 million people, across all age groups, received at least one opioid prescription. CDC data for 2016 identified hydrocodone and oxycodone as the most widely prescribed opioids with 6.2 billion hydrocodone pills/tablets and 5 billion oxycodone pills/tablets distributed in the US.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expect our LIMITx Technology and Aversion opioid products, to compete primarily in the IR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Labeling for Products Using Our Technologies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 w:name="page34"/>
    <w:bookmarkEnd w:id="33"/>
    <w:p>
      <w:pPr>
        <w:spacing w:after="0" w:line="276" w:lineRule="auto"/>
        <w:rPr>
          <w:sz w:val="20"/>
          <w:szCs w:val="20"/>
          <w:color w:val="auto"/>
        </w:rPr>
      </w:pPr>
      <w:r>
        <w:rPr>
          <w:rFonts w:ascii="Arial" w:cs="Arial" w:eastAsia="Arial" w:hAnsi="Arial"/>
          <w:sz w:val="12"/>
          <w:szCs w:val="12"/>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Patents and Patent Applications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issued patents covering, among other things, our LIMITx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560" w:type="dxa"/>
            <w:vAlign w:val="bottom"/>
            <w:tcBorders>
              <w:top w:val="single" w:sz="8" w:color="auto"/>
              <w:left w:val="single" w:sz="8" w:color="auto"/>
              <w:bottom w:val="single" w:sz="8" w:color="auto"/>
            </w:tcBorders>
          </w:tcPr>
          <w:p>
            <w:pPr>
              <w:spacing w:after="0"/>
              <w:rPr>
                <w:sz w:val="13"/>
                <w:szCs w:val="13"/>
                <w:color w:val="auto"/>
              </w:rPr>
            </w:pPr>
          </w:p>
        </w:tc>
        <w:tc>
          <w:tcPr>
            <w:tcW w:w="21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Patent No. (Jurisdiction)</w:t>
            </w:r>
          </w:p>
        </w:tc>
        <w:tc>
          <w:tcPr>
            <w:tcW w:w="60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9,101,636</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Aug. 2015</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9,320,796</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9,662,393</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May 2017</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10,441,657 (US)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2019</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10,688,184</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Jun. 2020</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2,892,908</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(CAN)</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5,922,851</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(JAPAN)</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Apr.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ZL201380062421.0 (CHN)</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Jul.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201711090908.6 (CHN)</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Oct.2020</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2,925,304</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(EUR)</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2015124694 (RUS)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Nov. 2018</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2013352162 (AUS)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Dec.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366159 (MEX)</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Jul. 2019</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238713 (ISR)</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Jul. 2019</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issued patents covering, among other things, Oxaydo and our Aversion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720" w:type="dxa"/>
            <w:vAlign w:val="bottom"/>
            <w:tcBorders>
              <w:top w:val="single" w:sz="8" w:color="auto"/>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2"/>
                <w:szCs w:val="12"/>
                <w:b w:val="1"/>
                <w:bCs w:val="1"/>
                <w:color w:val="auto"/>
              </w:rPr>
              <w:t>Patent No. (Jurisdiction)</w:t>
            </w:r>
          </w:p>
        </w:tc>
        <w:tc>
          <w:tcPr>
            <w:tcW w:w="588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272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7,201,920 (US)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7"/>
              </w:rPr>
              <w:t>Pharmaceutical compositions including a mixture of functional inactive ingredients and specific opioid analgesics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Apr. 2007</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Mar. 2025</w:t>
            </w:r>
          </w:p>
        </w:tc>
      </w:tr>
      <w:tr>
        <w:trPr>
          <w:trHeight w:val="133"/>
        </w:trPr>
        <w:tc>
          <w:tcPr>
            <w:tcW w:w="27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7,510,726 (US)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 wider range of compositions than those described in the 7,201,920 Patent</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Mar. 2009</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7,981,439 (US)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including any water soluble drug susceptible to abuse</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Jul. 2011</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Aug. 2024</w:t>
            </w:r>
          </w:p>
        </w:tc>
      </w:tr>
      <w:tr>
        <w:trPr>
          <w:trHeight w:val="133"/>
        </w:trPr>
        <w:tc>
          <w:tcPr>
            <w:tcW w:w="27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8,409,616 (US)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of immediate-release abuse deterrent dosage forms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2013</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8,637,540 (US)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of immediate-release abuse deterrent opioid products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Jan. 2014</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9,492,443 (US)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of immediate-release abuse deterrent opioid products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2016</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421"/>
        </w:trPr>
        <w:tc>
          <w:tcPr>
            <w:tcW w:w="27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2800"/>
              <w:spacing w:after="0"/>
              <w:rPr>
                <w:sz w:val="20"/>
                <w:szCs w:val="20"/>
                <w:color w:val="auto"/>
              </w:rPr>
            </w:pPr>
            <w:r>
              <w:rPr>
                <w:rFonts w:ascii="Arial" w:cs="Arial" w:eastAsia="Arial" w:hAnsi="Arial"/>
                <w:sz w:val="12"/>
                <w:szCs w:val="12"/>
                <w:color w:val="auto"/>
              </w:rPr>
              <w:t>F-33</w:t>
            </w: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We have the following additional issued patents relating to our Aversion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560" w:type="dxa"/>
            <w:vAlign w:val="bottom"/>
            <w:tcBorders>
              <w:top w:val="single" w:sz="8" w:color="auto"/>
              <w:left w:val="single" w:sz="8" w:color="auto"/>
              <w:bottom w:val="single" w:sz="8" w:color="auto"/>
            </w:tcBorders>
          </w:tcPr>
          <w:p>
            <w:pPr>
              <w:spacing w:after="0"/>
              <w:rPr>
                <w:sz w:val="13"/>
                <w:szCs w:val="13"/>
                <w:color w:val="auto"/>
              </w:rPr>
            </w:pPr>
          </w:p>
        </w:tc>
        <w:tc>
          <w:tcPr>
            <w:tcW w:w="21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Patent No. (Jurisdiction)</w:t>
            </w:r>
          </w:p>
        </w:tc>
        <w:tc>
          <w:tcPr>
            <w:tcW w:w="588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8,822,489</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4"/>
              </w:rPr>
              <w:t>Pharmaceutical compositions of certain abuse deterrent products that contain polymers, surfactant and polysorb 80</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Jul. 2014</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2,004,294,953 (AUS)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2010</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2,010,200,979 (AUS)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Aug. 2010</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2,547,334</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(CAN)</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Aug. 2010</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2,647,360</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(CAN)</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May 2012</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Apr. 2027</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175,863 (ISR)</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2004</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221,018 (ISR)</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2004</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1694260 (EUR)</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2004</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issued patents covering, among other things, our Nexafed product line and Impede 1.0 and 2.0 technologies: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560" w:type="dxa"/>
            <w:vAlign w:val="bottom"/>
            <w:tcBorders>
              <w:top w:val="single" w:sz="8" w:color="auto"/>
              <w:left w:val="single" w:sz="8" w:color="auto"/>
              <w:bottom w:val="single" w:sz="8" w:color="auto"/>
            </w:tcBorders>
          </w:tcPr>
          <w:p>
            <w:pPr>
              <w:spacing w:after="0"/>
              <w:rPr>
                <w:sz w:val="13"/>
                <w:szCs w:val="13"/>
                <w:color w:val="auto"/>
              </w:rPr>
            </w:pPr>
          </w:p>
        </w:tc>
        <w:tc>
          <w:tcPr>
            <w:tcW w:w="21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Patent No. (Jurisdiction)</w:t>
            </w:r>
          </w:p>
        </w:tc>
        <w:tc>
          <w:tcPr>
            <w:tcW w:w="60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8,901,113 (US)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Dec. 2014</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Feb. 2032</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9,757,466</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2017</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Feb. 2032</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10,004,699 (US)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Methods and compositions for interfering with extraction or conversion of a drug susceptible to abuse</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Jun. 2018</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Dec. 2035</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10,155,044 (US)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Dec.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Feb. 2032</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2010300641 (AUS)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Jun.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2,775,890</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(CAN)</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Jun.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2,488,029</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(EUR)</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Mar.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218533 (ISR)</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Jan.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2015274936 (AUS)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Methods and compositions for interfering with extraction or conversion of a drug susceptible to abuse</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Sept. 2018</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Jun. 2035</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13102020.5 (HK)</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Oct.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2030</w:t>
            </w:r>
          </w:p>
        </w:tc>
      </w:tr>
    </w:tbl>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Amended Agreement and in the patent infringement settlement agreements described below, we have retained all intellectual property rights to our Aversion Technology, Impede Technology, LIMITx Technology and related product candidates.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5" w:name="page36"/>
    <w:bookmarkEnd w:id="35"/>
    <w:p>
      <w:pPr>
        <w:jc w:val="both"/>
        <w:spacing w:after="0" w:line="289" w:lineRule="auto"/>
        <w:rPr>
          <w:sz w:val="20"/>
          <w:szCs w:val="20"/>
          <w:color w:val="auto"/>
        </w:rPr>
      </w:pPr>
      <w:r>
        <w:rPr>
          <w:rFonts w:ascii="Arial" w:cs="Arial" w:eastAsia="Arial" w:hAnsi="Arial"/>
          <w:sz w:val="11"/>
          <w:szCs w:val="11"/>
          <w:color w:val="auto"/>
        </w:rPr>
        <w:t>On May 20, 2016, we, Purdue Pharma L.P. and Assertio settled patent infringement actions initiated by Purdue against Oxaydo and an Inter Partes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spacing w:after="0" w:line="11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Reference is made to the Risk Factors contained in this Report on Form 10-K for the year ended December 31, 2020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Company’s Present Financial Condition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As of March 31, 2020, we had cash of $361 thousand million, working capital deficit of $6.3 million and an accumulated deficit of $389.5 million. We had a loss from operations of $146 thousand and a net loss of $259 thousand for the three months ended March 31,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 As of May 14, 2021 our cash balance was approximately $200 thousand.</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Currently, the License, Development and Commercialization Agreement dated June 28, 2019 as amended (“AD Pharma Amended Agreement”), requires AD Pharma to pay us a monthly license payment of $350,000 for a period from inception up to April 2020 at which time the payment became $200,000 per month and continues through the earlier of July 31, 2021 or FDA’s acceptance of a New Drug Application for LTX-03, and reimburse all our outside development costs for LTX-03.</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AD Pharma is delinquent in remitting monthly license payments for January, 2021 thru May, 2021 which aggregates to $1.0 million and approximately $100,000 of reimbursable LTX-03 development expenses. Failure to make these payments is an event of default under the AD Pharma Amended Agreement.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AD Pharma Amended Agreement, requires that the NDA for LTX-03 be accepted by the FDA by July 31, 2021 or AD Pharma has the option to terminate the AD Pharma Amended Agreement and take ownership of the LIMITx intellectual property. Failure to meet this date is an event of default under the Company’s $6.0 million convertible debt to AD Pharma. The AD Pharma Amended Agreement allows AD Pharma to terminate the AD Pharma Amended Agreement “for convenience”. Acura currently expects the submission and FDA acceptance of the NDA for LTX-03 to occur after July 31, 2021 and has notified AD Pharma of this revised timeline. Acura intends to renegotiate the NDA filing acceptance date for LTX-03, of which no assurance can be given. Pending resolution of this matter, the $6.0 million convertible debt is presented as a current liability in our financial statements.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6" w:name="page37"/>
    <w:bookmarkEnd w:id="36"/>
    <w:p>
      <w:pPr>
        <w:ind w:right="20"/>
        <w:spacing w:after="0" w:line="276" w:lineRule="auto"/>
        <w:rPr>
          <w:sz w:val="20"/>
          <w:szCs w:val="20"/>
          <w:color w:val="auto"/>
        </w:rPr>
      </w:pPr>
      <w:r>
        <w:rPr>
          <w:rFonts w:ascii="Arial" w:cs="Arial" w:eastAsia="Arial" w:hAnsi="Arial"/>
          <w:sz w:val="12"/>
          <w:szCs w:val="12"/>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Three months Ended March 31, 2021 Compared to Three months Ended March 31, 2020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4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2021</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color w:val="auto"/>
              </w:rPr>
              <w:t>Increase (decrease)</w:t>
            </w: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40" w:type="dxa"/>
            <w:vAlign w:val="bottom"/>
          </w:tcPr>
          <w:p>
            <w:pPr>
              <w:spacing w:after="0"/>
              <w:rPr>
                <w:sz w:val="13"/>
                <w:szCs w:val="13"/>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Revenues:</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$000’s</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Percent</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Royalties</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tcPr>
          <w:p>
            <w:pPr>
              <w:ind w:left="100"/>
              <w:spacing w:after="0"/>
              <w:rPr>
                <w:sz w:val="20"/>
                <w:szCs w:val="20"/>
                <w:color w:val="auto"/>
              </w:rPr>
            </w:pPr>
            <w:r>
              <w:rPr>
                <w:rFonts w:ascii="Arial" w:cs="Arial" w:eastAsia="Arial" w:hAnsi="Arial"/>
                <w:sz w:val="12"/>
                <w:szCs w:val="12"/>
                <w:color w:val="auto"/>
              </w:rPr>
              <w:t>Collaboration from related party</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License fees from related party</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tcPr>
          <w:p>
            <w:pPr>
              <w:ind w:left="220"/>
              <w:spacing w:after="0"/>
              <w:rPr>
                <w:sz w:val="20"/>
                <w:szCs w:val="20"/>
                <w:color w:val="auto"/>
              </w:rPr>
            </w:pPr>
            <w:r>
              <w:rPr>
                <w:rFonts w:ascii="Arial" w:cs="Arial" w:eastAsia="Arial" w:hAnsi="Arial"/>
                <w:sz w:val="12"/>
                <w:szCs w:val="12"/>
                <w:color w:val="auto"/>
              </w:rPr>
              <w:t>Total revenues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33"/>
        </w:trPr>
        <w:tc>
          <w:tcPr>
            <w:tcW w:w="840" w:type="dxa"/>
            <w:vAlign w:val="bottom"/>
            <w:vMerge w:val="restart"/>
          </w:tcPr>
          <w:p>
            <w:pPr>
              <w:spacing w:after="0"/>
              <w:rPr>
                <w:sz w:val="11"/>
                <w:szCs w:val="11"/>
                <w:color w:val="auto"/>
              </w:rPr>
            </w:pPr>
          </w:p>
        </w:tc>
        <w:tc>
          <w:tcPr>
            <w:tcW w:w="35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0" w:type="dxa"/>
            <w:vAlign w:val="bottom"/>
            <w:vMerge w:val="continue"/>
          </w:tcPr>
          <w:p>
            <w:pPr>
              <w:spacing w:after="0"/>
              <w:rPr>
                <w:sz w:val="13"/>
                <w:szCs w:val="13"/>
                <w:color w:val="auto"/>
              </w:rPr>
            </w:pPr>
          </w:p>
        </w:tc>
        <w:tc>
          <w:tcPr>
            <w:tcW w:w="4620" w:type="dxa"/>
            <w:vAlign w:val="bottom"/>
            <w:gridSpan w:val="2"/>
          </w:tcPr>
          <w:p>
            <w:pPr>
              <w:spacing w:after="0"/>
              <w:rPr>
                <w:sz w:val="20"/>
                <w:szCs w:val="20"/>
                <w:color w:val="auto"/>
              </w:rPr>
            </w:pPr>
            <w:r>
              <w:rPr>
                <w:rFonts w:ascii="Arial" w:cs="Arial" w:eastAsia="Arial" w:hAnsi="Arial"/>
                <w:sz w:val="12"/>
                <w:szCs w:val="12"/>
                <w:color w:val="auto"/>
              </w:rPr>
              <w:t>Expenses: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tcPr>
          <w:p>
            <w:pPr>
              <w:ind w:left="100"/>
              <w:spacing w:after="0"/>
              <w:rPr>
                <w:sz w:val="20"/>
                <w:szCs w:val="20"/>
                <w:color w:val="auto"/>
              </w:rPr>
            </w:pPr>
            <w:r>
              <w:rPr>
                <w:rFonts w:ascii="Arial" w:cs="Arial" w:eastAsia="Arial" w:hAnsi="Arial"/>
                <w:sz w:val="12"/>
                <w:szCs w:val="12"/>
                <w:color w:val="auto"/>
              </w:rPr>
              <w:t>General and administrative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(802)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Total operating expenses</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(784)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tcPr>
          <w:p>
            <w:pPr>
              <w:ind w:left="220"/>
              <w:spacing w:after="0"/>
              <w:rPr>
                <w:sz w:val="20"/>
                <w:szCs w:val="20"/>
                <w:color w:val="auto"/>
              </w:rPr>
            </w:pPr>
            <w:r>
              <w:rPr>
                <w:rFonts w:ascii="Arial" w:cs="Arial" w:eastAsia="Arial" w:hAnsi="Arial"/>
                <w:sz w:val="12"/>
                <w:szCs w:val="12"/>
                <w:color w:val="auto"/>
              </w:rPr>
              <w:t>Operating loss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(483)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(337)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tcPr>
          <w:p>
            <w:pPr>
              <w:ind w:left="100"/>
              <w:spacing w:after="0"/>
              <w:rPr>
                <w:sz w:val="20"/>
                <w:szCs w:val="20"/>
                <w:color w:val="auto"/>
              </w:rPr>
            </w:pPr>
            <w:r>
              <w:rPr>
                <w:rFonts w:ascii="Arial" w:cs="Arial" w:eastAsia="Arial" w:hAnsi="Arial"/>
                <w:sz w:val="12"/>
                <w:szCs w:val="12"/>
                <w:color w:val="auto"/>
              </w:rPr>
              <w:t>Interest expense – related party</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before income taxes</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(595)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tcPr>
          <w:p>
            <w:pPr>
              <w:ind w:left="100"/>
              <w:spacing w:after="0"/>
              <w:rPr>
                <w:sz w:val="20"/>
                <w:szCs w:val="20"/>
                <w:color w:val="auto"/>
              </w:rPr>
            </w:pPr>
            <w:r>
              <w:rPr>
                <w:rFonts w:ascii="Arial" w:cs="Arial" w:eastAsia="Arial" w:hAnsi="Arial"/>
                <w:sz w:val="12"/>
                <w:szCs w:val="12"/>
                <w:color w:val="auto"/>
              </w:rPr>
              <w:t>Provision for income taxes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6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Net loss</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(259)</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(595)</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Fees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recognize license fees under the license and development agreement with AD Pharma for LTX-03 dated June 2019 and as amended in October 2020. We recognized $0.6 million and $1.05 million of license fees revenue during the three months ended March 31, 2021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Collaboration Revenue</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Collaboration revenue is derived from research and development services we perform under the license and development agreement with AD Pharma for LTX-03. We recognized $12 thousand and $8 thousand of collaboration revenue during the three months ended March 31, 2021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Royalty Revenue</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connection with our license agreement with Assertio for Oxaydo Tablets, we earn a royalty based on product net sales. We recognized $30 thousand of royalty revenue for Oxaydo during each of the three months ended March 31, 2021 and 2020. We expect future lower royalties from lower product net sales of Oxaydo Tablets as Assertio has indicated they have ceased promoting this product.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 w:name="page38"/>
    <w:bookmarkEnd w:id="37"/>
    <w:p>
      <w:pPr>
        <w:jc w:val="both"/>
        <w:spacing w:after="0" w:line="276" w:lineRule="auto"/>
        <w:rPr>
          <w:sz w:val="20"/>
          <w:szCs w:val="20"/>
          <w:color w:val="auto"/>
        </w:rPr>
      </w:pPr>
      <w:r>
        <w:rPr>
          <w:rFonts w:ascii="Arial" w:cs="Arial" w:eastAsia="Arial" w:hAnsi="Arial"/>
          <w:sz w:val="12"/>
          <w:szCs w:val="12"/>
          <w:color w:val="auto"/>
        </w:rPr>
        <w:t>In connection with our license agreement with MainPointe for our Nexafed product line, we earn a royalty based on product net sales. We recognized $2 thousand and $3 thousand of royalty revenue on Nexafed during the three months ended March 31, 2021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expenses (“R&amp;D”) primarily consisted of our activities with respect to our LIMITx Technology development under license with AD Pharma and can include, among other items, costs of preclinical and non-clinical internal and external activities, clinical study trials, clinical supplies and its related formulation and design costs, salaries and other personnel related expenses of our employees, consultants and our facility costs. Our R&amp;D expenses remained relatively unchanged with having only a $18 thousand increase between reporting periods, all expenses relate to the LTX-03 development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general and administrative expenses primarily consisted of legal, audit and other professional services, corporate insurance, and payroll. Excluding the share-based compensation expense of $15 thousand included in the three months ended March 31, 2020, our general and administrative expenses decreased by approximately $0.8 million between reporting periods. The decrease is primarily due from a nonrecurring impairment charge taken in 2020 of $668 thousand on an intangible asset as well as a reduction in its associated amortization expense of $46 thousand and a reduction in legal expenses of $66 thousand.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Non-Operating Expense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 period ending March 31, 2021 and 2020, we incurred interest expense of $113 thousand and $112 thousand, respectively, on our $6.0 million convertible debt.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results for the three month period ended March 31, 2021 and 2020 include no federal or state income tax benefit provisions due to 100% allowances placed against our deferred tax assets for the uncertainty of their future utilization.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At March 31, 2021 we had cash of cash of $361 thousand and working capital deficit of $6.3 million. At December 31, 2020 we had cash of $413 thousand. We had a loss from operations of $146 thousand and a net loss of $259 thousand for the three months ended March 31,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 At May 14, 2021 our cash balance was approximately $200 thousand.</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License, Development and Commercialization Agreement with AD Pharma dated June 28, 2019, as amended in October 2020, requires AD Pharma to pay to us for a period from inception up to April 2020 at which time the payment became $200,000 per month and continues through the earlier of July 31, 2021 or FDA’s acceptance of a New Drug Application for LTX-03, and to pay all outside development costs for LTX-03 (the “AD Pharma Amended Agreement”).</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AD Pharma is delinquent in remitting monthly license payments for January, 2021 thru May, 2021 which aggregates to $1.0 million and approximately $100 thousand of reimbursable LTX-03 development expenses. Failure to make these payments is an event of default under the AD Pharma Amended Agreement.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 w:name="page39"/>
    <w:bookmarkEnd w:id="38"/>
    <w:p>
      <w:pPr>
        <w:jc w:val="both"/>
        <w:ind w:left="8"/>
        <w:spacing w:after="0" w:line="280" w:lineRule="auto"/>
        <w:rPr>
          <w:sz w:val="20"/>
          <w:szCs w:val="20"/>
          <w:color w:val="auto"/>
        </w:rPr>
      </w:pPr>
      <w:r>
        <w:rPr>
          <w:rFonts w:ascii="Arial" w:cs="Arial" w:eastAsia="Arial" w:hAnsi="Arial"/>
          <w:sz w:val="11"/>
          <w:szCs w:val="11"/>
          <w:color w:val="auto"/>
        </w:rPr>
        <w:t>The AD Pharma Amended Agreement, requires the NDA for LTX-03 be accepted by the FDA by July 31, 2021 or AD Pharma has the option to terminate the AD Pharma Agreement and take ownership of the LIMITx intellectual property. Failure to meet this date is an event of default under the Company’s $6.0 million outstanding convertible debt to AD Pharma. The Agreement allows AD Pharma to terminate the Agreement “for convenience”. Acura currently expects the submission and FDA acceptance of the NDA for LTX-03 to occur after July 31, 2021 and has notified AD Pharma of this revised timeline. Acura plans to renegotiate the LTX-03 NDA filing acceptance date, of which no assurance can be given. Pending resolution of this matter, we have presented the $6.0 million convertible debt as a current liability in our financial statements.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15" w:lineRule="exact"/>
        <w:rPr>
          <w:sz w:val="20"/>
          <w:szCs w:val="20"/>
          <w:color w:val="auto"/>
        </w:rPr>
      </w:pPr>
    </w:p>
    <w:p>
      <w:pPr>
        <w:jc w:val="both"/>
        <w:ind w:left="8" w:right="20"/>
        <w:spacing w:after="0" w:line="379" w:lineRule="auto"/>
        <w:rPr>
          <w:sz w:val="20"/>
          <w:szCs w:val="20"/>
          <w:color w:val="auto"/>
        </w:rPr>
      </w:pPr>
      <w:r>
        <w:rPr>
          <w:rFonts w:ascii="Arial" w:cs="Arial" w:eastAsia="Arial" w:hAnsi="Arial"/>
          <w:sz w:val="10"/>
          <w:szCs w:val="10"/>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2020 financial statements a “going concern” explanatory paragraph as to substantial doubt of our ability to continue as a going concern.</w:t>
      </w:r>
    </w:p>
    <w:p>
      <w:pPr>
        <w:spacing w:after="0" w:line="69"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0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Critical Accounting Policies</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Note 1 of the Notes to Consolidated Financial Statements, in the Company’s 2020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2020 Annual Report are also applicable to 2021.</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Item 4. Controls and Procedures</w:t>
      </w:r>
    </w:p>
    <w:p>
      <w:pPr>
        <w:spacing w:after="0" w:line="150" w:lineRule="exact"/>
        <w:rPr>
          <w:sz w:val="20"/>
          <w:szCs w:val="20"/>
          <w:color w:val="auto"/>
        </w:rPr>
      </w:pPr>
    </w:p>
    <w:p>
      <w:pPr>
        <w:jc w:val="both"/>
        <w:ind w:left="8" w:hanging="8"/>
        <w:spacing w:after="0" w:line="255" w:lineRule="auto"/>
        <w:tabs>
          <w:tab w:leader="none" w:pos="345" w:val="left"/>
        </w:tabs>
        <w:numPr>
          <w:ilvl w:val="0"/>
          <w:numId w:val="12"/>
        </w:numPr>
        <w:rPr>
          <w:rFonts w:ascii="Arial" w:cs="Arial" w:eastAsia="Arial" w:hAnsi="Arial"/>
          <w:sz w:val="12"/>
          <w:szCs w:val="12"/>
          <w:color w:val="auto"/>
        </w:rPr>
      </w:pPr>
      <w:r>
        <w:rPr>
          <w:rFonts w:ascii="Arial" w:cs="Arial" w:eastAsia="Arial" w:hAnsi="Arial"/>
          <w:sz w:val="12"/>
          <w:szCs w:val="12"/>
          <w:i w:val="1"/>
          <w:iCs w:val="1"/>
          <w:u w:val="single" w:color="auto"/>
          <w:color w:val="auto"/>
        </w:rPr>
        <w:t>Disclosure Controls and Procedures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w:t>
      </w:r>
      <w:r>
        <w:rPr>
          <w:rFonts w:ascii="Arial" w:cs="Arial" w:eastAsia="Arial" w:hAnsi="Arial"/>
          <w:sz w:val="12"/>
          <w:szCs w:val="12"/>
          <w:i w:val="1"/>
          <w:iCs w:val="1"/>
          <w:color w:val="auto"/>
        </w:rPr>
        <w:t xml:space="preserve"> </w:t>
      </w:r>
      <w:r>
        <w:rPr>
          <w:rFonts w:ascii="Arial" w:cs="Arial" w:eastAsia="Arial" w:hAnsi="Arial"/>
          <w:sz w:val="12"/>
          <w:szCs w:val="12"/>
          <w:color w:val="auto"/>
        </w:rPr>
        <w:t>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9" w:name="page40"/>
    <w:bookmarkEnd w:id="39"/>
    <w:p>
      <w:pPr>
        <w:ind w:left="8" w:hanging="8"/>
        <w:spacing w:after="0" w:line="276"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i w:val="1"/>
          <w:iCs w:val="1"/>
          <w:u w:val="single" w:color="auto"/>
          <w:color w:val="auto"/>
        </w:rPr>
        <w:t>Changes in Internal Controls over Financial Reporting</w:t>
      </w:r>
      <w:r>
        <w:rPr>
          <w:rFonts w:ascii="Arial" w:cs="Arial" w:eastAsia="Arial" w:hAnsi="Arial"/>
          <w:sz w:val="12"/>
          <w:szCs w:val="12"/>
          <w:i w:val="1"/>
          <w:iCs w:val="1"/>
          <w:color w:val="auto"/>
        </w:rPr>
        <w:t xml:space="preserve">. </w:t>
      </w:r>
      <w:r>
        <w:rPr>
          <w:rFonts w:ascii="Arial" w:cs="Arial" w:eastAsia="Arial" w:hAnsi="Arial"/>
          <w:sz w:val="12"/>
          <w:szCs w:val="12"/>
          <w:color w:val="auto"/>
        </w:rPr>
        <w:t>There were no changes in our internal controls over financial reporting during the first fiscal quarter of 2021 that have materially affected, or are reasonably likely to</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materially affect, our internal controls over financial reporting.</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Part II. OTHER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Item 1. Legal Proceedings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information required by this Item is incorporated by reference Commitments and Contingencies, in Part I, Item 1, “Financial Statements”.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Item 6. Exhibits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exhibits required by this Item are listed below.</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0" w:type="dxa"/>
            <w:vAlign w:val="bottom"/>
          </w:tcPr>
          <w:p>
            <w:pPr>
              <w:spacing w:after="0"/>
              <w:rPr>
                <w:rFonts w:ascii="Arial" w:cs="Arial" w:eastAsia="Arial" w:hAnsi="Arial"/>
                <w:sz w:val="12"/>
                <w:szCs w:val="12"/>
                <w:color w:val="0000EE"/>
                <w:w w:val="76"/>
              </w:rPr>
            </w:pPr>
            <w:hyperlink w:anchor="page42">
              <w:r>
                <w:rPr>
                  <w:rFonts w:ascii="Arial" w:cs="Arial" w:eastAsia="Arial" w:hAnsi="Arial"/>
                  <w:sz w:val="12"/>
                  <w:szCs w:val="12"/>
                  <w:color w:val="0000EE"/>
                  <w:w w:val="76"/>
                </w:rPr>
                <w:t>31.</w:t>
              </w:r>
              <w:r>
                <w:rPr>
                  <w:rFonts w:ascii="Arial" w:cs="Arial" w:eastAsia="Arial" w:hAnsi="Arial"/>
                  <w:sz w:val="12"/>
                  <w:szCs w:val="12"/>
                  <w:u w:val="single" w:color="auto"/>
                  <w:color w:val="0000EE"/>
                  <w:w w:val="76"/>
                </w:rPr>
                <w:t>1</w:t>
              </w:r>
            </w:hyperlink>
          </w:p>
        </w:tc>
        <w:tc>
          <w:tcPr>
            <w:tcW w:w="920" w:type="dxa"/>
            <w:vAlign w:val="bottom"/>
          </w:tcPr>
          <w:p>
            <w:pPr>
              <w:spacing w:after="0"/>
              <w:rPr>
                <w:sz w:val="12"/>
                <w:szCs w:val="12"/>
                <w:color w:val="auto"/>
              </w:rPr>
            </w:pPr>
          </w:p>
        </w:tc>
        <w:tc>
          <w:tcPr>
            <w:tcW w:w="10180" w:type="dxa"/>
            <w:vAlign w:val="bottom"/>
            <w:gridSpan w:val="4"/>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Certification of Periodic Report by Chief Executive Officer pursuant to Rule 13a-14 and 15d-14 of the Securities Exchange Act of 1934.</w:t>
              </w:r>
            </w:hyperlink>
          </w:p>
        </w:tc>
      </w:tr>
      <w:tr>
        <w:trPr>
          <w:trHeight w:val="268"/>
        </w:trPr>
        <w:tc>
          <w:tcPr>
            <w:tcW w:w="200" w:type="dxa"/>
            <w:vAlign w:val="bottom"/>
            <w:tcBorders>
              <w:top w:val="single" w:sz="8" w:color="0000EE"/>
            </w:tcBorders>
          </w:tcPr>
          <w:p>
            <w:pPr>
              <w:spacing w:after="0"/>
              <w:rPr>
                <w:rFonts w:ascii="Arial" w:cs="Arial" w:eastAsia="Arial" w:hAnsi="Arial"/>
                <w:sz w:val="12"/>
                <w:szCs w:val="12"/>
                <w:color w:val="0000EE"/>
                <w:w w:val="76"/>
              </w:rPr>
            </w:pPr>
            <w:hyperlink w:anchor="page43">
              <w:r>
                <w:rPr>
                  <w:rFonts w:ascii="Arial" w:cs="Arial" w:eastAsia="Arial" w:hAnsi="Arial"/>
                  <w:sz w:val="12"/>
                  <w:szCs w:val="12"/>
                  <w:color w:val="0000EE"/>
                  <w:w w:val="76"/>
                </w:rPr>
                <w:t>31.</w:t>
              </w:r>
              <w:r>
                <w:rPr>
                  <w:rFonts w:ascii="Arial" w:cs="Arial" w:eastAsia="Arial" w:hAnsi="Arial"/>
                  <w:sz w:val="12"/>
                  <w:szCs w:val="12"/>
                  <w:u w:val="single" w:color="auto"/>
                  <w:color w:val="0000EE"/>
                  <w:w w:val="76"/>
                </w:rPr>
                <w:t>2</w:t>
              </w:r>
            </w:hyperlink>
          </w:p>
        </w:tc>
        <w:tc>
          <w:tcPr>
            <w:tcW w:w="920" w:type="dxa"/>
            <w:vAlign w:val="bottom"/>
          </w:tcPr>
          <w:p>
            <w:pPr>
              <w:spacing w:after="0"/>
              <w:rPr>
                <w:sz w:val="23"/>
                <w:szCs w:val="23"/>
                <w:color w:val="auto"/>
              </w:rPr>
            </w:pPr>
          </w:p>
        </w:tc>
        <w:tc>
          <w:tcPr>
            <w:tcW w:w="6560" w:type="dxa"/>
            <w:vAlign w:val="bottom"/>
            <w:tcBorders>
              <w:top w:val="single" w:sz="8" w:color="0000EE"/>
            </w:tcBorders>
            <w:gridSpan w:val="2"/>
          </w:tcPr>
          <w:p>
            <w:pPr>
              <w:spacing w:after="0"/>
              <w:rPr>
                <w:rFonts w:ascii="Arial" w:cs="Arial" w:eastAsia="Arial" w:hAnsi="Arial"/>
                <w:sz w:val="12"/>
                <w:szCs w:val="12"/>
                <w:color w:val="0000EE"/>
                <w:w w:val="92"/>
              </w:rPr>
            </w:pPr>
            <w:hyperlink w:anchor="page43">
              <w:r>
                <w:rPr>
                  <w:rFonts w:ascii="Arial" w:cs="Arial" w:eastAsia="Arial" w:hAnsi="Arial"/>
                  <w:sz w:val="12"/>
                  <w:szCs w:val="12"/>
                  <w:color w:val="0000EE"/>
                  <w:w w:val="92"/>
                </w:rPr>
                <w:t>Certification of Periodic Report by Chief Financial Officer pursuant to Rule 13a-14 and 15d-14 of the Securities Exchange Act of 1934.</w:t>
              </w:r>
            </w:hyperlink>
          </w:p>
        </w:tc>
        <w:tc>
          <w:tcPr>
            <w:tcW w:w="3620" w:type="dxa"/>
            <w:vAlign w:val="bottom"/>
            <w:gridSpan w:val="2"/>
          </w:tcPr>
          <w:p>
            <w:pPr>
              <w:spacing w:after="0"/>
              <w:rPr>
                <w:sz w:val="23"/>
                <w:szCs w:val="23"/>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8"/>
        </w:trPr>
        <w:tc>
          <w:tcPr>
            <w:tcW w:w="200" w:type="dxa"/>
            <w:vAlign w:val="bottom"/>
          </w:tcPr>
          <w:p>
            <w:pPr>
              <w:spacing w:after="0"/>
              <w:rPr>
                <w:rFonts w:ascii="Arial" w:cs="Arial" w:eastAsia="Arial" w:hAnsi="Arial"/>
                <w:sz w:val="12"/>
                <w:szCs w:val="12"/>
                <w:color w:val="0000EE"/>
                <w:w w:val="76"/>
              </w:rPr>
            </w:pPr>
            <w:hyperlink w:anchor="page44">
              <w:r>
                <w:rPr>
                  <w:rFonts w:ascii="Arial" w:cs="Arial" w:eastAsia="Arial" w:hAnsi="Arial"/>
                  <w:sz w:val="12"/>
                  <w:szCs w:val="12"/>
                  <w:color w:val="0000EE"/>
                  <w:w w:val="76"/>
                </w:rPr>
                <w:t>32.</w:t>
              </w:r>
              <w:r>
                <w:rPr>
                  <w:rFonts w:ascii="Arial" w:cs="Arial" w:eastAsia="Arial" w:hAnsi="Arial"/>
                  <w:sz w:val="12"/>
                  <w:szCs w:val="12"/>
                  <w:u w:val="single" w:color="auto"/>
                  <w:color w:val="0000EE"/>
                  <w:w w:val="76"/>
                </w:rPr>
                <w:t>1</w:t>
              </w:r>
            </w:hyperlink>
          </w:p>
        </w:tc>
        <w:tc>
          <w:tcPr>
            <w:tcW w:w="920" w:type="dxa"/>
            <w:vAlign w:val="bottom"/>
          </w:tcPr>
          <w:p>
            <w:pPr>
              <w:spacing w:after="0"/>
              <w:rPr>
                <w:sz w:val="23"/>
                <w:szCs w:val="23"/>
                <w:color w:val="auto"/>
              </w:rPr>
            </w:pPr>
          </w:p>
        </w:tc>
        <w:tc>
          <w:tcPr>
            <w:tcW w:w="10180" w:type="dxa"/>
            <w:vAlign w:val="bottom"/>
            <w:gridSpan w:val="4"/>
          </w:tcPr>
          <w:p>
            <w:pPr>
              <w:spacing w:after="0"/>
              <w:rPr>
                <w:rFonts w:ascii="Arial" w:cs="Arial" w:eastAsia="Arial" w:hAnsi="Arial"/>
                <w:sz w:val="12"/>
                <w:szCs w:val="12"/>
                <w:color w:val="0000EE"/>
                <w:w w:val="97"/>
              </w:rPr>
            </w:pPr>
            <w:hyperlink w:anchor="page44">
              <w:r>
                <w:rPr>
                  <w:rFonts w:ascii="Arial" w:cs="Arial" w:eastAsia="Arial" w:hAnsi="Arial"/>
                  <w:sz w:val="12"/>
                  <w:szCs w:val="12"/>
                  <w:color w:val="0000EE"/>
                  <w:w w:val="97"/>
                </w:rPr>
                <w:t>Certification of Periodic Report by the Chief Executive Officer and Chief Financial Officer pursuant to 18 U.S.C. Section 1350, as adopted pursuant to Section 906 of the Sarbanes-Oxley Act of 2002.</w:t>
              </w:r>
            </w:hyperlink>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95"/>
        </w:trPr>
        <w:tc>
          <w:tcPr>
            <w:tcW w:w="1120" w:type="dxa"/>
            <w:vAlign w:val="bottom"/>
            <w:gridSpan w:val="2"/>
          </w:tcPr>
          <w:p>
            <w:pPr>
              <w:spacing w:after="0"/>
              <w:rPr>
                <w:sz w:val="20"/>
                <w:szCs w:val="20"/>
                <w:color w:val="auto"/>
              </w:rPr>
            </w:pPr>
            <w:r>
              <w:rPr>
                <w:rFonts w:ascii="Arial" w:cs="Arial" w:eastAsia="Arial" w:hAnsi="Arial"/>
                <w:sz w:val="12"/>
                <w:szCs w:val="12"/>
                <w:color w:val="auto"/>
              </w:rPr>
              <w:t>101.INS</w:t>
            </w:r>
          </w:p>
        </w:tc>
        <w:tc>
          <w:tcPr>
            <w:tcW w:w="10180" w:type="dxa"/>
            <w:vAlign w:val="bottom"/>
            <w:gridSpan w:val="4"/>
          </w:tcPr>
          <w:p>
            <w:pPr>
              <w:spacing w:after="0"/>
              <w:rPr>
                <w:sz w:val="20"/>
                <w:szCs w:val="20"/>
                <w:color w:val="auto"/>
              </w:rPr>
            </w:pPr>
            <w:r>
              <w:rPr>
                <w:rFonts w:ascii="Arial" w:cs="Arial" w:eastAsia="Arial" w:hAnsi="Arial"/>
                <w:sz w:val="12"/>
                <w:szCs w:val="12"/>
                <w:color w:val="auto"/>
              </w:rPr>
              <w:t>XBRL Instance Document</w:t>
            </w:r>
          </w:p>
        </w:tc>
      </w:tr>
      <w:tr>
        <w:trPr>
          <w:trHeight w:val="288"/>
        </w:trPr>
        <w:tc>
          <w:tcPr>
            <w:tcW w:w="1120" w:type="dxa"/>
            <w:vAlign w:val="bottom"/>
            <w:gridSpan w:val="2"/>
          </w:tcPr>
          <w:p>
            <w:pPr>
              <w:spacing w:after="0"/>
              <w:rPr>
                <w:sz w:val="20"/>
                <w:szCs w:val="20"/>
                <w:color w:val="auto"/>
              </w:rPr>
            </w:pPr>
            <w:r>
              <w:rPr>
                <w:rFonts w:ascii="Arial" w:cs="Arial" w:eastAsia="Arial" w:hAnsi="Arial"/>
                <w:sz w:val="12"/>
                <w:szCs w:val="12"/>
                <w:color w:val="auto"/>
              </w:rPr>
              <w:t>101.SCH</w:t>
            </w:r>
          </w:p>
        </w:tc>
        <w:tc>
          <w:tcPr>
            <w:tcW w:w="10180" w:type="dxa"/>
            <w:vAlign w:val="bottom"/>
            <w:gridSpan w:val="4"/>
          </w:tcPr>
          <w:p>
            <w:pPr>
              <w:spacing w:after="0"/>
              <w:rPr>
                <w:sz w:val="20"/>
                <w:szCs w:val="20"/>
                <w:color w:val="auto"/>
              </w:rPr>
            </w:pPr>
            <w:r>
              <w:rPr>
                <w:rFonts w:ascii="Arial" w:cs="Arial" w:eastAsia="Arial" w:hAnsi="Arial"/>
                <w:sz w:val="12"/>
                <w:szCs w:val="12"/>
                <w:color w:val="auto"/>
              </w:rPr>
              <w:t>XBRL Taxonomy Extension Schema Document</w:t>
            </w:r>
          </w:p>
        </w:tc>
      </w:tr>
      <w:tr>
        <w:trPr>
          <w:trHeight w:val="288"/>
        </w:trPr>
        <w:tc>
          <w:tcPr>
            <w:tcW w:w="1120" w:type="dxa"/>
            <w:vAlign w:val="bottom"/>
            <w:gridSpan w:val="2"/>
          </w:tcPr>
          <w:p>
            <w:pPr>
              <w:spacing w:after="0"/>
              <w:rPr>
                <w:sz w:val="20"/>
                <w:szCs w:val="20"/>
                <w:color w:val="auto"/>
              </w:rPr>
            </w:pPr>
            <w:r>
              <w:rPr>
                <w:rFonts w:ascii="Arial" w:cs="Arial" w:eastAsia="Arial" w:hAnsi="Arial"/>
                <w:sz w:val="12"/>
                <w:szCs w:val="12"/>
                <w:color w:val="auto"/>
              </w:rPr>
              <w:t>101.CAL</w:t>
            </w:r>
          </w:p>
        </w:tc>
        <w:tc>
          <w:tcPr>
            <w:tcW w:w="10180" w:type="dxa"/>
            <w:vAlign w:val="bottom"/>
            <w:gridSpan w:val="4"/>
          </w:tcPr>
          <w:p>
            <w:pPr>
              <w:spacing w:after="0"/>
              <w:rPr>
                <w:sz w:val="20"/>
                <w:szCs w:val="20"/>
                <w:color w:val="auto"/>
              </w:rPr>
            </w:pPr>
            <w:r>
              <w:rPr>
                <w:rFonts w:ascii="Arial" w:cs="Arial" w:eastAsia="Arial" w:hAnsi="Arial"/>
                <w:sz w:val="12"/>
                <w:szCs w:val="12"/>
                <w:color w:val="auto"/>
              </w:rPr>
              <w:t>XBRL Taxonomy Extension Calculation Linkbase</w:t>
            </w:r>
          </w:p>
        </w:tc>
      </w:tr>
      <w:tr>
        <w:trPr>
          <w:trHeight w:val="288"/>
        </w:trPr>
        <w:tc>
          <w:tcPr>
            <w:tcW w:w="1120" w:type="dxa"/>
            <w:vAlign w:val="bottom"/>
            <w:gridSpan w:val="2"/>
          </w:tcPr>
          <w:p>
            <w:pPr>
              <w:spacing w:after="0"/>
              <w:rPr>
                <w:sz w:val="20"/>
                <w:szCs w:val="20"/>
                <w:color w:val="auto"/>
              </w:rPr>
            </w:pPr>
            <w:r>
              <w:rPr>
                <w:rFonts w:ascii="Arial" w:cs="Arial" w:eastAsia="Arial" w:hAnsi="Arial"/>
                <w:sz w:val="12"/>
                <w:szCs w:val="12"/>
                <w:color w:val="auto"/>
              </w:rPr>
              <w:t>101.LAB</w:t>
            </w:r>
          </w:p>
        </w:tc>
        <w:tc>
          <w:tcPr>
            <w:tcW w:w="10180" w:type="dxa"/>
            <w:vAlign w:val="bottom"/>
            <w:gridSpan w:val="4"/>
          </w:tcPr>
          <w:p>
            <w:pPr>
              <w:spacing w:after="0"/>
              <w:rPr>
                <w:sz w:val="20"/>
                <w:szCs w:val="20"/>
                <w:color w:val="auto"/>
              </w:rPr>
            </w:pPr>
            <w:r>
              <w:rPr>
                <w:rFonts w:ascii="Arial" w:cs="Arial" w:eastAsia="Arial" w:hAnsi="Arial"/>
                <w:sz w:val="12"/>
                <w:szCs w:val="12"/>
                <w:color w:val="auto"/>
              </w:rPr>
              <w:t>XBRL Taxonomy Extension Label Linkbase</w:t>
            </w:r>
          </w:p>
        </w:tc>
      </w:tr>
      <w:tr>
        <w:trPr>
          <w:trHeight w:val="288"/>
        </w:trPr>
        <w:tc>
          <w:tcPr>
            <w:tcW w:w="1120" w:type="dxa"/>
            <w:vAlign w:val="bottom"/>
            <w:gridSpan w:val="2"/>
          </w:tcPr>
          <w:p>
            <w:pPr>
              <w:spacing w:after="0"/>
              <w:rPr>
                <w:sz w:val="20"/>
                <w:szCs w:val="20"/>
                <w:color w:val="auto"/>
              </w:rPr>
            </w:pPr>
            <w:r>
              <w:rPr>
                <w:rFonts w:ascii="Arial" w:cs="Arial" w:eastAsia="Arial" w:hAnsi="Arial"/>
                <w:sz w:val="12"/>
                <w:szCs w:val="12"/>
                <w:color w:val="auto"/>
              </w:rPr>
              <w:t>101.PRE</w:t>
            </w:r>
          </w:p>
        </w:tc>
        <w:tc>
          <w:tcPr>
            <w:tcW w:w="10180" w:type="dxa"/>
            <w:vAlign w:val="bottom"/>
            <w:gridSpan w:val="4"/>
          </w:tcPr>
          <w:p>
            <w:pPr>
              <w:spacing w:after="0"/>
              <w:rPr>
                <w:sz w:val="20"/>
                <w:szCs w:val="20"/>
                <w:color w:val="auto"/>
              </w:rPr>
            </w:pPr>
            <w:r>
              <w:rPr>
                <w:rFonts w:ascii="Arial" w:cs="Arial" w:eastAsia="Arial" w:hAnsi="Arial"/>
                <w:sz w:val="12"/>
                <w:szCs w:val="12"/>
                <w:color w:val="auto"/>
              </w:rPr>
              <w:t>XBRL Taxonomy Extension Presentation Linkbase</w:t>
            </w:r>
          </w:p>
        </w:tc>
      </w:tr>
      <w:tr>
        <w:trPr>
          <w:trHeight w:val="288"/>
        </w:trPr>
        <w:tc>
          <w:tcPr>
            <w:tcW w:w="1120" w:type="dxa"/>
            <w:vAlign w:val="bottom"/>
            <w:gridSpan w:val="2"/>
          </w:tcPr>
          <w:p>
            <w:pPr>
              <w:spacing w:after="0"/>
              <w:rPr>
                <w:sz w:val="20"/>
                <w:szCs w:val="20"/>
                <w:color w:val="auto"/>
              </w:rPr>
            </w:pPr>
            <w:r>
              <w:rPr>
                <w:rFonts w:ascii="Arial" w:cs="Arial" w:eastAsia="Arial" w:hAnsi="Arial"/>
                <w:sz w:val="12"/>
                <w:szCs w:val="12"/>
                <w:color w:val="auto"/>
              </w:rPr>
              <w:t>101.DEF</w:t>
            </w:r>
          </w:p>
        </w:tc>
        <w:tc>
          <w:tcPr>
            <w:tcW w:w="10180" w:type="dxa"/>
            <w:vAlign w:val="bottom"/>
            <w:gridSpan w:val="4"/>
          </w:tcPr>
          <w:p>
            <w:pPr>
              <w:spacing w:after="0"/>
              <w:rPr>
                <w:sz w:val="20"/>
                <w:szCs w:val="20"/>
                <w:color w:val="auto"/>
              </w:rPr>
            </w:pPr>
            <w:r>
              <w:rPr>
                <w:rFonts w:ascii="Arial" w:cs="Arial" w:eastAsia="Arial" w:hAnsi="Arial"/>
                <w:sz w:val="12"/>
                <w:szCs w:val="12"/>
                <w:color w:val="auto"/>
              </w:rPr>
              <w:t>XBRL Taxonomy Extension Definition Linkbase</w:t>
            </w:r>
          </w:p>
        </w:tc>
      </w:tr>
      <w:tr>
        <w:trPr>
          <w:trHeight w:val="432"/>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gridSpan w:val="4"/>
          </w:tcPr>
          <w:p>
            <w:pPr>
              <w:ind w:left="4400"/>
              <w:spacing w:after="0"/>
              <w:rPr>
                <w:sz w:val="20"/>
                <w:szCs w:val="20"/>
                <w:color w:val="auto"/>
              </w:rPr>
            </w:pPr>
            <w:r>
              <w:rPr>
                <w:rFonts w:ascii="Arial" w:cs="Arial" w:eastAsia="Arial" w:hAnsi="Arial"/>
                <w:sz w:val="12"/>
                <w:szCs w:val="12"/>
                <w:color w:val="auto"/>
              </w:rPr>
              <w:t>F-39</w:t>
            </w:r>
          </w:p>
        </w:tc>
      </w:tr>
    </w:tbl>
    <w:p>
      <w:pPr>
        <w:sectPr>
          <w:pgSz w:w="11900" w:h="16838" w:orient="portrait"/>
          <w:cols w:equalWidth="0" w:num="1">
            <w:col w:w="11308"/>
          </w:cols>
          <w:pgMar w:left="292" w:top="653" w:right="299" w:bottom="1440" w:gutter="0" w:footer="0" w:header="0"/>
        </w:sectPr>
      </w:pPr>
    </w:p>
    <w:bookmarkStart w:id="40" w:name="page41"/>
    <w:bookmarkEnd w:id="40"/>
    <w:p>
      <w:pPr>
        <w:ind w:left="5380"/>
        <w:spacing w:after="0"/>
        <w:rPr>
          <w:sz w:val="20"/>
          <w:szCs w:val="20"/>
          <w:color w:val="auto"/>
        </w:rPr>
      </w:pPr>
      <w:r>
        <w:rPr>
          <w:rFonts w:ascii="Arial" w:cs="Arial" w:eastAsia="Arial" w:hAnsi="Arial"/>
          <w:sz w:val="12"/>
          <w:szCs w:val="12"/>
          <w:b w:val="1"/>
          <w:bCs w:val="1"/>
          <w:i w:val="1"/>
          <w:iCs w:val="1"/>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tabs>
          <w:tab w:leader="none" w:pos="5620" w:val="left"/>
        </w:tabs>
        <w:rPr>
          <w:sz w:val="20"/>
          <w:szCs w:val="20"/>
          <w:color w:val="auto"/>
        </w:rPr>
      </w:pPr>
      <w:r>
        <w:rPr>
          <w:rFonts w:ascii="Arial" w:cs="Arial" w:eastAsia="Arial" w:hAnsi="Arial"/>
          <w:sz w:val="12"/>
          <w:szCs w:val="12"/>
          <w:color w:val="auto"/>
        </w:rPr>
        <w:t>May 14, 2021</w:t>
      </w:r>
      <w:r>
        <w:rPr>
          <w:sz w:val="20"/>
          <w:szCs w:val="20"/>
          <w:color w:val="auto"/>
        </w:rPr>
        <w:tab/>
      </w:r>
      <w:r>
        <w:rPr>
          <w:rFonts w:ascii="Arial" w:cs="Arial" w:eastAsia="Arial" w:hAnsi="Arial"/>
          <w:sz w:val="11"/>
          <w:szCs w:val="11"/>
          <w:color w:val="auto"/>
        </w:rPr>
        <w:t>ACURA PHARMACEUTICALS, INC.</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9525</wp:posOffset>
            </wp:positionV>
            <wp:extent cx="358902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2"/>
          <w:szCs w:val="12"/>
          <w:color w:val="auto"/>
        </w:rPr>
        <w:t>Robert B. Jones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Chief Executive Officer</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9525</wp:posOffset>
            </wp:positionV>
            <wp:extent cx="358902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2"/>
          <w:szCs w:val="12"/>
          <w:color w:val="auto"/>
        </w:rPr>
        <w:t>Peter A. Clemens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Senior VP &amp; Chief Financial Officer</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2"/>
          <w:szCs w:val="12"/>
          <w:b w:val="1"/>
          <w:bCs w:val="1"/>
          <w:color w:val="auto"/>
        </w:rPr>
        <w:t>Exhibit 31.1</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CERTIFICATION OF PERIODIC REPORT PURSUANT TO RULES 13a-14 AND 15d-14</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OF THE SECURITIES EXCHANGE ACT OF 1934</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 Robert B. Jones, the President &amp; Chief Executive Officer of Acura Pharmaceuticals, Inc., certify that:</w:t>
      </w:r>
    </w:p>
    <w:p>
      <w:pPr>
        <w:spacing w:after="0" w:line="150"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Acura Pharmaceuticals, Inc.;</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Pr>
          <w:p>
            <w:pPr>
              <w:ind w:left="420"/>
              <w:spacing w:after="0"/>
              <w:rPr>
                <w:sz w:val="20"/>
                <w:szCs w:val="20"/>
                <w:color w:val="auto"/>
              </w:rPr>
            </w:pPr>
            <w:r>
              <w:rPr>
                <w:rFonts w:ascii="Arial" w:cs="Arial" w:eastAsia="Arial" w:hAnsi="Arial"/>
                <w:sz w:val="12"/>
                <w:szCs w:val="12"/>
                <w:color w:val="auto"/>
              </w:rPr>
              <w:t>May 14, 2021</w:t>
            </w: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Robert B. Jones</w:t>
            </w:r>
          </w:p>
        </w:tc>
      </w:tr>
      <w:tr>
        <w:trPr>
          <w:trHeight w:val="124"/>
        </w:trPr>
        <w:tc>
          <w:tcPr>
            <w:tcW w:w="5640" w:type="dxa"/>
            <w:vAlign w:val="bottom"/>
          </w:tcPr>
          <w:p>
            <w:pPr>
              <w:spacing w:after="0"/>
              <w:rPr>
                <w:sz w:val="10"/>
                <w:szCs w:val="10"/>
                <w:color w:val="auto"/>
              </w:rPr>
            </w:pPr>
          </w:p>
        </w:tc>
        <w:tc>
          <w:tcPr>
            <w:tcW w:w="5660" w:type="dxa"/>
            <w:vAlign w:val="bottom"/>
          </w:tcPr>
          <w:p>
            <w:pPr>
              <w:spacing w:after="0" w:line="124" w:lineRule="exact"/>
              <w:rPr>
                <w:sz w:val="20"/>
                <w:szCs w:val="20"/>
                <w:color w:val="auto"/>
              </w:rPr>
            </w:pPr>
            <w:r>
              <w:rPr>
                <w:rFonts w:ascii="Arial" w:cs="Arial" w:eastAsia="Arial" w:hAnsi="Arial"/>
                <w:sz w:val="12"/>
                <w:szCs w:val="12"/>
                <w:color w:val="auto"/>
              </w:rPr>
              <w:t>Robert B. Jones</w:t>
            </w:r>
          </w:p>
        </w:tc>
      </w:tr>
      <w:tr>
        <w:trPr>
          <w:trHeight w:val="153"/>
        </w:trPr>
        <w:tc>
          <w:tcPr>
            <w:tcW w:w="564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color w:val="auto"/>
              </w:rPr>
              <w:t>President &amp; Chief Executive Officer</w:t>
            </w:r>
          </w:p>
        </w:tc>
      </w:tr>
      <w:tr>
        <w:trPr>
          <w:trHeight w:val="450"/>
        </w:trPr>
        <w:tc>
          <w:tcPr>
            <w:tcW w:w="56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2"/>
          <w:szCs w:val="12"/>
          <w:b w:val="1"/>
          <w:bCs w:val="1"/>
          <w:color w:val="auto"/>
        </w:rPr>
        <w:t>Exhibit 31.2</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CERTIFICATION OF PERIODIC REPORT PURSUANT TO RULES 13a-14 AND 15d-14</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OF THE SECURITIES EXCHANGE ACT OF 1934</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Peter A. Clemens, the Chief Financial Officer of Acura Pharmaceuticals, Inc., certify that:</w:t>
      </w:r>
    </w:p>
    <w:p>
      <w:pPr>
        <w:spacing w:after="0" w:line="150"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Acura Pharmaceuticals, Inc.;</w:t>
      </w:r>
    </w:p>
    <w:p>
      <w:pPr>
        <w:spacing w:after="0" w:line="150" w:lineRule="exact"/>
        <w:rPr>
          <w:rFonts w:ascii="Arial" w:cs="Arial" w:eastAsia="Arial" w:hAnsi="Arial"/>
          <w:sz w:val="12"/>
          <w:szCs w:val="12"/>
          <w:color w:val="auto"/>
        </w:rPr>
      </w:pPr>
    </w:p>
    <w:p>
      <w:pPr>
        <w:ind w:left="220" w:hanging="212"/>
        <w:spacing w:after="0" w:line="276" w:lineRule="auto"/>
        <w:tabs>
          <w:tab w:leader="none" w:pos="2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4" w:lineRule="exact"/>
        <w:rPr>
          <w:rFonts w:ascii="Arial" w:cs="Arial" w:eastAsia="Arial" w:hAnsi="Arial"/>
          <w:sz w:val="12"/>
          <w:szCs w:val="12"/>
          <w:color w:val="auto"/>
        </w:rPr>
      </w:pPr>
    </w:p>
    <w:p>
      <w:pPr>
        <w:ind w:left="220" w:hanging="212"/>
        <w:spacing w:after="0" w:line="276" w:lineRule="auto"/>
        <w:tabs>
          <w:tab w:leader="none" w:pos="2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4" w:lineRule="exact"/>
        <w:rPr>
          <w:rFonts w:ascii="Arial" w:cs="Arial" w:eastAsia="Arial" w:hAnsi="Arial"/>
          <w:sz w:val="12"/>
          <w:szCs w:val="12"/>
          <w:color w:val="auto"/>
        </w:rPr>
      </w:pPr>
    </w:p>
    <w:p>
      <w:pPr>
        <w:ind w:left="220" w:hanging="212"/>
        <w:spacing w:after="0" w:line="276" w:lineRule="auto"/>
        <w:tabs>
          <w:tab w:leader="none" w:pos="2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14" w:lineRule="exact"/>
        <w:rPr>
          <w:rFonts w:ascii="Arial" w:cs="Arial" w:eastAsia="Arial" w:hAnsi="Arial"/>
          <w:sz w:val="12"/>
          <w:szCs w:val="12"/>
          <w:color w:val="auto"/>
        </w:rPr>
      </w:pPr>
    </w:p>
    <w:p>
      <w:pPr>
        <w:ind w:left="440" w:hanging="216"/>
        <w:spacing w:after="0" w:line="276" w:lineRule="auto"/>
        <w:tabs>
          <w:tab w:leader="none" w:pos="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14" w:lineRule="exact"/>
        <w:rPr>
          <w:rFonts w:ascii="Arial" w:cs="Arial" w:eastAsia="Arial" w:hAnsi="Arial"/>
          <w:sz w:val="12"/>
          <w:szCs w:val="12"/>
          <w:color w:val="auto"/>
        </w:rPr>
      </w:pPr>
    </w:p>
    <w:p>
      <w:pPr>
        <w:ind w:left="440" w:hanging="216"/>
        <w:spacing w:after="0" w:line="276" w:lineRule="auto"/>
        <w:tabs>
          <w:tab w:leader="none" w:pos="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40" w:hanging="216"/>
        <w:spacing w:after="0" w:line="276" w:lineRule="auto"/>
        <w:tabs>
          <w:tab w:leader="none" w:pos="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440" w:hanging="216"/>
        <w:spacing w:after="0" w:line="276" w:lineRule="auto"/>
        <w:tabs>
          <w:tab w:leader="none" w:pos="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4" w:lineRule="exact"/>
        <w:rPr>
          <w:rFonts w:ascii="Arial" w:cs="Arial" w:eastAsia="Arial" w:hAnsi="Arial"/>
          <w:sz w:val="12"/>
          <w:szCs w:val="12"/>
          <w:color w:val="auto"/>
        </w:rPr>
      </w:pPr>
    </w:p>
    <w:p>
      <w:pPr>
        <w:ind w:left="220" w:right="20" w:hanging="212"/>
        <w:spacing w:after="0" w:line="276" w:lineRule="auto"/>
        <w:tabs>
          <w:tab w:leader="none" w:pos="2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4" w:lineRule="exact"/>
        <w:rPr>
          <w:rFonts w:ascii="Arial" w:cs="Arial" w:eastAsia="Arial" w:hAnsi="Arial"/>
          <w:sz w:val="12"/>
          <w:szCs w:val="12"/>
          <w:color w:val="auto"/>
        </w:rPr>
      </w:pPr>
    </w:p>
    <w:p>
      <w:pPr>
        <w:ind w:left="440" w:hanging="216"/>
        <w:spacing w:after="0" w:line="276" w:lineRule="auto"/>
        <w:tabs>
          <w:tab w:leader="none" w:pos="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14" w:lineRule="exact"/>
        <w:rPr>
          <w:rFonts w:ascii="Arial" w:cs="Arial" w:eastAsia="Arial" w:hAnsi="Arial"/>
          <w:sz w:val="12"/>
          <w:szCs w:val="12"/>
          <w:color w:val="auto"/>
        </w:rPr>
      </w:pPr>
    </w:p>
    <w:p>
      <w:pPr>
        <w:ind w:left="440" w:hanging="216"/>
        <w:spacing w:after="0"/>
        <w:tabs>
          <w:tab w:leader="none" w:pos="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w:t>
      </w:r>
    </w:p>
    <w:p>
      <w:pPr>
        <w:spacing w:after="0" w:line="150" w:lineRule="exact"/>
        <w:rPr>
          <w:sz w:val="20"/>
          <w:szCs w:val="20"/>
          <w:color w:val="auto"/>
        </w:rPr>
      </w:pPr>
    </w:p>
    <w:p>
      <w:pPr>
        <w:ind w:left="220"/>
        <w:spacing w:after="0"/>
        <w:tabs>
          <w:tab w:leader="none" w:pos="5460" w:val="left"/>
        </w:tabs>
        <w:rPr>
          <w:sz w:val="20"/>
          <w:szCs w:val="20"/>
          <w:color w:val="auto"/>
        </w:rPr>
      </w:pPr>
      <w:r>
        <w:rPr>
          <w:rFonts w:ascii="Arial" w:cs="Arial" w:eastAsia="Arial" w:hAnsi="Arial"/>
          <w:sz w:val="12"/>
          <w:szCs w:val="12"/>
          <w:color w:val="auto"/>
        </w:rPr>
        <w:t>May 14, 2021</w:t>
      </w:r>
      <w:r>
        <w:rPr>
          <w:sz w:val="20"/>
          <w:szCs w:val="20"/>
          <w:color w:val="auto"/>
        </w:rPr>
        <w:tab/>
      </w:r>
      <w:r>
        <w:rPr>
          <w:rFonts w:ascii="Arial" w:cs="Arial" w:eastAsia="Arial" w:hAnsi="Arial"/>
          <w:sz w:val="10"/>
          <w:szCs w:val="10"/>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9525</wp:posOffset>
            </wp:positionV>
            <wp:extent cx="358902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2"/>
          <w:szCs w:val="12"/>
          <w:color w:val="auto"/>
        </w:rPr>
        <w:t>Peter A. Clemens</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271"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2"/>
          <w:szCs w:val="12"/>
          <w:b w:val="1"/>
          <w:bCs w:val="1"/>
          <w:color w:val="auto"/>
        </w:rPr>
        <w:t>Exhibit 32.1</w:t>
      </w:r>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CERTIFICATIONS OF THE CHIEF EXEUTIVE OFFICER AND THE CHIEF FINANCIAL OFFICER</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PURSUANT TO 18 U.S.C. SECTION 1350, AS ADOPTED</w:t>
      </w:r>
    </w:p>
    <w:p>
      <w:pPr>
        <w:spacing w:after="0" w:line="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PURSUANT TO SECTION 906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Quarterly Report of Acura Pharmaceuticals, Inc. (the "Company") on Form 10-Q for the period ending March 31, 2020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I, Robert B. Jones, the Chief Executive Officer of the Company, and Peter A. Clemens, Chief Financial Officer certify, pursuant to 18 U.S.C. Section 1350, as adopted pursuant to Section 906 of the Sarbanes-Oxley Act of 2002, that:</w:t>
      </w:r>
    </w:p>
    <w:p>
      <w:pPr>
        <w:spacing w:after="0" w:line="164" w:lineRule="exact"/>
        <w:rPr>
          <w:sz w:val="20"/>
          <w:szCs w:val="20"/>
          <w:color w:val="auto"/>
        </w:rPr>
      </w:pPr>
    </w:p>
    <w:p>
      <w:pPr>
        <w:ind w:left="200" w:hanging="197"/>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400" w:right="3980" w:hanging="397"/>
        <w:spacing w:after="0" w:line="500" w:lineRule="auto"/>
        <w:tabs>
          <w:tab w:leader="none" w:pos="193"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May 14, 2021</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9525</wp:posOffset>
            </wp:positionV>
            <wp:extent cx="358902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2"/>
          <w:szCs w:val="12"/>
          <w:color w:val="auto"/>
        </w:rPr>
        <w:t>Robert B. Jones</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Chief Executive Officer</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9525</wp:posOffset>
            </wp:positionV>
            <wp:extent cx="358902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2"/>
          <w:szCs w:val="12"/>
          <w:color w:val="auto"/>
        </w:rPr>
        <w:t>Peter A. Clemens</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289560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140"/>
      </w:cols>
      <w:pgMar w:left="460" w:top="2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þ"/>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2021-05-18T00:07:38Z</dcterms:created>
  <dcterms:modified xsi:type="dcterms:W3CDTF">2021-05-18T00:07:38Z</dcterms:modified>
</cp:coreProperties>
</file>