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3980" w:right="1560" w:hanging="3972"/>
        <w:spacing w:after="0" w:line="490" w:lineRule="auto"/>
        <w:tabs>
          <w:tab w:leader="none" w:pos="66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120" w:right="1380" w:hanging="4112"/>
        <w:spacing w:after="0" w:line="501"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 For the transition period from ___ to____</w:t>
      </w:r>
    </w:p>
    <w:p>
      <w:pPr>
        <w:ind w:left="4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1-10113</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Acura Pharmaceuticals,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580" w:type="dxa"/>
        <w:tblCellMar>
          <w:top w:w="0" w:type="dxa"/>
          <w:left w:w="0" w:type="dxa"/>
          <w:bottom w:w="0" w:type="dxa"/>
          <w:right w:w="0" w:type="dxa"/>
        </w:tblCellMar>
      </w:tblPr>
      <w:tr>
        <w:trPr>
          <w:trHeight w:val="220"/>
        </w:trPr>
        <w:tc>
          <w:tcPr>
            <w:tcW w:w="5600" w:type="dxa"/>
            <w:vAlign w:val="bottom"/>
          </w:tcPr>
          <w:p>
            <w:pPr>
              <w:jc w:val="center"/>
              <w:ind w:right="1050"/>
              <w:spacing w:after="0"/>
              <w:rPr>
                <w:sz w:val="20"/>
                <w:szCs w:val="20"/>
                <w:color w:val="auto"/>
              </w:rPr>
            </w:pPr>
            <w:r>
              <w:rPr>
                <w:rFonts w:ascii="Arial" w:cs="Arial" w:eastAsia="Arial" w:hAnsi="Arial"/>
                <w:sz w:val="18"/>
                <w:szCs w:val="18"/>
                <w:b w:val="1"/>
                <w:bCs w:val="1"/>
                <w:color w:val="auto"/>
                <w:w w:val="95"/>
              </w:rPr>
              <w:t>New York</w:t>
            </w:r>
          </w:p>
        </w:tc>
        <w:tc>
          <w:tcPr>
            <w:tcW w:w="3740" w:type="dxa"/>
            <w:vAlign w:val="bottom"/>
          </w:tcPr>
          <w:p>
            <w:pPr>
              <w:jc w:val="right"/>
              <w:ind w:right="770"/>
              <w:spacing w:after="0"/>
              <w:rPr>
                <w:sz w:val="20"/>
                <w:szCs w:val="20"/>
                <w:color w:val="auto"/>
              </w:rPr>
            </w:pPr>
            <w:r>
              <w:rPr>
                <w:rFonts w:ascii="Arial" w:cs="Arial" w:eastAsia="Arial" w:hAnsi="Arial"/>
                <w:sz w:val="18"/>
                <w:szCs w:val="18"/>
                <w:b w:val="1"/>
                <w:bCs w:val="1"/>
                <w:color w:val="auto"/>
              </w:rPr>
              <w:t>11-0853640</w:t>
            </w:r>
          </w:p>
        </w:tc>
      </w:tr>
      <w:tr>
        <w:trPr>
          <w:trHeight w:val="230"/>
        </w:trPr>
        <w:tc>
          <w:tcPr>
            <w:tcW w:w="5600" w:type="dxa"/>
            <w:vAlign w:val="bottom"/>
          </w:tcPr>
          <w:p>
            <w:pPr>
              <w:jc w:val="center"/>
              <w:ind w:right="105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740" w:type="dxa"/>
            <w:vAlign w:val="bottom"/>
          </w:tcPr>
          <w:p>
            <w:pPr>
              <w:jc w:val="center"/>
              <w:ind w:left="107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18"/>
        </w:trPr>
        <w:tc>
          <w:tcPr>
            <w:tcW w:w="560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616 N. North Court, Suite 120, Palatine, Illinois</w:t>
            </w:r>
          </w:p>
        </w:tc>
        <w:tc>
          <w:tcPr>
            <w:tcW w:w="3740" w:type="dxa"/>
            <w:vAlign w:val="bottom"/>
          </w:tcPr>
          <w:p>
            <w:pPr>
              <w:jc w:val="right"/>
              <w:ind w:right="990"/>
              <w:spacing w:after="0"/>
              <w:rPr>
                <w:sz w:val="20"/>
                <w:szCs w:val="20"/>
                <w:color w:val="auto"/>
              </w:rPr>
            </w:pPr>
            <w:r>
              <w:rPr>
                <w:rFonts w:ascii="Arial" w:cs="Arial" w:eastAsia="Arial" w:hAnsi="Arial"/>
                <w:sz w:val="18"/>
                <w:szCs w:val="18"/>
                <w:b w:val="1"/>
                <w:bCs w:val="1"/>
                <w:color w:val="auto"/>
              </w:rPr>
              <w:t>60067</w:t>
            </w:r>
          </w:p>
        </w:tc>
      </w:tr>
      <w:tr>
        <w:trPr>
          <w:trHeight w:val="230"/>
        </w:trPr>
        <w:tc>
          <w:tcPr>
            <w:tcW w:w="5600" w:type="dxa"/>
            <w:vAlign w:val="bottom"/>
          </w:tcPr>
          <w:p>
            <w:pPr>
              <w:jc w:val="center"/>
              <w:ind w:right="10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740" w:type="dxa"/>
            <w:vAlign w:val="bottom"/>
          </w:tcPr>
          <w:p>
            <w:pPr>
              <w:jc w:val="center"/>
              <w:ind w:left="107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 xml:space="preserve">(Registrant's telephone number, including area code: </w:t>
      </w:r>
      <w:r>
        <w:rPr>
          <w:rFonts w:ascii="Arial" w:cs="Arial" w:eastAsia="Arial" w:hAnsi="Arial"/>
          <w:sz w:val="18"/>
          <w:szCs w:val="18"/>
          <w:b w:val="1"/>
          <w:bCs w:val="1"/>
          <w:color w:val="auto"/>
        </w:rPr>
        <w:t>847 705-7709</w:t>
      </w:r>
      <w:r>
        <w:rPr>
          <w:rFonts w:ascii="Arial" w:cs="Arial" w:eastAsia="Arial" w:hAnsi="Arial"/>
          <w:sz w:val="18"/>
          <w:szCs w:val="18"/>
          <w:i w:val="1"/>
          <w:iCs w:val="1"/>
          <w:color w:val="auto"/>
        </w:rPr>
        <w:t>)</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(Former name, former address and formal fiscal year, if changed since last report.)</w:t>
      </w:r>
    </w:p>
    <w:p>
      <w:pPr>
        <w:spacing w:after="0" w:line="225"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submit and post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þ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S-T (§232.405 of this charter) during the preceding 12 months (or for such shorter period that the registrant was required to submit and post such files): Yes þ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74" w:right="239" w:bottom="1440" w:gutter="0" w:footer="0" w:header="0"/>
        </w:sectPr>
      </w:pPr>
    </w:p>
    <w:p>
      <w:pPr>
        <w:spacing w:after="0" w:line="14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(Do not check if a smaller reporting company)</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þ Smaller reporting company</w:t>
      </w:r>
    </w:p>
    <w:p>
      <w:pPr>
        <w:spacing w:after="0" w:line="30"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0" w:lineRule="exact"/>
        <w:rPr>
          <w:sz w:val="24"/>
          <w:szCs w:val="24"/>
          <w:color w:val="auto"/>
        </w:rPr>
      </w:pPr>
    </w:p>
    <w:p>
      <w:pPr>
        <w:sectPr>
          <w:pgSz w:w="11900" w:h="16838" w:orient="portrait"/>
          <w:cols w:equalWidth="0" w:num="2">
            <w:col w:w="6140" w:space="720"/>
            <w:col w:w="4560"/>
          </w:cols>
          <w:pgMar w:left="240" w:top="774" w:right="239" w:bottom="1440" w:gutter="0" w:footer="0" w:header="0"/>
          <w:type w:val="continuous"/>
        </w:sectPr>
      </w:pPr>
    </w:p>
    <w:p>
      <w:pPr>
        <w:spacing w:after="0" w:line="3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þ</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practical date:</w:t>
      </w:r>
    </w:p>
    <w:p>
      <w:pPr>
        <w:spacing w:after="0" w:line="23" w:lineRule="exact"/>
        <w:rPr>
          <w:sz w:val="24"/>
          <w:szCs w:val="24"/>
          <w:color w:val="auto"/>
        </w:rPr>
      </w:pPr>
    </w:p>
    <w:p>
      <w:pPr>
        <w:spacing w:after="0"/>
        <w:tabs>
          <w:tab w:leader="none" w:pos="3000" w:val="left"/>
        </w:tabs>
        <w:rPr>
          <w:sz w:val="20"/>
          <w:szCs w:val="20"/>
          <w:color w:val="auto"/>
        </w:rPr>
      </w:pPr>
      <w:r>
        <w:rPr>
          <w:rFonts w:ascii="Arial" w:cs="Arial" w:eastAsia="Arial" w:hAnsi="Arial"/>
          <w:sz w:val="18"/>
          <w:szCs w:val="18"/>
          <w:color w:val="auto"/>
        </w:rPr>
        <w:t>Common Stock, $0.01 par value</w:t>
      </w:r>
      <w:r>
        <w:rPr>
          <w:sz w:val="20"/>
          <w:szCs w:val="20"/>
          <w:color w:val="auto"/>
        </w:rPr>
        <w:tab/>
      </w:r>
      <w:r>
        <w:rPr>
          <w:rFonts w:ascii="Arial" w:cs="Arial" w:eastAsia="Arial" w:hAnsi="Arial"/>
          <w:sz w:val="16"/>
          <w:szCs w:val="16"/>
          <w:color w:val="auto"/>
        </w:rPr>
        <w:t>Shares outstanding as of August 13, 2018: 21,033,528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JUNE 30, 2018</w:t>
      </w:r>
    </w:p>
    <w:p>
      <w:pPr>
        <w:spacing w:after="0" w:line="207" w:lineRule="exact"/>
        <w:rPr>
          <w:sz w:val="20"/>
          <w:szCs w:val="20"/>
          <w:color w:val="auto"/>
        </w:rPr>
      </w:pPr>
    </w:p>
    <w:p>
      <w:pPr>
        <w:ind w:left="10520"/>
        <w:spacing w:after="0"/>
        <w:rPr>
          <w:sz w:val="20"/>
          <w:szCs w:val="20"/>
          <w:color w:val="auto"/>
        </w:rPr>
      </w:pPr>
      <w:r>
        <w:rPr>
          <w:rFonts w:ascii="Arial" w:cs="Arial" w:eastAsia="Arial" w:hAnsi="Arial"/>
          <w:sz w:val="18"/>
          <w:szCs w:val="18"/>
          <w:b w:val="1"/>
          <w:bCs w:val="1"/>
          <w:color w:val="auto"/>
        </w:rPr>
        <w:t>Page No.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20" w:type="dxa"/>
            <w:vAlign w:val="bottom"/>
            <w:gridSpan w:val="4"/>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0200" w:type="dxa"/>
            <w:vAlign w:val="bottom"/>
            <w:gridSpan w:val="14"/>
            <w:shd w:val="clear" w:color="auto" w:fill="CCEEFF"/>
          </w:tcPr>
          <w:p>
            <w:pPr>
              <w:ind w:left="280"/>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0" w:type="dxa"/>
            <w:vAlign w:val="bottom"/>
            <w:gridSpan w:val="14"/>
            <w:shd w:val="clear" w:color="auto" w:fill="CCEEFF"/>
          </w:tcPr>
          <w:p>
            <w:pPr>
              <w:ind w:left="2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June 30, 2018 and December 31, 2017</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16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0" w:type="dxa"/>
            <w:vAlign w:val="bottom"/>
            <w:gridSpan w:val="14"/>
            <w:shd w:val="clear" w:color="auto" w:fill="CCEEFF"/>
          </w:tcPr>
          <w:p>
            <w:pPr>
              <w:ind w:left="2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Six months Ended June 30, 2018 and 2017</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1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0" w:type="dxa"/>
            <w:vAlign w:val="bottom"/>
            <w:gridSpan w:val="14"/>
            <w:shd w:val="clear" w:color="auto" w:fill="CCEEFF"/>
          </w:tcPr>
          <w:p>
            <w:pPr>
              <w:ind w:left="28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Changes in Accumulated Stockholders’ Deficit for the Six months Ended June 30, 2018</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1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0" w:type="dxa"/>
            <w:vAlign w:val="bottom"/>
            <w:gridSpan w:val="14"/>
            <w:shd w:val="clear" w:color="auto" w:fill="CCEEFF"/>
          </w:tcPr>
          <w:p>
            <w:pPr>
              <w:ind w:left="2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Six months Ended June 30, 2018 and 2017</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1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0" w:type="dxa"/>
            <w:vAlign w:val="bottom"/>
            <w:gridSpan w:val="14"/>
            <w:shd w:val="clear" w:color="auto" w:fill="CCEEFF"/>
          </w:tcPr>
          <w:p>
            <w:pPr>
              <w:ind w:left="28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10200" w:type="dxa"/>
            <w:vAlign w:val="bottom"/>
            <w:gridSpan w:val="14"/>
            <w:shd w:val="clear" w:color="auto" w:fill="CCEEFF"/>
          </w:tcPr>
          <w:p>
            <w:pPr>
              <w:ind w:left="28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1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4"/>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4.</w:t>
              </w:r>
            </w:hyperlink>
          </w:p>
        </w:tc>
        <w:tc>
          <w:tcPr>
            <w:tcW w:w="10200" w:type="dxa"/>
            <w:vAlign w:val="bottom"/>
            <w:gridSpan w:val="14"/>
            <w:shd w:val="clear" w:color="auto" w:fill="CCEEFF"/>
          </w:tcPr>
          <w:p>
            <w:pPr>
              <w:ind w:left="2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 OTHER INFORMATION</w:t>
              </w:r>
            </w:hyperlink>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4"/>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Item 1.</w:t>
              </w:r>
            </w:hyperlink>
          </w:p>
        </w:tc>
        <w:tc>
          <w:tcPr>
            <w:tcW w:w="10200" w:type="dxa"/>
            <w:vAlign w:val="bottom"/>
            <w:gridSpan w:val="14"/>
            <w:shd w:val="clear" w:color="auto" w:fill="CCEEFF"/>
          </w:tcPr>
          <w:p>
            <w:pPr>
              <w:ind w:left="2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4"/>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Item 1A.</w:t>
              </w:r>
            </w:hyperlink>
          </w:p>
        </w:tc>
        <w:tc>
          <w:tcPr>
            <w:tcW w:w="10200" w:type="dxa"/>
            <w:vAlign w:val="bottom"/>
            <w:gridSpan w:val="14"/>
            <w:shd w:val="clear" w:color="auto" w:fill="CCEEFF"/>
          </w:tcPr>
          <w:p>
            <w:pPr>
              <w:ind w:left="2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4"/>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6.</w:t>
              </w:r>
            </w:hyperlink>
          </w:p>
        </w:tc>
        <w:tc>
          <w:tcPr>
            <w:tcW w:w="10200" w:type="dxa"/>
            <w:vAlign w:val="bottom"/>
            <w:gridSpan w:val="14"/>
            <w:shd w:val="clear" w:color="auto" w:fill="CCEEFF"/>
          </w:tcPr>
          <w:p>
            <w:pPr>
              <w:ind w:left="2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4"/>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50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Unless otherwise indicated or the context otherwise requires, references to the “Company”, “we”, “us” and “our” refer to Acura Pharmaceuticals Inc. and its subsidiary. The Acura logo is our trademark and Acura Pharmaceuticals is our registered trademark. All other trade names, trademarks and service marks appearing in this Quarterly Report on Form 10-Q are the property of their respective owners. We have assumed that the reader understands that all such terms are source-indicating. Accordingly, such terms, when first mentioned in this Quarterly Report on Form 10-Q, appear with the trade name, trademark or service mark notice and then throughout the remainder of this Quarterly Report on Form 10-Q without the trade name, trademark or service mark notices for convenience only and should not be construed as being used in a descriptive or generic sense.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7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60" w:type="dxa"/>
            <w:vAlign w:val="bottom"/>
          </w:tcPr>
          <w:p>
            <w:pPr>
              <w:jc w:val="center"/>
              <w:ind w:left="3330"/>
              <w:spacing w:after="0"/>
              <w:rPr>
                <w:sz w:val="20"/>
                <w:szCs w:val="20"/>
                <w:color w:val="auto"/>
              </w:rPr>
            </w:pPr>
            <w:r>
              <w:rPr>
                <w:rFonts w:ascii="Arial" w:cs="Arial" w:eastAsia="Arial" w:hAnsi="Arial"/>
                <w:sz w:val="18"/>
                <w:szCs w:val="18"/>
                <w:b w:val="1"/>
                <w:bCs w:val="1"/>
                <w:color w:val="auto"/>
              </w:rPr>
              <w:t>ACURA PHARMACEUTICALS, INC.</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jc w:val="center"/>
              <w:ind w:left="335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Pr>
          <w:p>
            <w:pPr>
              <w:jc w:val="center"/>
              <w:ind w:left="3350"/>
              <w:spacing w:after="0"/>
              <w:rPr>
                <w:sz w:val="20"/>
                <w:szCs w:val="20"/>
                <w:color w:val="auto"/>
              </w:rPr>
            </w:pPr>
            <w:r>
              <w:rPr>
                <w:rFonts w:ascii="Arial" w:cs="Arial" w:eastAsia="Arial" w:hAnsi="Arial"/>
                <w:sz w:val="18"/>
                <w:szCs w:val="18"/>
                <w:b w:val="1"/>
                <w:bCs w:val="1"/>
                <w:color w:val="auto"/>
                <w:w w:val="89"/>
              </w:rPr>
              <w:t>(Unaudited; in thousands except par value)</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568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receivable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Refundable deposits</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Income tax receivable</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 (Note 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Intangible asset, (net of accumulated amortization of $879 and $776) (Note 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1,121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2,813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Accrued expenses (Note 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returns liability</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Debt, (net of discounts) (Note 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1,505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4,002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Notes payable – related party, (net of discounts)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1,429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5,439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Commitments and contingencies (Note 15)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Stockholders’ deficit: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stock - $.01 par value per share; 100,000 shares authorized, 21,034 and 20,796 shares issued and</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at June 30, 2018 and December 31, 2017, respectively</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380,299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380,145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(383,135)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(380,380)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stockholders’ deficit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deficit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License fee revenue</w:t>
            </w:r>
          </w:p>
        </w:tc>
        <w:tc>
          <w:tcPr>
            <w:tcW w:w="300" w:type="dxa"/>
            <w:vAlign w:val="bottom"/>
          </w:tcPr>
          <w:p>
            <w:pPr>
              <w:jc w:val="right"/>
              <w:ind w:right="14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Collaboration revenue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revenues, net</w:t>
            </w: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 and expenses: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1,127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1,789</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cost and expenses</w:t>
            </w: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loss</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(2,642)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 (Note 10)</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42"/>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21,068</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21,101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11,966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21,068</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11,938</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8"/>
                <w:szCs w:val="18"/>
                <w:color w:val="auto"/>
              </w:rPr>
              <w:t>3</w:t>
            </w:r>
          </w:p>
        </w:tc>
        <w:tc>
          <w:tcPr>
            <w:tcW w:w="96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spacing w:after="0"/>
        <w:framePr w:w="160" w:h="160" w:wrap="auto" w:vAnchor="page" w:hAnchor="page" w:x="5880" w:y="5557"/>
        <w:rPr>
          <w:rFonts w:ascii="Arial" w:cs="Arial" w:eastAsia="Arial" w:hAnsi="Arial"/>
          <w:sz w:val="14"/>
          <w:szCs w:val="14"/>
          <w:color w:val="auto"/>
        </w:rPr>
      </w:pPr>
      <w:r>
        <w:rPr>
          <w:rFonts w:ascii="Arial" w:cs="Arial" w:eastAsia="Arial" w:hAnsi="Arial"/>
          <w:sz w:val="14"/>
          <w:szCs w:val="14"/>
          <w:color w:val="auto"/>
        </w:rPr>
        <w:t>4</w:t>
      </w:r>
    </w:p>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ACCUMULATED STOCKHOLDERS' DEFICIT</w:t>
      </w:r>
    </w:p>
    <w:p>
      <w:pPr>
        <w:spacing w:after="0" w:line="9"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7" w:lineRule="exact"/>
        <w:rPr>
          <w:rFonts w:ascii="Arial" w:cs="Arial" w:eastAsia="Arial" w:hAnsi="Arial"/>
          <w:sz w:val="14"/>
          <w:szCs w:val="14"/>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4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Accumulated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Par Value</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380,145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(380,380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4"/>
              </w:rPr>
              <w:t>Non-cash share-based compensation</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Net distribution of common stock pursuant to restricted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stock unit award plan</w:t>
            </w:r>
          </w:p>
        </w:tc>
        <w:tc>
          <w:tcPr>
            <w:tcW w:w="2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1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(383,135)</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620" w:type="dxa"/>
            <w:vAlign w:val="bottom"/>
            <w:gridSpan w:val="9"/>
          </w:tcPr>
          <w:p>
            <w:pPr>
              <w:ind w:left="240"/>
              <w:spacing w:after="0"/>
              <w:rPr>
                <w:sz w:val="20"/>
                <w:szCs w:val="20"/>
                <w:color w:val="auto"/>
              </w:rPr>
            </w:pPr>
            <w:r>
              <w:rPr>
                <w:rFonts w:ascii="Arial" w:cs="Arial" w:eastAsia="Arial" w:hAnsi="Arial"/>
                <w:sz w:val="18"/>
                <w:szCs w:val="18"/>
                <w:color w:val="auto"/>
                <w:w w:val="92"/>
              </w:rPr>
              <w:t>See accompanying notes to unaudited consolidated financial statements.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(2,755)</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for sales returns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Non-cash share-based compensation</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Capitalized debt discount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Amortization of debt discount and deferred debt issue costs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intangible asset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Gain on disposal of machinery &amp; equipment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assets and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Trade accounts receivable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Collaboration revenue receivable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Royalty receivable</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Inventory</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Refundable deposits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Accrued interest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Sales returns liability</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transfer of equipment to licensee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Proceeds from transfer of inventory to licensee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investing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distribution of restricted stock units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Proceeds from loan maturing February 2, 2020</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Principal payments on loan maturing December 1, 2018</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Cash interest payments on loan maturing December 1, 2018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20"/>
                <w:szCs w:val="20"/>
                <w:color w:val="auto"/>
              </w:rPr>
            </w:pP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 that sum to the total of the same such amounts shown in the consolidated statements of cash flows:</w:t>
      </w:r>
    </w:p>
    <w:p>
      <w:pPr>
        <w:spacing w:after="0" w:line="16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4"/>
              </w:rPr>
              <w:t>June 30,</w:t>
            </w:r>
          </w:p>
        </w:tc>
        <w:tc>
          <w:tcPr>
            <w:tcW w:w="820" w:type="dxa"/>
            <w:vAlign w:val="bottom"/>
            <w:gridSpan w:val="3"/>
          </w:tcPr>
          <w:p>
            <w:pPr>
              <w:ind w:left="2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2018</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2017</w:t>
            </w:r>
          </w:p>
        </w:tc>
        <w:tc>
          <w:tcPr>
            <w:tcW w:w="40" w:type="dxa"/>
            <w:vAlign w:val="bottom"/>
            <w:tcBorders>
              <w:bottom w:val="single" w:sz="8" w:color="CCEEFF"/>
            </w:tcBorders>
          </w:tcPr>
          <w:p>
            <w:pPr>
              <w:spacing w:after="0"/>
              <w:rPr>
                <w:sz w:val="20"/>
                <w:szCs w:val="20"/>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4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r>
      <w:tr>
        <w:trPr>
          <w:trHeight w:val="23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equivalents</w:t>
            </w:r>
          </w:p>
        </w:tc>
        <w:tc>
          <w:tcPr>
            <w:tcW w:w="14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 w:type="dxa"/>
            <w:vAlign w:val="bottom"/>
            <w:shd w:val="clear" w:color="auto" w:fill="CCEEFF"/>
          </w:tcPr>
          <w:p>
            <w:pPr>
              <w:spacing w:after="0"/>
              <w:rPr>
                <w:sz w:val="19"/>
                <w:szCs w:val="19"/>
                <w:color w:val="auto"/>
              </w:rPr>
            </w:pPr>
          </w:p>
        </w:tc>
      </w:tr>
      <w:tr>
        <w:trPr>
          <w:trHeight w:val="182"/>
        </w:trPr>
        <w:tc>
          <w:tcPr>
            <w:tcW w:w="5100" w:type="dxa"/>
            <w:vAlign w:val="bottom"/>
          </w:tcPr>
          <w:p>
            <w:pPr>
              <w:spacing w:after="0" w:line="182" w:lineRule="exact"/>
              <w:rPr>
                <w:sz w:val="20"/>
                <w:szCs w:val="20"/>
                <w:color w:val="auto"/>
              </w:rPr>
            </w:pPr>
            <w:r>
              <w:rPr>
                <w:rFonts w:ascii="Arial" w:cs="Arial" w:eastAsia="Arial" w:hAnsi="Arial"/>
                <w:sz w:val="18"/>
                <w:szCs w:val="18"/>
                <w:color w:val="auto"/>
              </w:rPr>
              <w:t>Total cash, cash equivalents and restricted cash show in the</w:t>
            </w: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44"/>
        </w:trPr>
        <w:tc>
          <w:tcPr>
            <w:tcW w:w="510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568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3,579</w:t>
            </w:r>
          </w:p>
        </w:tc>
        <w:tc>
          <w:tcPr>
            <w:tcW w:w="40" w:type="dxa"/>
            <w:vAlign w:val="bottom"/>
          </w:tcPr>
          <w:p>
            <w:pPr>
              <w:spacing w:after="0"/>
              <w:rPr>
                <w:sz w:val="21"/>
                <w:szCs w:val="21"/>
                <w:color w:val="auto"/>
              </w:rPr>
            </w:pPr>
          </w:p>
        </w:tc>
      </w:tr>
      <w:tr>
        <w:trPr>
          <w:trHeight w:val="20"/>
        </w:trPr>
        <w:tc>
          <w:tcPr>
            <w:tcW w:w="5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noncash investing and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2018</w:t>
      </w:r>
    </w:p>
    <w:p>
      <w:pPr>
        <w:spacing w:after="0" w:line="225" w:lineRule="exact"/>
        <w:rPr>
          <w:sz w:val="20"/>
          <w:szCs w:val="20"/>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imputed interest on the below market rate element of the related party $1.5 million loan amounted to $74 thousand recorded as a benefit to interest income with a corresponding like amount as debt discount against the principal amount of the loan. The debt discount will be amortized to interest expense over the term on the loans.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2017</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are no supplemental disclosure activities.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ACURA PHARMACEUTICALS, INC. NOTES TO UNAUDITED CONSOLIDATED FINANCIAL STATEMENTS JUNE 30, 2018 AND JUNE 30, 2017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OPERATIONS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Operations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Acura Pharmaceuticals, Inc., a New York corporation, and its subsidiary (the “Company”, “Acura”, “We”, “Us” or “Our”) is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Limitx™ Technology is intended to address methods of product tampering associated with opioid abuse by retarding the release of active drug ingredients when too many tablets are accidently or purposefully ingested. Our Aversion® Technology is intended to address methods of product tampering associated with opioid abuse by incorporating gelling ingredients and irritants into tablets to discourage abuse by snorting and provide barriers to abuse by injection. Our Impede® Technology is directed at minimizing the extraction and conversion of pseudoephedrine into methamphetamine.</w:t>
      </w:r>
    </w:p>
    <w:p>
      <w:pPr>
        <w:spacing w:after="0" w:line="178"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Limitx Technology is in development with the immediate-release hydrocodone bitartrate and acetaminophen as a lead Limitx product candidate due to its larger market size than our prior lead product and its known prevalence of oral excessive tablet abuse.</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Aversion Technology has been licensed to Egalet Corporation for use in Oxaydo® Tablets (oxycodone HCl, CII), and is the first approved immediate-release oxycodone product in the United States with abuse deterrent labeling. Oxaydo is currently approved by the FDA for marketing in the United States in 5mg and 7.5mg strengths. (see Note 3).</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Impede Technology is used in Nexafed® Tablets (30mg pseudoephedrine HCl) and Nexafed® Sinus Pressure + Pain Tablets (30/325mg pseudoephedrine HCl and acetaminophen). We have licensed to MainPointe Pharmaceuticals, LLC our Impede Technology in the United States and Canada to commercialize our Nexafed products. (see Note 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Substantial Doubt in Going Concern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consolidated financial statements of the Company have been prepared assuming the Company will continue as a going concern and in accordance with generally accepted accounting principles in the United States of America for interim financial information, the instructions to Form 10-Q and Article 10 of Regulation S-X. Accordingly, they do not contain all disclosures required by generally accepted accounting principles. Reference should be made to the Company’s Annual Report on Form 10-K for the year ended December 31, 2017. In the opinion of the Company, all normal recurring adjustments have been made that are necessary to present fairly the results of operations for the interim periods. Operating results for the six month period ended June 30, 2018 are not necessarily indicative of the results that may be expected for the year ending December 31, 2018.</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going concern basis of presentation assumes that we will continue in operation one year after the date these financial statements are issued and we will be able to realize our assets and discharge our liabilities and commitments in the normal course of business. As of June 30, 2018, we had cash and refundable deposits of $0.7 million, working capital deficit of $3.1 million and an accumulated deficit of $383.1 million. As of August 13, 2018 we had cash and refundable deposits of $0.2 million. We had a loss from operations of $2.6 million and a net loss of $2.8 million for the six months ended June 30, 2018. We have suffered recurring losses from operations and have not generated positive cash flows from operations. We had a loss from operations of $5.2 million and a net loss of $5.7 million for the year ended December 31, 2017. We anticipate operating losses to continue for the foreseeable future.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spacing w:after="0" w:line="287" w:lineRule="auto"/>
        <w:rPr>
          <w:sz w:val="20"/>
          <w:szCs w:val="20"/>
          <w:color w:val="auto"/>
        </w:rPr>
      </w:pPr>
      <w:r>
        <w:rPr>
          <w:rFonts w:ascii="Arial" w:cs="Arial" w:eastAsia="Arial" w:hAnsi="Arial"/>
          <w:sz w:val="16"/>
          <w:szCs w:val="16"/>
          <w:color w:val="auto"/>
        </w:rPr>
        <w:t>We have a term loan with Oxford Finance LLC (“Oxford” or the “Lender”) and as of June 30, 2018 and August 13, 2018, the outstanding principal balance is $1.5 million and $1.0 million, respectively. The $795 thousand balloon interest payment is due to Oxford on December 1, 2018. Our term loan agreement with Oxford contains customary affirmative and negative covenants. One such covenant is that the Company must submit on an annual basis to Oxford, within 120 days after the end of its fiscal year, audited financial statements, together with an unqualified audit opinion from an independent registered public accounting firm, or the Unqualified Audit Opinion Covenant. Per the term loan agreement an audit opinion with an explanatory paragraph noting substantial doubt about the Company’s ability to continue in business (the “going concern opinion”) is deemed to violate the Unqualified Audit Opinion Covenant. Failure to comply with the Unqualified Audit Opinion Covenant is a breach of the term loan agreement and unless such covenant or breach is waived, Oxford would have the option of accelerating the debt under the term loan agreement and initiating enforcement collection actions, foreclosing on collateral (which includes most assets of the Company) and, among other things, preventing the Company from using any funds in its bank or securities accounts. On March 16, 2017, we and Oxford entered into a third amendment to the loan agreement, or the Third Amendment. Pursuant to the Third Amendment (i) we granted Oxford a lien on our intellectual property, (ii) Oxford provided a waiver of compliance with the Unqualified Audit Opinion Covenant in connection with our receipt of our auditor’s going concern opinion for our 2016 financial statements and (iii) Oxford consented to the terms of the MainPointe Agreement.</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second quarter of 2018, we borrowed a total of $1.5 million from John Schutte, a principal of MainPointe and our largest shareholder. In conjunction with such loans, we entered into of a fourth amendment to our term loan agreement with Oxford, pursuant to which Oxford granted a similar waiver of compliance with the Unqualified Audit Opinion Covenant for our 2017 financial statements and extended the period in which we could deliver financial statements for 2017 to 160 days after year’s end (instead of 120 days). (see Notes 9 and 15). On June 7, 2018, we filed our 2017 financial statements as part of our annual report on Form 10-K. We borrowed another $400 thousand from John Schutte on August 2, 2018 and our total borrowing to date with John Schutte is $1.9 million. With the net proceeds to the Company resulting from the loans from Mr. Schutte, we expect our cash will only be sufficient to fund operations into late August 2018.</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factors, among others, raise substantial doubt about the Company's ability to continue as a going concern. We must seek sources to raise additional financing and seek to enter into license or collaboration agreements with third parties relating to our technologies. The Company is exploring a variety of capital raising and other transactions to provide additional funding to continue operations. These include potential private offerings of common stock to accredited and/or institutional investors and licensing transactions with pharmaceutical company partners for our proprietary technologies, including Limitx. We are actively seeking a licensing partner for our Limitx technology, with the objective of receiving an upfront license fee, development milestone payments and royalties on the net sales of products utilizing the Limitx technology, similar to the Egalet Agreement. We are also exploring licensing or selling select assets and intellectual property in an effort to raise capital and reduce operating expenses. Finally, the Company continues to evaluate the potential for a strategic transaction which may involve the Company being acquired in a merger or asset purchase transaction. No assurance can be given that we will be successful in completing any one or more of such transactions on acceptable terms, if at all, or if completed, that such transactions will provide payments to the Company sufficient to fund continued operations. In the absence of the Company’s completion of one or more of such transactions, there will be substantial doubt about the Company’s ability to continue as a going concern within one year after the date these financial statements are issued,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view of the matters described above, management has concluded that substantial doubt exists with respect to the Company’s ability to continue as a going concern within one year after the date the financial statements are issued. The recoverability of a major portion of the recorded asset amounts shown in the Company’s accompanying balance sheets is dependent upon continued operations of the Company, which in turn is dependent upon the Company’s ability to meet its funding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standards which have been adopted on or before June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adopted Accounting Standards Codification Topic 606—Revenue from Contracts with Customers, or Topic 606, on January 1, 2018, resulting in a change to its accounting policy for revenue recognition. The Company used the modified retrospective method and the cumulative effect of initially applying Topic 606 would be recognized as an adjustment to the opening accumulated deficit at January 1, 2018. Accordingly, comparative information has not been adjusted and continues to be reported under the previous accounting standards. Refer to Note 4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Scope of Modification Accounting, Stock 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2017, the FASB issued ASU No. 2017-09 which provides guidance as to how an entity should apply modified accounting in Topic 718 when changing the terms and conditions of its share-based payment awards. The guidance clarifies that modification accounting will be applied if the value, vesting conditions or classification of the award changes. The ASU is effective for annual reporting periods, including interim periods within those annual periods, beginning after December 15, 2017 but early adoption is permitted. The Company adopted this new standard on January 1, 2018 which did not have a material impact on the Company’s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 - Classification of Certain Cash Receipts and Cash Payments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2016, the FASB issued ASU 2016-15 which clarifies existing guidance on how companies present and classify certain cash receipts and cash payments in the statement of cash flows by addressing specific cash flow issues in an effort to reduce diversity in practice, including guidance on debt prepayment or extinguishment costs and contingent consideration payments made after a business combination. This update is effective for annual reporting periods beginning after December 15, 2017, with early adoption permitted. The Company adopted this new standard on January 1, 2018 which did not have a material impact on the Company’s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Intra-Entity Transfers of Assets Other than Inventory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ASU 2016-16 eliminates from Topic 740, Income Taxes, the recognition exception for intra-entity asset transfers other than inventory so that an entity’s financial statements reflect the current and deferred tax consequences of those intra-entity asset transfers when they occur. The new standard will be effective for annual and interim periods, within those fiscal years, beginning after December 15, 2017 but early adoption is permitted. The Company adopted this new standard on January 1, 2018 which did not have a material impact on the Company’s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standards which have not been adopted on or before June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2016, the FASB issued ASU 2016-02, Leases, which establishes a comprehensive new lease accounting model. The new standard will require most leases (with the exception of leases with terms of one year or less) to be recognized on the balance sheet as a lease liability with a corresponding right-of-use asset. Leases will be classified as an operating lease or a financing lease. Operating leases are expensed using the straight-line method whereas financing leases will be treated similarly to a capital lease under the current standard. The new standard will be effective for annual and interim periods, within those fiscal years, beginning after December 15, 2018 but early adoption is permitted. The new standard must be presented using the modified retrospective transition method existing at or entered into after the beginning of the earliest comparative period presented in the financial statements, but it does not require transition accounting for leases that expire prior to the date of initial application. Upon adoption, operating leases will be reported on the balance sheet as a gross-up of assets and liabilities. The Company is currently evaluating the impact that the standard will have on the financial statements and related footnote disclosures.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 LICENSE AND COLLABORATION AGREEMENTS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Company’s revenues are comprised of amounts earned under its license and collaboration agreements, royalties, and until March 2017 did previously include the Nexafed products’ net product sales. Revenue recognition occurs when a customer obtains control of promised goods or services in an amount that reflects the consideration the Company expects to receive in exchange for those goods or services based on a short-term credit arrangement.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Egalet Agreement covering Oxaydo</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April 2014, we terminated an agreement with Pfizer and the return to us of Aversion Oxycodone (formerly known as Oxecta®) and all Aversion product rights in exchange for a one-time termination payment of $2.0 million. Our termination payment of $2.0 million has been recorded in our financial statements as an intangible asset and is being amortized over the remaining useful life of the patent covering Aversion Oxycodone, which was 9.7 years as of the date the agreement was terminated. We have recorded amortization expense of $103 thousand in each of the six month periods ending June 30, 2018 and 2017. Annual amortization of the patent for its remaining life through 2021 is expected to approximate $208 thousand each year.</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2015, we and Egalet US, Inc. and Egalet Ltd., each a subsidiary of Egalet Corporation, or collectively Egalet, entered into a Collaboration and License Agreement (the “Egalet Agreement”) to commercialize Aversion Oxycodone (formerly known as Oxecta®) under our tradename Oxaydo. Oxaydo is approved by the FDA for marketing in the United States in 5 mg and 7.5 mg strengths. Under the terms of the Egalet Agreement, we transferred the approved New Drug Application, or NDA, for Oxaydo to Egalet and Egalet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accordance with the Egalet Agreement, we and Egalet have formed a joint steering committee to coordinate commercialization strategies and the development of product line extensions. Egalet is responsible for the fees and expenses relating to the Oxaydo NDA and product line extensions of Oxaydo, provided that Egalet will pay a substantial majority of the fees and expenses and we will pay for the remaining fees and expense relating to (i) annual NDA PDUFA product fees, (ii) expenses of the FDA required post-marketing study for Oxaydo and (iii) expenses of clinical studies for product line extensions (additional strengths) of Oxaydo for the United States. Egalet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Egalet paid us a $5.0 million license fee upon signing of the Egalet Agreement and on October 9, 2015, paid us a $2.5 million milestone in connection with the first commercial sale of Oxaydo. We will be entitled to a one-time $12.5 million sales-based milestone payment when worldwide Oxaydo net sales reach $150 million in a calendar year. We are receiving from Egalet a stepped royalty at percentage rates ranging from mid-single digits to double-digits based on Oxaydo net sales during each calendar year (excluding net sales resulting from our co-promotion efforts). In any calendar year of the agreement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Egalet to acquire intellectual property rights to commercialize Oxaydo, with an aggregate minimum floor.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both"/>
        <w:spacing w:after="0" w:line="270"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MainPointe Agreement covering Nexafed products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we and MainPointe entered into the MainPointe Agreement, pursuant to which we granted MainPointe an exclusive license to our Impede technology to commercialize both of our Nexafed and Nexafed Sinus Pressure + Pain product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signing the MainPointe Agreement, MainPointe paid us an upfront licensing fee of $2.5 million. The MainPointe Agreement also provides for our receipt of a 7.5% royalty on net sales of the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Such Option Products include the product candidate Loratadine with pseudoephedrine.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KemPharm Agreement Covering Certain Opioid Prodrugs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2016, we and KemPharm Inc. (”KemPharm”) entered into a worldwide License Agreement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two licensed prodrugs,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spacing w:after="0" w:line="273" w:lineRule="auto"/>
        <w:rPr>
          <w:sz w:val="20"/>
          <w:szCs w:val="20"/>
          <w:color w:val="auto"/>
        </w:rPr>
      </w:pPr>
      <w:r>
        <w:rPr>
          <w:rFonts w:ascii="Arial" w:cs="Arial" w:eastAsia="Arial" w:hAnsi="Arial"/>
          <w:sz w:val="17"/>
          <w:szCs w:val="17"/>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Terminated Bayer Agreement Covering Methamphetamine Resistant Pseudoephedrine-containing Product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2015, we and Bayer entered into a License and Development Agreement (the “Bayer Agreement”) granting Bayer an exclusive worldwide license to our Impede Technology for use in an undisclosed methamphetamine resistant pseudoephedrine–containing product (the “Bayer Licensed Product”) and providing for the joint development of such product utilizing our Impede Technology for the U.S. market. In June 2017, we received Bayer’s notice of termination of the Bayer Agreement pursuant to its convenience termination right exercised prior to the Company’s completion of its product development obligations under the Bayer Agreement. We have received reimbursement of certain of our development costs under the Bayer Agreement. Following Bayer’s termination of the Bayer Agreement the Bayer Licensed Product is now subject to MainPointe’s option rights under the MainPointe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FROM CONTRACTS WITH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Topic 606, Revenue from Contracts with Customers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adopted ASC Topic 606 on January 1, 2018 applying the modified retrospective method to all contracts that were not completed as of January 1, 2018. While the timing of future revenues under ASC Topic 606 may differ from the Company’s historical accounting practices under ASC Topic 605, the cumulative effect recorded through the Consolidated Statement of Stockholder’s Deficit was zero because there was no change in timing or measurement of revenues for open contracts at January 1, 2018.</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ASC 606, revenue is recognized when, or as, performance obligations under terms of a contract are satisfied, which occurs when control of the promised service is transferred to a customer. Revenue is measured as the amount of consideration the Company expects to receive in exchange for transferring services to a customer (“transaction price”). The Company will then recognize as revenue the amount of the transaction price that is allocated to the respective performance obligation when, or as, the performance obligation is satisfied. When determining the transaction price of the contract, an adjustment is made if payment from a customer occurs either significantly before or significantly after performance, resulting in a significant financing component. None of the Company’s licenses and collaboration agreements contained a significant financing component at June 30, 2018.</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existing license and collaboration agreements may contain a single performance obligation or may contain multiple performance obligations. Those which contain multiple performance obligations will require an allocation of the transaction price based on the estimated relative standalone selling prices of the promised services underlying each performance obligation.</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existing license and collaboration agreements contain customer options for the license of additional products and territories. We determined the option’s standalone selling prices based on the option product’s potential market size in the option territory as compared to the currently licensed product and U.S. territory. Some of our existing license and collaboration agreements contain a license to the technology as well as licenses to tradenames or trademarks. The Company determined that the licenses to the tradenames or trademarks were immaterial in context of the contract.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Net Product Sales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 to the licensing the Nexafed products to MainPointe in March 2017, we sold our Nexafed products in the United States to wholesale pharmaceutical distributors as well as directly to chain drug stores. Our Nexafed products were sold subject to the right of return usually for a period of up to twelve months after the product expiration. Both products had an initial shelf life of twenty-four months from the date of manufacture, which shelf life had been extended to thirty-six months for Nexafed product supplied to us during 2016 from one of the Company’s contract manufacturers. We recognized revenue from our Nexafed products sales when the price was fixed and determinable at the date of sale, title and risk of ownership were transferred to the customer, and returns could be reasonably estimated, which generally occurred at the time of product shipment. ASC 606 did not change the practice under which the Company previously recognized the product revenue from sales of the Nexafed products, which was at the time the product was shipped to a customer. As a result of the Company’s license agreement with MainPointe completed in March 2017, the Company no longer sold the Nexafed products. There was a $0 effect to the recognition of revenue for Nexafed product sales under the adoption of ASC 606.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Sales-based Milestones and Royalty 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commercial sales-based milestones and sales royalties earned under the license and collaboration for Oxaydo and sales royalties earned under the license for the Nexafed products, are recorded in the period of the related sales by Egalet and MainPointe. Payments of sales-based milestones are generally due within 30 days after the end of a calendar year. Payments of royalties are generally due within 45 days after the end of a calendar quarter.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 Revenues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achievement of milestones under the Company’s license and collaboration agreements will be recorded during the period the milestone’s achievement becomes probable, which may result in earlier recognition as compared to the previous accounting standards. The license fee of an option product or option territory under the Company’s license and collaboration agreements will be recorded when the option is exercised and any obligations on behalf of the Company, such as to transfer know-how, has been fulfilled, which may result in later recognition as compared to the previous accounting standards.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Total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two licenses for currently marketed products containing its technologies; the Nexafed products containing the Impede Technology to MainPointe and Oxaydo containing the Aversion Technology to Egalet. All of the Company’s royalty revenues are earned from these two licenses and from the licensee’s sale of products in the U.S. Royalty revenues by licensee are summarized below:</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Six months</w:t>
            </w:r>
          </w:p>
        </w:tc>
      </w:tr>
      <w:tr>
        <w:trPr>
          <w:trHeight w:val="216"/>
        </w:trPr>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Ended June</w:t>
            </w:r>
          </w:p>
        </w:tc>
        <w:tc>
          <w:tcPr>
            <w:tcW w:w="1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Ended June</w:t>
            </w:r>
          </w:p>
        </w:tc>
      </w:tr>
      <w:tr>
        <w:trPr>
          <w:trHeight w:val="234"/>
        </w:trPr>
        <w:tc>
          <w:tcPr>
            <w:tcW w:w="4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30, 2018</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30, 2018</w:t>
            </w:r>
          </w:p>
        </w:tc>
        <w:tc>
          <w:tcPr>
            <w:tcW w:w="60" w:type="dxa"/>
            <w:vAlign w:val="bottom"/>
          </w:tcPr>
          <w:p>
            <w:pPr>
              <w:spacing w:after="0"/>
              <w:rPr>
                <w:sz w:val="20"/>
                <w:szCs w:val="20"/>
                <w:color w:val="auto"/>
              </w:rPr>
            </w:pPr>
          </w:p>
        </w:tc>
      </w:tr>
      <w:tr>
        <w:trPr>
          <w:trHeight w:val="210"/>
        </w:trPr>
        <w:tc>
          <w:tcPr>
            <w:tcW w:w="44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Borders>
              <w:bottom w:val="single" w:sz="8" w:color="CCEEFF"/>
            </w:tcBorders>
          </w:tcPr>
          <w:p>
            <w:pPr>
              <w:spacing w:after="0"/>
              <w:rPr>
                <w:sz w:val="18"/>
                <w:szCs w:val="18"/>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Egalet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0" w:type="dxa"/>
            <w:vAlign w:val="bottom"/>
            <w:shd w:val="clear" w:color="auto" w:fill="CCEEFF"/>
          </w:tcPr>
          <w:p>
            <w:pPr>
              <w:spacing w:after="0"/>
              <w:rPr>
                <w:sz w:val="18"/>
                <w:szCs w:val="18"/>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MainPointe</w:t>
            </w:r>
          </w:p>
        </w:tc>
        <w:tc>
          <w:tcPr>
            <w:tcW w:w="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r>
      <w:tr>
        <w:trPr>
          <w:trHeight w:val="210"/>
        </w:trPr>
        <w:tc>
          <w:tcPr>
            <w:tcW w:w="44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Royalty revenues</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 and Performance Obligations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reported contract assets and contract liability balances under the license and collaboration agreements at either June 30, 2018 or December 31, 2017 was $0.00. Contract assets may be reported in future periods under prepaid expenses or other current assets on the balance sheet. Contract liabilities may be reported in future periods consisting of deferred revenue as presented on the balance sheet.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 RESEARCH AND DEVELOPMENT ACTIVITIES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Research and Development (“R&amp;D”) costs include internal R&amp;D activities, external Contract Research Organization (“CRO”) services and their clinical research and investigative sites, and other activities. Internal R&amp;D activity costs can include facility overhead, equipment and facility maintenance and repairs, laboratory supplies, pre-clinical laboratory experiments, formulation work, depreciation, salaries, benefits, insurance and share-based compensation expenses. CRO activity costs can include preclinical laboratory experiments and clinical trial studies. Other activity costs can include regulatory consulting, regulatory legal counsel, cost of acquiring, developing and manufacturing pre-clinical trial materials, costs of manufacturing scale-up, and cost sharing expenses under license agreements. Internal R&amp;D costs and other activity costs are charged to expense as incurred. We make payments to CROs based on agreed upon terms and may include payments in advance of a study starting date. Payments in advance will be reflected in the financial statements as prepaid expenses. We review and charge to expense the amounts for CRO costs and clinical trial study costs based on services performed and rely on estimates of those costs applicable to the stage of completion of a study as provided by the CRO to us. The accrued CRO costs are subject to revisions by us as the study progresses towards completion. Revisions are charged to expense in the period in which the facts that give rise to the revision become known to us. We did not have any remaining obligations under cancelable arrangements, nor did we have any prepaid CRO costs or prepaid clinical trial study expenses at June 30, 2018 or December 31, 2017.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at June 30, 2018 and December 31, 2017 are summarized as follows:</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June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3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4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Borders>
              <w:bottom w:val="single" w:sz="8" w:color="CCEEFF"/>
            </w:tcBorders>
            <w:gridSpan w:val="2"/>
          </w:tcPr>
          <w:p>
            <w:pPr>
              <w:spacing w:after="0"/>
              <w:rPr>
                <w:sz w:val="18"/>
                <w:szCs w:val="18"/>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Scientific equipment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598</w:t>
            </w:r>
          </w:p>
        </w:tc>
        <w:tc>
          <w:tcPr>
            <w:tcW w:w="4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4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4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Other personal property</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8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0"/>
        </w:trPr>
        <w:tc>
          <w:tcPr>
            <w:tcW w:w="3440" w:type="dxa"/>
            <w:vAlign w:val="bottom"/>
          </w:tcPr>
          <w:p>
            <w:pPr>
              <w:ind w:left="160"/>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(1,833)</w:t>
            </w:r>
          </w:p>
        </w:tc>
      </w:tr>
      <w:tr>
        <w:trPr>
          <w:trHeight w:val="210"/>
        </w:trPr>
        <w:tc>
          <w:tcPr>
            <w:tcW w:w="3440" w:type="dxa"/>
            <w:vAlign w:val="bottom"/>
          </w:tcPr>
          <w:p>
            <w:pPr>
              <w:ind w:left="160"/>
              <w:spacing w:after="0"/>
              <w:rPr>
                <w:sz w:val="20"/>
                <w:szCs w:val="20"/>
                <w:color w:val="auto"/>
              </w:rPr>
            </w:pPr>
            <w:r>
              <w:rPr>
                <w:rFonts w:ascii="Arial" w:cs="Arial" w:eastAsia="Arial" w:hAnsi="Arial"/>
                <w:sz w:val="18"/>
                <w:szCs w:val="18"/>
                <w:color w:val="auto"/>
              </w:rPr>
              <w:t>Net property, plant and equipment</w:t>
            </w:r>
          </w:p>
        </w:tc>
        <w:tc>
          <w:tcPr>
            <w:tcW w:w="8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have leasehold improvements nor do we have capitalized leases. Costs of betterments are capitalized while maintenance costs and repair costs are charged to operations as incurred. When a depreciable asset is retired from service, the cost and accumulated depreciation will be removed from the respective accounts.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NOTE 7 – ACCRUED EXPENSES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2"/>
        </w:trPr>
        <w:tc>
          <w:tcPr>
            <w:tcW w:w="6440" w:type="dxa"/>
            <w:vAlign w:val="bottom"/>
            <w:gridSpan w:val="2"/>
          </w:tcPr>
          <w:p>
            <w:pPr>
              <w:spacing w:after="0"/>
              <w:rPr>
                <w:sz w:val="20"/>
                <w:szCs w:val="20"/>
                <w:color w:val="auto"/>
              </w:rPr>
            </w:pPr>
            <w:r>
              <w:rPr>
                <w:rFonts w:ascii="Arial" w:cs="Arial" w:eastAsia="Arial" w:hAnsi="Arial"/>
                <w:sz w:val="18"/>
                <w:szCs w:val="18"/>
                <w:color w:val="auto"/>
                <w:w w:val="90"/>
              </w:rPr>
              <w:t>Accrued expenses at June 30, 2018 and December 31, 2017 are summarized as follows: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27"/>
        </w:trPr>
        <w:tc>
          <w:tcPr>
            <w:tcW w:w="2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December 31,</w:t>
            </w:r>
          </w:p>
        </w:tc>
        <w:tc>
          <w:tcPr>
            <w:tcW w:w="2280" w:type="dxa"/>
            <w:vAlign w:val="bottom"/>
          </w:tcPr>
          <w:p>
            <w:pPr>
              <w:spacing w:after="0"/>
              <w:rPr>
                <w:sz w:val="24"/>
                <w:szCs w:val="24"/>
                <w:color w:val="auto"/>
              </w:rPr>
            </w:pPr>
          </w:p>
        </w:tc>
      </w:tr>
      <w:tr>
        <w:trPr>
          <w:trHeight w:val="234"/>
        </w:trPr>
        <w:tc>
          <w:tcPr>
            <w:tcW w:w="23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28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4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right"/>
              <w:ind w:right="690"/>
              <w:spacing w:after="0"/>
              <w:rPr>
                <w:sz w:val="20"/>
                <w:szCs w:val="20"/>
                <w:color w:val="auto"/>
              </w:rPr>
            </w:pPr>
            <w:r>
              <w:rPr>
                <w:rFonts w:ascii="Arial" w:cs="Arial" w:eastAsia="Arial" w:hAnsi="Arial"/>
                <w:sz w:val="18"/>
                <w:szCs w:val="18"/>
                <w:b w:val="1"/>
                <w:bCs w:val="1"/>
                <w:color w:val="auto"/>
              </w:rPr>
              <w:t>(in thousands)</w:t>
            </w:r>
          </w:p>
        </w:tc>
        <w:tc>
          <w:tcPr>
            <w:tcW w:w="2280" w:type="dxa"/>
            <w:vAlign w:val="bottom"/>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Cost sharing expenses under license agreement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Payroll, payroll taxes and benefits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Professional services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Clinical, non-clinical and regulatory services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Property taxes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Franchise taxes</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80" w:type="dxa"/>
            <w:vAlign w:val="bottom"/>
          </w:tcPr>
          <w:p>
            <w:pPr>
              <w:spacing w:after="0"/>
              <w:rPr>
                <w:sz w:val="19"/>
                <w:szCs w:val="19"/>
                <w:color w:val="auto"/>
              </w:rPr>
            </w:pPr>
          </w:p>
        </w:tc>
      </w:tr>
      <w:tr>
        <w:trPr>
          <w:trHeight w:val="210"/>
        </w:trPr>
        <w:tc>
          <w:tcPr>
            <w:tcW w:w="230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2280" w:type="dxa"/>
            <w:vAlign w:val="bottom"/>
          </w:tcPr>
          <w:p>
            <w:pPr>
              <w:spacing w:after="0"/>
              <w:rPr>
                <w:sz w:val="18"/>
                <w:szCs w:val="18"/>
                <w:color w:val="auto"/>
              </w:rPr>
            </w:pPr>
          </w:p>
        </w:tc>
      </w:tr>
      <w:tr>
        <w:trPr>
          <w:trHeight w:val="642"/>
        </w:trPr>
        <w:tc>
          <w:tcPr>
            <w:tcW w:w="644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8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due December 1, 2018</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December 2013, we entered into a Loan and Security Agreement (the “Oxford Loan Agreement”) with Oxford Finance LLC (“Oxford” or the “Lender”), for a term loan to the Company in the principal amount of $10.0 million (the “Term Loan”). The Term Loan accrues interest at a fixed rate of 8.35% per annum (with a default rate of 13.35% per annum). The Company was required to make monthly interest−only payments until April 1, 2015 (“Amortization Date”) and on the Amortization Date, the Company began to make payments of principal and accrued interest in equal monthly installments of $260 thousand sufficient to amortize the Term Loan through the maturity date of December 1, 2018. All unpaid principal and accrued and unpaid interest with respect to the Term Loan is due and payable in full on December 1, 2018. As security for its obligations under the initial Oxford Loan Agreement (prior to the Third Amendment), the Company granted Lender a security interest in substantially all of its existing and after−acquired assets, exclusive of its intellectual property assets. Pursuant to the Oxford Loan Agreement, the Company is not allowed to pledge its intellectual property assets to others. Upon the execution of the Oxford Loan Agreement, we issued to the Lender warrants to purchase an aggregate of up to 60 thousand shares of our common stock at an exercise price equal to $7.98 per share (after adjustment for our one-for-five reverse stock split) (the “Warrants”). We recorded $400 thousand as debt discount associated with the relative fair value of the Warrants and are amortizing it to interest expense over the term of the loan using the loan’s effective interest rate. The Warrants are immediately exercisable for cash or by net exercise and will expire December 27, 2020.</w:t>
      </w:r>
    </w:p>
    <w:p>
      <w:pPr>
        <w:spacing w:after="0" w:line="16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January 2015, we and Oxford entered into an amendment to the Oxford Loan Agreement. Pursuant to the amendment, (i) the exercise price of the warrants was lowered from $7.98 to $2.52 per share (the average closing price of our common stock on Nasdaq for the 10 trading days preceding the date of the amendment and after giving effect to our one-for-five reverse stock split) and we recorded additional debt discount of $33 thousand representing the fair value of the warrant modification, (ii) we agreed to maintain $2.5 million cash reserves until such time as we have repaid $5.0 million in principal of the Term Loan, and (iii) the Lender consented to the terms of our Collaboration and License Agreement with Egalet relating to our Oxaydo product.</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October 2016, we and Oxford entered into a second amendment to the Oxford Loan Agreement (the “Second Amendment”). Pursuant to the Second Amendment, (i) the requirement that we maintain a $2.5 million cash balance reserve until such time as $5.0 million in principal was repaid under the Term Loan has been modified so that the $2.5 million cash balance reserve remains in place until we raise an additional $6.0 million (excluding payments received under the KemPharm Agreement) through the issuance of equity securities and from upfront payments under license, joint venture, collaboration or other partnering transactions, provided that at least $3.0 million of such amount must be raised through the issuance and sale of our equity securities, and (ii) the Lender consented to the terms of our Agreement with KemPharm. In July 2017, the Company completed a private placement of its equity units to an investor, each unit consisting of one share of common stock and a warrant to purchase one-fifth of a share of common stock. The net proceeds to the Company from the private offering was approximately $4.0 million. Giving effect to the $2.5 million upfront payment received from MainPointe pursuant to the MainPointe Agreement and the approximate $4.0 million in net proceeds from the July 2017 private offering, the Company has satisfied the condition in the Second Amendment to the Oxford Loan Agreement to waive the $2.5 million cash reserve requirement.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In March 2017, we and Oxford entered into a third amendment to the Oxford Loan Agreement (the “Third Amendment”). Pursuant to the Third Amendment</w:t>
      </w:r>
    </w:p>
    <w:p>
      <w:pPr>
        <w:spacing w:after="0" w:line="46" w:lineRule="exact"/>
        <w:rPr>
          <w:sz w:val="20"/>
          <w:szCs w:val="20"/>
          <w:color w:val="auto"/>
        </w:rPr>
      </w:pPr>
    </w:p>
    <w:p>
      <w:pPr>
        <w:jc w:val="both"/>
        <w:ind w:firstLine="8"/>
        <w:spacing w:after="0" w:line="254" w:lineRule="auto"/>
        <w:tabs>
          <w:tab w:leader="none" w:pos="239"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granted Oxford a lien on our intellectual property, (ii) Oxford provided a waiver of compliance with the Unqualified Audit Opinion Covenant in connection with our receipt of our auditor’s going concern opinion for our 2016 financial statements and (iii) Oxford consented to the terms of the MainPointe Agreement. Under the Oxford Loan Agreement, an audit opinion with an explanatory paragraph noting substantial doubt about the Company’s ability to continue in business is deemed to violate the Unqualified Audit Opinion Covenant.</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second quarter 2018, in connection with $1.5 million loans extended to us by John Schutte, we and Oxford entered into a fourth amendment to the Oxford Loan Agreement (the “Fourth Amendment”). Pursuant to the Fourth Amendment, Oxford provided a waiver of compliance with the Unqualified Audit Opinion Covenant in connection with our receipt of our auditor’s opinion with a going concern explanatory paragraph for our 2017 financial statements and allowed us to deliver financial statements up to 160 days after year end, instead of 120 days after year end. On June 7, 2018 we filed our 2017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The Company may voluntarily prepay the Term Loan in full, but not in part, and any prepayment is subject to a prepayment premium equal to 1% of the principal prepaid. In addition, at the maturity, termination or upon voluntary or mandatory prepayment of the Term Loan the Company must pay the Lender an additional one-time interest payment of $795 thousand. We are accruing additional monthly interest expense over the term of the loan for this additional one-time interest payment using the loan’s effective cash interest rate. As of June 30, 2018 and December 31, 2017, we have accumulated and accrued $767 thousand and $700 thousand of additional interest, respectively.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obligated to pay customary lender fees and expenses, including a one-time facility fee of $50 thousand and the Lender’s expenses in connection with the Oxford Loan Agreement. Combined with the Company’s own expenses and a $100 thousand consulting placement fee, the Company incurred $231 thousand in deferred debt issue costs. We are amortizing these costs, including debt modification additional costs, into interest expense over the term of the loan using the loan’s effective interest rate of 10.16%.</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Oxford Loan Agreement contains customary representations and warranties and customary affirmative and negative covenants, including, among others, limits or restrictions on the Company’s ability to incur liens, incur indebtedness, pay dividends, redeem stock, and merge or consolidate and dispose of assets. In addition, it contains customary events of default that entitles the Lender to cause any or all of the Company’s indebtedness under the Oxford Loan Agreement to become immediately due and payable. The events of default (some of which are subject to applicable grace or cure periods), include, among other things, non−payment defaults, covenant defaults (including breach of the Unqualified Audit Opinion Covenant), a material adverse change in the Company, bankruptcy and insolvency defaults and material judgment defaults.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due January 2, 2020</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second quarter 2018, we borrowed $1.5 million from John Schutte, a related-party, and issued two promissory notes (the Schutte Notes), in that aggregate principal amount to him. The Schutte Notes bear interest at prime plus 2.0%, and mature on January 2, 2020, at which time all principal and interest is due, and are unsecured until all obligations to Oxford are satisfied at which time we are required to grant a security interest to Mr. Schutte in all of our assets. Because we believe the promissory note’s rate of interest is below current market rates for us, we imputed interest on the below market rate element of the loan using the 10.16% interest rate under the Oxford Loan Agreement which amounted to $74 thousand. We recorded the $74 thousand as a benefit to interest income in the three month period ended June 30, 2018 with a corresponding like amount as debt discount against the principal amount of the loan. The debt discount will be amortized to interest expense over the term on the loans.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events of default under the Schutte Notes are limited to bankruptcy defaults and failure to pay interest and principal when due on January 2, 2020. In addition, Mr. Schutte and Oxford entered into a subordination agreement, approved by us and our subsidiary, pursuant to which Mr. Schutte subordinated the Schutte Notes to our obligations to Oxford under the Oxford Loan Agreement. The Schutte Notes may be prepaid at any time in whole or in part, however while Oxford’s loan is outstanding such prepayment will require Oxford’s consent.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w w:val="98"/>
              </w:rPr>
              <w:t>Our debt at June 30, 2018 is summarized below (in thousands):</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7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Current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Long-term</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Loan Due December 1, 2018</w:t>
            </w: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Balance at Jan. 1, 2018</w:t>
            </w:r>
          </w:p>
        </w:tc>
        <w:tc>
          <w:tcPr>
            <w:tcW w:w="6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2,740</w:t>
            </w:r>
          </w:p>
        </w:tc>
        <w:tc>
          <w:tcPr>
            <w:tcW w:w="200" w:type="dxa"/>
            <w:vAlign w:val="bottom"/>
            <w:gridSpan w:val="2"/>
          </w:tcPr>
          <w:p>
            <w:pPr>
              <w:jc w:val="right"/>
              <w:ind w:right="5"/>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(1,220)</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Jun. 30, 2018</w:t>
            </w:r>
          </w:p>
        </w:tc>
        <w:tc>
          <w:tcPr>
            <w:tcW w:w="4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i w:val="1"/>
                <w:iCs w:val="1"/>
                <w:color w:val="auto"/>
              </w:rPr>
              <w:t>Loan Due January 2, 2020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 1, 2018</w:t>
            </w:r>
          </w:p>
        </w:tc>
        <w:tc>
          <w:tcPr>
            <w:tcW w:w="6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Borrowings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 30, 2018</w:t>
            </w: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ind w:left="1720"/>
              <w:spacing w:after="0"/>
              <w:rPr>
                <w:sz w:val="20"/>
                <w:szCs w:val="20"/>
                <w:color w:val="auto"/>
              </w:rPr>
            </w:pPr>
            <w:r>
              <w:rPr>
                <w:rFonts w:ascii="Arial" w:cs="Arial" w:eastAsia="Arial" w:hAnsi="Arial"/>
                <w:sz w:val="18"/>
                <w:szCs w:val="18"/>
                <w:b w:val="1"/>
                <w:bCs w:val="1"/>
                <w:color w:val="auto"/>
              </w:rPr>
              <w:t>Debt Discount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Current</w:t>
            </w:r>
          </w:p>
        </w:tc>
        <w:tc>
          <w:tcPr>
            <w:tcW w:w="160" w:type="dxa"/>
            <w:vAlign w:val="bottom"/>
          </w:tcPr>
          <w:p>
            <w:pPr>
              <w:spacing w:after="0"/>
              <w:rPr>
                <w:sz w:val="20"/>
                <w:szCs w:val="20"/>
                <w:color w:val="auto"/>
              </w:rPr>
            </w:pPr>
          </w:p>
        </w:tc>
        <w:tc>
          <w:tcPr>
            <w:tcW w:w="1520" w:type="dxa"/>
            <w:vAlign w:val="bottom"/>
            <w:gridSpan w:val="3"/>
          </w:tcPr>
          <w:p>
            <w:pPr>
              <w:jc w:val="right"/>
              <w:ind w:right="545"/>
              <w:spacing w:after="0"/>
              <w:rPr>
                <w:sz w:val="20"/>
                <w:szCs w:val="20"/>
                <w:color w:val="auto"/>
              </w:rPr>
            </w:pPr>
            <w:r>
              <w:rPr>
                <w:rFonts w:ascii="Arial" w:cs="Arial" w:eastAsia="Arial" w:hAnsi="Arial"/>
                <w:sz w:val="18"/>
                <w:szCs w:val="18"/>
                <w:b w:val="1"/>
                <w:bCs w:val="1"/>
                <w:color w:val="auto"/>
                <w:w w:val="98"/>
              </w:rPr>
              <w:t>Long-term</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172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 1, 2018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tcBorders>
              <w:top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expense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9"/>
                <w:szCs w:val="19"/>
                <w:color w:val="auto"/>
              </w:rPr>
            </w:pPr>
          </w:p>
        </w:tc>
        <w:tc>
          <w:tcPr>
            <w:tcW w:w="1720" w:type="dxa"/>
            <w:vAlign w:val="bottom"/>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Balance at Jun. 30, 2018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720" w:type="dxa"/>
            <w:vAlign w:val="bottom"/>
          </w:tcPr>
          <w:p>
            <w:pPr>
              <w:spacing w:after="0"/>
              <w:rPr>
                <w:sz w:val="18"/>
                <w:szCs w:val="18"/>
                <w:color w:val="auto"/>
              </w:rPr>
            </w:pPr>
          </w:p>
        </w:tc>
      </w:tr>
      <w:tr>
        <w:trPr>
          <w:trHeight w:val="642"/>
        </w:trPr>
        <w:tc>
          <w:tcPr>
            <w:tcW w:w="17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16</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7" w:name="page18"/>
    <w:bookmarkEnd w:id="17"/>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Deferred Debt Issuance Costs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Current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Long-term</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 1, 2018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Amortization expense</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 30, 2018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Debt, net at Jun. 30, 2018</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1,505</w:t>
            </w: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debt interest expense for the three and six months ended June 30, 2018 and 2017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7"/>
          </w:tcPr>
          <w:p>
            <w:pPr>
              <w:jc w:val="right"/>
              <w:ind w:right="76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4"/>
          </w:tcPr>
          <w:p>
            <w:pPr>
              <w:jc w:val="right"/>
              <w:ind w:right="45"/>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920" w:type="dxa"/>
            <w:vAlign w:val="bottom"/>
          </w:tcPr>
          <w:p>
            <w:pPr>
              <w:jc w:val="right"/>
              <w:ind w:right="39"/>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Term loan – due December 1, 2018</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Term loans – due January 2, 2020</w:t>
            </w:r>
          </w:p>
        </w:tc>
        <w:tc>
          <w:tcPr>
            <w:tcW w:w="9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discount</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Debt issue costs</w:t>
            </w:r>
          </w:p>
        </w:tc>
        <w:tc>
          <w:tcPr>
            <w:tcW w:w="9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r>
      <w:tr>
        <w:trPr>
          <w:trHeight w:val="210"/>
        </w:trPr>
        <w:tc>
          <w:tcPr>
            <w:tcW w:w="56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interest expense</w:t>
            </w:r>
          </w:p>
        </w:tc>
        <w:tc>
          <w:tcPr>
            <w:tcW w:w="92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gridSpan w:val="2"/>
          </w:tcPr>
          <w:p>
            <w:pPr>
              <w:ind w:left="340"/>
              <w:spacing w:after="0"/>
              <w:rPr>
                <w:sz w:val="20"/>
                <w:szCs w:val="20"/>
                <w:color w:val="auto"/>
              </w:rPr>
            </w:pPr>
            <w:r>
              <w:rPr>
                <w:rFonts w:ascii="Arial" w:cs="Arial" w:eastAsia="Arial" w:hAnsi="Arial"/>
                <w:sz w:val="18"/>
                <w:szCs w:val="18"/>
                <w:color w:val="auto"/>
              </w:rPr>
              <w:t>Less: imputed interest income on related party loan</w:t>
            </w:r>
          </w:p>
        </w:tc>
        <w:tc>
          <w:tcPr>
            <w:tcW w:w="9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5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Less: interest income</w:t>
            </w: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Total interest expense, net</w:t>
            </w:r>
          </w:p>
        </w:tc>
        <w:tc>
          <w:tcPr>
            <w:tcW w:w="92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2017, we completed a $4.0 million private placement with John Schutte (sometimes referred to as the “Investor”), consisting of 8,912,655 units (“Units”) of the Company, at a price of $0.4488 per Unit (the “Transaction”). Each Unit consists of one share of Common Stock and a Warrant to purchase one fifth (0.2) of a share of Common Stock. The issue price of the Units was equal to 85% of the average last sale price of our Common Stock for the five trading days prior to completion of the Transaction. The Warrants are immediately exercisable at a price of $0.528 per share (which equals the average last sale price of the Company’s Common Stock for the five trading days prior to completion of the Transaction) and expire five years after issuance (subject to earlier expiration in event of certain acquisitions). We have assigned a relative fair value of $495 thousand to the warrants out of the total $4.0 million proceeds from the private placement transaction and have accounted these warrants as equity. The Transaction was completed through a private placement to an accredited investor and was exempt from registration pursuant to Section 4(2) of the Securities Act of 1933, as amended and/or Regulation D promulgated under the Securities Act of 1933.</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Investor is a principal of MainPointe, a Kentucky limited liability company. In March 2017, we granted MainPointe an exclusive license to our Impede technology to commercialize our Nexafed® and Nexafed® Sinus Pressure + Pain Products in the United States and Canada for an upfront licensing fee of $2.5 million plus approximately $309 thousand for transferred inventory and equipment. The Company will receive a 7.5% royalty on sales of licensed products. MainPointe also has options to expand the territory and products covered for additional sums. Included in the reported revenue for the six month period ending June 30, 2018 is $8 thousand of royalty revenue from MainPointe. (See Note 3).</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8" w:name="page19"/>
    <w:bookmarkEnd w:id="18"/>
    <w:p>
      <w:pPr>
        <w:jc w:val="both"/>
        <w:spacing w:after="0" w:line="287" w:lineRule="auto"/>
        <w:rPr>
          <w:sz w:val="20"/>
          <w:szCs w:val="20"/>
          <w:color w:val="auto"/>
        </w:rPr>
      </w:pPr>
      <w:r>
        <w:rPr>
          <w:rFonts w:ascii="Arial" w:cs="Arial" w:eastAsia="Arial" w:hAnsi="Arial"/>
          <w:sz w:val="16"/>
          <w:szCs w:val="16"/>
          <w:color w:val="auto"/>
        </w:rPr>
        <w:t>As part of the closing of the Transaction, the Company, Essex Woodlands Health Ventures V, L.P. (“Essex”) and Galen Partners III, L.P. (“Galen”) amended and restated the existing Voting Agreement including such parties to provide for the Investor to join as a party (as so amended, the “Second Amended and Restated Voting Agreement”). The Second Amended and Restated Voting Agreement provides that our Board of Directors shall remain comprised of no more than seven members (subject to certain exceptions), (i) one of whom is the Company’s Chief Executive Officer, (ii) three of whom are independent under Nasdaq standards, and (iii) one of whom shall be designated by each of Essex, Galen and Investor, and the parties to such agreement would vote for such persons. The right of each of Essex, Galen and Investor to designate one director to our Board will continue as long as he or it and their affiliates collectively hold at least 600,000 shares of our Common Stock (including warrants exercisable for such shares). Immanuel Thangaraj is the designee of Essex. Galen has not designated a director and lost that right in December 2017 when it disposed of its shares. Investor has not designated a director as of the date of filing of this Report. Once such shareholder no longer holds such securities, the additional forfeited seat would become a seat for an independent director to thereafter be nominated to the Board of Directors from time to time by the then current directors and as applicable, to be elected by the directors to fill the vacancy created by the forfeited seat or submitted to the vote of shareholders at the Company’s next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2018, we borrowed $1.5 million from John Schutte and issued two promissory notes in that aggregate principal amount to him.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a discussion of this transaction.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 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no activity in our warrants for either the six months ended June 30, 2018 or 2017. Our warrants consisted of the following (in thousands except price data):</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1480" w:type="dxa"/>
            <w:vAlign w:val="bottom"/>
            <w:gridSpan w:val="4"/>
            <w:vMerge w:val="restart"/>
          </w:tcPr>
          <w:p>
            <w:pPr>
              <w:jc w:val="right"/>
              <w:ind w:right="5"/>
              <w:spacing w:after="0"/>
              <w:rPr>
                <w:sz w:val="20"/>
                <w:szCs w:val="20"/>
                <w:color w:val="auto"/>
              </w:rPr>
            </w:pPr>
            <w:r>
              <w:rPr>
                <w:rFonts w:ascii="Arial" w:cs="Arial" w:eastAsia="Arial" w:hAnsi="Arial"/>
                <w:sz w:val="18"/>
                <w:szCs w:val="18"/>
                <w:b w:val="1"/>
                <w:bCs w:val="1"/>
                <w:color w:val="auto"/>
              </w:rPr>
              <w:t>2018</w:t>
            </w:r>
          </w:p>
        </w:tc>
        <w:tc>
          <w:tcPr>
            <w:tcW w:w="1320" w:type="dxa"/>
            <w:vAlign w:val="bottom"/>
            <w:gridSpan w:val="3"/>
          </w:tcPr>
          <w:p>
            <w:pPr>
              <w:ind w:left="680"/>
              <w:spacing w:after="0"/>
              <w:rPr>
                <w:sz w:val="20"/>
                <w:szCs w:val="20"/>
                <w:color w:val="auto"/>
              </w:rPr>
            </w:pPr>
            <w:r>
              <w:rPr>
                <w:rFonts w:ascii="Arial" w:cs="Arial" w:eastAsia="Arial" w:hAnsi="Arial"/>
                <w:sz w:val="18"/>
                <w:szCs w:val="18"/>
                <w:b w:val="1"/>
                <w:bCs w:val="1"/>
                <w:color w:val="auto"/>
                <w:w w:val="85"/>
              </w:rPr>
              <w:t>June 30,</w:t>
            </w:r>
          </w:p>
        </w:tc>
        <w:tc>
          <w:tcPr>
            <w:tcW w:w="680" w:type="dxa"/>
            <w:vAlign w:val="bottom"/>
          </w:tcPr>
          <w:p>
            <w:pPr>
              <w:spacing w:after="0"/>
              <w:rPr>
                <w:sz w:val="20"/>
                <w:szCs w:val="20"/>
                <w:color w:val="auto"/>
              </w:rPr>
            </w:pPr>
          </w:p>
        </w:tc>
        <w:tc>
          <w:tcPr>
            <w:tcW w:w="5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19"/>
                <w:szCs w:val="19"/>
                <w:color w:val="auto"/>
              </w:rPr>
            </w:pPr>
          </w:p>
        </w:tc>
        <w:tc>
          <w:tcPr>
            <w:tcW w:w="1480" w:type="dxa"/>
            <w:vAlign w:val="bottom"/>
            <w:tcBorders>
              <w:bottom w:val="single" w:sz="8" w:color="auto"/>
            </w:tcBorders>
            <w:gridSpan w:val="4"/>
            <w:vMerge w:val="continue"/>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vMerge w:val="continue"/>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0"/>
              </w:rPr>
              <w:t>WAvg</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0"/>
              </w:rPr>
              <w:t>WAvg</w:t>
            </w:r>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9"/>
              </w:rPr>
              <w:t>Exercise</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0"/>
              </w:rPr>
              <w:t>Price</w:t>
            </w:r>
          </w:p>
        </w:tc>
        <w:tc>
          <w:tcPr>
            <w:tcW w:w="680" w:type="dxa"/>
            <w:vAlign w:val="bottom"/>
          </w:tcPr>
          <w:p>
            <w:pPr>
              <w:ind w:left="20"/>
              <w:spacing w:after="0"/>
              <w:rPr>
                <w:sz w:val="20"/>
                <w:szCs w:val="20"/>
                <w:color w:val="auto"/>
              </w:rPr>
            </w:pPr>
            <w:r>
              <w:rPr>
                <w:rFonts w:ascii="Arial" w:cs="Arial" w:eastAsia="Arial" w:hAnsi="Arial"/>
                <w:sz w:val="18"/>
                <w:szCs w:val="18"/>
                <w:b w:val="1"/>
                <w:bCs w:val="1"/>
                <w:color w:val="auto"/>
                <w:w w:val="94"/>
              </w:rPr>
              <w:t>Number</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ind w:left="160"/>
              <w:spacing w:after="0"/>
              <w:rPr>
                <w:sz w:val="20"/>
                <w:szCs w:val="20"/>
                <w:color w:val="auto"/>
              </w:rPr>
            </w:pPr>
            <w:r>
              <w:rPr>
                <w:rFonts w:ascii="Arial" w:cs="Arial" w:eastAsia="Arial" w:hAnsi="Arial"/>
                <w:sz w:val="18"/>
                <w:szCs w:val="18"/>
                <w:color w:val="auto"/>
              </w:rPr>
              <w:t>Issued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60"/>
              <w:spacing w:after="0"/>
              <w:rPr>
                <w:sz w:val="20"/>
                <w:szCs w:val="20"/>
                <w:color w:val="auto"/>
              </w:rPr>
            </w:pPr>
            <w:r>
              <w:rPr>
                <w:rFonts w:ascii="Arial" w:cs="Arial" w:eastAsia="Arial" w:hAnsi="Arial"/>
                <w:sz w:val="18"/>
                <w:szCs w:val="18"/>
                <w:color w:val="auto"/>
              </w:rPr>
              <w:t>Expired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Modification</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8"/>
                <w:szCs w:val="18"/>
                <w:color w:val="auto"/>
              </w:rPr>
              <w:t>Outstanding, Jun. 30,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60</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issuance of the $10.0 million secured promissory notes in December 2013, we issued common stock purchase warrants (“warrants”) exercisable for 60 thousand shares of our common stock having an exercise price of $2.52 per share (after giving effect to our one-for-five reverse stock split) with an expiration date in December 2020. See Note 8 for a discussion of the reduction of the exercise price of these warrants to $2.52 per share. These warrants contain a cashless exercise feature.</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As part of our July 2017 private placement transaction with John Schutte, we issued warrants to purchase 1,782,531 shares of our common stock. The Warrants are immediately exercisable at a price of $0.528 per share and expire five years after issuance (see Note 9). We have assigned a relative fair value of $495 thousand to the warrants out of the total $4.0 million proceeds from the private placement transaction and have accounted these warrants as equity.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financial instruments consist primarily of cash and cash equivalents, receivables from trade, royalties and collaboration, trade accounts payable, and our debt. The carrying amounts of these financial instruments, other than our long-term debt, are representative of their respective fair values due to their relatively short maturities.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12 – SHARE-BASED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four share-based compensation plans covering stock options and RSUs for our employees and directors.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market price of our common stock on the date of grant, less its exercise cost.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Our share-based compensation expense recognized in the Company’s results of operations from all types of issued instruments comprised the following:</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4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5"/>
          </w:tcPr>
          <w:p>
            <w:pPr>
              <w:ind w:left="1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June 30,</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units</w:t>
            </w:r>
          </w:p>
        </w:tc>
        <w:tc>
          <w:tcPr>
            <w:tcW w:w="10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Subtotal</w:t>
            </w:r>
          </w:p>
        </w:tc>
        <w:tc>
          <w:tcPr>
            <w:tcW w:w="10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580"/>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General and administrative costs:</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Restricted stock units</w:t>
            </w:r>
          </w:p>
        </w:tc>
        <w:tc>
          <w:tcPr>
            <w:tcW w:w="10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10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Included in the table’s reported totals for general and administrative costs is share-based compensation expense from the marked-to-market accounting of a portion of the RSUs granted to our directors is approximately $7 thousand and $13 thousand for the three month periods ended June 30, 2018 and 2017, respectively and approximately $20 thousand and $25 thousand for the six month periods ended June 30,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various stock option plans. A summary of our stock option plan activity during the six month periods ending June 30, 2018 and 2017 is shown below (in thousands except price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4"/>
        </w:trPr>
        <w:tc>
          <w:tcPr>
            <w:tcW w:w="14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2018</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91"/>
        </w:trPr>
        <w:tc>
          <w:tcPr>
            <w:tcW w:w="14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4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6"/>
        </w:trPr>
        <w:tc>
          <w:tcPr>
            <w:tcW w:w="14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2"/>
              </w:rPr>
              <w:t>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Options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Exercise</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Options</w:t>
            </w:r>
          </w:p>
        </w:tc>
        <w:tc>
          <w:tcPr>
            <w:tcW w:w="14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1440" w:type="dxa"/>
            <w:vAlign w:val="bottom"/>
          </w:tcPr>
          <w:p>
            <w:pPr>
              <w:spacing w:after="0"/>
              <w:rPr>
                <w:sz w:val="18"/>
                <w:szCs w:val="18"/>
                <w:color w:val="auto"/>
              </w:rPr>
            </w:pPr>
          </w:p>
        </w:tc>
      </w:tr>
      <w:tr>
        <w:trPr>
          <w:trHeight w:val="234"/>
        </w:trPr>
        <w:tc>
          <w:tcPr>
            <w:tcW w:w="14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(000’s)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(000’s)</w:t>
            </w:r>
          </w:p>
        </w:tc>
        <w:tc>
          <w:tcPr>
            <w:tcW w:w="14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1440" w:type="dxa"/>
            <w:vAlign w:val="bottom"/>
          </w:tcPr>
          <w:p>
            <w:pPr>
              <w:spacing w:after="0"/>
              <w:rPr>
                <w:sz w:val="20"/>
                <w:szCs w:val="20"/>
                <w:color w:val="auto"/>
              </w:rPr>
            </w:pPr>
          </w:p>
        </w:tc>
      </w:tr>
      <w:tr>
        <w:trPr>
          <w:trHeight w:val="210"/>
        </w:trPr>
        <w:tc>
          <w:tcPr>
            <w:tcW w:w="144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144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(0.92)</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Forfeited or expired</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(46.39)</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r>
      <w:tr>
        <w:trPr>
          <w:trHeight w:val="210"/>
        </w:trPr>
        <w:tc>
          <w:tcPr>
            <w:tcW w:w="144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Jun. 30,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14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Options exercisable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642"/>
        </w:trPr>
        <w:tc>
          <w:tcPr>
            <w:tcW w:w="14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The following table summarizes information about nonvested stock options outstanding at June 30, 2018 (in thousands except price data):</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Outstanding, Jan. 1, 2018</w:t>
      </w:r>
    </w:p>
    <w:p>
      <w:pPr>
        <w:spacing w:after="0" w:line="5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Granted</w:t>
      </w:r>
    </w:p>
    <w:p>
      <w:pPr>
        <w:spacing w:after="0" w:line="23"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Forfeited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Outstanding, Jun. 30, 2018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Options Not</w:t>
            </w:r>
          </w:p>
        </w:tc>
        <w:tc>
          <w:tcPr>
            <w:tcW w:w="1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Exercisable</w:t>
            </w:r>
          </w:p>
        </w:tc>
        <w:tc>
          <w:tcPr>
            <w:tcW w:w="14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20" w:type="dxa"/>
            <w:vAlign w:val="bottom"/>
          </w:tcPr>
          <w:p>
            <w:pPr>
              <w:spacing w:after="0"/>
              <w:rPr>
                <w:sz w:val="18"/>
                <w:szCs w:val="18"/>
                <w:color w:val="auto"/>
              </w:rPr>
            </w:pPr>
          </w:p>
        </w:tc>
      </w:tr>
      <w:tr>
        <w:trPr>
          <w:trHeight w:val="195"/>
        </w:trPr>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16"/>
        </w:trPr>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0.77</w:t>
            </w:r>
          </w:p>
        </w:tc>
      </w:tr>
      <w:tr>
        <w:trPr>
          <w:trHeight w:val="244"/>
        </w:trPr>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r>
      <w:tr>
        <w:trPr>
          <w:trHeight w:val="210"/>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-728345</wp:posOffset>
            </wp:positionV>
            <wp:extent cx="434784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47845" cy="14605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-436880</wp:posOffset>
            </wp:positionV>
            <wp:extent cx="434784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47845" cy="13716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-153670</wp:posOffset>
            </wp:positionV>
            <wp:extent cx="434784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840"/>
          </w:cols>
          <w:pgMar w:left="240" w:top="908" w:right="239" w:bottom="1440" w:gutter="0" w:footer="0" w:header="0"/>
          <w:type w:val="continuous"/>
        </w:sectPr>
      </w:pP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estimate the option’s fair value on the date of grant using the Black-Scholes option-pricing model. Black-Scholes utilizes assumptions related to expected term, forfeitures,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intrinsic value of the option awards which were vested and outstanding at each of June 30, 2018 and 2017 was $0 thousand. The total remaining unrecognized compensation cost on unvested option awards outstanding at June 30, 2018 was $34 thousand, and is expected to be recognized in operating expense in varying amounts over the 5 months remaining in the requisite service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two Restricted Stock Unit Award Plans for our employees and non-employee directors, a 2017 Restricted Stock Unit Award Plan (the “2017 RSU Plan”) and a 2014 Restricted Stock Unit Award Plan (the “2014 RSU Plan”). Vesting of an RSU entitles the holder to receive a share of our common stock on a distribution date. Our non-employee director awards allow for non-employee directors to receive payment in cash, instead of stock, for up to 40% of each RSU award. The portion of the RSU awards subject to cash settlement are recorded as a liability in the Company’s balance sheet as they vest and being marked-to-market each reporting period until they are distributed. The liability was $19 thousand and $41 thousand at June 30, 2018 and December 31, 2017, respectively.</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compensation cost to be incurred on a granted RSU without a cash settlement option is the RSU’s fair value, which is the market price of our common stock on the date of grant, less its exercise cost. The compensation cost is amortized to expense and recorded to additional paid-in capital over the vesting period of the RSU award. The total remaining unrecognized compensation cost on unvested RSU awards outstanding at June 30, 2018 was $27 thousand, and is expected to be recognized in operating expense over the 6 months remaining in the requisite service period.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award activity under the RSU Plans as of June 30, 2018 and 2017, and for each of the six month period then ended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8"/>
              </w:rPr>
              <w:t>Six months Ended June 30,</w:t>
            </w:r>
          </w:p>
        </w:tc>
        <w:tc>
          <w:tcPr>
            <w:tcW w:w="10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4"/>
        </w:trPr>
        <w:tc>
          <w:tcPr>
            <w:tcW w:w="17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4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000" w:type="dxa"/>
            <w:vAlign w:val="bottom"/>
            <w:tcBorders>
              <w:bottom w:val="single" w:sz="8" w:color="auto"/>
            </w:tcBorders>
          </w:tcPr>
          <w:p>
            <w:pPr>
              <w:spacing w:after="0"/>
              <w:rPr>
                <w:sz w:val="20"/>
                <w:szCs w:val="20"/>
                <w:color w:val="auto"/>
              </w:rPr>
            </w:pPr>
          </w:p>
        </w:tc>
        <w:tc>
          <w:tcPr>
            <w:tcW w:w="172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8"/>
                <w:szCs w:val="18"/>
                <w:b w:val="1"/>
                <w:bCs w:val="1"/>
                <w:color w:val="auto"/>
                <w:w w:val="87"/>
              </w:rPr>
              <w:t>(in thousands)</w:t>
            </w:r>
          </w:p>
        </w:tc>
        <w:tc>
          <w:tcPr>
            <w:tcW w:w="1000" w:type="dxa"/>
            <w:vAlign w:val="bottom"/>
            <w:tcBorders>
              <w:bottom w:val="single" w:sz="8" w:color="auto"/>
            </w:tcBorders>
          </w:tcPr>
          <w:p>
            <w:pPr>
              <w:spacing w:after="0"/>
              <w:rPr>
                <w:sz w:val="18"/>
                <w:szCs w:val="18"/>
                <w:color w:val="auto"/>
              </w:rPr>
            </w:pPr>
          </w:p>
        </w:tc>
        <w:tc>
          <w:tcPr>
            <w:tcW w:w="1720" w:type="dxa"/>
            <w:vAlign w:val="bottom"/>
          </w:tcPr>
          <w:p>
            <w:pPr>
              <w:spacing w:after="0"/>
              <w:rPr>
                <w:sz w:val="18"/>
                <w:szCs w:val="18"/>
                <w:color w:val="auto"/>
              </w:rPr>
            </w:pPr>
          </w:p>
        </w:tc>
      </w:tr>
      <w:tr>
        <w:trPr>
          <w:trHeight w:val="191"/>
        </w:trPr>
        <w:tc>
          <w:tcPr>
            <w:tcW w:w="17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3"/>
              </w:rPr>
              <w:t>Number of</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3"/>
              </w:rPr>
              <w:t>Number of</w:t>
            </w:r>
          </w:p>
        </w:tc>
        <w:tc>
          <w:tcPr>
            <w:tcW w:w="1720" w:type="dxa"/>
            <w:vAlign w:val="bottom"/>
          </w:tcPr>
          <w:p>
            <w:pPr>
              <w:spacing w:after="0"/>
              <w:rPr>
                <w:sz w:val="16"/>
                <w:szCs w:val="16"/>
                <w:color w:val="auto"/>
              </w:rPr>
            </w:pPr>
          </w:p>
        </w:tc>
      </w:tr>
      <w:tr>
        <w:trPr>
          <w:trHeight w:val="216"/>
        </w:trPr>
        <w:tc>
          <w:tcPr>
            <w:tcW w:w="17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Vested</w:t>
            </w: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Vested</w:t>
            </w:r>
          </w:p>
        </w:tc>
        <w:tc>
          <w:tcPr>
            <w:tcW w:w="1720" w:type="dxa"/>
            <w:vAlign w:val="bottom"/>
          </w:tcPr>
          <w:p>
            <w:pPr>
              <w:spacing w:after="0"/>
              <w:rPr>
                <w:sz w:val="18"/>
                <w:szCs w:val="18"/>
                <w:color w:val="auto"/>
              </w:rPr>
            </w:pPr>
          </w:p>
        </w:tc>
      </w:tr>
      <w:tr>
        <w:trPr>
          <w:trHeight w:val="234"/>
        </w:trPr>
        <w:tc>
          <w:tcPr>
            <w:tcW w:w="17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RSUs</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RSUs</w:t>
            </w: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RSUs</w:t>
            </w: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RSUs</w:t>
            </w:r>
          </w:p>
        </w:tc>
        <w:tc>
          <w:tcPr>
            <w:tcW w:w="172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Distributed</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Vested</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or expired</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Outstanding, Jun. 30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720" w:type="dxa"/>
            <w:vAlign w:val="bottom"/>
          </w:tcPr>
          <w:p>
            <w:pPr>
              <w:spacing w:after="0"/>
              <w:rPr>
                <w:sz w:val="18"/>
                <w:szCs w:val="18"/>
                <w:color w:val="auto"/>
              </w:rPr>
            </w:pPr>
          </w:p>
        </w:tc>
      </w:tr>
      <w:tr>
        <w:trPr>
          <w:trHeight w:val="642"/>
        </w:trPr>
        <w:tc>
          <w:tcPr>
            <w:tcW w:w="17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type w:val="continuous"/>
        </w:sectPr>
      </w:pPr>
    </w:p>
    <w:bookmarkStart w:id="21" w:name="page22"/>
    <w:bookmarkEnd w:id="21"/>
    <w:p>
      <w:pPr>
        <w:ind w:left="260"/>
        <w:spacing w:after="0"/>
        <w:rPr>
          <w:sz w:val="20"/>
          <w:szCs w:val="20"/>
          <w:color w:val="auto"/>
        </w:rPr>
      </w:pPr>
      <w:r>
        <w:rPr>
          <w:rFonts w:ascii="Arial" w:cs="Arial" w:eastAsia="Arial" w:hAnsi="Arial"/>
          <w:sz w:val="18"/>
          <w:szCs w:val="18"/>
          <w:b w:val="1"/>
          <w:bCs w:val="1"/>
          <w:i w:val="1"/>
          <w:iCs w:val="1"/>
          <w:color w:val="auto"/>
        </w:rPr>
        <w:t>2017 Restricted Stock Unit Award Plan</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2017 RSU Plan was approved by shareholders in November 2017 and permits the grant of up to 1.5 million shares of our common stock pursuant to awards under the 2017 RSU Plan. As of June 30, 2018, approximately 1.0 million shares are available for award under the 2017 RSU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awards under the 2017 RSU Plan is as follows:</w:t>
      </w:r>
    </w:p>
    <w:p>
      <w:pPr>
        <w:spacing w:after="0" w:line="225" w:lineRule="exact"/>
        <w:rPr>
          <w:sz w:val="20"/>
          <w:szCs w:val="20"/>
          <w:color w:val="auto"/>
        </w:rPr>
      </w:pPr>
    </w:p>
    <w:p>
      <w:pPr>
        <w:jc w:val="both"/>
        <w:ind w:left="580" w:hanging="248"/>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December 2017, we awarded 200 thousand RSUs to our employees. Such RSU awards will vest 100% after one full year of service. Distributions of the vested RSU awards to the employees will be made in three equal installments on the first business day of each of January 2020, 2021, and 2022 or earlier upon a qualifying change of control.</w:t>
      </w:r>
    </w:p>
    <w:p>
      <w:pPr>
        <w:spacing w:after="0" w:line="208" w:lineRule="exact"/>
        <w:rPr>
          <w:rFonts w:ascii="Arial" w:cs="Arial" w:eastAsia="Arial" w:hAnsi="Arial"/>
          <w:sz w:val="18"/>
          <w:szCs w:val="18"/>
          <w:color w:val="auto"/>
        </w:rPr>
      </w:pPr>
    </w:p>
    <w:p>
      <w:pPr>
        <w:jc w:val="both"/>
        <w:ind w:left="580" w:hanging="248"/>
        <w:spacing w:after="0" w:line="286" w:lineRule="auto"/>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January 2018, we awarded approximately 67 thousand RSUs to each of our 4 non-employee directors which also allow for them to receive payment in cash, instead of stock, for up to 40% of each RSU award. Such awards vest 25% at the end of each calendar quarter in 2018. Distributions of stock under the January 2018 award will be distributed on January 2, 2019, the first business day of the year after vesting.</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2014 Restricted Stock Unit Award Plan</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Our 2014 RSU Plan was approved by shareholders in May 2014 and permits the grant of up to 400 thousand shares of our common stock pursuant to awards under the 2014 RSU Plan. As of June 30, 2018, approximately 3 thousand shares are available for award under the 2014 RSU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awards under the 2014 RSU Plan during 2017 and 2018 is as follows:</w:t>
      </w:r>
    </w:p>
    <w:p>
      <w:pPr>
        <w:spacing w:after="0" w:line="225" w:lineRule="exact"/>
        <w:rPr>
          <w:sz w:val="20"/>
          <w:szCs w:val="20"/>
          <w:color w:val="auto"/>
        </w:rPr>
      </w:pPr>
    </w:p>
    <w:p>
      <w:pPr>
        <w:jc w:val="both"/>
        <w:ind w:left="580" w:hanging="248"/>
        <w:spacing w:after="0" w:line="25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January 2017, we awarded approximately 60 thousand RSUs to each of our 4 non-employee directors which also allow for them to receive payment in cash, instead of stock, for up to 40% of each RSU award. Such awards vest 25% at the end of each calendar quarter in 2017. The portion of the RSU awards which are subject to cash settlement are also subject to marked-to market accounting and the liability recorded in the Company’s balance sheet as an estimate for such cash settlement was $41 thousand at December 31, 2017. Distributions of stock under this award was distributed on January 2,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distribution of shares under the 2014 RSU Plan is as follows:</w:t>
      </w:r>
    </w:p>
    <w:p>
      <w:pPr>
        <w:spacing w:after="0" w:line="225" w:lineRule="exact"/>
        <w:rPr>
          <w:sz w:val="20"/>
          <w:szCs w:val="20"/>
          <w:color w:val="auto"/>
        </w:rPr>
      </w:pPr>
    </w:p>
    <w:p>
      <w:pPr>
        <w:jc w:val="both"/>
        <w:ind w:left="580" w:hanging="248"/>
        <w:spacing w:after="0" w:line="259"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January 2017, 1 thousand RSUs from the May 2014 award and 66 thousand RSUs from the January 2016 award were distributed. There were 1 thousand RSUs from the May 1 2014 award and 22 thousand RSUs from the January 2016 award which remained deferred until a future distribution date, which occurred on January 1, 2018. Of the 67 thousand RSUs distributed, 49 thousand RSUs were distributed in common stock and 18 thousand RSUs were settled in cash.</w:t>
      </w:r>
    </w:p>
    <w:p>
      <w:pPr>
        <w:spacing w:after="0" w:line="213" w:lineRule="exact"/>
        <w:rPr>
          <w:rFonts w:ascii="Arial" w:cs="Arial" w:eastAsia="Arial" w:hAnsi="Arial"/>
          <w:sz w:val="18"/>
          <w:szCs w:val="18"/>
          <w:color w:val="auto"/>
        </w:rPr>
      </w:pPr>
    </w:p>
    <w:p>
      <w:pPr>
        <w:ind w:left="580" w:hanging="248"/>
        <w:spacing w:after="0" w:line="27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January 2018, all outstanding 262 thousand RSUs from the 2014 RSU Plan were distributed. Of the approximately 262 thousand RSUs distributed, 238 thousand RSUs were distributed in common stock and 24 thousand RSUs were settled in cash.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 On December 22, 2017, the Tax Cuts and Jobs Act of 2017 (the “Act”) was signed into law making significant changes to the Internal Revenue Code. Changes include, but are not limited to, a corporate tax rate decrease from 35% to 21% effective for tax years beginning after December 31, 2017 and requiring adjustment to 2017 deferred taxes.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spacing w:after="0" w:line="287" w:lineRule="auto"/>
        <w:rPr>
          <w:sz w:val="20"/>
          <w:szCs w:val="20"/>
          <w:color w:val="auto"/>
        </w:rPr>
      </w:pPr>
      <w:r>
        <w:rPr>
          <w:rFonts w:ascii="Arial" w:cs="Arial" w:eastAsia="Arial" w:hAnsi="Arial"/>
          <w:sz w:val="16"/>
          <w:szCs w:val="16"/>
          <w:color w:val="auto"/>
        </w:rPr>
        <w:t>Deferred tax assets reflect the tax effects of net operating losses (“NOLs”), tax credit carryovers, and temporary differences between the carrying amounts of assets and liabilities for financial reporting purposes and the amounts used for income tax purposes. The most significant item of our deferred tax assets is derived from our Federal NOLs. We have approximately $169 million gross Federal NOLs at June 30, 2018 (of which approximately $168 million were generated prior to 2018). Because we believe the ability for us to use the Federal NOLs generated prior to January 1, 2018 to offset future taxable income is severely limited, as prescribed under Internal Revenue Code (“IRC”) Section 382, we have estimated and recorded an amount for the likely limitation to our deferred tax asset. The amount we recorded thereby reduced the aggregate estimated benefit of the Federal NOLs generated prior to January 1, 2018 to approximately $1.0 million. We believe the gross Federal NOL benefit we generated prior to January 1, 2018 to offset future taxable income is less than $150 thousand annually. As prescribed under Internal Revenue Code, any unused Federal NOL benefit from the annual limitation can be accumulated and carried forward to the subsequent year and will expire if not used in accordance with the NOL carried forward term of 20 years or 2037, if generated before January 1, 2018 and Federal NOLs generated after December 31, 2017 can be carried forward indefinitely. Future common stock transactions may cause another qualifying event under IRC 382 which may further limit our utilization of our NOLs.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June 30, 2018 and December 31, 2017, all our remaining net deferred income tax assets were offset by a valuation allowance due to uncertainties with respect to future utilization of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NET LOSS PER SHARE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EPS is computed by dividing net income or loss by the weighted average common shares outstanding during a period, including shares weighted related to vested Restricted Stock Units (“RSUs”) (see Note 12).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No such adjustments were made for 2018 as the Company reported a net loss for the six month period, and including the effects of the common stock equivalents in the diluted EPS calculations would have been antidilutive. The weighted-average common shares outstanding diluted computation is not impacted during any period where the exercise price of a stock option or common stock warrant is greater than the average market price.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numerators and denominators of basic and diluted EPS consisted of the following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EPS – basic and diluted</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Numerator: net loss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(1,261)</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(2,149)</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(2,755)</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(weighted):</w:t>
            </w: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Common shares</w:t>
            </w:r>
          </w:p>
        </w:tc>
        <w:tc>
          <w:tcPr>
            <w:tcW w:w="3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21,034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11,883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21,034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11,884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Vested RSUs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21,101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EPS – basic and diluted</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Excluded securities (non-weighted):</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Common shares issuable:</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options – vested and nonvested</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RSUs - nonvested</w:t>
            </w:r>
          </w:p>
        </w:tc>
        <w:tc>
          <w:tcPr>
            <w:tcW w:w="3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purchase warrants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1,842</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Total excluded common shares</w:t>
            </w: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22</w:t>
            </w: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Halsey Drug Company, as predecessor to us, was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we were served with a similar complaint by two individual plaintiffs in Nebraska federal court, which plaintiffs voluntarily dismissed in December 2014. In this product liability litigation against numerous pharmaceutical product manufacturers and distributors, including Acura, plaintiffs claim injuries from their use of the Reglan brand of metoclopramide and generic metoclopramide.</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the lawsuits filed to date, plaintiffs have not confirmed they ingested any of the generic metoclopramide manufactured by us. We discontinued manufacture and distribution of generic metoclopramide more than 20 years ago. In addition, we believe the June 23, 2011 decision by the U.S. Supreme Court in </w:t>
      </w:r>
      <w:r>
        <w:rPr>
          <w:rFonts w:ascii="Arial" w:cs="Arial" w:eastAsia="Arial" w:hAnsi="Arial"/>
          <w:sz w:val="17"/>
          <w:szCs w:val="17"/>
          <w:i w:val="1"/>
          <w:iCs w:val="1"/>
          <w:color w:val="auto"/>
        </w:rPr>
        <w:t>PLIVA v. Mensing (“Mensing</w:t>
      </w:r>
      <w:r>
        <w:rPr>
          <w:rFonts w:ascii="Arial" w:cs="Arial" w:eastAsia="Arial" w:hAnsi="Arial"/>
          <w:sz w:val="17"/>
          <w:szCs w:val="17"/>
          <w:color w:val="auto"/>
        </w:rPr>
        <w:t xml:space="preserve"> decision”) holding that state tort law failure to warn claims against generic drug companies are pre-empted by the 1984 Hatch-Waxman Act Amendments and federal drug regulations will assist us in favorably resolving these cases.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In June 2012, the New Jersey trial court dismissed all of the New Jersey cases pending against us with prejudice.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Pennsylvania, the trial court proceedings were stayed on January 12, 2017. On June 15, 2017, the Court entered an Order approving a stipulation which dismisses nearly all of the individual cases against us based upon lack of product identification without prejudice and provides for these cases to be dismissed finally, with prejudice, as of June 15, 2018. We expect that the Court will finally dismiss the Pennsylvania-based litigation against us with prejudice in 2018. Legal fees related to this matter are currently covered by our insurance carrier.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California, on May 24, 2016, the Court entered an Order approving a stipulation which stays the individual cases against us and provides for an agreed upon dismissal protocol for all cases where is a lack of product identification. On January 13, 2017, the Court also entered a general stay of this entire litigation. To date, none of these plaintiffs have confirmed they ingested any of the generic metoclopramide manufactured by us. Therefore, we expect that the lawsuits filed against us will be dismissed voluntarily with prejudice later in 2018. Legal fees related to this matter are currently covered by our insurance carrier.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any potential loss is neither probable nor estimable, we have not accrued for any potential loss related to these matters as of June 30, 2018 and we are presently unable to determine if any potential loss would be covered by our insurance carrier.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 Litigation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On April 12, 2018, an action was commenced against the Company and over twenty-five other pharmaceutical manufacturers in New York State Supreme Court, New York County, captioned </w:t>
      </w:r>
      <w:r>
        <w:rPr>
          <w:rFonts w:ascii="Arial" w:cs="Arial" w:eastAsia="Arial" w:hAnsi="Arial"/>
          <w:sz w:val="16"/>
          <w:szCs w:val="16"/>
          <w:i w:val="1"/>
          <w:iCs w:val="1"/>
          <w:color w:val="auto"/>
        </w:rPr>
        <w:t>Cotto et al. v. Abbott Laboratories, Inc., et al</w:t>
      </w:r>
      <w:r>
        <w:rPr>
          <w:rFonts w:ascii="Arial" w:cs="Arial" w:eastAsia="Arial" w:hAnsi="Arial"/>
          <w:sz w:val="16"/>
          <w:szCs w:val="16"/>
          <w:color w:val="auto"/>
        </w:rPr>
        <w:t xml:space="preserve"> (index 153339/2018). The Complaint contains seven causes of action, including negligence, strict liability, and breach of warranty, wrongful death, among others, in connection with the alleged exposure of the deceased plaintiff in utero to diethylstilbestrol (DES) in approximately 1956 as the result of the ingestion of the drug by her mother. The plaintiffs are the personal representative of the deceased and her two daughters, individually. The plaintiffs were unable to determine which of the defendants produced the DES used by the deceased, but regardless seeks to hold all defendants jointly and severally liable. The Complaint seeks $10.0 million in compensatory and $10.0 million in punitive damages on each of five counts and damages in an amount to be determined for wrongful death and additional punitive damages in an unstated amount. As any potential loss is neither probable nor estimable, we have not accrued for any potential loss related to these matters as of June 30, 2018. We are presently unable to determine if any potential loss would be covered by any of our insurance carriers.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Purdue Pharma Settlement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2015, Purdue Pharma L.P., Purdue Pharmaceuticals L.P. and The P.F. Laboratories, Inc. (collectively, “Purdue”) commenced a patent infringement lawsuit against us and our Oxaydo product licensee Egalet US, Inc. and its parent Egalet Corporation in the United States District Court for the District of Delaware alleging our Oxaydo product infringes Purdue’s U.S. Patent No. 8,389,007 (the “ 007 patent”). In April 2016, Purdue commenced a second patent infringement lawsuit against us and Egalet in the United States District Court for the District of Delaware alleging our Oxaydo product infringes Purdue’s newly issued U.S. Patent No. 9,308,171 (the “171 Patent”). The actions regarding the 007 Patent and the 171 Patent are collectively referred to as the “Actions”. On April 6, 2016, we filed a petition for Inter Partes Review (the “IPR Review”) with the U.S. Patent and Trademark Office (“USPTO”) seeking to invalidate Purdue’s 007 Patent.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20, 2016, Purdue on behalf of themselves and certain affiliates, Egalet Corporation, on behalf of itself and its affiliates and we, on behalf of ourselves and our affiliates entered into a settlement agreement (the “Settlement Agreement”) to settle the Actions and the IPR Review. Under the Settlement Agreement the parties dismissed or withdrew the Actions, requested that the USPTO terminate the IPR Review and exchanged mutual releases. No payments were made under the Settlement Agreement.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Settlement Agreement also provides that Purdue will not, in the future, assert certain Purdue U.S. patents, including the 007 Patent, the 171 Patent and related technologies (the “Purdue Patents”) against any Acura Settlement Product or Egalet Settlement Product (except generally in an action or interference by Acura or Egalet challenging a Purdue Patent). Acura Settlement Products and Egalet Settlement Products are certain immediate-release and extended-release products, including Oxaydo. In addition, the Settlement Agreement provides that Purdue will not challenge, with certain exceptions, the Acura/Egalet Patents with respect to the Purdue Settlement Products (as defined below) and that Purdue provides Acura and/or Egalet certain waivers of non-patent marketing exclusivity with respect to Purdue Settlement Products.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Settlement Agreement also provides that Acura and Egalet will not, in the future, assert certain Acura and/or Egalet U.S. patents (the “Acura/Egalet Patents”), including Acura’s Aversion® Technology patents, against any Purdue Settlement Products (except generally in an action or interference by Purdue challenging an Acura/Egalet Patent). Purdue Settlement Products are certain immediate-release and extended-release products. In addition, the Settlement Agreement provides that Acura and Egalet will not challenge, with certain exceptions, the Purdue Patents with respect to the Acura Settlement Products and Egalet Settlement Products and that Acura and Egalet provide Purdue certain waivers of non-patent marketing exclusivity with respect to the Acura Settlement Products and Egalet Settlement Products. In addition, Purdue has certain rights to negotiate to exclusively distribute an authorized generic version of certain Egalet Settlement Products, including, in some circumstances, Oxaydo® and other products using Acura’s Aversion® Technology if licensed to Egalet.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Settlement Agreement specifically excludes our patents related to our Impede® and Limitx™ technologies from the scope of the Acura/Egalet Patents under the Settlement Agreement.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2014, the Company entered into an agreement with Purdue Pharma L.P. to settle a patent interference action regarding certain intellectual property held by Acura (U.S. Patent No. 8,101,630). The dispute centered upon the issue of which company has priority in developing the invention. The parties agreed to forgo protracted litigation and the uncertainties arising therefrom by entering an agreement whereby the Company conceded Purdue Pharma’s claim of priority in exchange for certain financial consideration to us including an immediate non-refundable payment of $500 thousand. In June 2015, the Company received an additional $250 thousand payment from Purdue Pharma relating to the December 2014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Egalet Agreement covering Oxaydo</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January 7, 2015, we and Egalet entered into a Collaboration and License Agreement (the “Egalet Agreement”) to commercialize Aversion Oxycodone (formerly known as Oxecta®) under our tradename Oxaydo. Oxaydo is approved by the FDA for marketing in the United States in 5 mg and 7.5 mg strengths. Under the terms of the Egalet Agreement, we transferred the approved New Drug Application, or NDA, for Oxaydo to Egalet and Egalet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spacing w:after="0" w:line="270" w:lineRule="auto"/>
        <w:rPr>
          <w:sz w:val="20"/>
          <w:szCs w:val="20"/>
          <w:color w:val="auto"/>
        </w:rPr>
      </w:pPr>
      <w:r>
        <w:rPr>
          <w:rFonts w:ascii="Arial" w:cs="Arial" w:eastAsia="Arial" w:hAnsi="Arial"/>
          <w:sz w:val="17"/>
          <w:szCs w:val="17"/>
          <w:color w:val="auto"/>
        </w:rPr>
        <w:t>In accordance with the Egalet Agreement, we and Egalet have formed a joint steering committee to coordinate commercialization strategies and the development of product line extensions. Egalet is responsible for the fees and expenses relating to the Oxaydo NDA and product line extensions of Oxaydo, provided that Egalet will pay a substantial majority of the expenses and we will pay for the remaining fees and expenses relating to (i) annual NDA PDUFA product fees, (ii) expenses of the FDA required post-marketing study for Oxaydo and (iii) expenses of clinical studies for product line extensions (additional strengths) of Oxaydo for the United States. Egalet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 At June 30, 2018 we have accrued approximately $412 thousand of these potential cost sharing reimbursable expenses under the Egalet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Due January 2, 2020</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August 2, 2018 we borrowed $0.4 million from John Schutte and issued a promissory note in that aggregate principal amount to him. To date we have borrowed $1.9 million from him (the Schutte Notes). The Schutte Notes bear interest at prime plus 2.0%, and mature on January 2, 2020, at which time all principal and interest is due, and are unsecured until all obligations to Oxford are satisfied at which time we are required to grant a security interest to Mr. Schutte in all of our assets. Events of default under the Schutte Notes are limited to bankruptcy defaults and failure to pay interest and principal when due on January 2, 2020. During the second quarter 2018, Mr. Schutte and Oxford entered into a subordination agreement, approved by us and our subsidiary, pursuant to which Mr. Schutte subordinated the Schutte Notes to our obligations to Oxford under the Oxford Loan Agreement. The Schutte Notes may be prepaid at any time in whole or in part, however while Oxford’s loan is outstanding such prepayment will require Oxford’s consent.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Lease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administrative office space in Palatine, Illinois on a month to month basis at the rate of approximately $2 thousand per month.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87" w:lineRule="exact"/>
        <w:rPr>
          <w:sz w:val="20"/>
          <w:szCs w:val="20"/>
          <w:color w:val="auto"/>
        </w:rPr>
      </w:pPr>
    </w:p>
    <w:p>
      <w:pPr>
        <w:ind w:left="580" w:hanging="248"/>
        <w:spacing w:after="0" w:line="258"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fund or obtain funding for our continuing operations, including the development of our products utilizing our Limitx and Impede technologies;</w:t>
      </w:r>
    </w:p>
    <w:p>
      <w:pPr>
        <w:spacing w:after="0" w:line="1" w:lineRule="exact"/>
        <w:rPr>
          <w:rFonts w:ascii="Arial" w:cs="Arial" w:eastAsia="Arial" w:hAnsi="Arial"/>
          <w:sz w:val="18"/>
          <w:szCs w:val="18"/>
          <w:color w:val="auto"/>
        </w:rPr>
      </w:pPr>
    </w:p>
    <w:p>
      <w:pPr>
        <w:ind w:left="580" w:hanging="248"/>
        <w:spacing w:after="0" w:line="261"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comply with our obligations under our term loan with Oxford Finance LLC, or to obtain a waiver from Oxford Finance LLC for our failure to comply with our covenants contained in such term loan agreement;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left="580" w:hanging="248"/>
        <w:spacing w:after="0" w:line="258"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expected results of clinical studies relating to LTX-03 or any successor product candidate, the date by which such studies will be complete and the results will be available and whether LTX-03 will ultimately receive FDA approval;</w:t>
      </w:r>
    </w:p>
    <w:p>
      <w:pPr>
        <w:spacing w:after="0" w:line="1"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Limitx will retard the release of opioid active ingredients as dose levels increase;</w:t>
      </w:r>
    </w:p>
    <w:p>
      <w:pPr>
        <w:spacing w:after="0" w:line="9" w:lineRule="exact"/>
        <w:rPr>
          <w:rFonts w:ascii="Arial" w:cs="Arial" w:eastAsia="Arial" w:hAnsi="Arial"/>
          <w:sz w:val="18"/>
          <w:szCs w:val="18"/>
          <w:color w:val="auto"/>
        </w:rPr>
      </w:pPr>
    </w:p>
    <w:p>
      <w:pPr>
        <w:ind w:left="580" w:hanging="248"/>
        <w:spacing w:after="0" w:line="250"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extent to which products formulated with the Limitx technology deter abuse will be determined sufficient by the FDA to support approval or labelling describing abuse deterrent features;</w:t>
      </w: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our Limitx technology can be expanded into extended-release formulations;</w:t>
      </w:r>
    </w:p>
    <w:p>
      <w:pPr>
        <w:spacing w:after="0" w:line="9" w:lineRule="exact"/>
        <w:rPr>
          <w:rFonts w:ascii="Arial" w:cs="Arial" w:eastAsia="Arial" w:hAnsi="Arial"/>
          <w:sz w:val="18"/>
          <w:szCs w:val="18"/>
          <w:color w:val="auto"/>
        </w:rPr>
      </w:pPr>
    </w:p>
    <w:p>
      <w:pPr>
        <w:ind w:left="580" w:hanging="248"/>
        <w:spacing w:after="0" w:line="250"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Oxaydo® Tablets and our Nexafed® products;</w:t>
      </w: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pricing and price discounting that may be offered by Egalet for Oxaydo;</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of our development of our Limitx Technology;</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or our licensees’ ability to obtain necessary regulatory approvals and commercialize products utilizing our technologies;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market acceptance of, timing of commercial launch and competitive environment for any of our products;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enter into additional license agreements for our product candidates using our technologies;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9" w:lineRule="exact"/>
        <w:rPr>
          <w:rFonts w:ascii="Arial" w:cs="Arial" w:eastAsia="Arial" w:hAnsi="Arial"/>
          <w:sz w:val="18"/>
          <w:szCs w:val="18"/>
          <w:color w:val="auto"/>
        </w:rPr>
      </w:pPr>
    </w:p>
    <w:p>
      <w:pPr>
        <w:ind w:left="580" w:hanging="248"/>
        <w:spacing w:after="0" w:line="250"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FDA will agree with or accept the results of our studies for our product candidates;</w:t>
      </w:r>
    </w:p>
    <w:p>
      <w:pPr>
        <w:spacing w:after="0" w:line="9" w:lineRule="exact"/>
        <w:rPr>
          <w:rFonts w:ascii="Arial" w:cs="Arial" w:eastAsia="Arial" w:hAnsi="Arial"/>
          <w:sz w:val="18"/>
          <w:szCs w:val="18"/>
          <w:color w:val="auto"/>
        </w:rPr>
      </w:pPr>
    </w:p>
    <w:p>
      <w:pPr>
        <w:jc w:val="both"/>
        <w:ind w:left="580" w:hanging="248"/>
        <w:spacing w:after="0" w:line="250"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Arial" w:cs="Arial" w:eastAsia="Arial" w:hAnsi="Arial"/>
          <w:sz w:val="18"/>
          <w:szCs w:val="18"/>
          <w:color w:val="auto"/>
        </w:rPr>
      </w:pPr>
    </w:p>
    <w:p>
      <w:pPr>
        <w:ind w:left="580" w:hanging="248"/>
        <w:spacing w:after="0" w:line="250"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9" w:lineRule="exact"/>
        <w:rPr>
          <w:rFonts w:ascii="Arial" w:cs="Arial" w:eastAsia="Arial" w:hAnsi="Arial"/>
          <w:sz w:val="18"/>
          <w:szCs w:val="18"/>
          <w:color w:val="auto"/>
        </w:rPr>
      </w:pPr>
    </w:p>
    <w:p>
      <w:pPr>
        <w:ind w:left="580" w:hanging="248"/>
        <w:spacing w:after="0" w:line="250"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whether we will be able to promote the features of our abuse discouraging technologies; and</w:t>
      </w:r>
    </w:p>
    <w:p>
      <w:pPr>
        <w:ind w:left="580" w:hanging="248"/>
        <w:spacing w:after="0" w:line="261"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Oxaydo or our Aversion and Limitx product candidates will ultimately deter abuse in commercial settings and whether our Nexafed products and Impede technology product candidates will disrupt the processing of pseudoephedrine into methamphetamine.</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some cases, you can identify forward-looking statements by terms such as “may,” “will,” “should,” “could,” “would,” “expects,” “plans,” “anticipates,” “believes,” “indicates,”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Item 1A of this Report.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and Limitx™ Technologies are intended to address methods of abuse associated with opioid analgesics while our Impede® Technology is directed at minimizing the extraction and conversion of pseudoephedrine, or PSE, into methamphetamine. Oxaydo Tablets (oxycodone HCl, CII), which utilizes the Aversion Technology, is the first approved immediate-release oxycodone product in the United States with abuse deterrent labeling. On January 7, 2015, we entered into a Collaboration and License Agreement with Egalet US, Inc. and Egalet Ltd., each a subsidiary of Egalet Corporation, or collectively Egalet, pursuant to which we exclusively licensed to Egalet worldwide rights to manufacture and commercialize Oxaydo. Oxaydo is currently approved by the U. S. Food and Drug Administration, or FDA, for marketing in the United States in 5mg and 7.5mg strengths. Egalet launched Oxaydo in the United States late in the third quarter of 2015.</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launched our first Impede Technology product, Nexafed, into the United States market in December 2012 and launched our Nexafed Sinus Pressure + Pain product in the United States in February 2015. On March 16, 2017, we and MainPointe Pharmaceuticals, LLC, or MainPointe, entered into a License, Commercialization and Option Agreement, or the MainPointe Agreement, pursuant to which we granted MainPointe an exclusive license to our Impede technology in the U.S. and Canada to commercialize our Nexafed products. The MainPointe Agreement also grants MainPointe the option to expand the licensed territory to the European Union, Japan and South Korea and to add additional pseudoephedrine-containing products utilizing our Impede technology. MainPointe is controlled by John Schutte, who became our largest shareholder pursuant to a private placement completed in July 2017 and also became a creditor in May 2018.</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28, 2017, Bayer Healthcare LLC, or Bayer, terminated a 2015 License and Development Agreement in which we granted Bayer an exclusive worldwide license to our Impede technology for use in an undisclosed methamphetamine resistant PSE containing product. As a result of the termination, MainPointe has the option to license our Impede Technology with respect to such product in the United States and Canada upon payment of a fee. MainPointe has not yet exercised this option.</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third abuse deterrent technology, Limitx, is designed to retard the release of active drug ingredients when too many tablets are accidently or purposefully ingested by neutralizing stomach acid with buffer ingredients but deliver efficacious amounts of drug when taken as a single tablet with a nominal buffer dose. We have completed four clinical studies of various product formulations utilizing the Limitx technology which have demonstrated proof-of-concept for the Limitx technology and will allow us to advance a product to development for a New Drug Application, or NDA. Studies AP-LTX-400, or Study 400, and Study AP-LTX-401, or Study 401, both utilizing our LTX-04 hydromorphone formulation demonstrated the mean maximum drug concentration, or Cmax, was reduced in healthy adult fasted subjects by 50% to 65% when excessive buffer levels were ingested or a situation consistent with over-ingestion of tablets. Study AP-LTX-301, or Study 301, the results for which were announced in January 2018, demonstrated drug Cmax from LTX-03, a Limitx hydrocodone bitartrate and acetaminophen combination product, in healthy adult fasted subjects trended toward bioequivalence in test formulations A through E while showed an increasing reduction in Cmax for formulations F through H; in which formulations A though H had increasing incremental amounts of buffer starting with no buffer in formulation A. We believe the results of Study 301 demonstrated that LTX-03 is a formulation that optimizes the balance between effective blood levels of drug for pain relief at a single tablet dose while retarding bioavailability of drug when multiple tablets are ingested. Study AP-LTX-300, or Study 300, was inconclusive in its results due to observed issues with drug release from over-encapsulated test product. The FDA has designated the development program for LTX-04 as Fast Track, which is designed to facilitate the development, and expedite the review of drugs to treat serious conditions and fill an unmet medical need. However, we intend to advance LTX-03, which combines the hydrocodone micro-particles, acetaminophen and buffer ingredients into a single tablet, as our lead Limitx product candidate due to its larger market size and its known prevalence of oral excessive tablet abuse, and we voluntarily placed the Investigational New Drug Application, or IND, for LTX-04 on inactive status. We submitted an IND for LTX-03 to the FDA in the first quarter of 2018 in order to advance to NDA development, which became effective in April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actively seeking a licensing partner for our Limitx product candidates.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spacing w:after="0" w:line="254" w:lineRule="auto"/>
        <w:rPr>
          <w:sz w:val="20"/>
          <w:szCs w:val="20"/>
          <w:color w:val="auto"/>
        </w:rPr>
      </w:pPr>
      <w:r>
        <w:rPr>
          <w:rFonts w:ascii="Arial" w:cs="Arial" w:eastAsia="Arial" w:hAnsi="Arial"/>
          <w:sz w:val="18"/>
          <w:szCs w:val="18"/>
          <w:color w:val="auto"/>
        </w:rPr>
        <w:t>According to the 2017 CDC Drug Surveillance Report, opioid analgesics are one of the largest prescription drug markets in the United States with 214 million prescriptions dispensed in 2016. Prescription opioids are also the most widely abused drugs with 12 million people abusing or misusing these products annually. Oxaydo will compete in the immediate-release opioid product segment. Because immediate-release opioid products are used for both acute and chronic pain, a prescription, on average, contains 66 tablets or capsules. According to IMS Health, in 2016, sales in the immediate-release opioid product segment were approximately 194 million prescriptions, of which approximately 95% was attributable to generic products. Immediate-release oxycodone tablets represent approximately 30 million of these prescriptions or almost 1.7 billion tablets. The FDA approved label for our Oxaydo product describes the unique, and we believe promotable, abuse deterrent features of our product which we believe makes prescribing our product attractive to some healthcare providers.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2014, the United States retail market for over-the-counter market, or OTC, cold and allergy products containing the pseudoephedrine oral nasal decongestant was approximately $0.7 billion. In 2014, the DEA reported 9,339 laboratory incidents involving the illegal use of OTC pseudoephedrine products to manufacture the highly addictive drug methamphetamine, or meth. According to the Substance Abuse and Mental Health Services Administration, users of methamphetamine surged in 2016 to 684,000 people up from 440,000 people in 2012. As of March 16, 2017, sales of Nexafed and Nexafed Sinus are covered under the MainPointe Agreement, for which we receive a royalty.</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March 23, 2015, we announced preliminary top line results from our pilot clinical study demonstrating bioequivalence of our Nexafed extended release tablets to Johnson &amp; Johnson’s Sudafed® 12-hour Tablets. In October 2016, we received FDA recommendations on our meth-resistant testing protocols for our Nexafed extended release tablets which utilizes our Impede 2.0 enhanced meth-resistant technology. Our Impede 2.0 Technology has demonstrated, in the direct conversion, or “one-pot”, methamphetamine conversion process performed by an independent pharmaceutical services company, the ability to reduce meth-yields, on average, by 75% compared to Sudafed® Tablets. We can now scale-up our manufacture batch size at a contract manufacturer which will allow us to submit an IND to the FDA for our Nexafed extended release tablets, however, we have not yet committed to that level of development.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2017, we completed a pilot pharmacokinetic study for a PSE and loratadine-combination product using our Impede 1.0 technology. The study in 24 healthy adult subjects demonstrated sufficient, but not bioequivalent blood levels of PSE to the comparator while the second active ingredient achieved bioequivalence. Based on the product profile, we believe this formulation can be moved into final development for a 5050(b)(2) NDA submission. The Company intends to upgrade this formulation with its Impede 2.0 technology before determining any advancement in development, however, we have not yet committed to that level of development.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objective is to establish, either directly or through third-party licensees, the Nexafed franchise in the United States with multiple product offerings, including both immediate and extended release products utilizing both single and combinations of active ingredients. We aim to make meth-resistant PSE product the standard of care in all U.S. pharmacies. In addition to the MainPointe Agreement, we may license our Impede technology to commercial partners to extend our internal development resources to develop difficult to formulate products, such as extended-release.</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 research, development, laboratory, manufacturing, and warehousing activities at our operations facility in Culver, Indiana and lease an administrative office in Palatine, Illinois.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Our Supply Agreements with two third-party pharmaceutical product manufacturers and packagers to supply our commercial requirements for our Nexafed and Nexafed Sinus Pressure + Pain products were assigned to MainPointe in accordance with the MainPointe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Prescription Opioid Products and Development of Abuse Deterrent Formulations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Prescription opioids drugs, such as morphine and oxycodone, have a long history of use for the management of pain. Because they are highly effective, they are one of the largest prescribed drug categories in the U.S. However, a side effect of high doses of opioids is euphoria, or “a high”. For these reasons, opioids are the most misused or abused prescription drugs in the U.S. Opioids are offered in a variety of dosages including immediate-release tablets (or capsules), extended-release tablets (or capsules), patches and other formats. Abusers will often manipulate or tamper with the formulations to achieve their high, including: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left="580" w:hanging="248"/>
        <w:spacing w:after="0" w:line="27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Oral Excessive Tablet Abuse (ETA). Generally recognized as the most prevalent route of administration by abusers, the abuser simply orally ingests more tablets (or capsules) than is recommended for pain relief.</w:t>
      </w:r>
    </w:p>
    <w:p>
      <w:pPr>
        <w:spacing w:after="0" w:line="170" w:lineRule="exact"/>
        <w:rPr>
          <w:rFonts w:ascii="Arial" w:cs="Arial" w:eastAsia="Arial" w:hAnsi="Arial"/>
          <w:sz w:val="18"/>
          <w:szCs w:val="18"/>
          <w:color w:val="auto"/>
        </w:rPr>
      </w:pPr>
    </w:p>
    <w:p>
      <w:pPr>
        <w:ind w:left="580" w:hanging="248"/>
        <w:spacing w:after="0" w:line="27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Oral Manipulated Tablet Abuse (MTA). Extended-release tablets or patches are sometimes crushed, chewed or otherwise physically or chemically manipulated to defeat the extended-release mechanism and provide an immediate-release of the opioid for oral ingestion.</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Nasal snorting. Crushed tablets are insufflated for absorption of the drug through the nasal tissues.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Injection. The opioid is physically or chemically removed from the dosage and injected into the vein using a syringe.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Poly-pharmacy. Opioids are sometimes used in conjunction with alcohol, methamphetamine, or other drugs to accentuate the high.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Abuse deterrent formulations of opioid dosages incorporate physical and/or chemical barriers or functionality in the formulations to prevent or discourage an abuser from inappropriately administering the product. The extent and manner in which any of the features of abuse deterrent opioids may be described in the FDA approved label for our pipeline products will be dependent on the results of and the acceptance by the FDA of our and our licensees’ studies for each product.</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Development of our Limitx and Aversion (if recommenced) product candidates will require one or more abuse deterrent studies consistent with the FDA 2015 published guidance for industry on the evaluation and labeling of abuse-deterrent opioids (the “2015 Guidance”). These studies may include in vitro laboratory studies to determine, among other things, syringeability of the formulation, extractability of the opioid, and particle size of the crushed product. It is also expected that development will include human abuse liability studies comparing the abuse liability of our product candidates to currently marketed products. Because our products use known active ingredients in approved dosage strengths, the safety and efficacy of the opioid will need to be established by a series of pharmacokinetic studies demonstrating: (a) bioequivalence to an approved reference drug, (b) food effect of our formulations, and (c) dose proportionality of our formulation. A product candidate that does not achieve satisfactory pharmacokinetic results may require a phase III clinical pain study.</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Further development will likely also entail additional safety and/or efficacy assessment as may be identified by the FDA for each specific formulation during the Investigational New Drug application, or IND, or NDA phase of development. In accordance with the FDA’s 2015 Guidance, we will likely have a post-approval requirement for each of our products, if approved, to perform an epidemiology study to assess the in-market impact on abuse of our formulation.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Limitx Technology is intended to address oral ETA or accidental consumption of multiple tablets and provide a margin of safety during accidental over-ingestion of tablets. Limitx is also expected to exhibit barriers to abuse by snorting and injection.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FDA’s 2015 Guidance singles out immediate-release combination products with acetaminophen as being predominately abused by the oral route and that reducing nasal snorting of these products may not be meaningful. The initial Limitx formulation (LTX-04) utilizes hydromorphone as its sole active ingredient. During 2017 we redirected our development focus from LTX-04 to a hydrocodone/APAP product utilizing our Limitx Technology (LTX-03). In August 2015, April 2016, and May 2017 the United States Patent and Trademark Office, or USPTO, issued to us patents 9,101,636, 9,320,796 and 9,662,393, respectively, covering, among other things, our Limitx Technology.</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Development of our Limitx Technology was supported by a $300 thousand grant by the National Institute on Drug Abuse of the National Institutes of Health for Phase I development, which entailed the development of an optimized formulation of LTX-04 suitable for commercial manufacture and human testing.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ind w:firstLine="648"/>
        <w:spacing w:after="0" w:line="264" w:lineRule="auto"/>
        <w:rPr>
          <w:sz w:val="20"/>
          <w:szCs w:val="20"/>
          <w:color w:val="auto"/>
        </w:rPr>
      </w:pPr>
      <w:r>
        <w:rPr>
          <w:rFonts w:ascii="Arial" w:cs="Arial" w:eastAsia="Arial" w:hAnsi="Arial"/>
          <w:sz w:val="18"/>
          <w:szCs w:val="18"/>
          <w:i w:val="1"/>
          <w:iCs w:val="1"/>
          <w:color w:val="auto"/>
        </w:rPr>
        <w:t>NIDA Disclaimer: Research on LTX-04 was supported by the National Institute On Drug Abuse of the National Institutes of Health under Award Number R44DA037921. The results and content of any such research is solely the responsibility of Acura and does not necessarily represent the official views of the National Institutes of Health.</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LTX-04 development program was also designated as Fast Track by the FDA for its potential to address an unmet medical need but we have voluntarily placed the IND for LTX-04 on inactive status to pursue development of LTX-03.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 Products in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products in development utilizing our Limitx Technology:</w:t>
      </w:r>
    </w:p>
    <w:p>
      <w:pPr>
        <w:sectPr>
          <w:pgSz w:w="11900" w:h="16838" w:orient="portrait"/>
          <w:cols w:equalWidth="0" w:num="1">
            <w:col w:w="11420"/>
          </w:cols>
          <w:pgMar w:left="240" w:top="908" w:right="239" w:bottom="1440" w:gutter="0" w:footer="0" w:header="0"/>
        </w:sectPr>
      </w:pPr>
    </w:p>
    <w:p>
      <w:pPr>
        <w:spacing w:after="0" w:line="221"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Limitx Technology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91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Immediate-release hydromorphone HCI (LTX-04)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Immediate-release hydrocodone bitartrate with acetaminophen (LTX-03)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5502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2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Two Phase I exploratory pharmacokinetic studies completed. IND no longer active.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Initial buffer dose ranging study completed October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 on dose ranging study completed in January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Manufacturing scale-up in process</w:t>
      </w:r>
    </w:p>
    <w:p>
      <w:pPr>
        <w:spacing w:after="0" w:line="200" w:lineRule="exact"/>
        <w:rPr>
          <w:sz w:val="20"/>
          <w:szCs w:val="20"/>
          <w:color w:val="auto"/>
        </w:rPr>
      </w:pPr>
    </w:p>
    <w:p>
      <w:pPr>
        <w:sectPr>
          <w:pgSz w:w="11900" w:h="16838" w:orient="portrait"/>
          <w:cols w:equalWidth="0" w:num="2">
            <w:col w:w="5260" w:space="560"/>
            <w:col w:w="5600"/>
          </w:cols>
          <w:pgMar w:left="240" w:top="908" w:right="239" w:bottom="1440" w:gutter="0" w:footer="0" w:header="0"/>
          <w:type w:val="continuous"/>
        </w:sectPr>
      </w:pPr>
    </w:p>
    <w:p>
      <w:pPr>
        <w:spacing w:after="0" w:line="1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Immediate-release oxycodone HCl (LTX-01) &amp; (LTX-02)</w:t>
      </w:r>
      <w:r>
        <w:rPr>
          <w:sz w:val="20"/>
          <w:szCs w:val="20"/>
          <w:color w:val="auto"/>
        </w:rPr>
        <w:tab/>
      </w:r>
      <w:r>
        <w:rPr>
          <w:rFonts w:ascii="Arial" w:cs="Arial" w:eastAsia="Arial" w:hAnsi="Arial"/>
          <w:sz w:val="16"/>
          <w:szCs w:val="16"/>
          <w:color w:val="auto"/>
        </w:rPr>
        <w:t>Formulation development in process</w:t>
      </w:r>
    </w:p>
    <w:p>
      <w:pPr>
        <w:spacing w:after="0" w:line="22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Immediate-release non-opioid drug (LTX-09)</w:t>
      </w:r>
      <w:r>
        <w:rPr>
          <w:sz w:val="20"/>
          <w:szCs w:val="20"/>
          <w:color w:val="auto"/>
        </w:rPr>
        <w:tab/>
      </w:r>
      <w:r>
        <w:rPr>
          <w:rFonts w:ascii="Arial" w:cs="Arial" w:eastAsia="Arial" w:hAnsi="Arial"/>
          <w:sz w:val="16"/>
          <w:szCs w:val="16"/>
          <w:color w:val="auto"/>
        </w:rPr>
        <w:t>Formulation development in process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Study 400</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Study 400 was a two cohort, open label, crossover design pharmacokinetic study in healthy adult subjects. Study 400 measured the rate and extent of absorption of the active drug ingredient into the bloodstream with the maximum concentration, or Cmax, typically associated with an increase in drug abuse. Cohort 1 enrolled 30 subjects who were randomized into three subgroups of 10 taking either 1, 2 or 3 tablets. Each subgroup subject orally swallowed the planned number of tablets in a randomized manner taking single doses of two different test formulations of LTX-04 (designated as LTX-04P and LTX-04S and distinguished by their respective acid neutralizing capacity) and Purdue Pharma’s marketed drug Dilaudid® as a comparator. The 1, 2 and 3 tablets subgroups in Cohort 1 completed 8, 10 and 8 subjects, respectively.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Cohort 2 enrolled 30 subjects who were randomized into three subgroups of 10 taking either 4, 6 or 8 tablets. Each subgroup subject orally swallowed the planned number of tablets in a randomized manner taking single doses of LTX-04P and the marketed drug Dilaudid as a comparator. The 4, 6 and 8 tablets subgroups in Cohort 2 completed 8, 9 and 8 subjects, respectively.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tablets contained 2mg of hydromorphone hydrochloride. All subjects received doses of naltrexone and there was a one week washout between doses. Blood samples were taken at pre-designated time-points after dosing and were subsequently analyzed for the concentration of hydromorphone contained in the sample. All subjects in Cohort 1 had continuous pH (a measure of acid concentration) monitoring of their gastric fluid. The objective of Cohort 1 was to determine if adequate active drug entered the blood stream when one or two Limitx tablets were swallowed and to begin assessing the ability of the Limitx Technology to start retarding the release of active ingredients when three tablets are ingested. The objective of Cohort 2 was to further explore the extent the release of the hydromorphone active ingredient from LTX-04P tablets is retarded as the dose level increases to abusive levels. A safety assessment of Limitx Hydromorphone will be made from both study cohorts.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The topline results from Study 400 demonstrated that a single tablet dose delivered a Cmax of 45% and 50% lower than the reference drug for LTX-04S and LTX-04P, respectively. For an 8 tablet dose, the Cmax for LTX-04P was 59% lower than the reference drug. Doses between 1 and 8 tablets had similar reduction in Cmax compared to the reference. The extent of drug absorption, measure by area under the curve (AUC) was consistent between the Limitx products and the reference.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14, 2016, we announced that we had received advice from the FDA on the continued development of LTX-04 following the FDA’s review of summary data from Study 400. The FDA confirmed our intention to reformulate LTX-04 to provide increased drug levels following an intended 1 or 2 tablet dose, noting that a scientific bridge of bioequivalence to the reference product will support a finding of safety and efficacy. The FDA also recommended that we identify studies to measure the clinical impact on abuser behavior and overdose outcome (such as drug liking and respiratory depression) associated with the reduction in Cmax when three or more LTX-04 tablets were ingested. The FDA’s advice also identified longer term studies necessary for submitting a NDA for LTX-04, including in vitro extraction studies, drug interaction studies, additional pharmacokinetic studies assessing the impact of food and beverages, and a category 3 abuse liability study.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Study 401</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Study 401, completed in June 2017, also was a two cohort, open label, crossover design pharmacokinetic study in fasted, health adult subjects. Study 401 utilized a modified LTX-04 formulation containing micro-particles intended to improve drug delivery with one and two tablet dosing (LTX-04P3). Study 401 measured the rate and extent of absorption of the active drug ingredient into the blood stream with the Cmax typically associated with an increase in drug abuse. 27 subjects completed Cohort 1 swallowing a single dose tablet of LTX-04 compared to a generic hydromorphone tablet. 13 subjects completed Cohort 2 swallowing 7 LTX-04 and generic tablets doses. 15 subjects followed an undisclosed, exploratory protocol.</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 tablets contained 2 mg of hydromorphone hydrochloride. All subjects received dosages of naltrexone and/or naloxone and there was a one week washout between dosages. Blood samples were taken at pre-designated time-points after dosing and were subsequently analyzed for the concentration of hydromorphone contained in the sample. The objective of Cohort 1 was to determine if adequate active drug entered the bloodstream when one Limitx tablet was swallowed. The objective of Cohort 2 was to explore the extent to which the release of the hydromorphone active ingredient from LTX-04 tablets is retarded at a seven tablet dose (oral excess abuse levels). A safety assessment of Limitx hydromorphone would be made from both study cohorts.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topline results from Study 401 demonstrated that Cmax for a one tablet LTX-04P3 dose was approximately 50% less than the active comparator. The Cmax for the 7 tablet LTX-04P3 dose was 65% below the comparator. Study 401 also included a 7 tablet dose of LTX-04P3 taken simultaneously with an agent known to increase gastric emptying time (i.e. increase retention time of the ingredients in the stomach) which demonstrated an increase in Tmax (time of Cmax) of over 1 hour compared to LTX-04P3 taken without this agent. Since the micro-particles used in Study 401 release drug much faster than the micro-particles used in Study 400, we have concluded that the buffer levels used in both studies were excessive and is retarding the release of drug even with a single dose. Also, given that manipulating the duration of stomach acidity with a gastric emptying agent produced a significant increase in Tmax which is indicative of a delayed release of drug from LTX-04P3, we concluded the Limitx micro-particles are working as designed in that when we neutralize the stomach acid we are slowing the release of drug and subsequent absorption of drug into the blood stream.</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results from Study 400 and 401 indicate the micro-particle are working as designed but that we used too much buffer for even a single tablet and did not achieve full release of the drug at a 1 tablet dose.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Study 300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Study 300, completed in October 2017, yielded unreliable and inconclusive results due to inconsistent drug release from over-encapsulated test product.</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b w:val="1"/>
          <w:bCs w:val="1"/>
          <w:i w:val="1"/>
          <w:iCs w:val="1"/>
          <w:color w:val="auto"/>
        </w:rPr>
        <w:t>Study 301</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Study 301 was an open-label, parallel design pharmacokinetic study testing our LIMITx formulation LTX-03 in 72 fasted healthy adult subjects randomized into 9 groups (8 subjects per group). One group swallowed a single Norco® 10/325mg tablet, the marketed comparator or reference drug. The remaining 8 groups swallowed a single LTX-03 tablet with increasing buffering amounts starting with no buffer, LTX-03 formulations A through H, respectively. All 72 subjects completed the study and the doses were generally well tolerated with no serious adverse events. One subject in the Formulation E group was not analyzed due to emesis. LTX-03 is a combination of hydrocodone bitartrate and acetaminophen.</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Study 301 bioequivalence (BE) was examined to generate information for future registration studies. Results demonstrated a trend toward BE for both active ingredients in LTX-03 formulations A through E. Formulation E had BE ratios (log transformed) for hydrocodone of 0.89 and 0.97 for Cmax and Area Under the Curve (AUC), respectively. In this small sample size study both hydrocodone BE confidence intervals were below the acceptable lower BE range of 0.80 at 0.74 and 0.79 for Cmax and AUC, respectively. For acetaminophen, Formulation E’s BE Ratios were 1.15 and 1.03 for Cmax and AUC, respectively. While the acetaminophen AUC’s met the BE standards, the Cmax upper confidence interval of 1.61 was above the acceptable upper BE range of 1.25. We believe that bioequivalence of this formulation may be achieved by reducing data variability that can be achieved through an adequately powered crossover study design with sufficient numbers of subjects in the study. For LTX-03 Formulations F though H, the higher buffer level tablets, Study 301 demonstrated a progressively increasing reduction in hydrocodone Cmax culminating in a 34% Cmax reduction associated with Formulation H, the highest level evaluated. The Cmax for acetaminophen did not decline in Formulations F through H in Study 301.</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Study 301 identified a formulation that optimizes the balance between providing therapeutic blood levels of drug for pain relief at a single tablet dose while retarding the bioavailability of drug when higher buffer levels are ingested.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intend to advance LTX-03 to clinical development for a New Drug Application (NDA). Therefore, we submitted an Investigational New Drug Application, or IND with respect to LTX-03, to the FDA in the first quarter of 2018, which became effective in April 2018. We commenced the scale-up of the commercial manufacturing process in the second quarter of 2018 as to-be-marketed formulations are required for all NDA development work. We may run additional exploratory studies before manufacturing scale-up is complete to further understand the Limitx technology.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Aversion Technology incorporates gelling ingredients and irritants into tablets to discourage abuse by snorting and provide barriers to abuse by injection. Our Aversion Technology and related opioid products, like Oxaydo, are covered by claims in six issued U.S. patents, which expire between November 2023 and November 2024. Our Aversion Technology products are intended to provide the same therapeutic benefits of the active drug ingredient as currently marketed products containing the same active pharmaceutical ingredient.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Oxaydo Tablets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Egalet pursuant to which we exclusively licensed to Egalet worldwide rights to manufacture and commercialize Oxaydo. Oxaydo is approved in 5mg and 7.5mg strengths. Egalet launched Oxaydo in the United States late in the third quarter of 2015.</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2017 market for immediate-release oxycodone products was approximately 30 million dispensed prescriptions or 1.7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Oxaydo, given its differentiated label compared to generic products, can offer an alternative for opioid prescribing physicians concerned with the abuse or diversion for abuse of their prescriptions even at premium pricing to generics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spacing w:after="0" w:line="291" w:lineRule="auto"/>
        <w:rPr>
          <w:sz w:val="20"/>
          <w:szCs w:val="20"/>
          <w:color w:val="auto"/>
        </w:rPr>
      </w:pPr>
      <w:r>
        <w:rPr>
          <w:rFonts w:ascii="Arial" w:cs="Arial" w:eastAsia="Arial" w:hAnsi="Arial"/>
          <w:sz w:val="16"/>
          <w:szCs w:val="16"/>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67" w:lineRule="exact"/>
        <w:rPr>
          <w:sz w:val="20"/>
          <w:szCs w:val="20"/>
          <w:color w:val="auto"/>
        </w:rPr>
      </w:pPr>
    </w:p>
    <w:p>
      <w:pPr>
        <w:ind w:left="920" w:hanging="264"/>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30% of subjects exposed to Oxaydo responded that they would not take the drug again compared to 5% of subjects exposed to immediate-release oxycodone;</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subjects taking Oxaydo reported a higher incidence of nasopharyngeal and facial adverse events compared to immediate-release oxycodone;</w:t>
      </w:r>
    </w:p>
    <w:p>
      <w:pPr>
        <w:spacing w:after="0" w:line="275" w:lineRule="exact"/>
        <w:rPr>
          <w:rFonts w:ascii="Arial" w:cs="Arial" w:eastAsia="Arial" w:hAnsi="Arial"/>
          <w:sz w:val="16"/>
          <w:szCs w:val="16"/>
          <w:color w:val="auto"/>
        </w:rPr>
      </w:pPr>
    </w:p>
    <w:p>
      <w:pPr>
        <w:ind w:left="920" w:hanging="264"/>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Oxaydo tablets within a fixed time period (21 of 40 subjects), while all subjects were able to completely insufflate the entire dose of immediate-release oxycodone; and</w:t>
      </w:r>
    </w:p>
    <w:p>
      <w:pPr>
        <w:spacing w:after="0" w:line="197" w:lineRule="exact"/>
        <w:rPr>
          <w:rFonts w:ascii="Arial" w:cs="Arial" w:eastAsia="Arial" w:hAnsi="Arial"/>
          <w:sz w:val="18"/>
          <w:szCs w:val="18"/>
          <w:color w:val="auto"/>
        </w:rPr>
      </w:pPr>
    </w:p>
    <w:p>
      <w:pPr>
        <w:ind w:left="920" w:hanging="264"/>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Oxaydo than immediate-release oxycodone.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Oxaydo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Oxaydo has a reduced abuse liability compared to immediate release oxycodone. We and Egalet have a post-approval commitment with the FDA to perform an epidemiology study to assess the actual impact on abuse of Oxaydo tablets.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 Our laboratory studies demonstrated that the Oxaydo tablet may gel when Oxaydo is exposed to certain solvents, including water.</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Egalet has advised that late in the fourth quarter of 2016 it filed a supplemental NDA for Oxaydo with the FDA to support an abuse-deterrent label claim for the intravenous route of abuse. Egalet reported that it submitted a prior approval supplement to support approval of 10 and 15 mg dosage strengths which was accepted by the FDA on April 18, 2017. On June 20, 2017, Egalet announced that it had received a complete response letter from the FDA in response to this prior approval supplement. Eaglet has advised that the FDA is requesting more information regarding the effect of food on Oxaydo 15mg and the intranasal abuse-deterrent properties of Oxaydo 10mg and 15mg and have publicly stated that it is working to determine next steps to respond to such letter.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Egalet commenced shipping Oxaydo in October 2015 and we are advised that Egalet is actively promoting Oxaydo to targeted opioid prescribing physicians.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Egalet Agreement Covering Oxaydo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7, 2015, we and Egalet US, Inc. and Egalet Ltd., each a subsidiary of Egalet Corporation, or Egalet, entered into a Collaboration and License Agreement, or the Egalet Agreement, to commercialize Oxaydo tablets containing our Aversion® Technology. Oxaydo is approved by the FDA for marketing in the United States in 5 mg and 7.5 mg strengths. Under the terms of the Egalet Agreement, we transferred the approved NDA for Oxaydo to Egalet and Egalet is granted an exclusive license under our intellectual property rights for development and commercialization of Oxaydo worldwide, or the Territory, in all strengths, subject to our right to co-promote Oxaydo in the United States.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spacing w:after="0" w:line="272" w:lineRule="auto"/>
        <w:rPr>
          <w:sz w:val="20"/>
          <w:szCs w:val="20"/>
          <w:color w:val="auto"/>
        </w:rPr>
      </w:pPr>
      <w:r>
        <w:rPr>
          <w:rFonts w:ascii="Arial" w:cs="Arial" w:eastAsia="Arial" w:hAnsi="Arial"/>
          <w:sz w:val="17"/>
          <w:szCs w:val="17"/>
          <w:color w:val="auto"/>
        </w:rPr>
        <w:t>In accordance with the Egalet Agreement, we and Egalet have formed a joint steering committee to oversee commercialization strategies and the development of product line extensions. Egalet will pay a significant portion of the expenses relating to (i) annual NDA PDUFA program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Egalet paid us an upfront payment of $5.0 million upon signing of the Egalet Agreement and a $2.5 million milestone in October 2015 in connection with the launch of Oxaydo. In addition, we will be entitled to a one-time $12.5 million milestone payment when worldwide Oxaydo net sales reach $150.0 million in a calendar year. In addition, we will receive from Egalet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Egalet to acquire intellectual property rights to commercialize Oxaydo, with an aggregate minimum floor.</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KemPharm Agreement Covering Opioid Prodrugs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13, 2016, we and KemPharm Inc., or KemPharm, entered into a worldwide License Agreement, or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 although we may provide initial technical assistance.</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2 prodrugs licensed,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spacing w:after="0" w:line="273" w:lineRule="auto"/>
        <w:rPr>
          <w:sz w:val="20"/>
          <w:szCs w:val="20"/>
          <w:color w:val="auto"/>
        </w:rPr>
      </w:pPr>
      <w:r>
        <w:rPr>
          <w:rFonts w:ascii="Arial" w:cs="Arial" w:eastAsia="Arial" w:hAnsi="Arial"/>
          <w:sz w:val="17"/>
          <w:szCs w:val="17"/>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Development Opioid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9, 2015, we announced the indefinite suspension of further development of our Aversion hydrocodone/APAP product candidate, in order to focus our time and available resources on the development of our Limitx technology product candidates. We currently have 6 additional opioids at various stages of formulation development using the Aversion Technology which are not being actively developed.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Pseudoephedrine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1.0 Technology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Impede 1.0 Technology, a proprietary mixture of inactive ingredients, prevents the extraction of PSE from tablets using known extraction methods and disrupts the direct conversion of PSE from tablets into methamphetamine.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Studies sponsored by us at an international, independent laboratory demonstrated our Impede 1.0 Technology prevents the extraction of PSE from tablets for conversion into methamphetamine using what we believe are the two most common extraction methods, each requiring extraction of PSE as an initial step. Laboratory tests conducted on our behalf by an independent Clinical Research Organization, or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2.0 Technology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previously developed a next generation, or Impede 2.0 Technology to improve the meth-resistance of our technology. We have previously completed one-pot, direct conversion meth testing performed by our CRO on the following commercially available products and on our Nexafed Impede 2.0 extended-release product, with the following results: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tbl>
      <w:tblPr>
        <w:tblLayout w:type="fixed"/>
        <w:tblInd w:w="46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Meth Resistant</w:t>
            </w:r>
          </w:p>
        </w:tc>
        <w:tc>
          <w:tcPr>
            <w:tcW w:w="154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99"/>
              </w:rPr>
              <w:t>Meth Recovery</w:t>
            </w:r>
            <w:r>
              <w:rPr>
                <w:rFonts w:ascii="Arial" w:cs="Arial" w:eastAsia="Arial" w:hAnsi="Arial"/>
                <w:sz w:val="30"/>
                <w:szCs w:val="30"/>
                <w:b w:val="1"/>
                <w:bCs w:val="1"/>
                <w:color w:val="auto"/>
                <w:w w:val="99"/>
                <w:vertAlign w:val="superscript"/>
              </w:rPr>
              <w:t>1</w:t>
            </w:r>
          </w:p>
        </w:tc>
        <w:tc>
          <w:tcPr>
            <w:tcW w:w="260" w:type="dxa"/>
            <w:vAlign w:val="bottom"/>
            <w:vMerge w:val="restart"/>
          </w:tcPr>
          <w:p>
            <w:pPr>
              <w:spacing w:after="0"/>
              <w:rPr>
                <w:sz w:val="18"/>
                <w:szCs w:val="18"/>
                <w:color w:val="auto"/>
              </w:rPr>
            </w:pPr>
          </w:p>
        </w:tc>
        <w:tc>
          <w:tcPr>
            <w:tcW w:w="156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Purity</w:t>
            </w:r>
            <w:r>
              <w:rPr>
                <w:rFonts w:ascii="Arial" w:cs="Arial" w:eastAsia="Arial" w:hAnsi="Arial"/>
                <w:sz w:val="30"/>
                <w:szCs w:val="30"/>
                <w:b w:val="1"/>
                <w:bCs w:val="1"/>
                <w:color w:val="auto"/>
                <w:vertAlign w:val="superscript"/>
              </w:rPr>
              <w:t>2</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Product/Formulation</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Technology</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156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Sudafed® 30mg Tablets</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none</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Nexafed 30mg Technology</w:t>
            </w:r>
          </w:p>
        </w:tc>
        <w:tc>
          <w:tcPr>
            <w:tcW w:w="17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Impede® 1.0</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Zephrex-D® 30mg Pills</w:t>
            </w:r>
          </w:p>
        </w:tc>
        <w:tc>
          <w:tcPr>
            <w:tcW w:w="1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Tarex®</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Nexafed 120mg Extended-release tablets</w:t>
            </w:r>
          </w:p>
        </w:tc>
        <w:tc>
          <w:tcPr>
            <w:tcW w:w="17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Impede® 2.0</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760" w:hanging="104"/>
        <w:spacing w:after="0"/>
        <w:tabs>
          <w:tab w:leader="none" w:pos="76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Total methamphetamine HCl recovered from the equivalent of 100 PSE 30mg tablets divided by the maximum theoretical yield of 2.7 grams.</w:t>
      </w:r>
    </w:p>
    <w:p>
      <w:pPr>
        <w:spacing w:after="0" w:line="42" w:lineRule="exact"/>
        <w:rPr>
          <w:rFonts w:ascii="Arial" w:cs="Arial" w:eastAsia="Arial" w:hAnsi="Arial"/>
          <w:sz w:val="28"/>
          <w:szCs w:val="28"/>
          <w:color w:val="auto"/>
          <w:vertAlign w:val="superscript"/>
        </w:rPr>
      </w:pPr>
    </w:p>
    <w:p>
      <w:pPr>
        <w:ind w:left="660"/>
        <w:spacing w:after="0"/>
        <w:rPr>
          <w:rFonts w:ascii="Arial" w:cs="Arial" w:eastAsia="Arial" w:hAnsi="Arial"/>
          <w:sz w:val="28"/>
          <w:szCs w:val="28"/>
          <w:color w:val="auto"/>
          <w:vertAlign w:val="superscript"/>
        </w:rPr>
      </w:pPr>
      <w:r>
        <w:rPr>
          <w:rFonts w:ascii="Arial" w:cs="Arial" w:eastAsia="Arial" w:hAnsi="Arial"/>
          <w:sz w:val="28"/>
          <w:szCs w:val="28"/>
          <w:color w:val="auto"/>
          <w:vertAlign w:val="superscript"/>
        </w:rPr>
        <w:t>2</w:t>
      </w:r>
      <w:r>
        <w:rPr>
          <w:rFonts w:ascii="Arial" w:cs="Arial" w:eastAsia="Arial" w:hAnsi="Arial"/>
          <w:sz w:val="17"/>
          <w:szCs w:val="17"/>
          <w:color w:val="auto"/>
        </w:rPr>
        <w:t xml:space="preserve"> Total methamphetamine HCl recovered from the equivalent of 100 PSE 30mg tablets divided by the total weight of powder recovered.</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previously demonstrated in a pilot clinical study the bioequivalence of a formulation of our Nexafed extended release tablets utilizing our Impede 2.0 Technology to Sudafed® 12-hour Tablets. Prior to the completion of the MainPointe Agreement in March 2017, we previously completed a project to integrate Impede 2.0 Technology into our commercially available Nexafed 30mg tablet while moving supply to an alternate contract manufacturer. We believe MainPointe launched the new formulation into the market in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quarter of 2017.</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Nexafed products currently marketed, Nexafed and Nexafed Sinus Pressure + Pain, consist of immediate release tablets. Nexafed is a 30mg pseudoephedrine tablet which until the third quarter of 2017 incorporated our patented Impede 1.0 technology and commencing in such quarter incorporated our Impede 2.0 technology and Nexafed Sinus Pressure + Pain is a 30/325mg pseudoephedrine and acetaminophen tablet which incorporates our Nexafed 1.0 technology.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 However, as meth-resistant products become pervasive, we believe meth cooks will migrate to other, larger selling, PSE containing products.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 Prior to the MainPointe Agreement completed in March 2017, we capitalized on this consumer-pharmacist interaction at the point of sale by soliciting distribution to pharmacies and educating and encouraging pharmacists to recommend Nexafed to their customers. Under the terms of the MainPointe Agreement, MainPointe controls the marketing and sale of our Nexafed products.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launched Nexafed commercially in mid-December 2012 into the United States OTC market for cold and allergy products. Prior to the MainPointe Agreement, we distributed our Nexafed products through several regional and national drug wholesalers for redistribution to pharmacies, which included the three largest U.S. drug wholesalers: McKesson, Cardinal Health and AmerisourceBergen and we also shipped directly to the warehouses of certain pharmacy chains. Prior to the MainPointe Agreement, Nexafed was stocked in approximately 13,900 pharmacies or about approximately 21% of the estimated 65,000 U.S. pharmacy outlets. Initial adoption was primarily in independent pharmacies in predominately rural communities with high meth awareness. Chain pharmacies, with more centralized control of the pharmacy operations, began adopting in mid-2013, including Kroger, Publix, Fruth and Bartells. Some pharmacists actively recommended Nexafed to their customers while some replaced all 30mg PSE products, brand and generic, with Nexafed. Rite Aid, the nation’s fourth largest pharmacy operator, began purchasing Nexafed in late 2013. In late 2014, Kmart and Kroger initiated chain-wide stocking of Nexafed.</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2015, we began initial shipments of Nexafed Sinus Pressure + Pain. Prior to the MainPointe Agreement, we were marketing this product consistent with our Nexafed marketing efforts to pharmacists concerned with meth abuse of their products. We are not aware of any branded non-prescription product that contains PSE and acetaminophen believing that brands containing these ingredients have either been discontinued or reformulated with phenylephrine. We expect Nexafed Sinus Pressure + Pain to compete primarily against Advil® Cold and Sinus (PSE/ibuprofen) and to a lesser extent Aleve®-D and Sudafed® Pressure + Pain which are extended-release products.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Nexafed and Nexafed Sinus Pressure + Pain products are marketed under FDA’s regulations applicable to OTC Monograph products. Nexafed and Nexafed Sinus Pressure + Pain tablets are offered in 24-count blister packaged cartons.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MainPointe Agreement covering Nexafed Products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16, 2017, we and MainPointe entered into a License, Commercialization and Option Agreement, or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signing the MainPointe Agreement, MainPointe paid us an upfront licensing fee of $2.5 million plus approximately $425 thousand for inventory and equipment being transferred. The MainPointe Agreement also provides for our receipt of a 7.5% royalty on net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including the product candidate Loratadine with pseudoephedrine (following termination of the Bayer Agreement).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Products in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fragmented nature of the PSE market with products containing multiple active ingredients, we are developing additional products for our Nexafed franchise:</w:t>
      </w:r>
    </w:p>
    <w:p>
      <w:pPr>
        <w:sectPr>
          <w:pgSz w:w="11900" w:h="16838" w:orient="portrait"/>
          <w:cols w:equalWidth="0" w:num="1">
            <w:col w:w="11420"/>
          </w:cols>
          <w:pgMar w:left="240" w:top="908" w:right="239" w:bottom="1440" w:gutter="0" w:footer="0" w:header="0"/>
        </w:sectPr>
      </w:pPr>
    </w:p>
    <w:p>
      <w:pPr>
        <w:spacing w:after="0" w:line="166"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Impede Technology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17145</wp:posOffset>
            </wp:positionV>
            <wp:extent cx="3370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Nexafed 30mg with Impede 2.0 Technology</w:t>
      </w:r>
    </w:p>
    <w:p>
      <w:pPr>
        <w:spacing w:after="0" w:line="200" w:lineRule="exact"/>
        <w:rPr>
          <w:sz w:val="20"/>
          <w:szCs w:val="20"/>
          <w:color w:val="auto"/>
        </w:rPr>
      </w:pPr>
    </w:p>
    <w:p>
      <w:pPr>
        <w:spacing w:after="0" w:line="241"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Immediate-release pseudoephedrine HCl in combination with other cold and allergy active ingredients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Extended-release formulation utilizing Impede 2.0 Technology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33616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2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Manufacturing validation complete. We believe MainPointe launched commercial shipments in third quarter of 2017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Nexafed Sinus Pressure + Pain launched and licensed to MainPointe</w:t>
      </w:r>
    </w:p>
    <w:p>
      <w:pPr>
        <w:spacing w:after="0" w:line="200" w:lineRule="exact"/>
        <w:rPr>
          <w:sz w:val="20"/>
          <w:szCs w:val="20"/>
          <w:color w:val="auto"/>
        </w:rPr>
      </w:pPr>
    </w:p>
    <w:p>
      <w:pPr>
        <w:spacing w:after="0" w:line="25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Pilot pharmacokinetic testing demonstrated bioequivalence to Sudafed® 12-hour Tablets. Pre-IND meeting held with the FDA. No imminent development planned</w:t>
      </w:r>
    </w:p>
    <w:p>
      <w:pPr>
        <w:spacing w:after="0" w:line="181" w:lineRule="exact"/>
        <w:rPr>
          <w:sz w:val="20"/>
          <w:szCs w:val="20"/>
          <w:color w:val="auto"/>
        </w:rPr>
      </w:pPr>
    </w:p>
    <w:p>
      <w:pPr>
        <w:sectPr>
          <w:pgSz w:w="11900" w:h="16838" w:orient="portrait"/>
          <w:cols w:equalWidth="0" w:num="2">
            <w:col w:w="5500" w:space="340"/>
            <w:col w:w="5580"/>
          </w:cols>
          <w:pgMar w:left="240" w:top="908"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380" w:type="dxa"/>
            <w:vAlign w:val="bottom"/>
          </w:tcPr>
          <w:p>
            <w:pPr>
              <w:ind w:left="300"/>
              <w:spacing w:after="0"/>
              <w:rPr>
                <w:sz w:val="20"/>
                <w:szCs w:val="20"/>
                <w:color w:val="auto"/>
              </w:rPr>
            </w:pPr>
            <w:r>
              <w:rPr>
                <w:rFonts w:ascii="Arial" w:cs="Arial" w:eastAsia="Arial" w:hAnsi="Arial"/>
                <w:sz w:val="18"/>
                <w:szCs w:val="18"/>
                <w:color w:val="auto"/>
              </w:rPr>
              <w:t>Extended-release combination products</w:t>
            </w:r>
          </w:p>
        </w:tc>
        <w:tc>
          <w:tcPr>
            <w:tcW w:w="7040" w:type="dxa"/>
            <w:vAlign w:val="bottom"/>
          </w:tcPr>
          <w:p>
            <w:pPr>
              <w:ind w:left="1460"/>
              <w:spacing w:after="0"/>
              <w:rPr>
                <w:sz w:val="20"/>
                <w:szCs w:val="20"/>
                <w:color w:val="auto"/>
              </w:rPr>
            </w:pPr>
            <w:r>
              <w:rPr>
                <w:rFonts w:ascii="Arial" w:cs="Arial" w:eastAsia="Arial" w:hAnsi="Arial"/>
                <w:sz w:val="18"/>
                <w:szCs w:val="18"/>
                <w:color w:val="auto"/>
              </w:rPr>
              <w:t>No imminent development planned</w:t>
            </w:r>
          </w:p>
        </w:tc>
      </w:tr>
      <w:tr>
        <w:trPr>
          <w:trHeight w:val="418"/>
        </w:trPr>
        <w:tc>
          <w:tcPr>
            <w:tcW w:w="4380" w:type="dxa"/>
            <w:vAlign w:val="bottom"/>
          </w:tcPr>
          <w:p>
            <w:pPr>
              <w:ind w:left="300"/>
              <w:spacing w:after="0"/>
              <w:rPr>
                <w:sz w:val="20"/>
                <w:szCs w:val="20"/>
                <w:color w:val="auto"/>
              </w:rPr>
            </w:pPr>
            <w:r>
              <w:rPr>
                <w:rFonts w:ascii="Arial" w:cs="Arial" w:eastAsia="Arial" w:hAnsi="Arial"/>
                <w:sz w:val="18"/>
                <w:szCs w:val="18"/>
                <w:color w:val="auto"/>
              </w:rPr>
              <w:t>Loratadine with pseudoephedrine</w:t>
            </w:r>
          </w:p>
        </w:tc>
        <w:tc>
          <w:tcPr>
            <w:tcW w:w="7040" w:type="dxa"/>
            <w:vAlign w:val="bottom"/>
          </w:tcPr>
          <w:p>
            <w:pPr>
              <w:ind w:left="1460"/>
              <w:spacing w:after="0"/>
              <w:rPr>
                <w:sz w:val="20"/>
                <w:szCs w:val="20"/>
                <w:color w:val="auto"/>
              </w:rPr>
            </w:pPr>
            <w:r>
              <w:rPr>
                <w:rFonts w:ascii="Arial" w:cs="Arial" w:eastAsia="Arial" w:hAnsi="Arial"/>
                <w:sz w:val="18"/>
                <w:szCs w:val="18"/>
                <w:color w:val="auto"/>
              </w:rPr>
              <w:t>Final formulation development ready. No imminent development</w:t>
            </w:r>
          </w:p>
        </w:tc>
      </w:tr>
      <w:tr>
        <w:trPr>
          <w:trHeight w:val="230"/>
        </w:trPr>
        <w:tc>
          <w:tcPr>
            <w:tcW w:w="4380" w:type="dxa"/>
            <w:vAlign w:val="bottom"/>
          </w:tcPr>
          <w:p>
            <w:pPr>
              <w:spacing w:after="0"/>
              <w:rPr>
                <w:sz w:val="20"/>
                <w:szCs w:val="20"/>
                <w:color w:val="auto"/>
              </w:rPr>
            </w:pPr>
          </w:p>
        </w:tc>
        <w:tc>
          <w:tcPr>
            <w:tcW w:w="7040" w:type="dxa"/>
            <w:vAlign w:val="bottom"/>
          </w:tcPr>
          <w:p>
            <w:pPr>
              <w:ind w:left="1460"/>
              <w:spacing w:after="0"/>
              <w:rPr>
                <w:sz w:val="20"/>
                <w:szCs w:val="20"/>
                <w:color w:val="auto"/>
              </w:rPr>
            </w:pPr>
            <w:r>
              <w:rPr>
                <w:rFonts w:ascii="Arial" w:cs="Arial" w:eastAsia="Arial" w:hAnsi="Arial"/>
                <w:sz w:val="18"/>
                <w:szCs w:val="18"/>
                <w:color w:val="auto"/>
              </w:rPr>
              <w:t>planned</w:t>
            </w:r>
          </w:p>
        </w:tc>
      </w:tr>
      <w:tr>
        <w:trPr>
          <w:trHeight w:val="648"/>
        </w:trPr>
        <w:tc>
          <w:tcPr>
            <w:tcW w:w="438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420"/>
          </w:cols>
          <w:pgMar w:left="240" w:top="908" w:right="239" w:bottom="1440" w:gutter="0" w:footer="0" w:header="0"/>
          <w:type w:val="continuous"/>
        </w:sectPr>
      </w:pPr>
    </w:p>
    <w:bookmarkStart w:id="38" w:name="page39"/>
    <w:bookmarkEnd w:id="38"/>
    <w:p>
      <w:pPr>
        <w:jc w:val="both"/>
        <w:spacing w:after="0" w:line="290" w:lineRule="auto"/>
        <w:rPr>
          <w:sz w:val="20"/>
          <w:szCs w:val="20"/>
          <w:color w:val="auto"/>
        </w:rPr>
      </w:pPr>
      <w:r>
        <w:rPr>
          <w:rFonts w:ascii="Arial" w:cs="Arial" w:eastAsia="Arial" w:hAnsi="Arial"/>
          <w:sz w:val="16"/>
          <w:szCs w:val="16"/>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have submitted additional “meth-resistant” testing information to the FDA for review prior to submitting an IND. In October 2016, we received FDA recommendations on our meth-resistant testing protocols for our Nexafed extended release tablets. We can now scale-up our manufacture batch size at a contract manufacturer which allows us to submit an IND to the FDA for our Nexafed extended release tablets, however, we have not yet committed to that level of development.</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2017, we completed a pilot pharmacokinetic study for the PSE and loratadine combination product using our Impede 1.0 technology. The study in 24 healthy adult subjects demonstrated sufficient, but not bioequivalent blood levels of PSE to the comparator while the second active ingredient achieved bioequivalence. Based on the product profile, we believe this formulation can be moved into final development for a 505(b)(2) NDA submission. The Company intends to upgrade this formulation with its Impede 2.0 technology before determining any advancement in development.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objective is to establish, either directly or through third-party licensees, the Nexafed franchise in the United States with multiple product offerings, including both immediate and extended release products utilizing both single and combinations of active ingredients. We aim to make meth-resistant PSE product the standard of care in all U.S. pharmacies. In addition to the MainPointe Agreement, we may license our Impede technology to commercial partners to extend our internal development resources to develop difficult to formulate products, such as extended-release.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 Agreement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15, 2015, we and Bayer entered into a License and Development Agreement, or the Bayer Agreement, pursuant to which we granted Bayer an exclusive worldwide license to our Impede® Technology for use in an undisclosed methamphetamine resistant pseudoephedrine-containing product and providing for the joint development of such product using our Impede Technology for the U.S. market. We received reimbursement of certain our development expenses, and were entitled to success-based development and regulatory milestone payments, and low mid-single digit royalties on the net sales of the developed product. On June 28, 2017, we received Bayer’s written notice terminating the Bayer Agreement. Bayer exercised its convenience termination right prior to the completion of our development obligations under the Bayer Agreement, which we believe is as a result of Bayer’s de-prioritization of development of the methamphetamine resistant PSE-containing product contemplated in the Agreement. As a result of the termination, MainPointe has the option to license such product in the U.S. and Canada upon payment to us of $500 thousand, (additional amounts would be due for expansion of the territory – See “–MainPointe Agreement covering Nexafed Products”, above), together with royalty of 7.5% of net sales of such product, under the MainPointe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2014, a data service reported approximately $0.7 billion in retail sales of non-prescription products containing PSE. The top retail selling PSE OTC cold/allergy products in 2014 were:</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880" w:type="dxa"/>
            <w:vAlign w:val="bottom"/>
            <w:vMerge w:val="restart"/>
          </w:tcPr>
          <w:p>
            <w:pPr>
              <w:ind w:left="740"/>
              <w:spacing w:after="0"/>
              <w:rPr>
                <w:sz w:val="20"/>
                <w:szCs w:val="20"/>
                <w:color w:val="auto"/>
              </w:rPr>
            </w:pPr>
            <w:r>
              <w:rPr>
                <w:rFonts w:ascii="Arial" w:cs="Arial" w:eastAsia="Arial" w:hAnsi="Arial"/>
                <w:sz w:val="18"/>
                <w:szCs w:val="18"/>
                <w:b w:val="1"/>
                <w:bCs w:val="1"/>
                <w:color w:val="auto"/>
              </w:rPr>
              <w:t>Reference Brand</w:t>
            </w:r>
            <w:r>
              <w:rPr>
                <w:rFonts w:ascii="Arial" w:cs="Arial" w:eastAsia="Arial" w:hAnsi="Arial"/>
                <w:sz w:val="30"/>
                <w:szCs w:val="30"/>
                <w:b w:val="1"/>
                <w:bCs w:val="1"/>
                <w:color w:val="auto"/>
                <w:vertAlign w:val="superscript"/>
              </w:rPr>
              <w:t>1</w:t>
            </w:r>
          </w:p>
        </w:tc>
        <w:tc>
          <w:tcPr>
            <w:tcW w:w="10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2"/>
              </w:rPr>
              <w:t>Active</w:t>
            </w:r>
          </w:p>
        </w:tc>
        <w:tc>
          <w:tcPr>
            <w:tcW w:w="100" w:type="dxa"/>
            <w:vAlign w:val="bottom"/>
          </w:tcPr>
          <w:p>
            <w:pPr>
              <w:spacing w:after="0"/>
              <w:rPr>
                <w:sz w:val="18"/>
                <w:szCs w:val="18"/>
                <w:color w:val="auto"/>
              </w:rPr>
            </w:pPr>
          </w:p>
        </w:tc>
        <w:tc>
          <w:tcPr>
            <w:tcW w:w="18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2014 Retail Sales</w:t>
            </w:r>
          </w:p>
        </w:tc>
        <w:tc>
          <w:tcPr>
            <w:tcW w:w="0" w:type="dxa"/>
            <w:vAlign w:val="bottom"/>
          </w:tcPr>
          <w:p>
            <w:pPr>
              <w:spacing w:after="0"/>
              <w:rPr>
                <w:sz w:val="1"/>
                <w:szCs w:val="1"/>
                <w:color w:val="auto"/>
              </w:rPr>
            </w:pPr>
          </w:p>
        </w:tc>
      </w:tr>
      <w:tr>
        <w:trPr>
          <w:trHeight w:val="234"/>
        </w:trPr>
        <w:tc>
          <w:tcPr>
            <w:tcW w:w="28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58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Brand Company</w:t>
            </w:r>
          </w:p>
        </w:tc>
        <w:tc>
          <w:tcPr>
            <w:tcW w:w="100" w:type="dxa"/>
            <w:vAlign w:val="bottom"/>
            <w:tcBorders>
              <w:bottom w:val="single" w:sz="8" w:color="CCEEFF"/>
            </w:tcBorders>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Ingredient(s)</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3"/>
              </w:rPr>
              <w:t>Millions)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Claritin-D</w:t>
            </w: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Bayer</w:t>
            </w:r>
          </w:p>
        </w:tc>
        <w:tc>
          <w:tcPr>
            <w:tcW w:w="10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PSE &amp; Loraditine</w:t>
            </w:r>
            <w:r>
              <w:rPr>
                <w:rFonts w:ascii="Arial" w:cs="Arial" w:eastAsia="Arial" w:hAnsi="Arial"/>
                <w:sz w:val="28"/>
                <w:szCs w:val="28"/>
                <w:color w:val="auto"/>
                <w:vertAlign w:val="superscript"/>
              </w:rPr>
              <w:t>2</w:t>
            </w:r>
          </w:p>
        </w:tc>
        <w:tc>
          <w:tcPr>
            <w:tcW w:w="7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57"/>
        </w:trPr>
        <w:tc>
          <w:tcPr>
            <w:tcW w:w="2980" w:type="dxa"/>
            <w:vAlign w:val="bottom"/>
            <w:gridSpan w:val="2"/>
          </w:tcPr>
          <w:p>
            <w:pPr>
              <w:spacing w:after="0"/>
              <w:rPr>
                <w:sz w:val="20"/>
                <w:szCs w:val="20"/>
                <w:color w:val="auto"/>
              </w:rPr>
            </w:pPr>
            <w:r>
              <w:rPr>
                <w:rFonts w:ascii="Arial" w:cs="Arial" w:eastAsia="Arial" w:hAnsi="Arial"/>
                <w:sz w:val="18"/>
                <w:szCs w:val="18"/>
                <w:color w:val="auto"/>
              </w:rPr>
              <w:t>Allegra-D</w:t>
            </w:r>
          </w:p>
        </w:tc>
        <w:tc>
          <w:tcPr>
            <w:tcW w:w="2580" w:type="dxa"/>
            <w:vAlign w:val="bottom"/>
          </w:tcPr>
          <w:p>
            <w:pPr>
              <w:spacing w:after="0"/>
              <w:rPr>
                <w:sz w:val="20"/>
                <w:szCs w:val="20"/>
                <w:color w:val="auto"/>
              </w:rPr>
            </w:pPr>
            <w:r>
              <w:rPr>
                <w:rFonts w:ascii="Arial" w:cs="Arial" w:eastAsia="Arial" w:hAnsi="Arial"/>
                <w:sz w:val="18"/>
                <w:szCs w:val="18"/>
                <w:color w:val="auto"/>
              </w:rPr>
              <w:t>Chattem</w:t>
            </w:r>
          </w:p>
        </w:tc>
        <w:tc>
          <w:tcPr>
            <w:tcW w:w="2780" w:type="dxa"/>
            <w:vAlign w:val="bottom"/>
            <w:gridSpan w:val="2"/>
          </w:tcPr>
          <w:p>
            <w:pPr>
              <w:ind w:left="100"/>
              <w:spacing w:after="0" w:line="256" w:lineRule="exact"/>
              <w:rPr>
                <w:sz w:val="20"/>
                <w:szCs w:val="20"/>
                <w:color w:val="auto"/>
              </w:rPr>
            </w:pPr>
            <w:r>
              <w:rPr>
                <w:rFonts w:ascii="Arial" w:cs="Arial" w:eastAsia="Arial" w:hAnsi="Arial"/>
                <w:sz w:val="18"/>
                <w:szCs w:val="18"/>
                <w:color w:val="auto"/>
              </w:rPr>
              <w:t>PSE &amp; Fexofenadine</w:t>
            </w:r>
            <w:r>
              <w:rPr>
                <w:rFonts w:ascii="Arial" w:cs="Arial" w:eastAsia="Arial" w:hAnsi="Arial"/>
                <w:sz w:val="29"/>
                <w:szCs w:val="29"/>
                <w:color w:val="auto"/>
                <w:vertAlign w:val="superscript"/>
              </w:rPr>
              <w:t>2</w:t>
            </w:r>
          </w:p>
        </w:tc>
        <w:tc>
          <w:tcPr>
            <w:tcW w:w="70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57"/>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Zyrtec-D</w:t>
            </w: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Pfizer</w:t>
            </w:r>
          </w:p>
        </w:tc>
        <w:tc>
          <w:tcPr>
            <w:tcW w:w="2780" w:type="dxa"/>
            <w:vAlign w:val="bottom"/>
            <w:gridSpan w:val="2"/>
            <w:shd w:val="clear" w:color="auto" w:fill="CCEEFF"/>
          </w:tcPr>
          <w:p>
            <w:pPr>
              <w:ind w:left="100"/>
              <w:spacing w:after="0" w:line="256" w:lineRule="exact"/>
              <w:rPr>
                <w:sz w:val="20"/>
                <w:szCs w:val="20"/>
                <w:color w:val="auto"/>
              </w:rPr>
            </w:pPr>
            <w:r>
              <w:rPr>
                <w:rFonts w:ascii="Arial" w:cs="Arial" w:eastAsia="Arial" w:hAnsi="Arial"/>
                <w:sz w:val="18"/>
                <w:szCs w:val="18"/>
                <w:color w:val="auto"/>
              </w:rPr>
              <w:t>PSE &amp; Ceterizine</w:t>
            </w:r>
            <w:r>
              <w:rPr>
                <w:rFonts w:ascii="Arial" w:cs="Arial" w:eastAsia="Arial" w:hAnsi="Arial"/>
                <w:sz w:val="29"/>
                <w:szCs w:val="29"/>
                <w:color w:val="auto"/>
                <w:vertAlign w:val="superscript"/>
              </w:rPr>
              <w:t>2</w:t>
            </w:r>
          </w:p>
        </w:tc>
        <w:tc>
          <w:tcPr>
            <w:tcW w:w="7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Advil Sinus</w:t>
            </w:r>
          </w:p>
        </w:tc>
        <w:tc>
          <w:tcPr>
            <w:tcW w:w="2580" w:type="dxa"/>
            <w:vAlign w:val="bottom"/>
          </w:tcPr>
          <w:p>
            <w:pPr>
              <w:spacing w:after="0"/>
              <w:rPr>
                <w:sz w:val="20"/>
                <w:szCs w:val="20"/>
                <w:color w:val="auto"/>
              </w:rPr>
            </w:pPr>
            <w:r>
              <w:rPr>
                <w:rFonts w:ascii="Arial" w:cs="Arial" w:eastAsia="Arial" w:hAnsi="Arial"/>
                <w:sz w:val="18"/>
                <w:szCs w:val="18"/>
                <w:color w:val="auto"/>
              </w:rPr>
              <w:t>Pfizer</w:t>
            </w:r>
          </w:p>
        </w:tc>
        <w:tc>
          <w:tcPr>
            <w:tcW w:w="2780" w:type="dxa"/>
            <w:vAlign w:val="bottom"/>
            <w:gridSpan w:val="2"/>
          </w:tcPr>
          <w:p>
            <w:pPr>
              <w:ind w:left="100"/>
              <w:spacing w:after="0"/>
              <w:rPr>
                <w:sz w:val="20"/>
                <w:szCs w:val="20"/>
                <w:color w:val="auto"/>
              </w:rPr>
            </w:pPr>
            <w:r>
              <w:rPr>
                <w:rFonts w:ascii="Arial" w:cs="Arial" w:eastAsia="Arial" w:hAnsi="Arial"/>
                <w:sz w:val="18"/>
                <w:szCs w:val="18"/>
                <w:color w:val="auto"/>
              </w:rPr>
              <w:t>PSE &amp; Ibuprofen</w:t>
            </w:r>
          </w:p>
        </w:tc>
        <w:tc>
          <w:tcPr>
            <w:tcW w:w="70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57"/>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Sudafed 12 Hour</w:t>
            </w: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J&amp;J</w:t>
            </w:r>
          </w:p>
        </w:tc>
        <w:tc>
          <w:tcPr>
            <w:tcW w:w="2780" w:type="dxa"/>
            <w:vAlign w:val="bottom"/>
            <w:gridSpan w:val="2"/>
            <w:shd w:val="clear" w:color="auto" w:fill="CCEEFF"/>
          </w:tcPr>
          <w:p>
            <w:pPr>
              <w:ind w:left="100"/>
              <w:spacing w:after="0" w:line="256" w:lineRule="exact"/>
              <w:rPr>
                <w:sz w:val="20"/>
                <w:szCs w:val="20"/>
                <w:color w:val="auto"/>
              </w:rPr>
            </w:pPr>
            <w:r>
              <w:rPr>
                <w:rFonts w:ascii="Arial" w:cs="Arial" w:eastAsia="Arial" w:hAnsi="Arial"/>
                <w:sz w:val="18"/>
                <w:szCs w:val="18"/>
                <w:color w:val="auto"/>
              </w:rPr>
              <w:t>PSE</w:t>
            </w:r>
            <w:r>
              <w:rPr>
                <w:rFonts w:ascii="Arial" w:cs="Arial" w:eastAsia="Arial" w:hAnsi="Arial"/>
                <w:sz w:val="29"/>
                <w:szCs w:val="29"/>
                <w:color w:val="auto"/>
                <w:vertAlign w:val="superscript"/>
              </w:rPr>
              <w:t>2</w:t>
            </w:r>
          </w:p>
        </w:tc>
        <w:tc>
          <w:tcPr>
            <w:tcW w:w="7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Sudafed 30mg</w:t>
            </w:r>
          </w:p>
        </w:tc>
        <w:tc>
          <w:tcPr>
            <w:tcW w:w="2580" w:type="dxa"/>
            <w:vAlign w:val="bottom"/>
          </w:tcPr>
          <w:p>
            <w:pPr>
              <w:spacing w:after="0"/>
              <w:rPr>
                <w:sz w:val="20"/>
                <w:szCs w:val="20"/>
                <w:color w:val="auto"/>
              </w:rPr>
            </w:pPr>
            <w:r>
              <w:rPr>
                <w:rFonts w:ascii="Arial" w:cs="Arial" w:eastAsia="Arial" w:hAnsi="Arial"/>
                <w:sz w:val="18"/>
                <w:szCs w:val="18"/>
                <w:color w:val="auto"/>
              </w:rPr>
              <w:t>J&amp;J</w:t>
            </w:r>
          </w:p>
        </w:tc>
        <w:tc>
          <w:tcPr>
            <w:tcW w:w="2780" w:type="dxa"/>
            <w:vAlign w:val="bottom"/>
            <w:gridSpan w:val="2"/>
          </w:tcPr>
          <w:p>
            <w:pPr>
              <w:ind w:left="100"/>
              <w:spacing w:after="0"/>
              <w:rPr>
                <w:sz w:val="20"/>
                <w:szCs w:val="20"/>
                <w:color w:val="auto"/>
              </w:rPr>
            </w:pPr>
            <w:r>
              <w:rPr>
                <w:rFonts w:ascii="Arial" w:cs="Arial" w:eastAsia="Arial" w:hAnsi="Arial"/>
                <w:sz w:val="18"/>
                <w:szCs w:val="18"/>
                <w:color w:val="auto"/>
              </w:rPr>
              <w:t>PSE</w:t>
            </w:r>
          </w:p>
        </w:tc>
        <w:tc>
          <w:tcPr>
            <w:tcW w:w="70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780" w:hanging="124"/>
        <w:spacing w:after="0"/>
        <w:tabs>
          <w:tab w:leader="none" w:pos="78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Branded product only. Does not include store brand sales.</w:t>
      </w:r>
    </w:p>
    <w:p>
      <w:pPr>
        <w:spacing w:after="0" w:line="42" w:lineRule="exact"/>
        <w:rPr>
          <w:rFonts w:ascii="Arial" w:cs="Arial" w:eastAsia="Arial" w:hAnsi="Arial"/>
          <w:sz w:val="30"/>
          <w:szCs w:val="30"/>
          <w:color w:val="auto"/>
          <w:vertAlign w:val="superscript"/>
        </w:rPr>
      </w:pPr>
    </w:p>
    <w:p>
      <w:pPr>
        <w:ind w:left="660"/>
        <w:spacing w:after="0" w:line="234"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Extended release PSE formulations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ind w:right="20"/>
        <w:spacing w:after="0" w:line="264" w:lineRule="auto"/>
        <w:rPr>
          <w:sz w:val="20"/>
          <w:szCs w:val="20"/>
          <w:color w:val="auto"/>
        </w:rPr>
      </w:pPr>
      <w:r>
        <w:rPr>
          <w:rFonts w:ascii="Arial" w:cs="Arial" w:eastAsia="Arial" w:hAnsi="Arial"/>
          <w:sz w:val="18"/>
          <w:szCs w:val="18"/>
          <w:color w:val="auto"/>
        </w:rPr>
        <w:t>The 2014 market for 30mg PSE tablets, including store brands was approximately 470 million tablets or 19 million boxes of 24 tablets. Prior to the MainPointe Agreement, we priced Nexafed at $4.39 for a box of 24 tablets and Nexafed Sinus Pressure + Pain at $7.95 for a box of 24 tablets. MainPointe controls the price of Nexafed and Nexafed Sinus under the terms of the MainPointe Agreement.</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Nexafed and Nexafed Sinus Pressure + Pain products are marketed pursuant to the FDA’s OTC Monograph regulations, which require that our product have labeling as specified in the regulations. Marketing for the Nexafed products includes advertising the extraction characteristics and methamphetamine-resistant benefits of these products which is supported by our published research studies.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misuse and abuse of opioid analgesics continues to constitute a dynamic and challenging threat to the United States and is the nation’s fastest growing drug problem. During 2017, the US Government declared opioid abuse as an epidemic and national health emergency. According to the 2017 Centers on Disease Control Drug Surveillance Report, 11.8 million Americans aged 12 and over abused or misused prescription opioids in 2016. Further, this Report calculates that, on average, 115 Americans die every day from an opioid overdose. The majority of drug overdose deaths (66%) involve an opioid. Immediate release, or IR, opioid products comprise the vast majority of this abuse compared with extended release, or ER, opioid products</w:t>
      </w:r>
      <w:r>
        <w:rPr>
          <w:rFonts w:ascii="Arial" w:cs="Arial" w:eastAsia="Arial" w:hAnsi="Arial"/>
          <w:sz w:val="16"/>
          <w:szCs w:val="16"/>
          <w:b w:val="1"/>
          <w:bCs w:val="1"/>
          <w:color w:val="auto"/>
        </w:rPr>
        <w:t>.</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It is estimated that more than 75 million people in the United States suffer from pain and the FDA estimates more than 61 million people receive a prescription for the opioid hydrocodone annually. For many pain sufferers, opioid analgesics provide their only pain relief. As a result, opioid analgesics are among the largest prescription drug classes in the United States with over 214 million tablet and capsule prescriptions dispensed in 2016 of which approximately 194 million were for IR opioid products and 204 million were for ER opioid products. However, physicians and other health care providers at times are reluctant to prescribe opioid analgesics for fear of misuse, abuse, and diversion of legitimate prescriptions for illicit use.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Aversion and Limitx Technology opioid products, to compete primarily in the IR opioid product segment of the United States opioid analgesic market. Because IR opioid products are used for both acute and chronic pain, a prescription, on average, contains 66 tablets or capsules. According to IMS Health, in 2016, sales in the IR opioid product segment were approximately $2.7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 A summary of the IR opioid product prescription data for 2016 is provided below:</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tbl>
      <w:tblPr>
        <w:tblLayout w:type="fixed"/>
        <w:tblInd w:w="258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2016 US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IR Opioid Products</w:t>
            </w:r>
            <w:r>
              <w:rPr>
                <w:rFonts w:ascii="Arial" w:cs="Arial" w:eastAsia="Arial" w:hAnsi="Arial"/>
                <w:sz w:val="30"/>
                <w:szCs w:val="30"/>
                <w:b w:val="1"/>
                <w:bCs w:val="1"/>
                <w:color w:val="auto"/>
                <w:vertAlign w:val="superscript"/>
              </w:rPr>
              <w:t>(1)</w:t>
            </w:r>
          </w:p>
        </w:tc>
        <w:tc>
          <w:tcPr>
            <w:tcW w:w="60" w:type="dxa"/>
            <w:vAlign w:val="bottom"/>
            <w:vMerge w:val="restart"/>
          </w:tcPr>
          <w:p>
            <w:pPr>
              <w:spacing w:after="0"/>
              <w:rPr>
                <w:sz w:val="19"/>
                <w:szCs w:val="19"/>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Prescriptions</w:t>
            </w: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40" w:type="dxa"/>
            <w:vAlign w:val="bottom"/>
            <w:tcBorders>
              <w:bottom w:val="single" w:sz="8" w:color="auto"/>
            </w:tcBorders>
            <w:vMerge w:val="continue"/>
          </w:tcPr>
          <w:p>
            <w:pPr>
              <w:spacing w:after="0"/>
              <w:rPr>
                <w:sz w:val="23"/>
                <w:szCs w:val="23"/>
                <w:color w:val="auto"/>
              </w:rPr>
            </w:pPr>
          </w:p>
        </w:tc>
        <w:tc>
          <w:tcPr>
            <w:tcW w:w="60" w:type="dxa"/>
            <w:vAlign w:val="bottom"/>
            <w:tcBorders>
              <w:bottom w:val="single" w:sz="8" w:color="CCEEFF"/>
            </w:tcBorders>
            <w:vMerge w:val="continue"/>
          </w:tcPr>
          <w:p>
            <w:pPr>
              <w:spacing w:after="0"/>
              <w:rPr>
                <w:sz w:val="23"/>
                <w:szCs w:val="23"/>
                <w:color w:val="auto"/>
              </w:rPr>
            </w:pPr>
          </w:p>
        </w:tc>
        <w:tc>
          <w:tcPr>
            <w:tcW w:w="106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8"/>
              </w:rPr>
              <w:t>(Millions)</w:t>
            </w:r>
            <w:r>
              <w:rPr>
                <w:rFonts w:ascii="Arial" w:cs="Arial" w:eastAsia="Arial" w:hAnsi="Arial"/>
                <w:sz w:val="30"/>
                <w:szCs w:val="30"/>
                <w:b w:val="1"/>
                <w:bCs w:val="1"/>
                <w:color w:val="auto"/>
                <w:w w:val="88"/>
                <w:vertAlign w:val="superscript"/>
              </w:rPr>
              <w:t>(2)</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 Total</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Hydrocodone</w:t>
            </w: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Oxycodone</w:t>
            </w: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Tramadol</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Codeine</w:t>
            </w: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 Others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06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220" w:hanging="105"/>
        <w:spacing w:after="0"/>
        <w:tabs>
          <w:tab w:leader="none" w:pos="222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Includes all salts and esters of the opioid and opioids in combination with other active ingredients such as acetaminophen.</w:t>
      </w:r>
    </w:p>
    <w:p>
      <w:pPr>
        <w:spacing w:after="0" w:line="42" w:lineRule="exact"/>
        <w:rPr>
          <w:rFonts w:ascii="Arial" w:cs="Arial" w:eastAsia="Arial" w:hAnsi="Arial"/>
          <w:sz w:val="28"/>
          <w:szCs w:val="28"/>
          <w:color w:val="auto"/>
          <w:vertAlign w:val="superscript"/>
        </w:rPr>
      </w:pPr>
    </w:p>
    <w:p>
      <w:pPr>
        <w:ind w:left="2120"/>
        <w:spacing w:after="0" w:line="234" w:lineRule="auto"/>
        <w:rPr>
          <w:rFonts w:ascii="Arial" w:cs="Arial" w:eastAsia="Arial" w:hAnsi="Arial"/>
          <w:sz w:val="28"/>
          <w:szCs w:val="28"/>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IMS Health, 2016</w:t>
      </w:r>
    </w:p>
    <w:p>
      <w:pPr>
        <w:spacing w:after="0" w:line="8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Abuse-Deterrent Opioid Products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April 2015, the FDA published guidance for industry on the evaluation and labeling of abuse-deterrent opioids. While the 2015 FDA Guidance is non-binding on the FDA, it outlines FDA’s current thinking on the development and labeling of abuse-deterrent products. The 2015 FDA Guidance provides for three distinct levels of pre-marketing studies that are potentially eligible for inclusion in the labeling: (1) laboratory-based in vitro manipulation and extraction studies, (2) pharmacokinetic studies, and (3) clinical abuse potential studies. The 2015 FDA Guidance further prescribes additional post-approval or epidemiology studies to determine whether the marketing of a product with abuse-deterrent properties results in meaningful reductions in abuse, misuse, and related adverse clinical outcomes, including addiction, overdose, and death in the post-approval setting, which can also be included in the labeling. FDA notes “the science of abuse deterrence is relatively new. Both the technologies involved and the analytical, clinical, and statistical methods for evaluating those technologies are rapidly evolving. For these reasons, FDA will take a flexible, adaptive approach to the evaluation and labeling of potentially abuse-deterrent opioid products”.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or our licensee may seek to include descriptions of studies that characterize the abuse-deterrent properties in the label for our Aversion and Limitx Technology products in development. Although the FDA approved label for Oxaydo contains limitations on exposing Oxaydo tablets to water and other solvents and administration through feeding tubes, the FDA approved Oxaydo label does not contain a description of the I.V. injection studies we performed to characterize the abuse deterrent properties of Oxaydo. Egalet has committed to the FDA to undertake epidemiological studies to assess the actual consequences of abuse of Oxaydo in the market. Under the terms of the Egalet Agreement, we share a minority portion of the fees and expenses relating to such FDA required epidemiological studies, provided Egalet complies with the sections of the agreement relating thereto. The extent to which a description of the abuse-deterrent properties or results of epidemiological or other studies will be added to or included in the FDA approved product label for our products in development will be the subject of our discussions with the FDA as part of the NDA review process, even after having obtained approval of Oxaydo. Further, because the FDA closely regulates promotional materials, even if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2540" w:type="dxa"/>
            <w:vAlign w:val="bottom"/>
            <w:gridSpan w:val="4"/>
          </w:tcPr>
          <w:p>
            <w:pPr>
              <w:spacing w:after="0"/>
              <w:rPr>
                <w:sz w:val="20"/>
                <w:szCs w:val="20"/>
                <w:color w:val="auto"/>
              </w:rPr>
            </w:pPr>
            <w:r>
              <w:rPr>
                <w:rFonts w:ascii="Arial" w:cs="Arial" w:eastAsia="Arial" w:hAnsi="Arial"/>
                <w:sz w:val="18"/>
                <w:szCs w:val="18"/>
                <w:b w:val="1"/>
                <w:bCs w:val="1"/>
                <w:color w:val="auto"/>
                <w:w w:val="91"/>
              </w:rPr>
              <w:t>Patents and Patent Applications</w:t>
            </w:r>
          </w:p>
        </w:tc>
        <w:tc>
          <w:tcPr>
            <w:tcW w:w="6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8940" w:type="dxa"/>
            <w:vAlign w:val="bottom"/>
            <w:gridSpan w:val="5"/>
          </w:tcPr>
          <w:p>
            <w:pPr>
              <w:spacing w:after="0"/>
              <w:rPr>
                <w:sz w:val="20"/>
                <w:szCs w:val="20"/>
                <w:color w:val="auto"/>
              </w:rPr>
            </w:pPr>
            <w:r>
              <w:rPr>
                <w:rFonts w:ascii="Arial" w:cs="Arial" w:eastAsia="Arial" w:hAnsi="Arial"/>
                <w:sz w:val="18"/>
                <w:szCs w:val="18"/>
                <w:color w:val="auto"/>
              </w:rPr>
              <w:t>We have the following issued patents covering, among other things, our Limitx Technology:</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520" w:type="dxa"/>
            <w:vAlign w:val="bottom"/>
            <w:gridSpan w:val="3"/>
          </w:tcPr>
          <w:p>
            <w:pPr>
              <w:ind w:left="180"/>
              <w:spacing w:after="0"/>
              <w:rPr>
                <w:sz w:val="20"/>
                <w:szCs w:val="20"/>
                <w:color w:val="auto"/>
              </w:rPr>
            </w:pPr>
            <w:r>
              <w:rPr>
                <w:rFonts w:ascii="Arial" w:cs="Arial" w:eastAsia="Arial" w:hAnsi="Arial"/>
                <w:sz w:val="18"/>
                <w:szCs w:val="18"/>
                <w:b w:val="1"/>
                <w:bCs w:val="1"/>
                <w:color w:val="auto"/>
              </w:rPr>
              <w:t>Patent No. (Jurisdiction)</w:t>
            </w:r>
          </w:p>
        </w:tc>
        <w:tc>
          <w:tcPr>
            <w:tcW w:w="6400" w:type="dxa"/>
            <w:vAlign w:val="bottom"/>
          </w:tcPr>
          <w:p>
            <w:pPr>
              <w:jc w:val="center"/>
              <w:spacing w:after="0"/>
              <w:rPr>
                <w:sz w:val="20"/>
                <w:szCs w:val="20"/>
                <w:color w:val="auto"/>
              </w:rPr>
            </w:pPr>
            <w:r>
              <w:rPr>
                <w:rFonts w:ascii="Arial" w:cs="Arial" w:eastAsia="Arial" w:hAnsi="Arial"/>
                <w:sz w:val="18"/>
                <w:szCs w:val="18"/>
                <w:b w:val="1"/>
                <w:bCs w:val="1"/>
                <w:color w:val="auto"/>
                <w:w w:val="91"/>
              </w:rPr>
              <w:t>Subject matter</w:t>
            </w:r>
          </w:p>
        </w:tc>
        <w:tc>
          <w:tcPr>
            <w:tcW w:w="2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Issued</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Expires</w:t>
            </w:r>
          </w:p>
        </w:tc>
      </w:tr>
      <w:tr>
        <w:trPr>
          <w:trHeight w:val="195"/>
        </w:trPr>
        <w:tc>
          <w:tcPr>
            <w:tcW w:w="20" w:type="dxa"/>
            <w:vAlign w:val="bottom"/>
          </w:tcPr>
          <w:p>
            <w:pPr>
              <w:spacing w:after="0"/>
              <w:rPr>
                <w:sz w:val="16"/>
                <w:szCs w:val="16"/>
                <w:color w:val="auto"/>
              </w:rPr>
            </w:pPr>
          </w:p>
        </w:tc>
        <w:tc>
          <w:tcPr>
            <w:tcW w:w="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9,101,636</w:t>
            </w:r>
          </w:p>
        </w:tc>
        <w:tc>
          <w:tcPr>
            <w:tcW w:w="15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(US)</w:t>
            </w:r>
          </w:p>
        </w:tc>
        <w:tc>
          <w:tcPr>
            <w:tcW w:w="240" w:type="dxa"/>
            <w:vAlign w:val="bottom"/>
          </w:tcPr>
          <w:p>
            <w:pPr>
              <w:spacing w:after="0"/>
              <w:rPr>
                <w:sz w:val="16"/>
                <w:szCs w:val="16"/>
                <w:color w:val="auto"/>
              </w:rPr>
            </w:pPr>
          </w:p>
        </w:tc>
        <w:tc>
          <w:tcPr>
            <w:tcW w:w="6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Abuse deterrent products wherein the release of active ingredient is retarded when 3 or</w:t>
            </w:r>
          </w:p>
        </w:tc>
        <w:tc>
          <w:tcPr>
            <w:tcW w:w="22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Aug. 2015</w:t>
            </w:r>
          </w:p>
        </w:tc>
        <w:tc>
          <w:tcPr>
            <w:tcW w:w="22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more doses are consumed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9,320,796</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400" w:type="dxa"/>
            <w:vAlign w:val="bottom"/>
          </w:tcPr>
          <w:p>
            <w:pPr>
              <w:spacing w:after="0"/>
              <w:rPr>
                <w:sz w:val="20"/>
                <w:szCs w:val="20"/>
                <w:color w:val="auto"/>
              </w:rPr>
            </w:pPr>
            <w:r>
              <w:rPr>
                <w:rFonts w:ascii="Arial" w:cs="Arial" w:eastAsia="Arial" w:hAnsi="Arial"/>
                <w:sz w:val="18"/>
                <w:szCs w:val="18"/>
                <w:color w:val="auto"/>
                <w:w w:val="91"/>
              </w:rPr>
              <w:t>Abuse deterrent products wherein the release of active ingredient is retarded when 3 or</w:t>
            </w:r>
          </w:p>
        </w:tc>
        <w:tc>
          <w:tcPr>
            <w:tcW w:w="2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Apr. 2016</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Nov. 2033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more doses are consumed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9,662,393</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400" w:type="dxa"/>
            <w:vAlign w:val="bottom"/>
          </w:tcPr>
          <w:p>
            <w:pPr>
              <w:spacing w:after="0"/>
              <w:rPr>
                <w:sz w:val="20"/>
                <w:szCs w:val="20"/>
                <w:color w:val="auto"/>
              </w:rPr>
            </w:pPr>
            <w:r>
              <w:rPr>
                <w:rFonts w:ascii="Arial" w:cs="Arial" w:eastAsia="Arial" w:hAnsi="Arial"/>
                <w:sz w:val="18"/>
                <w:szCs w:val="18"/>
                <w:color w:val="auto"/>
                <w:w w:val="91"/>
              </w:rPr>
              <w:t>Abuse deterrent products wherein the release of active ingredient is retarded when 3 or</w:t>
            </w:r>
          </w:p>
        </w:tc>
        <w:tc>
          <w:tcPr>
            <w:tcW w:w="2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May 2017</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Nov. 2033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more doses are consumed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2,892,908</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6400" w:type="dxa"/>
            <w:vAlign w:val="bottom"/>
          </w:tcPr>
          <w:p>
            <w:pPr>
              <w:spacing w:after="0"/>
              <w:rPr>
                <w:sz w:val="20"/>
                <w:szCs w:val="20"/>
                <w:color w:val="auto"/>
              </w:rPr>
            </w:pPr>
            <w:r>
              <w:rPr>
                <w:rFonts w:ascii="Arial" w:cs="Arial" w:eastAsia="Arial" w:hAnsi="Arial"/>
                <w:sz w:val="18"/>
                <w:szCs w:val="18"/>
                <w:color w:val="auto"/>
                <w:w w:val="96"/>
              </w:rPr>
              <w:t>Abuse deterrent products wherein the release of active ingredient is retarded when</w:t>
            </w:r>
          </w:p>
        </w:tc>
        <w:tc>
          <w:tcPr>
            <w:tcW w:w="2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Apr. 2016</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Nov. 2033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excessive doses are consumed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5,922,851</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(JAPAN)</w:t>
            </w:r>
          </w:p>
        </w:tc>
        <w:tc>
          <w:tcPr>
            <w:tcW w:w="6400" w:type="dxa"/>
            <w:vAlign w:val="bottom"/>
          </w:tcPr>
          <w:p>
            <w:pPr>
              <w:spacing w:after="0"/>
              <w:rPr>
                <w:sz w:val="20"/>
                <w:szCs w:val="20"/>
                <w:color w:val="auto"/>
              </w:rPr>
            </w:pPr>
            <w:r>
              <w:rPr>
                <w:rFonts w:ascii="Arial" w:cs="Arial" w:eastAsia="Arial" w:hAnsi="Arial"/>
                <w:sz w:val="18"/>
                <w:szCs w:val="18"/>
                <w:color w:val="auto"/>
                <w:w w:val="96"/>
              </w:rPr>
              <w:t>Abuse deterrent products wherein the release of active ingredient is retarded when</w:t>
            </w:r>
          </w:p>
        </w:tc>
        <w:tc>
          <w:tcPr>
            <w:tcW w:w="2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Apr. 2016</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Nov. 2033</w:t>
            </w: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excessive doses are consumed</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8940" w:type="dxa"/>
            <w:vAlign w:val="bottom"/>
            <w:gridSpan w:val="5"/>
          </w:tcPr>
          <w:p>
            <w:pPr>
              <w:spacing w:after="0"/>
              <w:rPr>
                <w:sz w:val="20"/>
                <w:szCs w:val="20"/>
                <w:color w:val="auto"/>
              </w:rPr>
            </w:pPr>
            <w:r>
              <w:rPr>
                <w:rFonts w:ascii="Arial" w:cs="Arial" w:eastAsia="Arial" w:hAnsi="Arial"/>
                <w:sz w:val="18"/>
                <w:szCs w:val="18"/>
                <w:color w:val="auto"/>
              </w:rPr>
              <w:t>We have the following issued patents covering, among other things, Oxaydo and our Aversion Technology:</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520" w:type="dxa"/>
            <w:vAlign w:val="bottom"/>
            <w:gridSpan w:val="3"/>
          </w:tcPr>
          <w:p>
            <w:pPr>
              <w:ind w:left="180"/>
              <w:spacing w:after="0"/>
              <w:rPr>
                <w:sz w:val="20"/>
                <w:szCs w:val="20"/>
                <w:color w:val="auto"/>
              </w:rPr>
            </w:pPr>
            <w:r>
              <w:rPr>
                <w:rFonts w:ascii="Arial" w:cs="Arial" w:eastAsia="Arial" w:hAnsi="Arial"/>
                <w:sz w:val="18"/>
                <w:szCs w:val="18"/>
                <w:b w:val="1"/>
                <w:bCs w:val="1"/>
                <w:color w:val="auto"/>
              </w:rPr>
              <w:t>Patent No. (Jurisdiction)</w:t>
            </w:r>
          </w:p>
        </w:tc>
        <w:tc>
          <w:tcPr>
            <w:tcW w:w="6400" w:type="dxa"/>
            <w:vAlign w:val="bottom"/>
          </w:tcPr>
          <w:p>
            <w:pPr>
              <w:jc w:val="center"/>
              <w:spacing w:after="0"/>
              <w:rPr>
                <w:sz w:val="20"/>
                <w:szCs w:val="20"/>
                <w:color w:val="auto"/>
              </w:rPr>
            </w:pPr>
            <w:r>
              <w:rPr>
                <w:rFonts w:ascii="Arial" w:cs="Arial" w:eastAsia="Arial" w:hAnsi="Arial"/>
                <w:sz w:val="18"/>
                <w:szCs w:val="18"/>
                <w:b w:val="1"/>
                <w:bCs w:val="1"/>
                <w:color w:val="auto"/>
                <w:w w:val="93"/>
              </w:rPr>
              <w:t>Subject Matter</w:t>
            </w:r>
          </w:p>
        </w:tc>
        <w:tc>
          <w:tcPr>
            <w:tcW w:w="2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Issued</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Expires</w:t>
            </w:r>
          </w:p>
        </w:tc>
      </w:tr>
      <w:tr>
        <w:trPr>
          <w:trHeight w:val="195"/>
        </w:trPr>
        <w:tc>
          <w:tcPr>
            <w:tcW w:w="20" w:type="dxa"/>
            <w:vAlign w:val="bottom"/>
          </w:tcPr>
          <w:p>
            <w:pPr>
              <w:spacing w:after="0"/>
              <w:rPr>
                <w:sz w:val="16"/>
                <w:szCs w:val="16"/>
                <w:color w:val="auto"/>
              </w:rPr>
            </w:pPr>
          </w:p>
        </w:tc>
        <w:tc>
          <w:tcPr>
            <w:tcW w:w="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7,201,920</w:t>
            </w:r>
          </w:p>
        </w:tc>
        <w:tc>
          <w:tcPr>
            <w:tcW w:w="15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(US)</w:t>
            </w:r>
          </w:p>
        </w:tc>
        <w:tc>
          <w:tcPr>
            <w:tcW w:w="240" w:type="dxa"/>
            <w:vAlign w:val="bottom"/>
          </w:tcPr>
          <w:p>
            <w:pPr>
              <w:spacing w:after="0"/>
              <w:rPr>
                <w:sz w:val="16"/>
                <w:szCs w:val="16"/>
                <w:color w:val="auto"/>
              </w:rPr>
            </w:pPr>
          </w:p>
        </w:tc>
        <w:tc>
          <w:tcPr>
            <w:tcW w:w="6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Pharmaceutical compositions including a mixture of functional inactive ingredients and</w:t>
            </w:r>
          </w:p>
        </w:tc>
        <w:tc>
          <w:tcPr>
            <w:tcW w:w="22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Apr. 2007</w:t>
            </w:r>
          </w:p>
        </w:tc>
        <w:tc>
          <w:tcPr>
            <w:tcW w:w="22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Mar. 2025</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specific opioid analgesics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7,510,726</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400" w:type="dxa"/>
            <w:vAlign w:val="bottom"/>
          </w:tcPr>
          <w:p>
            <w:pPr>
              <w:spacing w:after="0"/>
              <w:rPr>
                <w:sz w:val="20"/>
                <w:szCs w:val="20"/>
                <w:color w:val="auto"/>
              </w:rPr>
            </w:pPr>
            <w:r>
              <w:rPr>
                <w:rFonts w:ascii="Arial" w:cs="Arial" w:eastAsia="Arial" w:hAnsi="Arial"/>
                <w:sz w:val="18"/>
                <w:szCs w:val="18"/>
                <w:color w:val="auto"/>
              </w:rPr>
              <w:t>A wider range of compositions than those described in the 7,201,920 Patent</w:t>
            </w:r>
          </w:p>
        </w:tc>
        <w:tc>
          <w:tcPr>
            <w:tcW w:w="2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Mar. 2009</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7,981,439</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400" w:type="dxa"/>
            <w:vAlign w:val="bottom"/>
          </w:tcPr>
          <w:p>
            <w:pPr>
              <w:spacing w:after="0"/>
              <w:rPr>
                <w:sz w:val="20"/>
                <w:szCs w:val="20"/>
                <w:color w:val="auto"/>
              </w:rPr>
            </w:pPr>
            <w:r>
              <w:rPr>
                <w:rFonts w:ascii="Arial" w:cs="Arial" w:eastAsia="Arial" w:hAnsi="Arial"/>
                <w:sz w:val="18"/>
                <w:szCs w:val="18"/>
                <w:color w:val="auto"/>
                <w:w w:val="95"/>
              </w:rPr>
              <w:t>Pharmaceutical compositions including any water soluble drug susceptible to abuse</w:t>
            </w:r>
          </w:p>
        </w:tc>
        <w:tc>
          <w:tcPr>
            <w:tcW w:w="2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 2011</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Aug. 2024</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8,409,616</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400" w:type="dxa"/>
            <w:vAlign w:val="bottom"/>
          </w:tcPr>
          <w:p>
            <w:pPr>
              <w:spacing w:after="0"/>
              <w:rPr>
                <w:sz w:val="20"/>
                <w:szCs w:val="20"/>
                <w:color w:val="auto"/>
              </w:rPr>
            </w:pPr>
            <w:r>
              <w:rPr>
                <w:rFonts w:ascii="Arial" w:cs="Arial" w:eastAsia="Arial" w:hAnsi="Arial"/>
                <w:sz w:val="18"/>
                <w:szCs w:val="18"/>
                <w:color w:val="auto"/>
                <w:w w:val="97"/>
              </w:rPr>
              <w:t>Pharmaceutical compositions of immediate-release abuse deterrent dosage forms</w:t>
            </w:r>
          </w:p>
        </w:tc>
        <w:tc>
          <w:tcPr>
            <w:tcW w:w="2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Apr. 2013</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8,637,540</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400" w:type="dxa"/>
            <w:vAlign w:val="bottom"/>
          </w:tcPr>
          <w:p>
            <w:pPr>
              <w:spacing w:after="0"/>
              <w:rPr>
                <w:sz w:val="20"/>
                <w:szCs w:val="20"/>
                <w:color w:val="auto"/>
              </w:rPr>
            </w:pPr>
            <w:r>
              <w:rPr>
                <w:rFonts w:ascii="Arial" w:cs="Arial" w:eastAsia="Arial" w:hAnsi="Arial"/>
                <w:sz w:val="18"/>
                <w:szCs w:val="18"/>
                <w:color w:val="auto"/>
                <w:w w:val="95"/>
              </w:rPr>
              <w:t>Pharmaceutical compositions of immediate-release abuse deterrent opioid products</w:t>
            </w:r>
          </w:p>
        </w:tc>
        <w:tc>
          <w:tcPr>
            <w:tcW w:w="2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Jan. 2014</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w w:val="92"/>
              </w:rPr>
              <w:t>9,492,443</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400" w:type="dxa"/>
            <w:vAlign w:val="bottom"/>
          </w:tcPr>
          <w:p>
            <w:pPr>
              <w:spacing w:after="0"/>
              <w:rPr>
                <w:sz w:val="20"/>
                <w:szCs w:val="20"/>
                <w:color w:val="auto"/>
              </w:rPr>
            </w:pPr>
            <w:r>
              <w:rPr>
                <w:rFonts w:ascii="Arial" w:cs="Arial" w:eastAsia="Arial" w:hAnsi="Arial"/>
                <w:sz w:val="18"/>
                <w:szCs w:val="18"/>
                <w:color w:val="auto"/>
                <w:w w:val="95"/>
              </w:rPr>
              <w:t>Pharmaceutical compositions of immediate-release abuse deterrent opioid products</w:t>
            </w:r>
          </w:p>
        </w:tc>
        <w:tc>
          <w:tcPr>
            <w:tcW w:w="2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Nov. 2016</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432"/>
        </w:trPr>
        <w:tc>
          <w:tcPr>
            <w:tcW w:w="8940" w:type="dxa"/>
            <w:vAlign w:val="bottom"/>
            <w:gridSpan w:val="5"/>
          </w:tcPr>
          <w:p>
            <w:pPr>
              <w:spacing w:after="0"/>
              <w:rPr>
                <w:sz w:val="20"/>
                <w:szCs w:val="20"/>
                <w:color w:val="auto"/>
              </w:rPr>
            </w:pPr>
            <w:r>
              <w:rPr>
                <w:rFonts w:ascii="Arial" w:cs="Arial" w:eastAsia="Arial" w:hAnsi="Arial"/>
                <w:sz w:val="18"/>
                <w:szCs w:val="18"/>
                <w:color w:val="auto"/>
              </w:rPr>
              <w:t>We have the following additional issued patents relating to our Aversion Technology:</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2540" w:type="dxa"/>
            <w:vAlign w:val="bottom"/>
            <w:gridSpan w:val="4"/>
          </w:tcPr>
          <w:p>
            <w:pPr>
              <w:spacing w:after="0"/>
              <w:rPr>
                <w:sz w:val="20"/>
                <w:szCs w:val="20"/>
                <w:color w:val="auto"/>
              </w:rPr>
            </w:pPr>
            <w:r>
              <w:rPr>
                <w:rFonts w:ascii="Arial" w:cs="Arial" w:eastAsia="Arial" w:hAnsi="Arial"/>
                <w:sz w:val="18"/>
                <w:szCs w:val="18"/>
                <w:b w:val="1"/>
                <w:bCs w:val="1"/>
                <w:color w:val="auto"/>
              </w:rPr>
              <w:t>Patent No. (Jurisdiction)</w:t>
            </w:r>
          </w:p>
        </w:tc>
        <w:tc>
          <w:tcPr>
            <w:tcW w:w="6400" w:type="dxa"/>
            <w:vAlign w:val="bottom"/>
          </w:tcPr>
          <w:p>
            <w:pPr>
              <w:jc w:val="center"/>
              <w:spacing w:after="0"/>
              <w:rPr>
                <w:sz w:val="20"/>
                <w:szCs w:val="20"/>
                <w:color w:val="auto"/>
              </w:rPr>
            </w:pPr>
            <w:r>
              <w:rPr>
                <w:rFonts w:ascii="Arial" w:cs="Arial" w:eastAsia="Arial" w:hAnsi="Arial"/>
                <w:sz w:val="18"/>
                <w:szCs w:val="18"/>
                <w:b w:val="1"/>
                <w:bCs w:val="1"/>
                <w:color w:val="auto"/>
                <w:w w:val="93"/>
              </w:rPr>
              <w:t>Subject Matter</w:t>
            </w:r>
          </w:p>
        </w:tc>
        <w:tc>
          <w:tcPr>
            <w:tcW w:w="2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Issued</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Expires</w:t>
            </w:r>
          </w:p>
        </w:tc>
      </w:tr>
      <w:tr>
        <w:trPr>
          <w:trHeight w:val="195"/>
        </w:trPr>
        <w:tc>
          <w:tcPr>
            <w:tcW w:w="20" w:type="dxa"/>
            <w:vAlign w:val="bottom"/>
          </w:tcPr>
          <w:p>
            <w:pPr>
              <w:spacing w:after="0"/>
              <w:rPr>
                <w:sz w:val="16"/>
                <w:szCs w:val="16"/>
                <w:color w:val="auto"/>
              </w:rPr>
            </w:pPr>
          </w:p>
        </w:tc>
        <w:tc>
          <w:tcPr>
            <w:tcW w:w="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7,476,402</w:t>
            </w:r>
          </w:p>
        </w:tc>
        <w:tc>
          <w:tcPr>
            <w:tcW w:w="15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(US)</w:t>
            </w:r>
          </w:p>
        </w:tc>
        <w:tc>
          <w:tcPr>
            <w:tcW w:w="240" w:type="dxa"/>
            <w:vAlign w:val="bottom"/>
          </w:tcPr>
          <w:p>
            <w:pPr>
              <w:spacing w:after="0"/>
              <w:rPr>
                <w:sz w:val="16"/>
                <w:szCs w:val="16"/>
                <w:color w:val="auto"/>
              </w:rPr>
            </w:pPr>
          </w:p>
        </w:tc>
        <w:tc>
          <w:tcPr>
            <w:tcW w:w="6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Pharmaceutical compositions of certain combinations of kappa and mu opioid receptor</w:t>
            </w:r>
          </w:p>
        </w:tc>
        <w:tc>
          <w:tcPr>
            <w:tcW w:w="220" w:type="dxa"/>
            <w:vAlign w:val="bottom"/>
          </w:tcPr>
          <w:p>
            <w:pPr>
              <w:spacing w:after="0"/>
              <w:rPr>
                <w:sz w:val="16"/>
                <w:szCs w:val="16"/>
                <w:color w:val="auto"/>
              </w:rPr>
            </w:pPr>
          </w:p>
        </w:tc>
        <w:tc>
          <w:tcPr>
            <w:tcW w:w="1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Jan. 2009</w:t>
            </w:r>
          </w:p>
        </w:tc>
        <w:tc>
          <w:tcPr>
            <w:tcW w:w="220" w:type="dxa"/>
            <w:vAlign w:val="bottom"/>
          </w:tcPr>
          <w:p>
            <w:pPr>
              <w:spacing w:after="0"/>
              <w:rPr>
                <w:sz w:val="16"/>
                <w:szCs w:val="16"/>
                <w:color w:val="auto"/>
              </w:rPr>
            </w:pPr>
          </w:p>
        </w:tc>
        <w:tc>
          <w:tcPr>
            <w:tcW w:w="1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Nov. 2023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w w:val="94"/>
              </w:rPr>
              <w:t>agonists and other ingredients intended to deter opioid analgesic product misuse and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abuse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8,822,489</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400" w:type="dxa"/>
            <w:vAlign w:val="bottom"/>
          </w:tcPr>
          <w:p>
            <w:pPr>
              <w:spacing w:after="0"/>
              <w:rPr>
                <w:sz w:val="20"/>
                <w:szCs w:val="20"/>
                <w:color w:val="auto"/>
              </w:rPr>
            </w:pPr>
            <w:r>
              <w:rPr>
                <w:rFonts w:ascii="Arial" w:cs="Arial" w:eastAsia="Arial" w:hAnsi="Arial"/>
                <w:sz w:val="18"/>
                <w:szCs w:val="18"/>
                <w:color w:val="auto"/>
                <w:w w:val="91"/>
              </w:rPr>
              <w:t>Pharmaceutical compositions of certain abuse deterrent products that contain polymers,</w:t>
            </w:r>
          </w:p>
        </w:tc>
        <w:tc>
          <w:tcPr>
            <w:tcW w:w="1460" w:type="dxa"/>
            <w:vAlign w:val="bottom"/>
            <w:gridSpan w:val="3"/>
          </w:tcPr>
          <w:p>
            <w:pPr>
              <w:ind w:left="220"/>
              <w:spacing w:after="0"/>
              <w:rPr>
                <w:sz w:val="20"/>
                <w:szCs w:val="20"/>
                <w:color w:val="auto"/>
              </w:rPr>
            </w:pPr>
            <w:r>
              <w:rPr>
                <w:rFonts w:ascii="Arial" w:cs="Arial" w:eastAsia="Arial" w:hAnsi="Arial"/>
                <w:sz w:val="18"/>
                <w:szCs w:val="18"/>
                <w:color w:val="auto"/>
              </w:rPr>
              <w:t>Jul. 2014</w:t>
            </w:r>
          </w:p>
        </w:tc>
        <w:tc>
          <w:tcPr>
            <w:tcW w:w="1020" w:type="dxa"/>
            <w:vAlign w:val="bottom"/>
          </w:tcPr>
          <w:p>
            <w:pPr>
              <w:spacing w:after="0"/>
              <w:rPr>
                <w:sz w:val="20"/>
                <w:szCs w:val="20"/>
                <w:color w:val="auto"/>
              </w:rPr>
            </w:pPr>
            <w:r>
              <w:rPr>
                <w:rFonts w:ascii="Arial" w:cs="Arial" w:eastAsia="Arial" w:hAnsi="Arial"/>
                <w:sz w:val="18"/>
                <w:szCs w:val="18"/>
                <w:color w:val="auto"/>
              </w:rPr>
              <w:t>Nov. 2023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surfactant and polysorb 80</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540" w:type="dxa"/>
            <w:vAlign w:val="bottom"/>
            <w:gridSpan w:val="4"/>
          </w:tcPr>
          <w:p>
            <w:pPr>
              <w:spacing w:after="0"/>
              <w:rPr>
                <w:sz w:val="20"/>
                <w:szCs w:val="20"/>
                <w:color w:val="auto"/>
              </w:rPr>
            </w:pPr>
            <w:r>
              <w:rPr>
                <w:rFonts w:ascii="Arial" w:cs="Arial" w:eastAsia="Arial" w:hAnsi="Arial"/>
                <w:sz w:val="18"/>
                <w:szCs w:val="18"/>
                <w:color w:val="auto"/>
              </w:rPr>
              <w:t>2,004,294,953 (AUS)</w:t>
            </w:r>
          </w:p>
        </w:tc>
        <w:tc>
          <w:tcPr>
            <w:tcW w:w="6400" w:type="dxa"/>
            <w:vAlign w:val="bottom"/>
          </w:tcPr>
          <w:p>
            <w:pPr>
              <w:spacing w:after="0"/>
              <w:rPr>
                <w:sz w:val="20"/>
                <w:szCs w:val="20"/>
                <w:color w:val="auto"/>
              </w:rPr>
            </w:pPr>
            <w:r>
              <w:rPr>
                <w:rFonts w:ascii="Arial" w:cs="Arial" w:eastAsia="Arial" w:hAnsi="Arial"/>
                <w:sz w:val="18"/>
                <w:szCs w:val="18"/>
                <w:color w:val="auto"/>
              </w:rPr>
              <w:t>Abuse deterrent pharmaceuticals</w:t>
            </w:r>
          </w:p>
        </w:tc>
        <w:tc>
          <w:tcPr>
            <w:tcW w:w="1460" w:type="dxa"/>
            <w:vAlign w:val="bottom"/>
            <w:gridSpan w:val="3"/>
          </w:tcPr>
          <w:p>
            <w:pPr>
              <w:ind w:left="220"/>
              <w:spacing w:after="0"/>
              <w:rPr>
                <w:sz w:val="20"/>
                <w:szCs w:val="20"/>
                <w:color w:val="auto"/>
              </w:rPr>
            </w:pPr>
            <w:r>
              <w:rPr>
                <w:rFonts w:ascii="Arial" w:cs="Arial" w:eastAsia="Arial" w:hAnsi="Arial"/>
                <w:sz w:val="18"/>
                <w:szCs w:val="18"/>
                <w:color w:val="auto"/>
              </w:rPr>
              <w:t>Apr. 2010</w:t>
            </w:r>
          </w:p>
        </w:tc>
        <w:tc>
          <w:tcPr>
            <w:tcW w:w="1020" w:type="dxa"/>
            <w:vAlign w:val="bottom"/>
          </w:tcPr>
          <w:p>
            <w:pPr>
              <w:spacing w:after="0"/>
              <w:rPr>
                <w:sz w:val="20"/>
                <w:szCs w:val="20"/>
                <w:color w:val="auto"/>
              </w:rPr>
            </w:pPr>
            <w:r>
              <w:rPr>
                <w:rFonts w:ascii="Arial" w:cs="Arial" w:eastAsia="Arial" w:hAnsi="Arial"/>
                <w:sz w:val="18"/>
                <w:szCs w:val="18"/>
                <w:color w:val="auto"/>
              </w:rPr>
              <w:t>Nov. 2024</w:t>
            </w:r>
          </w:p>
        </w:tc>
      </w:tr>
      <w:tr>
        <w:trPr>
          <w:trHeight w:val="216"/>
        </w:trPr>
        <w:tc>
          <w:tcPr>
            <w:tcW w:w="2540" w:type="dxa"/>
            <w:vAlign w:val="bottom"/>
            <w:gridSpan w:val="4"/>
          </w:tcPr>
          <w:p>
            <w:pPr>
              <w:spacing w:after="0"/>
              <w:rPr>
                <w:sz w:val="20"/>
                <w:szCs w:val="20"/>
                <w:color w:val="auto"/>
              </w:rPr>
            </w:pPr>
            <w:r>
              <w:rPr>
                <w:rFonts w:ascii="Arial" w:cs="Arial" w:eastAsia="Arial" w:hAnsi="Arial"/>
                <w:sz w:val="18"/>
                <w:szCs w:val="18"/>
                <w:color w:val="auto"/>
              </w:rPr>
              <w:t>2,010,200,979 (AUS)</w:t>
            </w:r>
          </w:p>
        </w:tc>
        <w:tc>
          <w:tcPr>
            <w:tcW w:w="6400" w:type="dxa"/>
            <w:vAlign w:val="bottom"/>
          </w:tcPr>
          <w:p>
            <w:pPr>
              <w:spacing w:after="0"/>
              <w:rPr>
                <w:sz w:val="20"/>
                <w:szCs w:val="20"/>
                <w:color w:val="auto"/>
              </w:rPr>
            </w:pPr>
            <w:r>
              <w:rPr>
                <w:rFonts w:ascii="Arial" w:cs="Arial" w:eastAsia="Arial" w:hAnsi="Arial"/>
                <w:sz w:val="18"/>
                <w:szCs w:val="18"/>
                <w:color w:val="auto"/>
              </w:rPr>
              <w:t>Abuse deterrent pharmaceuticals</w:t>
            </w:r>
          </w:p>
        </w:tc>
        <w:tc>
          <w:tcPr>
            <w:tcW w:w="1460" w:type="dxa"/>
            <w:vAlign w:val="bottom"/>
            <w:gridSpan w:val="3"/>
          </w:tcPr>
          <w:p>
            <w:pPr>
              <w:ind w:left="220"/>
              <w:spacing w:after="0"/>
              <w:rPr>
                <w:sz w:val="20"/>
                <w:szCs w:val="20"/>
                <w:color w:val="auto"/>
              </w:rPr>
            </w:pPr>
            <w:r>
              <w:rPr>
                <w:rFonts w:ascii="Arial" w:cs="Arial" w:eastAsia="Arial" w:hAnsi="Arial"/>
                <w:sz w:val="18"/>
                <w:szCs w:val="18"/>
                <w:color w:val="auto"/>
              </w:rPr>
              <w:t>Aug. 2010</w:t>
            </w:r>
          </w:p>
        </w:tc>
        <w:tc>
          <w:tcPr>
            <w:tcW w:w="1020" w:type="dxa"/>
            <w:vAlign w:val="bottom"/>
          </w:tcPr>
          <w:p>
            <w:pPr>
              <w:spacing w:after="0"/>
              <w:rPr>
                <w:sz w:val="20"/>
                <w:szCs w:val="20"/>
                <w:color w:val="auto"/>
              </w:rPr>
            </w:pPr>
            <w:r>
              <w:rPr>
                <w:rFonts w:ascii="Arial" w:cs="Arial" w:eastAsia="Arial" w:hAnsi="Arial"/>
                <w:sz w:val="18"/>
                <w:szCs w:val="18"/>
                <w:color w:val="auto"/>
              </w:rPr>
              <w:t>Nov. 2024</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2,547,334</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6400" w:type="dxa"/>
            <w:vAlign w:val="bottom"/>
          </w:tcPr>
          <w:p>
            <w:pPr>
              <w:spacing w:after="0"/>
              <w:rPr>
                <w:sz w:val="20"/>
                <w:szCs w:val="20"/>
                <w:color w:val="auto"/>
              </w:rPr>
            </w:pPr>
            <w:r>
              <w:rPr>
                <w:rFonts w:ascii="Arial" w:cs="Arial" w:eastAsia="Arial" w:hAnsi="Arial"/>
                <w:sz w:val="18"/>
                <w:szCs w:val="18"/>
                <w:color w:val="auto"/>
              </w:rPr>
              <w:t>Abuse deterrent pharmaceuticals</w:t>
            </w:r>
          </w:p>
        </w:tc>
        <w:tc>
          <w:tcPr>
            <w:tcW w:w="1460" w:type="dxa"/>
            <w:vAlign w:val="bottom"/>
            <w:gridSpan w:val="3"/>
          </w:tcPr>
          <w:p>
            <w:pPr>
              <w:ind w:left="220"/>
              <w:spacing w:after="0"/>
              <w:rPr>
                <w:sz w:val="20"/>
                <w:szCs w:val="20"/>
                <w:color w:val="auto"/>
              </w:rPr>
            </w:pPr>
            <w:r>
              <w:rPr>
                <w:rFonts w:ascii="Arial" w:cs="Arial" w:eastAsia="Arial" w:hAnsi="Arial"/>
                <w:sz w:val="18"/>
                <w:szCs w:val="18"/>
                <w:color w:val="auto"/>
              </w:rPr>
              <w:t>Aug. 2010</w:t>
            </w:r>
          </w:p>
        </w:tc>
        <w:tc>
          <w:tcPr>
            <w:tcW w:w="1020" w:type="dxa"/>
            <w:vAlign w:val="bottom"/>
          </w:tcPr>
          <w:p>
            <w:pPr>
              <w:spacing w:after="0"/>
              <w:rPr>
                <w:sz w:val="20"/>
                <w:szCs w:val="20"/>
                <w:color w:val="auto"/>
              </w:rPr>
            </w:pPr>
            <w:r>
              <w:rPr>
                <w:rFonts w:ascii="Arial" w:cs="Arial" w:eastAsia="Arial" w:hAnsi="Arial"/>
                <w:sz w:val="18"/>
                <w:szCs w:val="18"/>
                <w:color w:val="auto"/>
              </w:rPr>
              <w:t>Nov. 2024</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2,647,360</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6400" w:type="dxa"/>
            <w:vAlign w:val="bottom"/>
          </w:tcPr>
          <w:p>
            <w:pPr>
              <w:spacing w:after="0"/>
              <w:rPr>
                <w:sz w:val="20"/>
                <w:szCs w:val="20"/>
                <w:color w:val="auto"/>
              </w:rPr>
            </w:pPr>
            <w:r>
              <w:rPr>
                <w:rFonts w:ascii="Arial" w:cs="Arial" w:eastAsia="Arial" w:hAnsi="Arial"/>
                <w:sz w:val="18"/>
                <w:szCs w:val="18"/>
                <w:color w:val="auto"/>
              </w:rPr>
              <w:t>Abuse deterrent pharmaceuticals</w:t>
            </w:r>
          </w:p>
        </w:tc>
        <w:tc>
          <w:tcPr>
            <w:tcW w:w="1460" w:type="dxa"/>
            <w:vAlign w:val="bottom"/>
            <w:gridSpan w:val="3"/>
          </w:tcPr>
          <w:p>
            <w:pPr>
              <w:ind w:left="220"/>
              <w:spacing w:after="0"/>
              <w:rPr>
                <w:sz w:val="20"/>
                <w:szCs w:val="20"/>
                <w:color w:val="auto"/>
              </w:rPr>
            </w:pPr>
            <w:r>
              <w:rPr>
                <w:rFonts w:ascii="Arial" w:cs="Arial" w:eastAsia="Arial" w:hAnsi="Arial"/>
                <w:sz w:val="18"/>
                <w:szCs w:val="18"/>
                <w:color w:val="auto"/>
              </w:rPr>
              <w:t>May 2012</w:t>
            </w:r>
          </w:p>
        </w:tc>
        <w:tc>
          <w:tcPr>
            <w:tcW w:w="1020" w:type="dxa"/>
            <w:vAlign w:val="bottom"/>
          </w:tcPr>
          <w:p>
            <w:pPr>
              <w:spacing w:after="0"/>
              <w:rPr>
                <w:sz w:val="20"/>
                <w:szCs w:val="20"/>
                <w:color w:val="auto"/>
              </w:rPr>
            </w:pPr>
            <w:r>
              <w:rPr>
                <w:rFonts w:ascii="Arial" w:cs="Arial" w:eastAsia="Arial" w:hAnsi="Arial"/>
                <w:sz w:val="18"/>
                <w:szCs w:val="18"/>
                <w:color w:val="auto"/>
              </w:rPr>
              <w:t>Apr. 2027</w:t>
            </w:r>
          </w:p>
        </w:tc>
      </w:tr>
      <w:tr>
        <w:trPr>
          <w:trHeight w:val="216"/>
        </w:trPr>
        <w:tc>
          <w:tcPr>
            <w:tcW w:w="2540" w:type="dxa"/>
            <w:vAlign w:val="bottom"/>
            <w:gridSpan w:val="4"/>
          </w:tcPr>
          <w:p>
            <w:pPr>
              <w:spacing w:after="0"/>
              <w:rPr>
                <w:sz w:val="20"/>
                <w:szCs w:val="20"/>
                <w:color w:val="auto"/>
              </w:rPr>
            </w:pPr>
            <w:r>
              <w:rPr>
                <w:rFonts w:ascii="Arial" w:cs="Arial" w:eastAsia="Arial" w:hAnsi="Arial"/>
                <w:sz w:val="18"/>
                <w:szCs w:val="18"/>
                <w:color w:val="auto"/>
              </w:rPr>
              <w:t>175,863 (ISR)</w:t>
            </w:r>
          </w:p>
        </w:tc>
        <w:tc>
          <w:tcPr>
            <w:tcW w:w="6400" w:type="dxa"/>
            <w:vAlign w:val="bottom"/>
          </w:tcPr>
          <w:p>
            <w:pPr>
              <w:spacing w:after="0"/>
              <w:rPr>
                <w:sz w:val="20"/>
                <w:szCs w:val="20"/>
                <w:color w:val="auto"/>
              </w:rPr>
            </w:pPr>
            <w:r>
              <w:rPr>
                <w:rFonts w:ascii="Arial" w:cs="Arial" w:eastAsia="Arial" w:hAnsi="Arial"/>
                <w:sz w:val="18"/>
                <w:szCs w:val="18"/>
                <w:color w:val="auto"/>
              </w:rPr>
              <w:t>Abuse deterrent pharmaceuticals</w:t>
            </w:r>
          </w:p>
        </w:tc>
        <w:tc>
          <w:tcPr>
            <w:tcW w:w="1460" w:type="dxa"/>
            <w:vAlign w:val="bottom"/>
            <w:gridSpan w:val="3"/>
          </w:tcPr>
          <w:p>
            <w:pPr>
              <w:ind w:left="220"/>
              <w:spacing w:after="0"/>
              <w:rPr>
                <w:sz w:val="20"/>
                <w:szCs w:val="20"/>
                <w:color w:val="auto"/>
              </w:rPr>
            </w:pPr>
            <w:r>
              <w:rPr>
                <w:rFonts w:ascii="Arial" w:cs="Arial" w:eastAsia="Arial" w:hAnsi="Arial"/>
                <w:sz w:val="18"/>
                <w:szCs w:val="18"/>
                <w:color w:val="auto"/>
              </w:rPr>
              <w:t>Nov. 2004</w:t>
            </w:r>
          </w:p>
        </w:tc>
        <w:tc>
          <w:tcPr>
            <w:tcW w:w="1020" w:type="dxa"/>
            <w:vAlign w:val="bottom"/>
          </w:tcPr>
          <w:p>
            <w:pPr>
              <w:spacing w:after="0"/>
              <w:rPr>
                <w:sz w:val="20"/>
                <w:szCs w:val="20"/>
                <w:color w:val="auto"/>
              </w:rPr>
            </w:pPr>
            <w:r>
              <w:rPr>
                <w:rFonts w:ascii="Arial" w:cs="Arial" w:eastAsia="Arial" w:hAnsi="Arial"/>
                <w:sz w:val="18"/>
                <w:szCs w:val="18"/>
                <w:color w:val="auto"/>
              </w:rPr>
              <w:t>Nov. 2024</w:t>
            </w:r>
          </w:p>
        </w:tc>
      </w:tr>
      <w:tr>
        <w:trPr>
          <w:trHeight w:val="216"/>
        </w:trPr>
        <w:tc>
          <w:tcPr>
            <w:tcW w:w="2540" w:type="dxa"/>
            <w:vAlign w:val="bottom"/>
            <w:gridSpan w:val="4"/>
          </w:tcPr>
          <w:p>
            <w:pPr>
              <w:spacing w:after="0"/>
              <w:rPr>
                <w:sz w:val="20"/>
                <w:szCs w:val="20"/>
                <w:color w:val="auto"/>
              </w:rPr>
            </w:pPr>
            <w:r>
              <w:rPr>
                <w:rFonts w:ascii="Arial" w:cs="Arial" w:eastAsia="Arial" w:hAnsi="Arial"/>
                <w:sz w:val="18"/>
                <w:szCs w:val="18"/>
                <w:color w:val="auto"/>
              </w:rPr>
              <w:t>221,018 (ISR)</w:t>
            </w:r>
          </w:p>
        </w:tc>
        <w:tc>
          <w:tcPr>
            <w:tcW w:w="6400" w:type="dxa"/>
            <w:vAlign w:val="bottom"/>
          </w:tcPr>
          <w:p>
            <w:pPr>
              <w:spacing w:after="0"/>
              <w:rPr>
                <w:sz w:val="20"/>
                <w:szCs w:val="20"/>
                <w:color w:val="auto"/>
              </w:rPr>
            </w:pPr>
            <w:r>
              <w:rPr>
                <w:rFonts w:ascii="Arial" w:cs="Arial" w:eastAsia="Arial" w:hAnsi="Arial"/>
                <w:sz w:val="18"/>
                <w:szCs w:val="18"/>
                <w:color w:val="auto"/>
              </w:rPr>
              <w:t>Abuse deterrent pharmaceuticals</w:t>
            </w:r>
          </w:p>
        </w:tc>
        <w:tc>
          <w:tcPr>
            <w:tcW w:w="1460" w:type="dxa"/>
            <w:vAlign w:val="bottom"/>
            <w:gridSpan w:val="3"/>
          </w:tcPr>
          <w:p>
            <w:pPr>
              <w:ind w:left="220"/>
              <w:spacing w:after="0"/>
              <w:rPr>
                <w:sz w:val="20"/>
                <w:szCs w:val="20"/>
                <w:color w:val="auto"/>
              </w:rPr>
            </w:pPr>
            <w:r>
              <w:rPr>
                <w:rFonts w:ascii="Arial" w:cs="Arial" w:eastAsia="Arial" w:hAnsi="Arial"/>
                <w:sz w:val="18"/>
                <w:szCs w:val="18"/>
                <w:color w:val="auto"/>
              </w:rPr>
              <w:t>Nov. 2004</w:t>
            </w:r>
          </w:p>
        </w:tc>
        <w:tc>
          <w:tcPr>
            <w:tcW w:w="1020" w:type="dxa"/>
            <w:vAlign w:val="bottom"/>
          </w:tcPr>
          <w:p>
            <w:pPr>
              <w:spacing w:after="0"/>
              <w:rPr>
                <w:sz w:val="20"/>
                <w:szCs w:val="20"/>
                <w:color w:val="auto"/>
              </w:rPr>
            </w:pPr>
            <w:r>
              <w:rPr>
                <w:rFonts w:ascii="Arial" w:cs="Arial" w:eastAsia="Arial" w:hAnsi="Arial"/>
                <w:sz w:val="18"/>
                <w:szCs w:val="18"/>
                <w:color w:val="auto"/>
              </w:rPr>
              <w:t>Nov. 2024</w:t>
            </w:r>
          </w:p>
        </w:tc>
      </w:tr>
      <w:tr>
        <w:trPr>
          <w:trHeight w:val="230"/>
        </w:trPr>
        <w:tc>
          <w:tcPr>
            <w:tcW w:w="2540" w:type="dxa"/>
            <w:vAlign w:val="bottom"/>
            <w:gridSpan w:val="4"/>
          </w:tcPr>
          <w:p>
            <w:pPr>
              <w:spacing w:after="0"/>
              <w:rPr>
                <w:sz w:val="20"/>
                <w:szCs w:val="20"/>
                <w:color w:val="auto"/>
              </w:rPr>
            </w:pPr>
            <w:r>
              <w:rPr>
                <w:rFonts w:ascii="Arial" w:cs="Arial" w:eastAsia="Arial" w:hAnsi="Arial"/>
                <w:sz w:val="18"/>
                <w:szCs w:val="18"/>
                <w:color w:val="auto"/>
              </w:rPr>
              <w:t>1694260 (EUR)</w:t>
            </w:r>
          </w:p>
        </w:tc>
        <w:tc>
          <w:tcPr>
            <w:tcW w:w="6400" w:type="dxa"/>
            <w:vAlign w:val="bottom"/>
          </w:tcPr>
          <w:p>
            <w:pPr>
              <w:spacing w:after="0"/>
              <w:rPr>
                <w:sz w:val="20"/>
                <w:szCs w:val="20"/>
                <w:color w:val="auto"/>
              </w:rPr>
            </w:pPr>
            <w:r>
              <w:rPr>
                <w:rFonts w:ascii="Arial" w:cs="Arial" w:eastAsia="Arial" w:hAnsi="Arial"/>
                <w:sz w:val="18"/>
                <w:szCs w:val="18"/>
                <w:color w:val="auto"/>
              </w:rPr>
              <w:t>Abuse deterrent pharmaceuticals</w:t>
            </w:r>
          </w:p>
        </w:tc>
        <w:tc>
          <w:tcPr>
            <w:tcW w:w="1460" w:type="dxa"/>
            <w:vAlign w:val="bottom"/>
            <w:gridSpan w:val="3"/>
          </w:tcPr>
          <w:p>
            <w:pPr>
              <w:ind w:left="220"/>
              <w:spacing w:after="0"/>
              <w:rPr>
                <w:sz w:val="20"/>
                <w:szCs w:val="20"/>
                <w:color w:val="auto"/>
              </w:rPr>
            </w:pPr>
            <w:r>
              <w:rPr>
                <w:rFonts w:ascii="Arial" w:cs="Arial" w:eastAsia="Arial" w:hAnsi="Arial"/>
                <w:sz w:val="18"/>
                <w:szCs w:val="18"/>
                <w:color w:val="auto"/>
              </w:rPr>
              <w:t>Nov. 2004</w:t>
            </w:r>
          </w:p>
        </w:tc>
        <w:tc>
          <w:tcPr>
            <w:tcW w:w="1020" w:type="dxa"/>
            <w:vAlign w:val="bottom"/>
          </w:tcPr>
          <w:p>
            <w:pPr>
              <w:spacing w:after="0"/>
              <w:rPr>
                <w:sz w:val="20"/>
                <w:szCs w:val="20"/>
                <w:color w:val="auto"/>
              </w:rPr>
            </w:pPr>
            <w:r>
              <w:rPr>
                <w:rFonts w:ascii="Arial" w:cs="Arial" w:eastAsia="Arial" w:hAnsi="Arial"/>
                <w:sz w:val="18"/>
                <w:szCs w:val="18"/>
                <w:color w:val="auto"/>
              </w:rPr>
              <w:t>Nov. 2024</w:t>
            </w:r>
          </w:p>
        </w:tc>
      </w:tr>
      <w:tr>
        <w:trPr>
          <w:trHeight w:val="648"/>
        </w:trPr>
        <w:tc>
          <w:tcPr>
            <w:tcW w:w="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41</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We have the following issued patents covering, among other things, our Nexafed products and Impede 1.0 and 2.0 technologies: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20" w:type="dxa"/>
            <w:vAlign w:val="bottom"/>
            <w:gridSpan w:val="2"/>
          </w:tcPr>
          <w:p>
            <w:pPr>
              <w:ind w:left="180"/>
              <w:spacing w:after="0"/>
              <w:rPr>
                <w:sz w:val="20"/>
                <w:szCs w:val="20"/>
                <w:color w:val="auto"/>
              </w:rPr>
            </w:pPr>
            <w:r>
              <w:rPr>
                <w:rFonts w:ascii="Arial" w:cs="Arial" w:eastAsia="Arial" w:hAnsi="Arial"/>
                <w:sz w:val="18"/>
                <w:szCs w:val="18"/>
                <w:b w:val="1"/>
                <w:bCs w:val="1"/>
                <w:color w:val="auto"/>
              </w:rPr>
              <w:t>Patent No. (Jurisdiction)</w:t>
            </w:r>
          </w:p>
        </w:tc>
        <w:tc>
          <w:tcPr>
            <w:tcW w:w="6620" w:type="dxa"/>
            <w:vAlign w:val="bottom"/>
            <w:gridSpan w:val="2"/>
          </w:tcPr>
          <w:p>
            <w:pPr>
              <w:ind w:left="2620"/>
              <w:spacing w:after="0"/>
              <w:rPr>
                <w:sz w:val="20"/>
                <w:szCs w:val="20"/>
                <w:color w:val="auto"/>
              </w:rPr>
            </w:pPr>
            <w:r>
              <w:rPr>
                <w:rFonts w:ascii="Arial" w:cs="Arial" w:eastAsia="Arial" w:hAnsi="Arial"/>
                <w:sz w:val="18"/>
                <w:szCs w:val="18"/>
                <w:b w:val="1"/>
                <w:bCs w:val="1"/>
                <w:color w:val="auto"/>
              </w:rPr>
              <w:t>Subject Matter</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Issued</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Expires</w:t>
            </w:r>
          </w:p>
        </w:tc>
      </w:tr>
      <w:tr>
        <w:trPr>
          <w:trHeight w:val="195"/>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8,901,113 (US)</w:t>
            </w:r>
          </w:p>
        </w:tc>
        <w:tc>
          <w:tcPr>
            <w:tcW w:w="240" w:type="dxa"/>
            <w:vAlign w:val="bottom"/>
          </w:tcPr>
          <w:p>
            <w:pPr>
              <w:spacing w:after="0"/>
              <w:rPr>
                <w:sz w:val="16"/>
                <w:szCs w:val="16"/>
                <w:color w:val="auto"/>
              </w:rPr>
            </w:pPr>
          </w:p>
        </w:tc>
        <w:tc>
          <w:tcPr>
            <w:tcW w:w="6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Pharmaceutical compositions suitable for reducing the chemical conversion of precursor</w:t>
            </w:r>
          </w:p>
        </w:tc>
        <w:tc>
          <w:tcPr>
            <w:tcW w:w="22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Dec. 2014</w:t>
            </w:r>
          </w:p>
        </w:tc>
        <w:tc>
          <w:tcPr>
            <w:tcW w:w="22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Feb. 2032</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compounds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9,757,466 (US)</w:t>
            </w:r>
          </w:p>
        </w:tc>
        <w:tc>
          <w:tcPr>
            <w:tcW w:w="6620" w:type="dxa"/>
            <w:vAlign w:val="bottom"/>
            <w:gridSpan w:val="2"/>
          </w:tcPr>
          <w:p>
            <w:pPr>
              <w:spacing w:after="0"/>
              <w:rPr>
                <w:sz w:val="20"/>
                <w:szCs w:val="20"/>
                <w:color w:val="auto"/>
              </w:rPr>
            </w:pPr>
            <w:r>
              <w:rPr>
                <w:rFonts w:ascii="Arial" w:cs="Arial" w:eastAsia="Arial" w:hAnsi="Arial"/>
                <w:sz w:val="18"/>
                <w:szCs w:val="18"/>
                <w:color w:val="auto"/>
                <w:w w:val="94"/>
              </w:rPr>
              <w:t>Pharmaceutical compositions suitable for reducing the chemical conversion of precursor</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Sep. 2017</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Feb. 2032</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compounds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10,004,699 (US)</w:t>
            </w:r>
          </w:p>
        </w:tc>
        <w:tc>
          <w:tcPr>
            <w:tcW w:w="6620" w:type="dxa"/>
            <w:vAlign w:val="bottom"/>
            <w:gridSpan w:val="2"/>
          </w:tcPr>
          <w:p>
            <w:pPr>
              <w:spacing w:after="0"/>
              <w:rPr>
                <w:sz w:val="20"/>
                <w:szCs w:val="20"/>
                <w:color w:val="auto"/>
              </w:rPr>
            </w:pPr>
            <w:r>
              <w:rPr>
                <w:rFonts w:ascii="Arial" w:cs="Arial" w:eastAsia="Arial" w:hAnsi="Arial"/>
                <w:sz w:val="18"/>
                <w:szCs w:val="18"/>
                <w:color w:val="auto"/>
              </w:rPr>
              <w:t>Methods and compositions for interfering with extraction or conversion of a drug</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Jun. 2018</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Dec. 2035</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susceptible to abuse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2010300641 (AUS)</w:t>
            </w:r>
          </w:p>
        </w:tc>
        <w:tc>
          <w:tcPr>
            <w:tcW w:w="6620" w:type="dxa"/>
            <w:vAlign w:val="bottom"/>
            <w:gridSpan w:val="2"/>
          </w:tcPr>
          <w:p>
            <w:pPr>
              <w:spacing w:after="0"/>
              <w:rPr>
                <w:sz w:val="20"/>
                <w:szCs w:val="20"/>
                <w:color w:val="auto"/>
              </w:rPr>
            </w:pPr>
            <w:r>
              <w:rPr>
                <w:rFonts w:ascii="Arial" w:cs="Arial" w:eastAsia="Arial" w:hAnsi="Arial"/>
                <w:sz w:val="18"/>
                <w:szCs w:val="18"/>
                <w:color w:val="auto"/>
                <w:w w:val="94"/>
              </w:rPr>
              <w:t>Pharmaceutical compositions suitable for reducing the chemical conversion of precursor</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Jun. 2016</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compounds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2,775,890 (CAN)</w:t>
            </w:r>
          </w:p>
        </w:tc>
        <w:tc>
          <w:tcPr>
            <w:tcW w:w="6620" w:type="dxa"/>
            <w:vAlign w:val="bottom"/>
            <w:gridSpan w:val="2"/>
          </w:tcPr>
          <w:p>
            <w:pPr>
              <w:spacing w:after="0"/>
              <w:rPr>
                <w:sz w:val="20"/>
                <w:szCs w:val="20"/>
                <w:color w:val="auto"/>
              </w:rPr>
            </w:pPr>
            <w:r>
              <w:rPr>
                <w:rFonts w:ascii="Arial" w:cs="Arial" w:eastAsia="Arial" w:hAnsi="Arial"/>
                <w:sz w:val="18"/>
                <w:szCs w:val="18"/>
                <w:color w:val="auto"/>
                <w:w w:val="94"/>
              </w:rPr>
              <w:t>Pharmaceutical compositions suitable for reducing the chemical conversion of precursor</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Jun. 2016</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compounds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2,488,029 (EUR)</w:t>
            </w:r>
          </w:p>
        </w:tc>
        <w:tc>
          <w:tcPr>
            <w:tcW w:w="6620" w:type="dxa"/>
            <w:vAlign w:val="bottom"/>
            <w:gridSpan w:val="2"/>
          </w:tcPr>
          <w:p>
            <w:pPr>
              <w:spacing w:after="0"/>
              <w:rPr>
                <w:sz w:val="20"/>
                <w:szCs w:val="20"/>
                <w:color w:val="auto"/>
              </w:rPr>
            </w:pPr>
            <w:r>
              <w:rPr>
                <w:rFonts w:ascii="Arial" w:cs="Arial" w:eastAsia="Arial" w:hAnsi="Arial"/>
                <w:sz w:val="18"/>
                <w:szCs w:val="18"/>
                <w:color w:val="auto"/>
                <w:w w:val="94"/>
              </w:rPr>
              <w:t>Pharmaceutical compositions suitable for reducing the chemical conversion of precursor</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Mar. 2016</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compounds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218533 (ISR)</w:t>
            </w:r>
          </w:p>
        </w:tc>
        <w:tc>
          <w:tcPr>
            <w:tcW w:w="6620" w:type="dxa"/>
            <w:vAlign w:val="bottom"/>
            <w:gridSpan w:val="2"/>
          </w:tcPr>
          <w:p>
            <w:pPr>
              <w:spacing w:after="0"/>
              <w:rPr>
                <w:sz w:val="20"/>
                <w:szCs w:val="20"/>
                <w:color w:val="auto"/>
              </w:rPr>
            </w:pPr>
            <w:r>
              <w:rPr>
                <w:rFonts w:ascii="Arial" w:cs="Arial" w:eastAsia="Arial" w:hAnsi="Arial"/>
                <w:sz w:val="18"/>
                <w:szCs w:val="18"/>
                <w:color w:val="auto"/>
                <w:w w:val="94"/>
              </w:rPr>
              <w:t>Pharmaceutical compositions suitable for reducing the chemical conversion of precursor</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Jan. 2016</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compounds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13102020.5 (HK)</w:t>
            </w:r>
          </w:p>
        </w:tc>
        <w:tc>
          <w:tcPr>
            <w:tcW w:w="6620" w:type="dxa"/>
            <w:vAlign w:val="bottom"/>
            <w:gridSpan w:val="2"/>
          </w:tcPr>
          <w:p>
            <w:pPr>
              <w:spacing w:after="0"/>
              <w:rPr>
                <w:sz w:val="20"/>
                <w:szCs w:val="20"/>
                <w:color w:val="auto"/>
              </w:rPr>
            </w:pPr>
            <w:r>
              <w:rPr>
                <w:rFonts w:ascii="Arial" w:cs="Arial" w:eastAsia="Arial" w:hAnsi="Arial"/>
                <w:sz w:val="18"/>
                <w:szCs w:val="18"/>
                <w:color w:val="auto"/>
                <w:w w:val="94"/>
              </w:rPr>
              <w:t>Pharmaceutical compositions suitable for reducing the chemical conversion of precursor</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Oct. 2016</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compounds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our issued patents listed above and additional unlisted issued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Egalet Agreement, the KemPharm Agreement, and the MainPointe Agreement and in the patent infringement settlement agreements described below, we have retained all intellectual property rights to our Aversion Technology, Impede Technology, Limitx Technology and related product candidates.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2012 and 2013, we received Paragraph IV Certification Notices from five generic sponsors of ANDAs for a generic drug listing our Oxaydo product as the reference listed drug. The Paragraph IV Notices referred to our 920, 726 and 439 Patents, which cover our Aversion® Technology and our Oxaydo product. We filed suit against each of such generic sponsors, Watson Laboratories, Inc., Par Pharmaceutical, Inc., Impax Laboratories, Inc., Sandoz Inc. and Ranbaxy Inc., in the United States District Court for the District of Delaware alleging infringement of our 726 Patent listed in the FDA’s Orange Book. Our litigation against Watson Laboratories was dismissed by us following Watson Laboratories’ change of its Paragraph IV Certification to a Paragraph III Certification, indicating it would not launch its generic product until the expiry of our applicable Patents. Our litigation against each of the remaining generic sponsors was settled during the period October 2013 through May 2014 on an individual basis, upon mutual agreement between us and such generic sponsors. None of such settlements impacted the validity or enforceability of our Patents. See “Item 1A. Risk Factors – Generic manufacturers are using litigation and regulatory means to seek approval for generic versions of Oxaydo, which could cause Egalet’s sales to suffer and adversely impact our royalty revenue” for a discussion of the settlements and license grants relating to such patent litigation. Notwithstanding the settlement of these prior infringement actions, it is possible that other generic manufacturers may also seek to launch a generic version of Oxaydo and challenge our patents. Any determination in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2015, Purdue Pharma L.P., Purdue Pharmaceuticals L.P. and The P.F. Laboratories, Inc., or collectively Purdue, commenced a patent infringement lawsuit against us and our Oxaydo product licensee Egalet in the United States District Court for the District of Delaware alleging our Oxaydo product infringes Purdue’s U.S. Patent No. 8,389,007, or the 007 Patent. In April 2016, Purdue commenced a second patent infringement lawsuit against us and Egalet in the United States District Court for the District of Delaware alleging our Oxaydo product infringes Purdue’s newly issued U.S. Patent No. 9,308,171, or the 171 Patent. The actions regarding the 007 Patent and the 171 Patent are collectively referred to as the “Actions”. On April 6, 2016, we filed a petition for Inter Parties Review, or IPR Review, with the USPTO seeking to invalidate Purdue’s 007 Patent.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20, 2016, we, Purdue and Egalet entered into a settlement agreement to settle the Actions and the IPR Review. Under the Settlement Agreement the parties dismissed or withdrew the Actions, requested that the USPTO terminate the IPR Review and exchanged mutual releases. No payments were made by the parties under the Settlement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spacing w:after="0" w:line="286" w:lineRule="auto"/>
        <w:rPr>
          <w:sz w:val="20"/>
          <w:szCs w:val="20"/>
          <w:color w:val="auto"/>
        </w:rPr>
      </w:pPr>
      <w:r>
        <w:rPr>
          <w:rFonts w:ascii="Arial" w:cs="Arial" w:eastAsia="Arial" w:hAnsi="Arial"/>
          <w:sz w:val="17"/>
          <w:szCs w:val="17"/>
          <w:color w:val="auto"/>
        </w:rPr>
        <w:t>Reference is made to the Risk Factors contained in our Annual Report on Form 10-K for the year ended December 31, 2017 for a discussion, among other things, of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June 30, 2018, we had cash and refundable deposits of $0.7 million compared to $2.2 million of cash and cash equivalents at December 31, 2017. We had an accumulated deficit of approximately $383.1 million at June 30, 2018. We had loss from operations of $2.6 million and net loss of $2.8 million for the six months ended June 30, 2018 and we had a net loss from operations of $5.2 million and net loss of $5.7 million for the year ended December 31, 2017. As of August 13, 2018 after giving effect to an aggregate of $1.9 million loans from John Schutte, our cash and refundable deposits were approximately $0.2 million. We expect our current cash and refundable deposits will only be able to fund operations into late August 2018.</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expect to continue to incur substantial losses for the foreseeable future as we continue to develop our clinical and preclinical product candidates. To fund further operations and product development activities, we must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losses have resulted principally from costs incurred in connection with research and development activities, salaries and other personnel-related costs and sales, marketing and general corporate expenses. Research and development activities include costs of pre-clinical studies, clinical trials, and clinical trial product supplies associated with our product candidates as well as cost sharing expenses of line extension studies and post-marketing studies under the Egalet Agreement. Sales and marketing expenses include costs associated with the Nexafed products advertising incurred prior to our entering into the MainPointe Agreement on March 16, 2017, salaries and other personnel-related costs include the stock-based compensation associated with stock options and restricted stock units granted to employees and non-employee directors.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June 30, 2018 Compared to Three months Ended June 30,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2018</w:t>
            </w: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88"/>
              </w:rPr>
              <w:t>Increase (decrease)</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Percent</w:t>
            </w:r>
          </w:p>
        </w:tc>
        <w:tc>
          <w:tcPr>
            <w:tcW w:w="22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License fee revenue</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Collaboration revenue</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 net</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Total revenues, net</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Cost and expenses: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477</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marketing, general and administrative</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Total cost and expenses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1,323</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loss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Loss before income taxes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(1,261)</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(2,149)</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(888)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income taxes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(2,149)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(888)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11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Revenue and 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Collaboration revenue is derived from development activities under a collaboration agreement we may have with a customer. We had no development activities with a customer during the three months ended June 30, 2018. We recognized $23 thousand of collaboration revenue during the three months ended June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connection with our agreement with Egalet for Oxaydo tablets, we earn a royalty based on Oxaydo net sales. We recognized $70 thousand and $64 thousand of royalty revenue during the three months ended June 30, 2018 and 2017,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our agreement with MainPointe for the Nexafed products, we earn a royalty of 7.5% on net sales. We recognized $6 thousand and $5 thousand of royalty revenue during the three months ended June 30,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 and Cost of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we stopped selling the Nexafed products as we licensed the product line to MainPointe, who is actively manufacturing, distributing, and selling the Nexafed products. We recognized $107 thousand of net product sales and incurred $128 thousand of cost of sales on the Nexafed products during the three months ended June 30, 2017. Our cost of sales on the Nexafed products included third-party manufacturing costs, third-party warehousing and product distribution charges and inventory reserve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and development expense (R&amp;D) is primarily for our Limitx Technology development activity. During the first quarter 2017, our activities were addressing certain excipient issues in our LTX-04 tablet formulation and developing a new, faster releasing micro-particle formulation for LTX-04. We substantially completed our second pharmacokinetic study, AP-LTX-401 during the second quarter 2017. During the second quarter of 2018 our submitted IND for LTX-03 to the FDA became effective in April 2018. We commenced the scale-up of the commercial manufacturing process as to-be-marketed formulations are required for all NDA development work. We may run additional exploratory studies before manufacturing scale-up is complete to further understand the Limitx technology. Included in each of June 30, 2018 and 2017 quarterly results are share-based compensation expenses of $18 thousand and $34 thousand, respectively. Excluding the share-based compensation expense, our R&amp;D expenses decreased $527 thousand between reporting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Administrative, Selling and Marketing</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March 2017 we licensed the Nexafed products to MainPointe and beginning thereafter, we reduced and eliminated all selling and marketing types of expenses. Our general and administrative expenses primarily consisted of legal, audit and other professional services, corporate insurance, and payroll. Included in each of the June 30, 2018 and 2017 quarterly results are share-based compensation expenses of $48 thousand and $95 thousand, respectively. Excluding this share-based compensation expense, our selling, marketing, general and administrative expenses decreased by $170 thousand between reporting periods, resulting primarily from the reductions in advertising and marketing activities as well as patent and general legal activities.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June 30, 2018 and 2017, we incurred net interest expense of $14 thousand and $158 thousand, respectively, on our term loans.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for 2018 and 2017 show no federal or state income tax benefit provisions due to 100% allowances placed against them for the uncertainty of their future utilization.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89"/>
              </w:rPr>
              <w:t>Six months Ended June 30, 2018 Compared to Six months Ended June 30, 2017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160" w:type="dxa"/>
            <w:vAlign w:val="bottom"/>
            <w:tcBorders>
              <w:top w:val="single" w:sz="8" w:color="auto"/>
            </w:tcBorders>
          </w:tcPr>
          <w:p>
            <w:pPr>
              <w:spacing w:after="0"/>
              <w:rPr>
                <w:sz w:val="24"/>
                <w:szCs w:val="24"/>
                <w:color w:val="auto"/>
              </w:rPr>
            </w:pPr>
          </w:p>
        </w:tc>
        <w:tc>
          <w:tcPr>
            <w:tcW w:w="48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2018</w:t>
            </w: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88"/>
              </w:rPr>
              <w:t>Increase (decrease)</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8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Percent</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gridSpan w:val="2"/>
          </w:tcPr>
          <w:p>
            <w:pPr>
              <w:ind w:left="160"/>
              <w:spacing w:after="0"/>
              <w:rPr>
                <w:sz w:val="20"/>
                <w:szCs w:val="20"/>
                <w:color w:val="auto"/>
              </w:rPr>
            </w:pPr>
            <w:r>
              <w:rPr>
                <w:rFonts w:ascii="Arial" w:cs="Arial" w:eastAsia="Arial" w:hAnsi="Arial"/>
                <w:sz w:val="18"/>
                <w:szCs w:val="18"/>
                <w:color w:val="auto"/>
              </w:rPr>
              <w:t>License fee revenue</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Collaboration revenue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gridSpan w:val="2"/>
          </w:tcPr>
          <w:p>
            <w:pPr>
              <w:ind w:left="160"/>
              <w:spacing w:after="0"/>
              <w:rPr>
                <w:sz w:val="20"/>
                <w:szCs w:val="20"/>
                <w:color w:val="auto"/>
              </w:rPr>
            </w:pPr>
            <w:r>
              <w:rPr>
                <w:rFonts w:ascii="Arial" w:cs="Arial" w:eastAsia="Arial" w:hAnsi="Arial"/>
                <w:sz w:val="18"/>
                <w:szCs w:val="18"/>
                <w:color w:val="auto"/>
              </w:rPr>
              <w:t>Royalty revenue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Product sales,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gridSpan w:val="2"/>
          </w:tcPr>
          <w:p>
            <w:pPr>
              <w:ind w:left="320"/>
              <w:spacing w:after="0"/>
              <w:rPr>
                <w:sz w:val="20"/>
                <w:szCs w:val="20"/>
                <w:color w:val="auto"/>
              </w:rPr>
            </w:pPr>
            <w:r>
              <w:rPr>
                <w:rFonts w:ascii="Arial" w:cs="Arial" w:eastAsia="Arial" w:hAnsi="Arial"/>
                <w:sz w:val="18"/>
                <w:szCs w:val="18"/>
                <w:color w:val="auto"/>
              </w:rPr>
              <w:t>Total revenues,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(2,535)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Cost and expenses: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1,127</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(604)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Sales, marketing, general and administrative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1,789</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gridSpan w:val="2"/>
          </w:tcPr>
          <w:p>
            <w:pPr>
              <w:ind w:left="320"/>
              <w:spacing w:after="0"/>
              <w:rPr>
                <w:sz w:val="20"/>
                <w:szCs w:val="20"/>
                <w:color w:val="auto"/>
              </w:rPr>
            </w:pPr>
            <w:r>
              <w:rPr>
                <w:rFonts w:ascii="Arial" w:cs="Arial" w:eastAsia="Arial" w:hAnsi="Arial"/>
                <w:sz w:val="18"/>
                <w:szCs w:val="18"/>
                <w:color w:val="auto"/>
              </w:rPr>
              <w:t>Total cost and expenses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2,916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(1,302)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gridSpan w:val="2"/>
          </w:tcPr>
          <w:p>
            <w:pPr>
              <w:ind w:left="320"/>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(2,755)</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(1,744)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960" w:type="dxa"/>
            <w:vAlign w:val="bottom"/>
            <w:gridSpan w:val="2"/>
          </w:tcPr>
          <w:p>
            <w:pPr>
              <w:ind w:left="320"/>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2017, the Company entered into a license agreement with MainPointe for a licensing fee of $2.5 million pursuant to which we granted MainPointe an exclusive license to our Impede technology to commercialize our Nexafed products in the U.S. and Canada.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Collaboration revenue is derived from development activities under a collaboration agreement we may have with a customer. We had no development activities with a customer during the six months ended June 30, 2018. We recognized $59 thousand of collaboration revenue during the six months ended June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In connection with our agreement with Egalet for Oxaydo tablets, we earn a royalty based on Oxaydo net sales. We recognized $260 thousand and $135 thousand of royalty revenue during the six months ended June 30, 2018 and 2017, respectively. Included in the 2018 results is a one-time benefit of $89 thousand on royalty revenue reported to us by Egalet for the effect of their adoption of ASC 606 on Oxaydo net sales.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In connection with our agreement with MainPointe for the Nexafed products, we earn a royalty of 7.5% on net sales. We recognized $14 thousand and $8 thousand of royalty revenue during the six months ended June 30,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 and Cost of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we stopped selling the Nexafed products as we licensed the product line to MainPointe, who is actively manufacturing, distributing, and selling the Nexafed products. We recognized $107 thousand of net product sales and incurred $128 thousand of cost of sales on the Nexafed products during the six months ended June 30, 2017. Our cost of sales on the Nexafed products included third-party manufacturing costs, third-party warehousing and product distribution charges and inventory reserve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Research and development expense (R&amp;D) is primarily for our Limitx Technology development activity. During the six months of 2017, our activities were addressing certain excipient issues in our LTX-04 tablet formulation and developing a new, faster releasing micro-particle formulation for LTX-04 and we substantially completed our second pharmacokinetic study, AP-LTX-401. During the six months of 2018 we announced results for Study 301, submitted an IND for LTX-03 to the FDA in order to advance to NDA development, which became effective in April 2018, and we commenced the scale-up of the commercial manufacturing process as to-be-marketed formulations are required for all NDA development work. We may run additional exploratory studies before manufacturing scale-up is complete to further understand the Limitx technology. Included in each of June 30, 2018 and 2017 quarterly results are share-based compensation expenses of $38 thousand and $68 thousand, respectively. Excluding the share-based compensation expense, our R&amp;D expenses decreased by $574 thousand between reporting periods.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Administrative, Selling and Marketing</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March 2017 we licensed the Nexafed products to MainPointe and beginning thereafter, we reduced and eliminated all selling and marketing types of expenses. Our general and administrative expenses primarily consisted of legal, audit and other professional services, corporate insurance, and payroll. Included in each of the June 30, 2018 and 2017 quarterly results are share-based compensation expenses of $104 thousand and $190 thousand, respectively. Excluding this share-based compensation expense, our selling, marketing, general and administrative expenses decreased by $484 thousand between reporting periods, resulting primarily from the reductions in advertising and marketing activities as well as patent and general legal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2018 and 2017, we incurred net interest expense of $113 thousand and $335 thousand, respectively, on our term loans.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for 2018 and 2017 show no federal or state income tax benefit provisions due to 100% allowances placed against them for the uncertainty of their future utilization.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2018, we had cash and refundable deposits of $0.7 million compared to cash and cash equivalents of $2.2 million at December 31, 2017. As of August 13, 2018 after giving effect to an aggregate of $1.9 million loans from John Schutte, our cash and refundable deposits were approximately $0.2 million. We expect our current cash and refundable deposits will only be able to fund operations into late August 2018.</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spacing w:after="0" w:line="268" w:lineRule="auto"/>
        <w:rPr>
          <w:sz w:val="20"/>
          <w:szCs w:val="20"/>
          <w:color w:val="auto"/>
        </w:rPr>
      </w:pPr>
      <w:r>
        <w:rPr>
          <w:rFonts w:ascii="Arial" w:cs="Arial" w:eastAsia="Arial" w:hAnsi="Arial"/>
          <w:sz w:val="17"/>
          <w:szCs w:val="17"/>
          <w:color w:val="auto"/>
        </w:rPr>
        <w:t>To fund further operations beyond August 2018, we must raise additional financing or enter into license or collaboration agreements with third parties relating to our technologies. The Company is exploring a variety of capital raising and other transactions to provide additional funding to continue operations. These include potential private offerings of common stock to institutional investors. The Company is also actively seeking a licensing partner for its Limitx Technology, with the objective of receiving an upfront license fee, development milestone payments and royalties on the net sales of products utilizing the Limitx Technology, similar to the Egalet Agreement and the now terminated Bayer Agreement. The Company is also exploring licensing or selling select assets and intellectual property in an effort to raise capital and reduce operating expenses. Finally, the Company is evaluating the potential for a strategic transaction which may involve the Company being acquired in a merger or asset purchase transaction.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Our auditors have included in their report relating to our 2017 financial statements a “going concern” explanatory paragraph as to substantial doubt of our ability to continue as a going concern. In the absence of such financing or third-party license or collaboration agreements,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future sources of revenue, if any, will be derived from milestone payments and royalties under the Egalet Agreement, the KemPharm Agreement, the MainPointe Agreement and similar agreements which we may enter into for our Limitx products in development with other pharmaceutical company partners, for which there can be no assurance.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A of the Notes to Consolidated Financial Statements, in the Company’s 2017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2017 Annual Report are also applicable to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ind w:firstLine="8"/>
        <w:spacing w:after="0" w:line="271" w:lineRule="auto"/>
        <w:tabs>
          <w:tab w:leader="none" w:pos="690" w:val="left"/>
        </w:tabs>
        <w:numPr>
          <w:ilvl w:val="0"/>
          <w:numId w:val="17"/>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 and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ind w:firstLine="8"/>
        <w:spacing w:after="0" w:line="308" w:lineRule="auto"/>
        <w:tabs>
          <w:tab w:leader="none" w:pos="619" w:val="left"/>
        </w:tabs>
        <w:numPr>
          <w:ilvl w:val="0"/>
          <w:numId w:val="18"/>
        </w:numPr>
        <w:rPr>
          <w:rFonts w:ascii="Arial" w:cs="Arial" w:eastAsia="Arial" w:hAnsi="Arial"/>
          <w:sz w:val="17"/>
          <w:szCs w:val="17"/>
          <w:color w:val="auto"/>
        </w:rPr>
      </w:pPr>
      <w:r>
        <w:rPr>
          <w:rFonts w:ascii="Arial" w:cs="Arial" w:eastAsia="Arial" w:hAnsi="Arial"/>
          <w:sz w:val="17"/>
          <w:szCs w:val="17"/>
          <w:i w:val="1"/>
          <w:iCs w:val="1"/>
          <w:u w:val="single" w:color="auto"/>
          <w:color w:val="auto"/>
        </w:rPr>
        <w:t>Changes in Internal Controls over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There were no changes in our internal controls over financial reporting during the second</w:t>
      </w:r>
      <w:r>
        <w:rPr>
          <w:rFonts w:ascii="Arial" w:cs="Arial" w:eastAsia="Arial" w:hAnsi="Arial"/>
          <w:sz w:val="17"/>
          <w:szCs w:val="17"/>
          <w:i w:val="1"/>
          <w:iCs w:val="1"/>
          <w:color w:val="auto"/>
        </w:rPr>
        <w:t xml:space="preserve"> </w:t>
      </w:r>
      <w:r>
        <w:rPr>
          <w:rFonts w:ascii="Arial" w:cs="Arial" w:eastAsia="Arial" w:hAnsi="Arial"/>
          <w:sz w:val="17"/>
          <w:szCs w:val="17"/>
          <w:color w:val="auto"/>
        </w:rPr>
        <w:t>fiscal quarter of 2018 that have materially affected, or are reasonably likely to materially affect, our internal controls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by reference to Note 15, “Commitments and Contingencies,” in Part I, Item 1,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Investors in our common stock should consider the following risk factors, in addition to those risk factors set forth in our 2017 Annual Report on Form 10-K:</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will be required to raise additional funds to finance our operations and remain a going concern; we may not be able to do so when necessary, and/or the terms of any financings may not be advantageous to us; if we fail to raise additional funding we will cease operations and/or seek protection under applicable bankruptcy laws.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operations to date have consumed substantial amounts of cash. Negative cash flows from our operations are expected to continue over at least the next several years. Our cash utilization amount is highly dependent on the progress of our product development programs, particularly, the results of our preclinical and clinical studies of our Limitx product candidates and the cost, timing and outcomes of regulatory approval for our Limitx product candidates. In addition, the further development of our ongoing clinical trials will depend on upcoming analysis and results of those studies and our financial resources at that time. As of August 13, 2018 we had approximately $0.2 million of cash and refundable deposits and expect such amounts will only be sufficient to fund operations into late August 2018. Our auditors have included in their report relating to our 2017 financial statements a “going concern” explanatory paragraph as to substantial doubt of our ability to continue as a going concern.</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will require future additional capital infusions including public or private financing, strategic partnerships or other arrangements with organizations that have capabilities and/or products that are complementary to our own capabilities and/or products, in order to continue the development of our product candidates. However, there can be no assurances that we will complete any financings, strategic alliances or collaborative development agreements, and the terms of such arrangements may not be advantageous to us. Any additional equity financing will be dilutive to our current stockholders and debt financing, if available, may involve restrictive covenants. If we raise funds through collaborative or licensing arrangements, we may be required to relinquish, on terms that are not favorable to us, rights to some of our technologies or product candidates that we would otherwise seek to develop or commercialize. Our failure to raise capital when needed could materially harm our business, financial condition and results of operations. In the absence of the receipt of additional financing or payments under third-party license or collaborative agreements prior to the end of August 2018, we will be required to scale back or terminate operations and/or seek protection under applicable bankruptcy laws. This could result in a complete loss of shareholder value of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 to sustain and grow our operations.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ongoing capital requirements will depend on numerous factors, including: the progress and results of preclinical testing and clinical trials of our Limitx product candidates under development; the costs of complying with the FDA and other domestic regulatory agency requirements, the progress of our research and development programs and those of our partners; the time and costs expended and required to obtain any necessary or desired regulatory approvals; our ability to enter into licensing arrangements, including any unanticipated licensing arrangements that may be necessary to enable us to continue our development and clinical trial programs; the costs and expenses of filing, prosecuting and, if necessary, enforcing our patent claims, or defending against possible claims of infringement by third-party patent or other technology rights; the cost of commercialization activities and arrangements that we undertake; and the demand for our products, which demand depends in turn on circumstances and uncertainties that cannot be fully known, understood or quantified unless and until the time of approval, including the FDA approved label for any product.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by this Item are listed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2"/>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35</w:t>
              </w:r>
            </w:hyperlink>
          </w:p>
        </w:tc>
        <w:tc>
          <w:tcPr>
            <w:tcW w:w="960" w:type="dxa"/>
            <w:vAlign w:val="bottom"/>
          </w:tcPr>
          <w:p>
            <w:pPr>
              <w:spacing w:after="0"/>
              <w:rPr>
                <w:sz w:val="17"/>
                <w:szCs w:val="17"/>
                <w:color w:val="auto"/>
              </w:rPr>
            </w:pPr>
          </w:p>
        </w:tc>
        <w:tc>
          <w:tcPr>
            <w:tcW w:w="10040" w:type="dxa"/>
            <w:vAlign w:val="bottom"/>
            <w:gridSpan w:val="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Promissory Note dated May 7, 2018 issued to John Schutte</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rFonts w:ascii="Arial" w:cs="Arial" w:eastAsia="Arial" w:hAnsi="Arial"/>
                <w:sz w:val="18"/>
                <w:szCs w:val="18"/>
                <w:color w:val="0000EE"/>
                <w:w w:val="88"/>
              </w:rPr>
            </w:pPr>
            <w:hyperlink w:anchor="page5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36</w:t>
              </w:r>
            </w:hyperlink>
          </w:p>
        </w:tc>
        <w:tc>
          <w:tcPr>
            <w:tcW w:w="960" w:type="dxa"/>
            <w:vAlign w:val="bottom"/>
          </w:tcPr>
          <w:p>
            <w:pPr>
              <w:spacing w:after="0"/>
              <w:rPr>
                <w:sz w:val="24"/>
                <w:szCs w:val="24"/>
                <w:color w:val="auto"/>
              </w:rPr>
            </w:pPr>
          </w:p>
        </w:tc>
        <w:tc>
          <w:tcPr>
            <w:tcW w:w="10040" w:type="dxa"/>
            <w:vAlign w:val="bottom"/>
            <w:gridSpan w:val="9"/>
          </w:tcPr>
          <w:p>
            <w:pPr>
              <w:spacing w:after="0"/>
              <w:rPr>
                <w:rFonts w:ascii="Arial" w:cs="Arial" w:eastAsia="Arial" w:hAnsi="Arial"/>
                <w:sz w:val="18"/>
                <w:szCs w:val="18"/>
                <w:color w:val="0000EE"/>
                <w:w w:val="93"/>
              </w:rPr>
            </w:pPr>
            <w:hyperlink w:anchor="page55">
              <w:r>
                <w:rPr>
                  <w:rFonts w:ascii="Arial" w:cs="Arial" w:eastAsia="Arial" w:hAnsi="Arial"/>
                  <w:sz w:val="18"/>
                  <w:szCs w:val="18"/>
                  <w:color w:val="0000EE"/>
                  <w:w w:val="93"/>
                </w:rPr>
                <w:t>Subordination Agreement dated as of May 7, 2018 between John Schutte and Oxford Finance, LLC, approved by Registrant and Acura</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60" w:type="dxa"/>
            <w:vAlign w:val="bottom"/>
          </w:tcPr>
          <w:p>
            <w:pPr>
              <w:spacing w:after="0"/>
              <w:rPr>
                <w:sz w:val="17"/>
                <w:szCs w:val="17"/>
                <w:color w:val="auto"/>
              </w:rPr>
            </w:pPr>
          </w:p>
        </w:tc>
        <w:tc>
          <w:tcPr>
            <w:tcW w:w="25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Pharmaceutical Technologies, Inc.</w:t>
              </w:r>
            </w:hyperlink>
          </w:p>
        </w:tc>
        <w:tc>
          <w:tcPr>
            <w:tcW w:w="744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37</w:t>
              </w:r>
            </w:hyperlink>
          </w:p>
        </w:tc>
        <w:tc>
          <w:tcPr>
            <w:tcW w:w="960" w:type="dxa"/>
            <w:vAlign w:val="bottom"/>
          </w:tcPr>
          <w:p>
            <w:pPr>
              <w:spacing w:after="0"/>
              <w:rPr>
                <w:sz w:val="24"/>
                <w:szCs w:val="24"/>
                <w:color w:val="auto"/>
              </w:rPr>
            </w:pPr>
          </w:p>
        </w:tc>
        <w:tc>
          <w:tcPr>
            <w:tcW w:w="10040" w:type="dxa"/>
            <w:vAlign w:val="bottom"/>
            <w:gridSpan w:val="9"/>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Fourth Amendment dated as of June 6, 2018 to Loan and Security Agreement dated as of December 27, 2013, as amended, between the</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60" w:type="dxa"/>
            <w:vAlign w:val="bottom"/>
          </w:tcPr>
          <w:p>
            <w:pPr>
              <w:spacing w:after="0"/>
              <w:rPr>
                <w:sz w:val="17"/>
                <w:szCs w:val="17"/>
                <w:color w:val="auto"/>
              </w:rPr>
            </w:pPr>
          </w:p>
        </w:tc>
        <w:tc>
          <w:tcPr>
            <w:tcW w:w="5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Registrant, Acura Pharmaceutical Technologies, Inc. and Oxford Finance, LLC</w:t>
              </w:r>
            </w:hyperlink>
          </w:p>
        </w:tc>
        <w:tc>
          <w:tcPr>
            <w:tcW w:w="430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6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38</w:t>
              </w:r>
            </w:hyperlink>
          </w:p>
        </w:tc>
        <w:tc>
          <w:tcPr>
            <w:tcW w:w="960" w:type="dxa"/>
            <w:vAlign w:val="bottom"/>
          </w:tcPr>
          <w:p>
            <w:pPr>
              <w:spacing w:after="0"/>
              <w:rPr>
                <w:sz w:val="24"/>
                <w:szCs w:val="24"/>
                <w:color w:val="auto"/>
              </w:rPr>
            </w:pPr>
          </w:p>
        </w:tc>
        <w:tc>
          <w:tcPr>
            <w:tcW w:w="436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66">
              <w:r>
                <w:rPr>
                  <w:rFonts w:ascii="Arial" w:cs="Arial" w:eastAsia="Arial" w:hAnsi="Arial"/>
                  <w:sz w:val="18"/>
                  <w:szCs w:val="18"/>
                  <w:color w:val="0000EE"/>
                  <w:w w:val="88"/>
                </w:rPr>
                <w:t>Promissory Note dated June 28, 2018 issued to John Schutte</w:t>
              </w:r>
            </w:hyperlink>
          </w:p>
        </w:tc>
        <w:tc>
          <w:tcPr>
            <w:tcW w:w="5680" w:type="dxa"/>
            <w:vAlign w:val="bottom"/>
            <w:gridSpan w:val="5"/>
          </w:tcPr>
          <w:p>
            <w:pPr>
              <w:spacing w:after="0"/>
              <w:rPr>
                <w:sz w:val="24"/>
                <w:szCs w:val="24"/>
                <w:color w:val="auto"/>
              </w:rPr>
            </w:pPr>
          </w:p>
        </w:tc>
      </w:tr>
      <w:tr>
        <w:trPr>
          <w:trHeight w:val="412"/>
        </w:trPr>
        <w:tc>
          <w:tcPr>
            <w:tcW w:w="320" w:type="dxa"/>
            <w:vAlign w:val="bottom"/>
          </w:tcPr>
          <w:p>
            <w:pPr>
              <w:spacing w:after="0"/>
              <w:rPr>
                <w:rFonts w:ascii="Arial" w:cs="Arial" w:eastAsia="Arial" w:hAnsi="Arial"/>
                <w:sz w:val="18"/>
                <w:szCs w:val="18"/>
                <w:color w:val="0000EE"/>
                <w:w w:val="85"/>
              </w:rPr>
            </w:pPr>
            <w:hyperlink w:anchor="page69">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40" w:type="dxa"/>
            <w:vAlign w:val="bottom"/>
            <w:gridSpan w:val="9"/>
          </w:tcPr>
          <w:p>
            <w:pPr>
              <w:spacing w:after="0"/>
              <w:rPr>
                <w:rFonts w:ascii="Arial" w:cs="Arial" w:eastAsia="Arial" w:hAnsi="Arial"/>
                <w:sz w:val="18"/>
                <w:szCs w:val="18"/>
                <w:color w:val="0000EE"/>
                <w:w w:val="93"/>
              </w:rPr>
            </w:pPr>
            <w:hyperlink w:anchor="page69">
              <w:r>
                <w:rPr>
                  <w:rFonts w:ascii="Arial" w:cs="Arial" w:eastAsia="Arial" w:hAnsi="Arial"/>
                  <w:sz w:val="18"/>
                  <w:szCs w:val="18"/>
                  <w:color w:val="0000EE"/>
                  <w:w w:val="93"/>
                </w:rPr>
                <w:t>Certification of Periodic Report by Chief Executive Officer pursuant to Rule 13a-14 and 15d-14 of the Securities Exchange Act of 1934.</w:t>
              </w:r>
            </w:hyperlink>
          </w:p>
        </w:tc>
      </w:tr>
      <w:tr>
        <w:trPr>
          <w:trHeight w:val="412"/>
        </w:trPr>
        <w:tc>
          <w:tcPr>
            <w:tcW w:w="320" w:type="dxa"/>
            <w:vAlign w:val="bottom"/>
            <w:tcBorders>
              <w:top w:val="single" w:sz="8" w:color="0000EE"/>
              <w:bottom w:val="single" w:sz="8" w:color="0000EE"/>
            </w:tcBorders>
          </w:tcPr>
          <w:p>
            <w:pPr>
              <w:spacing w:after="0"/>
              <w:rPr>
                <w:rFonts w:ascii="Arial" w:cs="Arial" w:eastAsia="Arial" w:hAnsi="Arial"/>
                <w:sz w:val="18"/>
                <w:szCs w:val="18"/>
                <w:color w:val="0000EE"/>
                <w:w w:val="85"/>
              </w:rPr>
            </w:pPr>
            <w:hyperlink w:anchor="page70">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Certification of Periodic Report by Chief Financial Officer pursuant to Rule 13a-14 and 15d-14 of the Securities Exchange Act of 1934.</w:t>
              </w:r>
            </w:hyperlink>
          </w:p>
        </w:tc>
        <w:tc>
          <w:tcPr>
            <w:tcW w:w="40" w:type="dxa"/>
            <w:vAlign w:val="bottom"/>
            <w:tcBorders>
              <w:top w:val="single" w:sz="8" w:color="0000EE"/>
            </w:tcBorders>
          </w:tcPr>
          <w:p>
            <w:pPr>
              <w:spacing w:after="0"/>
              <w:rPr>
                <w:sz w:val="24"/>
                <w:szCs w:val="24"/>
                <w:color w:val="auto"/>
              </w:rPr>
            </w:pPr>
          </w:p>
        </w:tc>
        <w:tc>
          <w:tcPr>
            <w:tcW w:w="200" w:type="dxa"/>
            <w:vAlign w:val="bottom"/>
            <w:gridSpan w:val="2"/>
          </w:tcPr>
          <w:p>
            <w:pPr>
              <w:spacing w:after="0"/>
              <w:rPr>
                <w:sz w:val="24"/>
                <w:szCs w:val="24"/>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71">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4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Certification of Periodic Report by the Chief Executive Officer and Chief Financial Officer pursuant to 18 U.S.C. Section 1350, as adopted</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3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pursuant to Section 906 of the Sarbanes-Oxley Act of 2002.</w:t>
              </w:r>
            </w:hyperlink>
          </w:p>
        </w:tc>
        <w:tc>
          <w:tcPr>
            <w:tcW w:w="5720" w:type="dxa"/>
            <w:vAlign w:val="bottom"/>
            <w:gridSpan w:val="6"/>
          </w:tcPr>
          <w:p>
            <w:pPr>
              <w:spacing w:after="0"/>
              <w:rPr>
                <w:sz w:val="17"/>
                <w:szCs w:val="17"/>
                <w:color w:val="auto"/>
              </w:rPr>
            </w:pPr>
          </w:p>
        </w:tc>
      </w:tr>
      <w:tr>
        <w:trPr>
          <w:trHeight w:val="453"/>
        </w:trPr>
        <w:tc>
          <w:tcPr>
            <w:tcW w:w="13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648"/>
        </w:trPr>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gridSpan w:val="5"/>
          </w:tcPr>
          <w:p>
            <w:pPr>
              <w:ind w:left="4260"/>
              <w:spacing w:after="0"/>
              <w:rPr>
                <w:sz w:val="20"/>
                <w:szCs w:val="20"/>
                <w:color w:val="auto"/>
              </w:rPr>
            </w:pPr>
            <w:r>
              <w:rPr>
                <w:rFonts w:ascii="Arial" w:cs="Arial" w:eastAsia="Arial" w:hAnsi="Arial"/>
                <w:sz w:val="18"/>
                <w:szCs w:val="18"/>
                <w:color w:val="auto"/>
              </w:rPr>
              <w:t>49</w:t>
            </w:r>
          </w:p>
        </w:tc>
        <w:tc>
          <w:tcPr>
            <w:tcW w:w="4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August 13, 2018</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B. Jones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Peter A. Clemens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Senior VP &amp;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ind w:left="10400"/>
        <w:spacing w:after="0"/>
        <w:rPr>
          <w:sz w:val="20"/>
          <w:szCs w:val="20"/>
          <w:color w:val="auto"/>
        </w:rPr>
      </w:pPr>
      <w:r>
        <w:rPr>
          <w:rFonts w:ascii="Arial" w:cs="Arial" w:eastAsia="Arial" w:hAnsi="Arial"/>
          <w:sz w:val="16"/>
          <w:szCs w:val="16"/>
          <w:b w:val="1"/>
          <w:bCs w:val="1"/>
          <w:color w:val="auto"/>
        </w:rPr>
        <w:t>Exhibit 10.35</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THIS PROMISSORY NOTE (AND ALL PAYMENT AND ENFORCEMENT PROVISIONS HEREIN) (THE “NOTE”) IS SUBJECT TO THE TERMS OF A SUBORDINATION AGREEMENT DATED AS OF MAY 7, 2018, BY AND AMONG OXFORD FINANCE LLC, AS COLLATERAL AGENT, THE NOTEHOLDER (AS DEFINED HEREIN), THE LENDERS THAT ARE PARTY TO THE LOAN AGREEMENT (AS DEFINED HEREIN), AND THE BORROWER (AS DEFINED HEREIN) (THE “SUBORDINATION AGREEMENT”). IN THE EVENT OF ANY INCONSISTENCY BETWEEN THIS NOTE AND THE SUBORDINATION AGREEMENT, THE TERMS OF THE SUBORDINATION AGREEMENT SHALL CONTROL.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ind w:right="260" w:firstLine="389"/>
        <w:spacing w:after="0" w:line="279" w:lineRule="auto"/>
        <w:rPr>
          <w:sz w:val="20"/>
          <w:szCs w:val="20"/>
          <w:color w:val="auto"/>
        </w:rPr>
      </w:pPr>
      <w:r>
        <w:rPr>
          <w:rFonts w:ascii="Arial" w:cs="Arial" w:eastAsia="Arial" w:hAnsi="Arial"/>
          <w:sz w:val="17"/>
          <w:szCs w:val="17"/>
          <w:color w:val="auto"/>
        </w:rPr>
        <w:t>FOR VALUE RECEIVED, and subject to the terms and conditions set forth herein, ACURA PHARMACEUTICALS, INC., a New York corporation with offices located at 616 N. North Court, Suite 120, Palatine, Illinois (</w:t>
      </w:r>
      <w:r>
        <w:rPr>
          <w:rFonts w:ascii="Arial" w:cs="Arial" w:eastAsia="Arial" w:hAnsi="Arial"/>
          <w:sz w:val="17"/>
          <w:szCs w:val="17"/>
          <w:b w:val="1"/>
          <w:bCs w:val="1"/>
          <w:color w:val="auto"/>
        </w:rPr>
        <w:t>“Borrower”</w:t>
      </w:r>
      <w:r>
        <w:rPr>
          <w:rFonts w:ascii="Arial" w:cs="Arial" w:eastAsia="Arial" w:hAnsi="Arial"/>
          <w:sz w:val="17"/>
          <w:szCs w:val="17"/>
          <w:color w:val="auto"/>
        </w:rPr>
        <w:t xml:space="preserve">), hereby unconditionally promises to pay to the order of John Schutte c/o MainPointe Pharmaceuticals, LLC, 333 E. Main Street, Louisville, KY 40202 or his assigns (the </w:t>
      </w:r>
      <w:r>
        <w:rPr>
          <w:rFonts w:ascii="Arial" w:cs="Arial" w:eastAsia="Arial" w:hAnsi="Arial"/>
          <w:sz w:val="17"/>
          <w:szCs w:val="17"/>
          <w:b w:val="1"/>
          <w:bCs w:val="1"/>
          <w:color w:val="auto"/>
        </w:rPr>
        <w:t>“Noteholder”</w:t>
      </w:r>
      <w:r>
        <w:rPr>
          <w:rFonts w:ascii="Arial" w:cs="Arial" w:eastAsia="Arial" w:hAnsi="Arial"/>
          <w:sz w:val="17"/>
          <w:szCs w:val="17"/>
          <w:color w:val="auto"/>
        </w:rPr>
        <w:t xml:space="preserve">), the principal amount of </w:t>
      </w:r>
      <w:r>
        <w:rPr>
          <w:rFonts w:ascii="Arial" w:cs="Arial" w:eastAsia="Arial" w:hAnsi="Arial"/>
          <w:sz w:val="17"/>
          <w:szCs w:val="17"/>
          <w:b w:val="1"/>
          <w:bCs w:val="1"/>
          <w:color w:val="auto"/>
        </w:rPr>
        <w:t>ONE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MILLION DOLLARS ($1,000,000) </w:t>
      </w:r>
      <w:r>
        <w:rPr>
          <w:rFonts w:ascii="Arial" w:cs="Arial" w:eastAsia="Arial" w:hAnsi="Arial"/>
          <w:sz w:val="17"/>
          <w:szCs w:val="17"/>
          <w:color w:val="auto"/>
        </w:rPr>
        <w:t>together with all accrued interest thereon, as provided in this Promissory Note (this "</w:t>
      </w:r>
      <w:r>
        <w:rPr>
          <w:rFonts w:ascii="Arial" w:cs="Arial" w:eastAsia="Arial" w:hAnsi="Arial"/>
          <w:sz w:val="17"/>
          <w:szCs w:val="17"/>
          <w:b w:val="1"/>
          <w:bCs w:val="1"/>
          <w:color w:val="auto"/>
        </w:rPr>
        <w:t>Note</w:t>
      </w:r>
      <w:r>
        <w:rPr>
          <w:rFonts w:ascii="Arial" w:cs="Arial" w:eastAsia="Arial" w:hAnsi="Arial"/>
          <w:sz w:val="17"/>
          <w:szCs w:val="17"/>
          <w:color w:val="auto"/>
        </w:rPr>
        <w:t>").</w:t>
      </w:r>
    </w:p>
    <w:p>
      <w:pPr>
        <w:spacing w:after="0" w:line="171" w:lineRule="exact"/>
        <w:rPr>
          <w:sz w:val="20"/>
          <w:szCs w:val="20"/>
          <w:color w:val="auto"/>
        </w:rPr>
      </w:pPr>
    </w:p>
    <w:p>
      <w:pPr>
        <w:ind w:left="900" w:hanging="50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Unless defined elsewhere in this Note, capitalized terms used herein shall have the meanings set forth in this Section 1.</w:t>
      </w:r>
    </w:p>
    <w:p>
      <w:pPr>
        <w:spacing w:after="0" w:line="221" w:lineRule="exact"/>
        <w:rPr>
          <w:sz w:val="20"/>
          <w:szCs w:val="20"/>
          <w:color w:val="auto"/>
        </w:rPr>
      </w:pPr>
    </w:p>
    <w:p>
      <w:pPr>
        <w:ind w:left="400" w:right="220" w:firstLine="1167"/>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as to any Person, any other Person that, directly or indirectly through one or more intermediaries, is in control of, is controlled by, or is under common control with, such Person. For purposes of this definition, "control" of a Person means the power, directly or indirectly, either to (a) vote more than 50%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51" w:lineRule="exact"/>
        <w:rPr>
          <w:sz w:val="20"/>
          <w:szCs w:val="20"/>
          <w:color w:val="auto"/>
        </w:rPr>
      </w:pPr>
    </w:p>
    <w:p>
      <w:pPr>
        <w:ind w:left="400" w:right="360" w:firstLine="116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trust, joint venture, association, company, limited or general partnership, unincorporated organization, governmental authority or other entity.</w:t>
      </w:r>
    </w:p>
    <w:p>
      <w:pPr>
        <w:spacing w:after="0" w:line="16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xml:space="preserve">" means the rate of interest per annum equal to the prime rate as reported by the </w:t>
      </w:r>
      <w:r>
        <w:rPr>
          <w:rFonts w:ascii="Arial" w:cs="Arial" w:eastAsia="Arial" w:hAnsi="Arial"/>
          <w:sz w:val="18"/>
          <w:szCs w:val="18"/>
          <w:i w:val="1"/>
          <w:iCs w:val="1"/>
          <w:color w:val="auto"/>
        </w:rPr>
        <w:t>Wall Street Journal.</w:t>
      </w:r>
    </w:p>
    <w:p>
      <w:pPr>
        <w:spacing w:after="0" w:line="225" w:lineRule="exact"/>
        <w:rPr>
          <w:sz w:val="20"/>
          <w:szCs w:val="20"/>
          <w:color w:val="auto"/>
        </w:rPr>
      </w:pPr>
    </w:p>
    <w:p>
      <w:pPr>
        <w:ind w:left="900" w:hanging="50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On the date hereof Noteholder is funding a loan of $1,000,000 (the “</w:t>
      </w:r>
      <w:r>
        <w:rPr>
          <w:rFonts w:ascii="Arial" w:cs="Arial" w:eastAsia="Arial" w:hAnsi="Arial"/>
          <w:sz w:val="18"/>
          <w:szCs w:val="18"/>
          <w:b w:val="1"/>
          <w:bCs w:val="1"/>
          <w:color w:val="auto"/>
        </w:rPr>
        <w:t>Loan</w:t>
      </w:r>
      <w:r>
        <w:rPr>
          <w:rFonts w:ascii="Arial" w:cs="Arial" w:eastAsia="Arial" w:hAnsi="Arial"/>
          <w:sz w:val="18"/>
          <w:szCs w:val="18"/>
          <w:color w:val="auto"/>
        </w:rPr>
        <w:t>”) to Borrower.</w:t>
      </w:r>
    </w:p>
    <w:p>
      <w:pPr>
        <w:spacing w:after="0" w:line="229" w:lineRule="exact"/>
        <w:rPr>
          <w:rFonts w:ascii="Arial" w:cs="Arial" w:eastAsia="Arial" w:hAnsi="Arial"/>
          <w:sz w:val="18"/>
          <w:szCs w:val="18"/>
          <w:color w:val="auto"/>
        </w:rPr>
      </w:pPr>
    </w:p>
    <w:p>
      <w:pPr>
        <w:ind w:left="900" w:hanging="50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Payment Dates; Optional Prepayments;</w:t>
      </w:r>
    </w:p>
    <w:p>
      <w:pPr>
        <w:spacing w:after="0" w:line="225" w:lineRule="exact"/>
        <w:rPr>
          <w:sz w:val="20"/>
          <w:szCs w:val="20"/>
          <w:color w:val="auto"/>
        </w:rPr>
      </w:pPr>
    </w:p>
    <w:p>
      <w:pPr>
        <w:ind w:left="400" w:right="40" w:firstLine="51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Payment Dates</w:t>
      </w:r>
      <w:r>
        <w:rPr>
          <w:rFonts w:ascii="Arial" w:cs="Arial" w:eastAsia="Arial" w:hAnsi="Arial"/>
          <w:sz w:val="18"/>
          <w:szCs w:val="18"/>
          <w:color w:val="auto"/>
        </w:rPr>
        <w:t xml:space="preserve">. The aggregate unpaid principal amount of the Loan together with all accrued and unpaid interest thereon shall be due and payable on January 2, 2020 (the </w:t>
      </w:r>
      <w:r>
        <w:rPr>
          <w:rFonts w:ascii="Arial" w:cs="Arial" w:eastAsia="Arial" w:hAnsi="Arial"/>
          <w:sz w:val="18"/>
          <w:szCs w:val="18"/>
          <w:b w:val="1"/>
          <w:bCs w:val="1"/>
          <w:color w:val="auto"/>
        </w:rPr>
        <w:t>“Maturity Date”)</w:t>
      </w:r>
      <w:r>
        <w:rPr>
          <w:rFonts w:ascii="Arial" w:cs="Arial" w:eastAsia="Arial" w:hAnsi="Arial"/>
          <w:sz w:val="18"/>
          <w:szCs w:val="18"/>
          <w:color w:val="auto"/>
        </w:rPr>
        <w:t>.</w:t>
      </w:r>
    </w:p>
    <w:p>
      <w:pPr>
        <w:spacing w:after="0" w:line="170" w:lineRule="exact"/>
        <w:rPr>
          <w:sz w:val="20"/>
          <w:szCs w:val="20"/>
          <w:color w:val="auto"/>
        </w:rPr>
      </w:pPr>
    </w:p>
    <w:p>
      <w:pPr>
        <w:ind w:left="400" w:right="600" w:firstLine="51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Optional Prepayments</w:t>
      </w:r>
      <w:r>
        <w:rPr>
          <w:rFonts w:ascii="Arial" w:cs="Arial" w:eastAsia="Arial" w:hAnsi="Arial"/>
          <w:sz w:val="18"/>
          <w:szCs w:val="18"/>
          <w:color w:val="auto"/>
        </w:rPr>
        <w:t>. The Borrower may prepay the Loan in whole or in part at any time or from time to time without penalty or premium by paying the principal amount to be prepaid together with accrued interest thereon to the date of prepayment.</w:t>
      </w:r>
    </w:p>
    <w:p>
      <w:pPr>
        <w:spacing w:after="0" w:line="170" w:lineRule="exact"/>
        <w:rPr>
          <w:sz w:val="20"/>
          <w:szCs w:val="20"/>
          <w:color w:val="auto"/>
        </w:rPr>
      </w:pPr>
    </w:p>
    <w:p>
      <w:pPr>
        <w:jc w:val="both"/>
        <w:ind w:left="400" w:right="40" w:firstLine="51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Payment Mechanics</w:t>
      </w:r>
      <w:r>
        <w:rPr>
          <w:rFonts w:ascii="Arial" w:cs="Arial" w:eastAsia="Arial" w:hAnsi="Arial"/>
          <w:sz w:val="16"/>
          <w:szCs w:val="16"/>
          <w:color w:val="auto"/>
        </w:rPr>
        <w:t>. All payments of interest and principal shall be made in lawful money of the United States of America on the date on which such payment is due by wire transfer of immediately available funds to the Noteholder's account at a bank specified by the Noteholder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ind w:left="-40" w:right="60" w:firstLine="397"/>
        <w:spacing w:after="0" w:line="342" w:lineRule="auto"/>
        <w:tabs>
          <w:tab w:leader="none" w:pos="844"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The outstanding principal amount of the Loan shall bear interest at a rate equal to the Prime Rate plus 2% per anum and shall accrue and be payable at the Maturity Date. All computations of interest shall be made on the basis of a 360 day year consisting of 12 months of 30 days.</w:t>
      </w:r>
    </w:p>
    <w:p>
      <w:pPr>
        <w:spacing w:after="0" w:line="119" w:lineRule="exact"/>
        <w:rPr>
          <w:rFonts w:ascii="Arial" w:cs="Arial" w:eastAsia="Arial" w:hAnsi="Arial"/>
          <w:sz w:val="16"/>
          <w:szCs w:val="16"/>
          <w:color w:val="auto"/>
        </w:rPr>
      </w:pPr>
    </w:p>
    <w:p>
      <w:pPr>
        <w:ind w:left="860" w:hanging="503"/>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and continuance of any of the following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hereunder:</w:t>
      </w:r>
    </w:p>
    <w:p>
      <w:pPr>
        <w:spacing w:after="0" w:line="229" w:lineRule="exact"/>
        <w:rPr>
          <w:sz w:val="20"/>
          <w:szCs w:val="20"/>
          <w:color w:val="auto"/>
        </w:rPr>
      </w:pPr>
    </w:p>
    <w:p>
      <w:pPr>
        <w:ind w:left="360" w:right="200" w:firstLine="518"/>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Failure to Pay</w:t>
      </w:r>
      <w:r>
        <w:rPr>
          <w:rFonts w:ascii="Arial" w:cs="Arial" w:eastAsia="Arial" w:hAnsi="Arial"/>
          <w:sz w:val="18"/>
          <w:szCs w:val="18"/>
          <w:color w:val="auto"/>
        </w:rPr>
        <w:t>. The Borrower fails to pay any amount of principal of, or interest on, the Loan when due and such failure continues for 5 days after written notice to the Borrower.</w:t>
      </w:r>
    </w:p>
    <w:p>
      <w:pPr>
        <w:spacing w:after="0" w:line="170" w:lineRule="exact"/>
        <w:rPr>
          <w:sz w:val="20"/>
          <w:szCs w:val="20"/>
          <w:color w:val="auto"/>
        </w:rPr>
      </w:pPr>
    </w:p>
    <w:p>
      <w:pPr>
        <w:ind w:left="360" w:firstLine="518"/>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Bankruptcy</w:t>
      </w:r>
      <w:r>
        <w:rPr>
          <w:rFonts w:ascii="Arial" w:cs="Arial" w:eastAsia="Arial" w:hAnsi="Arial"/>
          <w:sz w:val="17"/>
          <w:szCs w:val="17"/>
          <w:color w:val="auto"/>
        </w:rPr>
        <w:t>. (A) The Borrower commences any case, proceeding or other action (i) under any existing or future law relating to 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or the Borrower makes a general assignment for the benefit of its creditors; or (B) there is commenced against the Borrower any case, proceeding or other action of a nature referred to in Section 5.2(A) above which (i) results in the entry of an order for relief or any such adjudication or appointment or (ii) remains undismissed, undischarged or unbonded for a period of 60 days.</w:t>
      </w:r>
    </w:p>
    <w:p>
      <w:pPr>
        <w:spacing w:after="0" w:line="178" w:lineRule="exact"/>
        <w:rPr>
          <w:sz w:val="20"/>
          <w:szCs w:val="20"/>
          <w:color w:val="auto"/>
        </w:rPr>
      </w:pPr>
    </w:p>
    <w:p>
      <w:pPr>
        <w:ind w:left="-40" w:right="120" w:firstLine="397"/>
        <w:spacing w:after="0" w:line="279" w:lineRule="auto"/>
        <w:tabs>
          <w:tab w:leader="none" w:pos="844"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Upon the occurrence of any Event of Default and at any time thereafter during the continuance of such Event of Default, the Noteholder may at its option, by written notice to the Borrower declare the entire principal amount of this Note, together with all accrued interest thereon, immediately due and payable,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an Event of Default described in Section 5.2 shall occur, the principal of and accrued interest on the Loan shall become immediately due and payable without any notice, declaration or other act on the part of the Noteholder.</w:t>
      </w:r>
    </w:p>
    <w:p>
      <w:pPr>
        <w:spacing w:after="0" w:line="171" w:lineRule="exact"/>
        <w:rPr>
          <w:rFonts w:ascii="Arial" w:cs="Arial" w:eastAsia="Arial" w:hAnsi="Arial"/>
          <w:sz w:val="17"/>
          <w:szCs w:val="17"/>
          <w:color w:val="auto"/>
        </w:rPr>
      </w:pPr>
    </w:p>
    <w:p>
      <w:pPr>
        <w:ind w:left="860" w:hanging="503"/>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360" w:right="160" w:firstLine="518"/>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Note, and any claim, controversy, dispute or cause of action (whether in contract or tort or otherwise) based upon, arising out of or relating to this Note and the transactions contemplated hereby and thereby shall be governed by the laws of the State of New York, without giving effect to conflict of law provisions.</w:t>
      </w:r>
    </w:p>
    <w:p>
      <w:pPr>
        <w:spacing w:after="0" w:line="181" w:lineRule="exact"/>
        <w:rPr>
          <w:sz w:val="20"/>
          <w:szCs w:val="20"/>
          <w:color w:val="auto"/>
        </w:rPr>
      </w:pPr>
    </w:p>
    <w:p>
      <w:pPr>
        <w:jc w:val="both"/>
        <w:ind w:left="360" w:firstLine="518"/>
        <w:spacing w:after="0" w:line="31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Note is non-negotiable but may be assigned or transferred by the Noteholder, with the prior written consent of the Collateral Agent (as defined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consent is not required if the Noteholder assigns or transfers this Note to an Affiliate. The Borrower must provide prior written notice to the Collateral Agent of any assignment or transfer this Note or any of its rights hereunder.</w:t>
      </w:r>
    </w:p>
    <w:p>
      <w:pPr>
        <w:spacing w:after="0" w:line="147" w:lineRule="exact"/>
        <w:rPr>
          <w:sz w:val="20"/>
          <w:szCs w:val="20"/>
          <w:color w:val="auto"/>
        </w:rPr>
      </w:pPr>
    </w:p>
    <w:p>
      <w:pPr>
        <w:ind w:left="360" w:right="400" w:firstLine="518"/>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Waiver of Notice</w:t>
      </w:r>
      <w:r>
        <w:rPr>
          <w:rFonts w:ascii="Arial" w:cs="Arial" w:eastAsia="Arial" w:hAnsi="Arial"/>
          <w:sz w:val="17"/>
          <w:szCs w:val="17"/>
          <w:color w:val="auto"/>
        </w:rPr>
        <w:t>. The Borrower hereby waives demand for payment, presentment for payment, protest, notice of payment, notice of dishonor, notice of nonpayment, notice of acceleration of maturity and diligence in taking any action to collect sums owing hereunder.</w:t>
      </w:r>
    </w:p>
    <w:p>
      <w:pPr>
        <w:spacing w:after="0" w:line="147" w:lineRule="exact"/>
        <w:rPr>
          <w:sz w:val="20"/>
          <w:szCs w:val="20"/>
          <w:color w:val="auto"/>
        </w:rPr>
      </w:pPr>
    </w:p>
    <w:p>
      <w:pPr>
        <w:ind w:left="360" w:right="400" w:firstLine="518"/>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term of this Note may be waived, modified or amended except by an instrument in writing signed the Noteholder and Borrower, and with the prior written consent of the Collateral Agent (as defined below). Any waiver of the terms hereof shall be effective only in the specific instance and for the specific purpose given.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9" w:right="259" w:bottom="1440" w:gutter="0" w:footer="0" w:header="0"/>
        </w:sectPr>
      </w:pPr>
    </w:p>
    <w:bookmarkStart w:id="53" w:name="page54"/>
    <w:bookmarkEnd w:id="53"/>
    <w:p>
      <w:pPr>
        <w:ind w:left="360" w:right="20" w:firstLine="518"/>
        <w:spacing w:after="0" w:line="279"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No Waiver; Cumulative Remedies</w:t>
      </w:r>
      <w:r>
        <w:rPr>
          <w:rFonts w:ascii="Arial" w:cs="Arial" w:eastAsia="Arial" w:hAnsi="Arial"/>
          <w:sz w:val="17"/>
          <w:szCs w:val="17"/>
          <w:color w:val="auto"/>
        </w:rPr>
        <w:t>. No failure to exercise and no delay in exercising on the part of the Noteholder, of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1" w:lineRule="exact"/>
        <w:rPr>
          <w:sz w:val="20"/>
          <w:szCs w:val="20"/>
          <w:color w:val="auto"/>
        </w:rPr>
      </w:pPr>
    </w:p>
    <w:p>
      <w:pPr>
        <w:ind w:left="360" w:firstLine="518"/>
        <w:spacing w:after="0" w:line="293"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Security</w:t>
      </w:r>
      <w:r>
        <w:rPr>
          <w:rFonts w:ascii="Arial" w:cs="Arial" w:eastAsia="Arial" w:hAnsi="Arial"/>
          <w:sz w:val="16"/>
          <w:szCs w:val="16"/>
          <w:color w:val="auto"/>
        </w:rPr>
        <w:t>. This Note is unsecured, provided however, upon the full satisfaction of all Borrower’s obligations to Collateral Agent and Lenders (as defined below in paragraph 8), Borrower shall grant a security interest to Noteholder, execute all documents reasonably required by Noteholder and take all action reasonably necessary to secure and perfect Noteholder’s security interest in all of Borrower’s property including, but not limited to, accounts, inventory, equipment, general intangibles, intellectual property, chattel paper, investment property, instruments, documents, letter of credit rights, insurance proceeds and real estate, excluding agreements that by their terms may not be collaterally assigned and other property that may not be collaterally assigned (such as intent to use trademark applications), in each case without causing a default, termination or right of termination.</w:t>
      </w:r>
    </w:p>
    <w:p>
      <w:pPr>
        <w:spacing w:after="0" w:line="165" w:lineRule="exact"/>
        <w:rPr>
          <w:sz w:val="20"/>
          <w:szCs w:val="20"/>
          <w:color w:val="auto"/>
        </w:rPr>
      </w:pPr>
    </w:p>
    <w:p>
      <w:pPr>
        <w:ind w:left="-40" w:right="20" w:firstLine="397"/>
        <w:spacing w:after="0" w:line="257" w:lineRule="auto"/>
        <w:tabs>
          <w:tab w:leader="none" w:pos="84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 The indebtedness represented by this Note shall be subordinated in accordance with the provisions of that certain Subordination Agreement dated of even date herewith (the “</w:t>
      </w:r>
      <w:r>
        <w:rPr>
          <w:rFonts w:ascii="Arial" w:cs="Arial" w:eastAsia="Arial" w:hAnsi="Arial"/>
          <w:sz w:val="18"/>
          <w:szCs w:val="18"/>
          <w:b w:val="1"/>
          <w:bCs w:val="1"/>
          <w:color w:val="auto"/>
        </w:rPr>
        <w:t>Subordination Agreement</w:t>
      </w:r>
      <w:r>
        <w:rPr>
          <w:rFonts w:ascii="Arial" w:cs="Arial" w:eastAsia="Arial" w:hAnsi="Arial"/>
          <w:sz w:val="18"/>
          <w:szCs w:val="18"/>
          <w:color w:val="auto"/>
        </w:rPr>
        <w:t>”) among the Noteholder, Borrower, OXFORD FINANCE LLC, as Collateral Agent (the “</w:t>
      </w:r>
      <w:r>
        <w:rPr>
          <w:rFonts w:ascii="Arial" w:cs="Arial" w:eastAsia="Arial" w:hAnsi="Arial"/>
          <w:sz w:val="18"/>
          <w:szCs w:val="18"/>
          <w:b w:val="1"/>
          <w:bCs w:val="1"/>
          <w:color w:val="auto"/>
        </w:rPr>
        <w:t>Collateral Agent</w:t>
      </w:r>
      <w:r>
        <w:rPr>
          <w:rFonts w:ascii="Arial" w:cs="Arial" w:eastAsia="Arial" w:hAnsi="Arial"/>
          <w:sz w:val="18"/>
          <w:szCs w:val="18"/>
          <w:color w:val="auto"/>
        </w:rPr>
        <w:t>”) for the lenders (“</w:t>
      </w:r>
      <w:r>
        <w:rPr>
          <w:rFonts w:ascii="Arial" w:cs="Arial" w:eastAsia="Arial" w:hAnsi="Arial"/>
          <w:sz w:val="18"/>
          <w:szCs w:val="18"/>
          <w:b w:val="1"/>
          <w:bCs w:val="1"/>
          <w:color w:val="auto"/>
        </w:rPr>
        <w:t>Lenders</w:t>
      </w:r>
      <w:r>
        <w:rPr>
          <w:rFonts w:ascii="Arial" w:cs="Arial" w:eastAsia="Arial" w:hAnsi="Arial"/>
          <w:sz w:val="18"/>
          <w:szCs w:val="18"/>
          <w:color w:val="auto"/>
        </w:rPr>
        <w:t>”) party to that certain Loan and Security Agreement, dated as of December 27, 2013 (as amended, supplemented or otherwise modified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to the Collateral Agent’s and/or Lender’s Senior Debt (as defined in the Subordination Agreement).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Borrower has executed this Note as of May 7, 2018.</w:t>
      </w:r>
    </w:p>
    <w:p>
      <w:pPr>
        <w:spacing w:after="0" w:line="221"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ACURA PHARMACEUTICALS, INC.</w:t>
      </w:r>
    </w:p>
    <w:p>
      <w:pPr>
        <w:spacing w:after="0" w:line="229" w:lineRule="exact"/>
        <w:rPr>
          <w:sz w:val="20"/>
          <w:szCs w:val="20"/>
          <w:color w:val="auto"/>
        </w:rPr>
      </w:pPr>
    </w:p>
    <w:p>
      <w:pPr>
        <w:ind w:left="5680"/>
        <w:spacing w:after="0"/>
        <w:tabs>
          <w:tab w:leader="none" w:pos="6120" w:val="left"/>
        </w:tabs>
        <w:rPr>
          <w:sz w:val="20"/>
          <w:szCs w:val="20"/>
          <w:color w:val="auto"/>
        </w:rPr>
      </w:pPr>
      <w:r>
        <w:rPr>
          <w:rFonts w:ascii="Arial" w:cs="Arial" w:eastAsia="Arial" w:hAnsi="Arial"/>
          <w:sz w:val="18"/>
          <w:szCs w:val="18"/>
          <w:color w:val="auto"/>
        </w:rPr>
        <w:t>By:</w:t>
        <w:tab/>
        <w:t>/s/ Peter A. Clemens</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-130810</wp:posOffset>
            </wp:positionV>
            <wp:extent cx="33274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Sr. VP &amp; CFO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9" w:right="2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10.36</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SUBORDINATION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Subordination Agreement (the “Agreement”) is made as of May 7, 2018, by and between JOHN SCHUTTE, an individual (the “</w:t>
      </w:r>
      <w:r>
        <w:rPr>
          <w:rFonts w:ascii="Arial" w:cs="Arial" w:eastAsia="Arial" w:hAnsi="Arial"/>
          <w:sz w:val="18"/>
          <w:szCs w:val="18"/>
          <w:b w:val="1"/>
          <w:bCs w:val="1"/>
          <w:color w:val="auto"/>
        </w:rPr>
        <w:t>Creditor</w:t>
      </w:r>
      <w:r>
        <w:rPr>
          <w:rFonts w:ascii="Arial" w:cs="Arial" w:eastAsia="Arial" w:hAnsi="Arial"/>
          <w:sz w:val="18"/>
          <w:szCs w:val="18"/>
          <w:color w:val="auto"/>
        </w:rPr>
        <w:t xml:space="preserve">”), and </w:t>
      </w:r>
      <w:r>
        <w:rPr>
          <w:rFonts w:ascii="Arial" w:cs="Arial" w:eastAsia="Arial" w:hAnsi="Arial"/>
          <w:sz w:val="18"/>
          <w:szCs w:val="18"/>
          <w:b w:val="1"/>
          <w:bCs w:val="1"/>
          <w:color w:val="auto"/>
        </w:rPr>
        <w:t>OXFORD FINANCE LLC</w:t>
      </w:r>
      <w:r>
        <w:rPr>
          <w:rFonts w:ascii="Arial" w:cs="Arial" w:eastAsia="Arial" w:hAnsi="Arial"/>
          <w:sz w:val="18"/>
          <w:szCs w:val="18"/>
          <w:color w:val="auto"/>
        </w:rPr>
        <w:t>, a Delaware limited liability company with an office located at 133 North Fairfax Street, Alexandria, Virginia 22314, in its capacity as Collateral Agent (as hereinafter defined) for the Lenders (as hereinafter defined).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56"/>
        <w:spacing w:after="0" w:line="271" w:lineRule="auto"/>
        <w:tabs>
          <w:tab w:leader="none" w:pos="1318" w:val="left"/>
        </w:tabs>
        <w:numPr>
          <w:ilvl w:val="0"/>
          <w:numId w:val="24"/>
        </w:numPr>
        <w:rPr>
          <w:rFonts w:ascii="Arial" w:cs="Arial" w:eastAsia="Arial" w:hAnsi="Arial"/>
          <w:sz w:val="17"/>
          <w:szCs w:val="17"/>
          <w:color w:val="auto"/>
        </w:rPr>
      </w:pPr>
      <w:r>
        <w:rPr>
          <w:rFonts w:ascii="Arial" w:cs="Arial" w:eastAsia="Arial" w:hAnsi="Arial"/>
          <w:sz w:val="17"/>
          <w:szCs w:val="17"/>
          <w:color w:val="auto"/>
        </w:rPr>
        <w:t>Pursuant to a certain Loan and Security Agreement, dated as of December 27, 2013 (as amended, supplemented or otherwise modified from time to time, the “</w:t>
      </w:r>
      <w:r>
        <w:rPr>
          <w:rFonts w:ascii="Arial" w:cs="Arial" w:eastAsia="Arial" w:hAnsi="Arial"/>
          <w:sz w:val="17"/>
          <w:szCs w:val="17"/>
          <w:b w:val="1"/>
          <w:bCs w:val="1"/>
          <w:color w:val="auto"/>
        </w:rPr>
        <w:t>Loan Agreement</w:t>
      </w:r>
      <w:r>
        <w:rPr>
          <w:rFonts w:ascii="Arial" w:cs="Arial" w:eastAsia="Arial" w:hAnsi="Arial"/>
          <w:sz w:val="17"/>
          <w:szCs w:val="17"/>
          <w:color w:val="auto"/>
        </w:rPr>
        <w:t>”), among OXFORD FINANCE LLC, a Delaware limited liability company with an office located at 133 North Fairfax Street, Alexandria, Virginia 22314 (“</w:t>
      </w:r>
      <w:r>
        <w:rPr>
          <w:rFonts w:ascii="Arial" w:cs="Arial" w:eastAsia="Arial" w:hAnsi="Arial"/>
          <w:sz w:val="17"/>
          <w:szCs w:val="17"/>
          <w:b w:val="1"/>
          <w:bCs w:val="1"/>
          <w:color w:val="auto"/>
        </w:rPr>
        <w:t>Oxford</w:t>
      </w:r>
      <w:r>
        <w:rPr>
          <w:rFonts w:ascii="Arial" w:cs="Arial" w:eastAsia="Arial" w:hAnsi="Arial"/>
          <w:sz w:val="17"/>
          <w:szCs w:val="17"/>
          <w:color w:val="auto"/>
        </w:rPr>
        <w:t>”), as collateral agent (in such capacity, “</w:t>
      </w:r>
      <w:r>
        <w:rPr>
          <w:rFonts w:ascii="Arial" w:cs="Arial" w:eastAsia="Arial" w:hAnsi="Arial"/>
          <w:sz w:val="17"/>
          <w:szCs w:val="17"/>
          <w:b w:val="1"/>
          <w:bCs w:val="1"/>
          <w:color w:val="auto"/>
        </w:rPr>
        <w:t>Collateral Agent</w:t>
      </w:r>
      <w:r>
        <w:rPr>
          <w:rFonts w:ascii="Arial" w:cs="Arial" w:eastAsia="Arial" w:hAnsi="Arial"/>
          <w:sz w:val="17"/>
          <w:szCs w:val="17"/>
          <w:color w:val="auto"/>
        </w:rPr>
        <w:t>”), the Lenders listed on Schedule 1.1 thereof or otherwise a party thereto from time to time including Oxford in its capacity as a Lender (each a “</w:t>
      </w:r>
      <w:r>
        <w:rPr>
          <w:rFonts w:ascii="Arial" w:cs="Arial" w:eastAsia="Arial" w:hAnsi="Arial"/>
          <w:sz w:val="17"/>
          <w:szCs w:val="17"/>
          <w:b w:val="1"/>
          <w:bCs w:val="1"/>
          <w:color w:val="auto"/>
        </w:rPr>
        <w:t>Lender</w:t>
      </w:r>
      <w:r>
        <w:rPr>
          <w:rFonts w:ascii="Arial" w:cs="Arial" w:eastAsia="Arial" w:hAnsi="Arial"/>
          <w:sz w:val="17"/>
          <w:szCs w:val="17"/>
          <w:color w:val="auto"/>
        </w:rPr>
        <w:t>” and collectively, the “</w:t>
      </w:r>
      <w:r>
        <w:rPr>
          <w:rFonts w:ascii="Arial" w:cs="Arial" w:eastAsia="Arial" w:hAnsi="Arial"/>
          <w:sz w:val="17"/>
          <w:szCs w:val="17"/>
          <w:b w:val="1"/>
          <w:bCs w:val="1"/>
          <w:color w:val="auto"/>
        </w:rPr>
        <w:t>Lenders</w:t>
      </w:r>
      <w:r>
        <w:rPr>
          <w:rFonts w:ascii="Arial" w:cs="Arial" w:eastAsia="Arial" w:hAnsi="Arial"/>
          <w:sz w:val="17"/>
          <w:szCs w:val="17"/>
          <w:color w:val="auto"/>
        </w:rPr>
        <w:t>”), and ACURA PHARMACEUTICALS, INC., a New York corporation with offices located at 616 N. North Court, Suite 120, Palatine, Illinois (“</w:t>
      </w:r>
      <w:r>
        <w:rPr>
          <w:rFonts w:ascii="Arial" w:cs="Arial" w:eastAsia="Arial" w:hAnsi="Arial"/>
          <w:sz w:val="17"/>
          <w:szCs w:val="17"/>
          <w:b w:val="1"/>
          <w:bCs w:val="1"/>
          <w:color w:val="auto"/>
        </w:rPr>
        <w:t>Parent</w:t>
      </w:r>
      <w:r>
        <w:rPr>
          <w:rFonts w:ascii="Arial" w:cs="Arial" w:eastAsia="Arial" w:hAnsi="Arial"/>
          <w:sz w:val="17"/>
          <w:szCs w:val="17"/>
          <w:color w:val="auto"/>
        </w:rPr>
        <w:t>”), and ACURA PHARMACEUTICAL TECHNOLOGIES, INC., an Indiana corporation with offices locates at 16235 State Road 17, Culver, IN 46511 (“</w:t>
      </w:r>
      <w:r>
        <w:rPr>
          <w:rFonts w:ascii="Arial" w:cs="Arial" w:eastAsia="Arial" w:hAnsi="Arial"/>
          <w:sz w:val="17"/>
          <w:szCs w:val="17"/>
          <w:b w:val="1"/>
          <w:bCs w:val="1"/>
          <w:color w:val="auto"/>
        </w:rPr>
        <w:t>APT</w:t>
      </w:r>
      <w:r>
        <w:rPr>
          <w:rFonts w:ascii="Arial" w:cs="Arial" w:eastAsia="Arial" w:hAnsi="Arial"/>
          <w:sz w:val="17"/>
          <w:szCs w:val="17"/>
          <w:color w:val="auto"/>
        </w:rPr>
        <w:t>”, and along with Parent, individually and collectively, jointly and severally, “</w:t>
      </w:r>
      <w:r>
        <w:rPr>
          <w:rFonts w:ascii="Arial" w:cs="Arial" w:eastAsia="Arial" w:hAnsi="Arial"/>
          <w:sz w:val="17"/>
          <w:szCs w:val="17"/>
          <w:b w:val="1"/>
          <w:bCs w:val="1"/>
          <w:color w:val="auto"/>
        </w:rPr>
        <w:t>Borrower</w:t>
      </w:r>
      <w:r>
        <w:rPr>
          <w:rFonts w:ascii="Arial" w:cs="Arial" w:eastAsia="Arial" w:hAnsi="Arial"/>
          <w:sz w:val="17"/>
          <w:szCs w:val="17"/>
          <w:color w:val="auto"/>
        </w:rPr>
        <w:t>”), Borrower has obtained certain loans and other credit accommodations from Lenders to Borrower which are secured by assets and property of Borrower.</w:t>
      </w:r>
    </w:p>
    <w:p>
      <w:pPr>
        <w:spacing w:after="0" w:line="178" w:lineRule="exact"/>
        <w:rPr>
          <w:rFonts w:ascii="Arial" w:cs="Arial" w:eastAsia="Arial" w:hAnsi="Arial"/>
          <w:sz w:val="17"/>
          <w:szCs w:val="17"/>
          <w:color w:val="auto"/>
        </w:rPr>
      </w:pPr>
    </w:p>
    <w:p>
      <w:pPr>
        <w:ind w:firstLine="656"/>
        <w:spacing w:after="0" w:line="277" w:lineRule="auto"/>
        <w:tabs>
          <w:tab w:leader="none" w:pos="1493"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Creditor has extended loans or other credit accommodations to Borrower, and/or may extend loans or other credit accommodations to Borrower from time to time.</w:t>
      </w:r>
    </w:p>
    <w:p>
      <w:pPr>
        <w:spacing w:after="0" w:line="170" w:lineRule="exact"/>
        <w:rPr>
          <w:rFonts w:ascii="Arial" w:cs="Arial" w:eastAsia="Arial" w:hAnsi="Arial"/>
          <w:sz w:val="18"/>
          <w:szCs w:val="18"/>
          <w:color w:val="auto"/>
        </w:rPr>
      </w:pPr>
    </w:p>
    <w:p>
      <w:pPr>
        <w:jc w:val="both"/>
        <w:ind w:firstLine="656"/>
        <w:spacing w:after="0" w:line="271" w:lineRule="auto"/>
        <w:tabs>
          <w:tab w:leader="none" w:pos="14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order to induce Lenders to extend credit to Borrower and, at any time or from time to time, at Lenders’ option, to make such further loans, extensions of credit, or other accommodations to or for the account of Borrower, or to purchase or extend credit upon any instrument or writing in respect of which Borrower may be liable in any capacity, or to grant such renewals or extension of any such loan, extension of credit, purchase, or other accommodation as Lenders may deem advisable, Creditor is willing to subordinate: (i) all of Borrower’s indebtedness to Creditor (including, without limitation, principal, premium (if any), interest, fees, charges, expenses, costs, professional fees and expenses, and reimbursement obligations), whether presently existing or arising in the future (the “</w:t>
      </w:r>
      <w:r>
        <w:rPr>
          <w:rFonts w:ascii="Arial" w:cs="Arial" w:eastAsia="Arial" w:hAnsi="Arial"/>
          <w:sz w:val="17"/>
          <w:szCs w:val="17"/>
          <w:b w:val="1"/>
          <w:bCs w:val="1"/>
          <w:color w:val="auto"/>
        </w:rPr>
        <w:t>Subordinated Debt</w:t>
      </w:r>
      <w:r>
        <w:rPr>
          <w:rFonts w:ascii="Arial" w:cs="Arial" w:eastAsia="Arial" w:hAnsi="Arial"/>
          <w:sz w:val="17"/>
          <w:szCs w:val="17"/>
          <w:color w:val="auto"/>
        </w:rPr>
        <w:t>”) to all of Borrower’s Obligations (as defined in the Loan Agreement), including without limitation, the indebtedness to the Collateral Agent and/or the Lenders; and (ii) all of Creditor’s security interests, if any, to all security interests in the Borrower’s property in favor of the Collateral Agent and/or the Lenders.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THE PARTIES AGREE AS FOLLOWS:</w:t>
      </w:r>
    </w:p>
    <w:p>
      <w:pPr>
        <w:spacing w:after="0" w:line="229" w:lineRule="exact"/>
        <w:rPr>
          <w:sz w:val="20"/>
          <w:szCs w:val="20"/>
          <w:color w:val="auto"/>
        </w:rPr>
      </w:pPr>
    </w:p>
    <w:p>
      <w:pPr>
        <w:jc w:val="both"/>
        <w:ind w:firstLine="656"/>
        <w:spacing w:after="0" w:line="270" w:lineRule="auto"/>
        <w:tabs>
          <w:tab w:leader="none" w:pos="1473" w:val="left"/>
        </w:tabs>
        <w:numPr>
          <w:ilvl w:val="0"/>
          <w:numId w:val="25"/>
        </w:numPr>
        <w:rPr>
          <w:rFonts w:ascii="Arial" w:cs="Arial" w:eastAsia="Arial" w:hAnsi="Arial"/>
          <w:sz w:val="17"/>
          <w:szCs w:val="17"/>
          <w:color w:val="auto"/>
        </w:rPr>
      </w:pPr>
      <w:r>
        <w:rPr>
          <w:rFonts w:ascii="Arial" w:cs="Arial" w:eastAsia="Arial" w:hAnsi="Arial"/>
          <w:sz w:val="17"/>
          <w:szCs w:val="17"/>
          <w:color w:val="auto"/>
        </w:rPr>
        <w:t>Creditor hereby acknowledges and agrees that (i) Creditor does not have any lien on or security interest in any property of Borrower, whether now owned or hereafter acquired, including, without limitation, the “Collateral” as defined in the Loan Agreement, (ii) Borrower is prohibited from granting to the Creditor any lien on or security interest in any property of Borrower, whether now owned or hereafter acquired, including, without limitation, the Collateral and (iii) the Creditor shall not take any lien on or security interest in any property of Borrower whether now owned or hereafter acquired, including without limitation, the Collateral. In furtherance of the foregoing, Creditor hereby subordinates to the Collateral Agent and the Lenders any security interest or lien that Creditor may have in any property of Borrower, including without limitation, the Collateral. Notwithstanding the respective dates of attachment or perfection of any security interest of Creditor and the security interest of the Collateral Agent and the Lenders, the lien and security interest of the Collateral Agent and the Lenders in the any property of Borrower, whether now owned or hereafter acquired, including, without limitation, the Collateral, shall at all times be senior to the lien and security interest of Creditor.</w:t>
      </w:r>
    </w:p>
    <w:p>
      <w:pPr>
        <w:spacing w:after="0" w:line="181" w:lineRule="exact"/>
        <w:rPr>
          <w:rFonts w:ascii="Arial" w:cs="Arial" w:eastAsia="Arial" w:hAnsi="Arial"/>
          <w:sz w:val="17"/>
          <w:szCs w:val="17"/>
          <w:color w:val="auto"/>
        </w:rPr>
      </w:pPr>
    </w:p>
    <w:p>
      <w:pPr>
        <w:jc w:val="both"/>
        <w:ind w:firstLine="656"/>
        <w:spacing w:after="0" w:line="259" w:lineRule="auto"/>
        <w:tabs>
          <w:tab w:leader="none" w:pos="1491"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Subordinated Debt is subordinated in right of payment to all Obligations (as defined in the Loan Agreement) of Borrower to the Collateral Agent and the Lenders now existing or hereafter arising, together with all costs of collecting such Obligations (including attorneys’ fees), including, without limitation, all interest accruing after the commencement by or against Borrower of any bankruptcy, reorganization or similar proceeding, and all obligations under the Loan Agreement (the “</w:t>
      </w:r>
      <w:r>
        <w:rPr>
          <w:rFonts w:ascii="Arial" w:cs="Arial" w:eastAsia="Arial" w:hAnsi="Arial"/>
          <w:sz w:val="18"/>
          <w:szCs w:val="18"/>
          <w:b w:val="1"/>
          <w:bCs w:val="1"/>
          <w:color w:val="auto"/>
        </w:rPr>
        <w:t>Senior Debt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5" w:name="page56"/>
    <w:bookmarkEnd w:id="55"/>
    <w:p>
      <w:pPr>
        <w:jc w:val="both"/>
        <w:ind w:left="-20" w:firstLine="656"/>
        <w:spacing w:after="0" w:line="270" w:lineRule="auto"/>
        <w:tabs>
          <w:tab w:leader="none" w:pos="1258" w:val="left"/>
        </w:tabs>
        <w:numPr>
          <w:ilvl w:val="0"/>
          <w:numId w:val="26"/>
        </w:numPr>
        <w:rPr>
          <w:rFonts w:ascii="Arial" w:cs="Arial" w:eastAsia="Arial" w:hAnsi="Arial"/>
          <w:sz w:val="17"/>
          <w:szCs w:val="17"/>
          <w:color w:val="auto"/>
        </w:rPr>
      </w:pPr>
      <w:r>
        <w:rPr>
          <w:rFonts w:ascii="Arial" w:cs="Arial" w:eastAsia="Arial" w:hAnsi="Arial"/>
          <w:sz w:val="17"/>
          <w:szCs w:val="17"/>
          <w:color w:val="auto"/>
        </w:rPr>
        <w:t>Creditor will not demand or receive from Borrower (and Borrower will not pay to Creditor) all or any part of the Subordinated Debt, by way of payment, prepayment, setoff, lawsuit or otherwise, nor will Creditor exercise any remedy with respect to the Subordinated Debt or any property of the Borrower, whether now owned or hereafter acquired, including, without limitation, the Collateral, nor will Creditor accelerate the Subordinated Debt, or commence, or cause to commence, prosecute or participate in any administrative, legal or equitable action against Borrower, until such time as (i) the Senior Debt is fully paid in cash, and (ii) the Lenders have no commitment or obligation to lend any further funds to Borrower, and (iii) all financing agreements among the Collateral Agent and the Lenders and Borrower are terminated. Nothing in the foregoing paragraph shall prohibit Creditor from converting all or any part of the Subordinated Debt into equity securities of Borrower which do not have any call, put or other conversion features that would obligate Borrower to pay any money (including the payment of any dividends or other distributions for so long as the Senior Debt remains outstanding) or deliver any other securities or consideration to the holder.</w:t>
      </w:r>
    </w:p>
    <w:p>
      <w:pPr>
        <w:spacing w:after="0" w:line="181" w:lineRule="exact"/>
        <w:rPr>
          <w:rFonts w:ascii="Arial" w:cs="Arial" w:eastAsia="Arial" w:hAnsi="Arial"/>
          <w:sz w:val="17"/>
          <w:szCs w:val="17"/>
          <w:color w:val="auto"/>
        </w:rPr>
      </w:pPr>
    </w:p>
    <w:p>
      <w:pPr>
        <w:jc w:val="both"/>
        <w:ind w:left="-20" w:firstLine="656"/>
        <w:spacing w:after="0" w:line="286" w:lineRule="auto"/>
        <w:tabs>
          <w:tab w:leader="none" w:pos="1434" w:val="left"/>
        </w:tabs>
        <w:numPr>
          <w:ilvl w:val="0"/>
          <w:numId w:val="26"/>
        </w:numPr>
        <w:rPr>
          <w:rFonts w:ascii="Arial" w:cs="Arial" w:eastAsia="Arial" w:hAnsi="Arial"/>
          <w:sz w:val="17"/>
          <w:szCs w:val="17"/>
          <w:color w:val="auto"/>
        </w:rPr>
      </w:pPr>
      <w:r>
        <w:rPr>
          <w:rFonts w:ascii="Arial" w:cs="Arial" w:eastAsia="Arial" w:hAnsi="Arial"/>
          <w:sz w:val="17"/>
          <w:szCs w:val="17"/>
          <w:color w:val="auto"/>
        </w:rPr>
        <w:t>Creditor shall hold in trust for the Collateral Agent and the Lenders and promptly deliver to the Collateral Agent in the form received (except for endorsement or assignment by Creditor where required by the Collateral Agent), for application to the Senior Debt, any payment, distribution, security or proceeds received by Creditor with respect to the Subordinated Debt other than in accordance with this Agreement.</w:t>
      </w:r>
    </w:p>
    <w:p>
      <w:pPr>
        <w:spacing w:after="0" w:line="165" w:lineRule="exact"/>
        <w:rPr>
          <w:rFonts w:ascii="Arial" w:cs="Arial" w:eastAsia="Arial" w:hAnsi="Arial"/>
          <w:sz w:val="17"/>
          <w:szCs w:val="17"/>
          <w:color w:val="auto"/>
        </w:rPr>
      </w:pPr>
    </w:p>
    <w:p>
      <w:pPr>
        <w:jc w:val="both"/>
        <w:ind w:left="-20" w:firstLine="656"/>
        <w:spacing w:after="0" w:line="264" w:lineRule="auto"/>
        <w:tabs>
          <w:tab w:leader="none" w:pos="1291"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event of Borrower’s insolvency, reorganization or any case or proceeding under any bankruptcy or insolvency law or laws relating to the relief of debtors, these provisions shall remain in full force and effect, and the Collateral Agent’s and the Lenders’ claims against Borrower and the estate of Borrower shall be paid in full before any payment is made to Creditor.</w:t>
      </w:r>
    </w:p>
    <w:p>
      <w:pPr>
        <w:spacing w:after="0" w:line="181" w:lineRule="exact"/>
        <w:rPr>
          <w:rFonts w:ascii="Arial" w:cs="Arial" w:eastAsia="Arial" w:hAnsi="Arial"/>
          <w:sz w:val="18"/>
          <w:szCs w:val="18"/>
          <w:color w:val="auto"/>
        </w:rPr>
      </w:pPr>
    </w:p>
    <w:p>
      <w:pPr>
        <w:jc w:val="both"/>
        <w:ind w:left="-20" w:firstLine="656"/>
        <w:spacing w:after="0" w:line="302" w:lineRule="auto"/>
        <w:tabs>
          <w:tab w:leader="none" w:pos="1476"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Until the Senior Debt is fully paid in cash and Lenders’ arrangements to lend any funds to Borrower have been terminated, Creditor irrevocably appoints the Collateral Agent as Creditor’s attorney-in-fact, and grants to the Collateral Agent a power of attorney with full power of substitution, in the name of Creditor or in the name of the Collateral Agent and/or the Lenders, for the use and benefit of the Collateral Agent and the Lenders, without notice to Creditor, to perform at the Collateral Agent’s option the following acts in any bankruptcy, insolvency or similar proceeding involving Borrower:</w:t>
      </w:r>
    </w:p>
    <w:p>
      <w:pPr>
        <w:spacing w:after="0" w:line="154" w:lineRule="exact"/>
        <w:rPr>
          <w:rFonts w:ascii="Arial" w:cs="Arial" w:eastAsia="Arial" w:hAnsi="Arial"/>
          <w:sz w:val="16"/>
          <w:szCs w:val="16"/>
          <w:color w:val="auto"/>
        </w:rPr>
      </w:pPr>
    </w:p>
    <w:p>
      <w:pPr>
        <w:ind w:left="1960" w:hanging="675"/>
        <w:spacing w:after="0"/>
        <w:tabs>
          <w:tab w:leader="none" w:pos="19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To file the appropriate claim or claims in respect of the Subordinated Debt on behalf of Creditor if Creditor does not do so prior to</w:t>
      </w:r>
    </w:p>
    <w:p>
      <w:pPr>
        <w:spacing w:after="0" w:line="46" w:lineRule="exact"/>
        <w:rPr>
          <w:rFonts w:ascii="Arial" w:cs="Arial" w:eastAsia="Arial" w:hAnsi="Arial"/>
          <w:sz w:val="16"/>
          <w:szCs w:val="16"/>
          <w:color w:val="auto"/>
        </w:rPr>
      </w:pPr>
    </w:p>
    <w:p>
      <w:pPr>
        <w:ind w:left="640" w:right="20" w:hanging="4"/>
        <w:spacing w:after="0" w:line="261" w:lineRule="auto"/>
        <w:tabs>
          <w:tab w:leader="none" w:pos="8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days before the expiration of the time to file claims in such proceeding and if the Collateral Agent elects, in its sole discretion, to file such claim or claims; and</w:t>
      </w:r>
    </w:p>
    <w:p>
      <w:pPr>
        <w:spacing w:after="0" w:line="183" w:lineRule="exact"/>
        <w:rPr>
          <w:rFonts w:ascii="Arial" w:cs="Arial" w:eastAsia="Arial" w:hAnsi="Arial"/>
          <w:sz w:val="18"/>
          <w:szCs w:val="18"/>
          <w:color w:val="auto"/>
        </w:rPr>
      </w:pPr>
    </w:p>
    <w:p>
      <w:pPr>
        <w:ind w:left="640" w:firstLine="645"/>
        <w:spacing w:after="0" w:line="308" w:lineRule="auto"/>
        <w:tabs>
          <w:tab w:leader="none" w:pos="2095" w:val="left"/>
        </w:tabs>
        <w:numPr>
          <w:ilvl w:val="1"/>
          <w:numId w:val="27"/>
        </w:numPr>
        <w:rPr>
          <w:rFonts w:ascii="Arial" w:cs="Arial" w:eastAsia="Arial" w:hAnsi="Arial"/>
          <w:sz w:val="17"/>
          <w:szCs w:val="17"/>
          <w:color w:val="auto"/>
        </w:rPr>
      </w:pPr>
      <w:r>
        <w:rPr>
          <w:rFonts w:ascii="Arial" w:cs="Arial" w:eastAsia="Arial" w:hAnsi="Arial"/>
          <w:sz w:val="17"/>
          <w:szCs w:val="17"/>
          <w:color w:val="auto"/>
        </w:rPr>
        <w:t>To accept or reject any plan of reorganization or arrangement on behalf of Creditor and to otherwise vote Creditor’s claims in respect of any Subordinated Debt in any manner that the Collateral Agent deems appropriate for the enforcement of its rights hereunder.</w:t>
      </w:r>
    </w:p>
    <w:p>
      <w:pPr>
        <w:spacing w:after="0" w:line="146" w:lineRule="exact"/>
        <w:rPr>
          <w:rFonts w:ascii="Arial" w:cs="Arial" w:eastAsia="Arial" w:hAnsi="Arial"/>
          <w:sz w:val="17"/>
          <w:szCs w:val="17"/>
          <w:color w:val="auto"/>
        </w:rPr>
      </w:pPr>
    </w:p>
    <w:p>
      <w:pPr>
        <w:jc w:val="both"/>
        <w:ind w:left="-20" w:firstLine="656"/>
        <w:spacing w:after="0" w:line="293" w:lineRule="auto"/>
        <w:tabs>
          <w:tab w:leader="none" w:pos="1282" w:val="left"/>
        </w:tabs>
        <w:numPr>
          <w:ilvl w:val="0"/>
          <w:numId w:val="28"/>
        </w:numPr>
        <w:rPr>
          <w:rFonts w:ascii="Arial" w:cs="Arial" w:eastAsia="Arial" w:hAnsi="Arial"/>
          <w:sz w:val="16"/>
          <w:szCs w:val="16"/>
          <w:color w:val="auto"/>
        </w:rPr>
      </w:pPr>
      <w:r>
        <w:rPr>
          <w:rFonts w:ascii="Arial" w:cs="Arial" w:eastAsia="Arial" w:hAnsi="Arial"/>
          <w:sz w:val="16"/>
          <w:szCs w:val="16"/>
          <w:color w:val="auto"/>
        </w:rPr>
        <w:t>Creditor shall immediately affix a legend to the instruments evidencing the Subordinated Debt stating that the instruments are subject to the terms of this Agreement. By the execution of this Agreement, Creditor hereby authorizes the Collateral Agent and the Lenders to amend any financing statements filed by Creditor against Borrower as follows: “In accordance with a certain Subordination Agreement by and among the Secured Party, the Debtor and Oxford Finance LLC, in its capacity as Collateral Agent, the Secured Party has subordinated any security interest or lien that Secured Party may have in any property of the Debtor to the security interest of Oxford Finance LLC and the Lenders identified therein in all assets of the Debtor, notwithstanding the respective dates of attachment or perfection of the security interest of the Secured Party and Oxford Finance LLC and the Lenders.”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56" w:name="page57"/>
    <w:bookmarkEnd w:id="56"/>
    <w:p>
      <w:pPr>
        <w:jc w:val="both"/>
        <w:ind w:left="-20" w:firstLine="656"/>
        <w:spacing w:after="0" w:line="286" w:lineRule="auto"/>
        <w:tabs>
          <w:tab w:leader="none" w:pos="13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Neither the Borrower nor the Creditor may amend the terms of any Subordinated Debt without the prior written consent of the Collateral Agent and the Lenders. Without limiting the foregoing, no amendment of the documents evidencing or relating to the Subordinated Debt shall directly or indirectly modify the provisions of this Agreement in any manner which might terminate or impair the subordination of the Subordinated Debt or the subordination of any security interest or lien that Creditor may have in any property of Borrower. By way of example, such instruments shall not be amended to (i) increase the rate of interest with respect to the Subordinated Debt, or (ii) accelerate the payment of the principal or interest or any other portion of the Subordinated Debt. The Collateral Agent and the Lenders shall have the sole and exclusive right to restrict or permit, or approve or disapprove, the sale, transfer or other disposition of any of the property or assets of the Borrower, including, without limitation, the Collateral, except in accordance with the terms of the Senior Debt. Upon written notice from the Collateral Agent of the Collateral Agent’s and the Lenders’ agreement to release its lien on all or any portion of the Collateral in connection with the sale, transfer or other disposition thereof by the Collateral Agent and the Lenders (or by Borrower with consent of the Collateral Agent and the Lenders), Creditor shall be deemed to have also, automatically and simultaneously, released any lien or security interest on such Collateral, and Creditor shall upon written request by the Collateral Agent, immediately take such action as shall be necessary or appropriate to evidence and confirm such release. All proceeds resulting from any such sale, transfer or other disposition shall be applied first to the Senior Debt until payment in full thereof, with the balance, if any, to the Subordinated Debt, or to any other entitled party. If Creditor fails to release any lien or security interest as required hereunder, Creditor hereby appoints the Collateral Agent as attorney in fact for Creditor with full power of substitution to release Creditor’s liens and security interests as provided hereunder. Such power of attorney being coupled with an interest shall be irrevocable.</w:t>
      </w:r>
    </w:p>
    <w:p>
      <w:pPr>
        <w:spacing w:after="0" w:line="168" w:lineRule="exact"/>
        <w:rPr>
          <w:rFonts w:ascii="Arial" w:cs="Arial" w:eastAsia="Arial" w:hAnsi="Arial"/>
          <w:sz w:val="16"/>
          <w:szCs w:val="16"/>
          <w:color w:val="auto"/>
        </w:rPr>
      </w:pPr>
    </w:p>
    <w:p>
      <w:pPr>
        <w:jc w:val="both"/>
        <w:ind w:left="-20" w:firstLine="656"/>
        <w:spacing w:after="0" w:line="255" w:lineRule="auto"/>
        <w:tabs>
          <w:tab w:leader="none" w:pos="13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necessary action on the part of the Creditor, its officers, directors, partners, members and shareholders, as applicable, necessary for the authorization of this Agreement and the performance of all obligations of Creditor hereunder has been taken. This Agreement constitutes the legal, valid and binding obligation of Creditor, enforceable against Creditor in accordance with its terms. The execution, delivery and performance of and compliance with this Agreement by Creditor will not (i) result in any material violation or default of any term of any of the Creditor’s charter, formation or other organizational documents (such as Articles or Certificate of Incorporation, bylaws, partnership agreement, operating agreement, etc.) or (ii) violate any material applicable law, rule or regulation.</w:t>
      </w:r>
    </w:p>
    <w:p>
      <w:pPr>
        <w:spacing w:after="0" w:line="193" w:lineRule="exact"/>
        <w:rPr>
          <w:rFonts w:ascii="Arial" w:cs="Arial" w:eastAsia="Arial" w:hAnsi="Arial"/>
          <w:sz w:val="18"/>
          <w:szCs w:val="18"/>
          <w:color w:val="auto"/>
        </w:rPr>
      </w:pPr>
    </w:p>
    <w:p>
      <w:pPr>
        <w:jc w:val="both"/>
        <w:ind w:left="-20" w:firstLine="656"/>
        <w:spacing w:after="0" w:line="289" w:lineRule="auto"/>
        <w:tabs>
          <w:tab w:leader="none" w:pos="1328"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at any time after payment in full of the Senior Debt any payments of the Senior Debt must be disgorged by the Collateral Agent or the Lenders for any reason (including, without limitation, the bankruptcy of Borrower), this Agreement and the relative rights and priorities set forth herein shall be reinstated as to all such disgorged payments as though such payments had not been made and Creditor shall immediately pay over to the Collateral Agent all payments received with respect to the Subordinated Debt to the extent that such payments would have been prohibited hereunder. At any time and from time to time, without notice to Creditor, the Collateral Agent and the Lenders may take such actions with respect to the Senior Debt as the Collateral Agent and the Lenders, in their sole discretion, may deem appropriate, including, without limitation, terminating advances to Borrower, increasing the principal amount, extending the time of payment, increasing applicable interest rates, renewing, compromising or otherwise amending the terms of any documents affecting the Senior Debt and any collateral securing the Senior Debt, and enforcing or failing to enforce any rights against Borrower or any other person. No such action or inaction shall impair or otherwise affect the Collateral Agent’s and the Lenders’ rights hereunder.</w:t>
      </w:r>
    </w:p>
    <w:p>
      <w:pPr>
        <w:spacing w:after="0" w:line="166" w:lineRule="exact"/>
        <w:rPr>
          <w:rFonts w:ascii="Arial" w:cs="Arial" w:eastAsia="Arial" w:hAnsi="Arial"/>
          <w:sz w:val="16"/>
          <w:szCs w:val="16"/>
          <w:color w:val="auto"/>
        </w:rPr>
      </w:pPr>
    </w:p>
    <w:p>
      <w:pPr>
        <w:jc w:val="both"/>
        <w:ind w:left="-20" w:firstLine="656"/>
        <w:spacing w:after="0" w:line="276" w:lineRule="auto"/>
        <w:tabs>
          <w:tab w:leader="none" w:pos="132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Agreement shall bind any successors or assignees of Creditor and shall benefit any successors or assigns of the Collateral Agent and the Lenders. This Agreement shall remain effective until terminated in writing by the Collateral Agent. This Agreement is solely for the benefit of Creditor and the Collateral Agent and the Lenders and not for the benefit of Borrower or any other party. Creditor further agree that if Borrower is in the process of refinancing any portion of the Senior Debt with a new lender, and if the Collateral Agent and/or the Lenders makes a request of Creditor, Creditor shall agree to enter into a new subordination agreement with the new lender on substantially the terms and conditions of this Agreement.</w:t>
      </w:r>
    </w:p>
    <w:p>
      <w:pPr>
        <w:spacing w:after="0" w:line="172" w:lineRule="exact"/>
        <w:rPr>
          <w:rFonts w:ascii="Arial" w:cs="Arial" w:eastAsia="Arial" w:hAnsi="Arial"/>
          <w:sz w:val="17"/>
          <w:szCs w:val="17"/>
          <w:color w:val="auto"/>
        </w:rPr>
      </w:pPr>
    </w:p>
    <w:p>
      <w:pPr>
        <w:jc w:val="both"/>
        <w:ind w:left="-20" w:firstLine="656"/>
        <w:spacing w:after="0" w:line="264" w:lineRule="auto"/>
        <w:tabs>
          <w:tab w:leader="none" w:pos="13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Creditor hereby agrees to execute such documents and/or take such further action as the Collateral Agent and the Lenders may at any time or times reasonably request in order to carry out the provisions and intent of this Agreement, including, without limitation, ratifications and confirmations of this Agreement from time to time hereafter, as and when requested by the Collateral Agent.</w:t>
      </w:r>
    </w:p>
    <w:p>
      <w:pPr>
        <w:spacing w:after="0" w:line="181" w:lineRule="exact"/>
        <w:rPr>
          <w:rFonts w:ascii="Arial" w:cs="Arial" w:eastAsia="Arial" w:hAnsi="Arial"/>
          <w:sz w:val="18"/>
          <w:szCs w:val="18"/>
          <w:color w:val="auto"/>
        </w:rPr>
      </w:pPr>
    </w:p>
    <w:p>
      <w:pPr>
        <w:ind w:left="-20" w:firstLine="656"/>
        <w:spacing w:after="0" w:line="277" w:lineRule="auto"/>
        <w:tabs>
          <w:tab w:leader="none" w:pos="13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Agreement may be executed in two or more counterparts, each of which shall be deemed an original and all of which together shall constitute one instrument.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57" w:name="page58"/>
    <w:bookmarkEnd w:id="57"/>
    <w:p>
      <w:pPr>
        <w:jc w:val="both"/>
        <w:ind w:left="-20" w:firstLine="656"/>
        <w:spacing w:after="0" w:line="257" w:lineRule="auto"/>
        <w:tabs>
          <w:tab w:leader="none" w:pos="12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New York, without giving effect to conflicts of laws principles. Creditor and the Collateral Agent submit to the exclusive jurisdiction of the State and Federal courts in the City of New York, Borough of Manhattan in any action, suit, or proceeding of any kind, against it which arises out of or by reason of this Agreement. CREDITOR AND COLLATERAL AGENT WAIVE THEIR RESPECTIVE RIGHTS TO A JURY TRIAL OF ANY CLAIM OR CAUSE OF ACTION BASED UPON OR ARISING OUT OF THIS AGREEMENT OR ANY OF THE TRANSACTIONS CONTEMPLATED HEREIN.</w:t>
      </w:r>
    </w:p>
    <w:p>
      <w:pPr>
        <w:spacing w:after="0" w:line="188" w:lineRule="exact"/>
        <w:rPr>
          <w:rFonts w:ascii="Arial" w:cs="Arial" w:eastAsia="Arial" w:hAnsi="Arial"/>
          <w:sz w:val="18"/>
          <w:szCs w:val="18"/>
          <w:color w:val="auto"/>
        </w:rPr>
      </w:pPr>
    </w:p>
    <w:p>
      <w:pPr>
        <w:jc w:val="both"/>
        <w:ind w:left="-20" w:firstLine="656"/>
        <w:spacing w:after="0" w:line="259" w:lineRule="auto"/>
        <w:tabs>
          <w:tab w:leader="none" w:pos="12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Agreement represents the entire agreement with respect to the subject matter hereof, and supersedes all prior negotiations, agreements and commitments. Creditor is not relying on any representations by the Collateral Agent, the Lenders or Borrower in entering into this Agreement and Creditor has kept and will continue to keep itself fully apprised of the financial and other condition of Borrower. This Agreement may be amended only by written instrument signed by Creditor and the Collateral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IN WITNESS WHEREOF, the undersigned have executed this Agreement as of the date first above written.</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OXFORD FINANCE LLC</w:t>
      </w:r>
      <w:r>
        <w:rPr>
          <w:rFonts w:ascii="Arial" w:cs="Arial" w:eastAsia="Arial" w:hAnsi="Arial"/>
          <w:sz w:val="18"/>
          <w:szCs w:val="18"/>
          <w:color w:val="auto"/>
        </w:rPr>
        <w:t>, as</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Collateral Agent</w:t>
      </w:r>
    </w:p>
    <w:p>
      <w:pPr>
        <w:spacing w:after="0" w:line="211" w:lineRule="exact"/>
        <w:rPr>
          <w:sz w:val="20"/>
          <w:szCs w:val="20"/>
          <w:color w:val="auto"/>
        </w:rPr>
      </w:pPr>
    </w:p>
    <w:p>
      <w:pPr>
        <w:ind w:left="5060"/>
        <w:spacing w:after="0"/>
        <w:tabs>
          <w:tab w:leader="none" w:pos="5500" w:val="left"/>
        </w:tabs>
        <w:rPr>
          <w:sz w:val="20"/>
          <w:szCs w:val="20"/>
          <w:color w:val="auto"/>
        </w:rPr>
      </w:pPr>
      <w:r>
        <w:rPr>
          <w:rFonts w:ascii="Arial" w:cs="Arial" w:eastAsia="Arial" w:hAnsi="Arial"/>
          <w:sz w:val="18"/>
          <w:szCs w:val="18"/>
          <w:color w:val="auto"/>
        </w:rPr>
        <w:t>By:</w:t>
        <w:tab/>
        <w:t>/s/ Colette Featherly</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Colette Featherly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Senior Vice President</w:t>
      </w:r>
    </w:p>
    <w:p>
      <w:pPr>
        <w:spacing w:after="0" w:line="200" w:lineRule="exact"/>
        <w:rPr>
          <w:sz w:val="20"/>
          <w:szCs w:val="20"/>
          <w:color w:val="auto"/>
        </w:rPr>
      </w:pPr>
    </w:p>
    <w:p>
      <w:pPr>
        <w:spacing w:after="0" w:line="22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9" w:right="1440" w:bottom="1440" w:gutter="0" w:footer="0" w:header="0"/>
        </w:sectPr>
      </w:pPr>
    </w:p>
    <w:bookmarkStart w:id="59" w:name="page60"/>
    <w:bookmarkEnd w:id="59"/>
    <w:p>
      <w:pPr>
        <w:ind w:left="4520"/>
        <w:spacing w:after="0"/>
        <w:rPr>
          <w:sz w:val="20"/>
          <w:szCs w:val="20"/>
          <w:color w:val="auto"/>
        </w:rPr>
      </w:pPr>
      <w:r>
        <w:rPr>
          <w:rFonts w:ascii="Arial" w:cs="Arial" w:eastAsia="Arial" w:hAnsi="Arial"/>
          <w:sz w:val="18"/>
          <w:szCs w:val="18"/>
          <w:color w:val="auto"/>
        </w:rPr>
        <w:t>CREDITOR:</w:t>
      </w:r>
    </w:p>
    <w:p>
      <w:pPr>
        <w:spacing w:after="0" w:line="225"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5"/>
          <w:szCs w:val="15"/>
          <w:color w:val="auto"/>
        </w:rPr>
        <w:t>By:</w:t>
        <w:tab/>
        <w:t>/s/ John Schutte</w:t>
      </w:r>
    </w:p>
    <w:p>
      <w:pPr>
        <w:spacing w:after="0" w:line="5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John Schutte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The undersigned approves of the terms of this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A. Clemens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Sr. VP &amp; CFO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 TECHNOLOGIES,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A. Clemens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Sr. VP &amp; CFO</w:t>
      </w:r>
    </w:p>
    <w:p>
      <w:pPr>
        <w:spacing w:after="0" w:line="200" w:lineRule="exact"/>
        <w:rPr>
          <w:sz w:val="20"/>
          <w:szCs w:val="20"/>
          <w:color w:val="auto"/>
        </w:rPr>
      </w:pPr>
    </w:p>
    <w:p>
      <w:pPr>
        <w:spacing w:after="0" w:line="227"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10.37</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 LOAN AND SECURITY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FOURTH AMENDMENT TO LOAN AND SECURITY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June 6, 2018 (the “</w:t>
      </w:r>
      <w:r>
        <w:rPr>
          <w:rFonts w:ascii="Arial" w:cs="Arial" w:eastAsia="Arial" w:hAnsi="Arial"/>
          <w:sz w:val="18"/>
          <w:szCs w:val="18"/>
          <w:b w:val="1"/>
          <w:bCs w:val="1"/>
          <w:color w:val="auto"/>
        </w:rPr>
        <w:t>Fourth</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 Date</w:t>
      </w:r>
      <w:r>
        <w:rPr>
          <w:rFonts w:ascii="Arial" w:cs="Arial" w:eastAsia="Arial" w:hAnsi="Arial"/>
          <w:sz w:val="18"/>
          <w:szCs w:val="18"/>
          <w:color w:val="auto"/>
        </w:rPr>
        <w:t>”), by and among OXFORD FINANCE LLC, a Delaware limited liability company with an office located at 133 North Fairfax Street,</w:t>
      </w:r>
      <w:r>
        <w:rPr>
          <w:rFonts w:ascii="Arial" w:cs="Arial" w:eastAsia="Arial" w:hAnsi="Arial"/>
          <w:sz w:val="18"/>
          <w:szCs w:val="18"/>
          <w:b w:val="1"/>
          <w:bCs w:val="1"/>
          <w:color w:val="auto"/>
        </w:rPr>
        <w:t xml:space="preserve"> </w:t>
      </w:r>
      <w:r>
        <w:rPr>
          <w:rFonts w:ascii="Arial" w:cs="Arial" w:eastAsia="Arial" w:hAnsi="Arial"/>
          <w:sz w:val="18"/>
          <w:szCs w:val="18"/>
          <w:color w:val="auto"/>
        </w:rPr>
        <w:t>Alexandria, Virginia 22314 (in its individual capacity, “</w:t>
      </w:r>
      <w:r>
        <w:rPr>
          <w:rFonts w:ascii="Arial" w:cs="Arial" w:eastAsia="Arial" w:hAnsi="Arial"/>
          <w:sz w:val="18"/>
          <w:szCs w:val="18"/>
          <w:b w:val="1"/>
          <w:bCs w:val="1"/>
          <w:color w:val="auto"/>
        </w:rPr>
        <w:t>Oxford</w:t>
      </w:r>
      <w:r>
        <w:rPr>
          <w:rFonts w:ascii="Arial" w:cs="Arial" w:eastAsia="Arial" w:hAnsi="Arial"/>
          <w:sz w:val="18"/>
          <w:szCs w:val="18"/>
          <w:color w:val="auto"/>
        </w:rPr>
        <w:t>”; and in its capacity as Collateral Agent, “</w:t>
      </w:r>
      <w:r>
        <w:rPr>
          <w:rFonts w:ascii="Arial" w:cs="Arial" w:eastAsia="Arial" w:hAnsi="Arial"/>
          <w:sz w:val="18"/>
          <w:szCs w:val="18"/>
          <w:b w:val="1"/>
          <w:bCs w:val="1"/>
          <w:color w:val="auto"/>
        </w:rPr>
        <w:t>Collateral Agent</w:t>
      </w:r>
      <w:r>
        <w:rPr>
          <w:rFonts w:ascii="Arial" w:cs="Arial" w:eastAsia="Arial" w:hAnsi="Arial"/>
          <w:sz w:val="18"/>
          <w:szCs w:val="18"/>
          <w:color w:val="auto"/>
        </w:rPr>
        <w:t>”), the Lenders listed on Schedule 1.1 thereof from time to time including Oxford in its capacity as a Lender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and ACURA PHARMACEUTICALS, INC., a New York corporation with offices located at 616 N. North Court, Suite 120, Palatine, Illinois (“</w:t>
      </w:r>
      <w:r>
        <w:rPr>
          <w:rFonts w:ascii="Arial" w:cs="Arial" w:eastAsia="Arial" w:hAnsi="Arial"/>
          <w:sz w:val="18"/>
          <w:szCs w:val="18"/>
          <w:b w:val="1"/>
          <w:bCs w:val="1"/>
          <w:color w:val="auto"/>
        </w:rPr>
        <w:t>Parent</w:t>
      </w:r>
      <w:r>
        <w:rPr>
          <w:rFonts w:ascii="Arial" w:cs="Arial" w:eastAsia="Arial" w:hAnsi="Arial"/>
          <w:sz w:val="18"/>
          <w:szCs w:val="18"/>
          <w:color w:val="auto"/>
        </w:rPr>
        <w:t>”), and ACURA PHARMACEUTICAL TECHNOLOGIES, INC., an Indiana corporation with offices locates at 16235 State Road 17, Culver, IN 46511 (“</w:t>
      </w:r>
      <w:r>
        <w:rPr>
          <w:rFonts w:ascii="Arial" w:cs="Arial" w:eastAsia="Arial" w:hAnsi="Arial"/>
          <w:sz w:val="18"/>
          <w:szCs w:val="18"/>
          <w:b w:val="1"/>
          <w:bCs w:val="1"/>
          <w:color w:val="auto"/>
        </w:rPr>
        <w:t>APT</w:t>
      </w:r>
      <w:r>
        <w:rPr>
          <w:rFonts w:ascii="Arial" w:cs="Arial" w:eastAsia="Arial" w:hAnsi="Arial"/>
          <w:sz w:val="18"/>
          <w:szCs w:val="18"/>
          <w:color w:val="auto"/>
        </w:rPr>
        <w:t>”, and along with Parent, individually and collectively, jointly and severally,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9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WHEREAS, Collateral Agent, Borrower and Lenders party thereto from time to time have entered into that certain Loan and Security Agreement, dated as of December 27, 2013 (as amended, supplemented or otherwise modified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pursuant to which Lenders have provided to Borrower certain loans in accordance with the terms and conditions thereof;</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Borrower has informed the Collateral Agent and the Lenders of a delay in delivery of certain reporting and have requested that Collateral Agent and required Lenders to amend certain provisions of the Loan Agreement;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promises, covenants and agreements contained herein, and other good and valuable consideration, the receipt and adequacy of which are hereby acknowledged, Borrower, Lenders and Collateral Agent hereby agree as follows:</w:t>
      </w:r>
    </w:p>
    <w:p>
      <w:pPr>
        <w:spacing w:after="0" w:line="17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Capitalized terms used herein but not otherwise defined shall have the respective meanings given to them in the Loan Agreement.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6.2(a)(ii) of the Loan Agreement is hereby amended and restated in its entirety as follows:</w:t>
      </w:r>
    </w:p>
    <w:p>
      <w:pPr>
        <w:spacing w:after="0" w:line="225" w:lineRule="exact"/>
        <w:rPr>
          <w:rFonts w:ascii="Arial" w:cs="Arial" w:eastAsia="Arial" w:hAnsi="Arial"/>
          <w:sz w:val="18"/>
          <w:szCs w:val="18"/>
          <w:color w:val="auto"/>
        </w:rPr>
      </w:pPr>
    </w:p>
    <w:p>
      <w:pPr>
        <w:jc w:val="both"/>
        <w:ind w:left="660" w:hanging="4"/>
        <w:spacing w:after="0" w:line="273" w:lineRule="auto"/>
        <w:tabs>
          <w:tab w:leader="none" w:pos="1379" w:val="left"/>
        </w:tabs>
        <w:numPr>
          <w:ilvl w:val="1"/>
          <w:numId w:val="31"/>
        </w:numPr>
        <w:rPr>
          <w:rFonts w:ascii="Arial" w:cs="Arial" w:eastAsia="Arial" w:hAnsi="Arial"/>
          <w:sz w:val="17"/>
          <w:szCs w:val="17"/>
          <w:color w:val="auto"/>
        </w:rPr>
      </w:pPr>
      <w:r>
        <w:rPr>
          <w:rFonts w:ascii="Arial" w:cs="Arial" w:eastAsia="Arial" w:hAnsi="Arial"/>
          <w:sz w:val="17"/>
          <w:szCs w:val="17"/>
          <w:color w:val="auto"/>
        </w:rPr>
        <w:t>as soon as available, but no later than one hundred twenty (120) days after the last day of Borrower’s fiscal year or within five (5) days of filing with the SEC, audited consolidated financial statements prepared under GAAP, consistently applied, together with an unqualified opinion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for the fiscal year 2017, such opinion may be qualified strictly with respect to Borrower and its Subsidiary as a going concern and unqualified otherwise) on the financial statements from an independent certified public accounting firm acceptable to Collateral Agent in its reasonable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Borrower’s fiscal year ending December 31, 2017 only, such financial statements shall be delivered on or before one hundred fifty (160) days after the last day of such fiscal year;</w:t>
      </w:r>
    </w:p>
    <w:p>
      <w:pPr>
        <w:spacing w:after="0" w:line="178"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 of Amendment.</w:t>
      </w:r>
    </w:p>
    <w:p>
      <w:pPr>
        <w:spacing w:after="0" w:line="225" w:lineRule="exact"/>
        <w:rPr>
          <w:rFonts w:ascii="Arial" w:cs="Arial" w:eastAsia="Arial" w:hAnsi="Arial"/>
          <w:sz w:val="18"/>
          <w:szCs w:val="18"/>
          <w:color w:val="auto"/>
        </w:rPr>
      </w:pPr>
    </w:p>
    <w:p>
      <w:pPr>
        <w:jc w:val="both"/>
        <w:ind w:left="1300" w:hanging="320"/>
        <w:spacing w:after="0" w:line="273" w:lineRule="auto"/>
        <w:tabs>
          <w:tab w:leader="none" w:pos="1300" w:val="left"/>
        </w:tabs>
        <w:numPr>
          <w:ilvl w:val="2"/>
          <w:numId w:val="31"/>
        </w:numPr>
        <w:rPr>
          <w:rFonts w:ascii="Arial" w:cs="Arial" w:eastAsia="Arial" w:hAnsi="Arial"/>
          <w:sz w:val="17"/>
          <w:szCs w:val="17"/>
          <w:color w:val="auto"/>
        </w:rPr>
      </w:pPr>
      <w:r>
        <w:rPr>
          <w:rFonts w:ascii="Arial" w:cs="Arial" w:eastAsia="Arial" w:hAnsi="Arial"/>
          <w:sz w:val="17"/>
          <w:szCs w:val="17"/>
          <w:color w:val="auto"/>
        </w:rPr>
        <w:t>The amendments set forth herein are effective for the purposes set forth herein and shall be limited precisely as written and shall not be deemed to (a) be a consent to any amendment, waiver or modification of any other term or condition of any Loan Document and shall not be considered to create a course of dealing or to otherwise obligate in any respect any Lender or the Collateral Agent to execute any similar agreement or grant any waiver under the same or similar or other circumstances in the future, or (b) otherwise prejudice any right, remedy or obligation which Lenders or Borrower may now have or may have in the future under or in connection with any Loan Document, as amended hereby, and giving effect to the amendments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2" w:name="page63"/>
    <w:bookmarkEnd w:id="62"/>
    <w:p>
      <w:pPr>
        <w:jc w:val="both"/>
        <w:ind w:left="968" w:hanging="320"/>
        <w:spacing w:after="0" w:line="264" w:lineRule="auto"/>
        <w:tabs>
          <w:tab w:leader="none" w:pos="9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This Amendment shall be construed in connection with and as part of the Loan Documents and all terms, conditions, representations, warranties, covenants and agreements set forth in the Loan Documents, except as herein amended, are hereby ratified and confirmed and shall remain in full force and effect.</w:t>
      </w:r>
    </w:p>
    <w:p>
      <w:pPr>
        <w:spacing w:after="0" w:line="181"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induce Collateral Agent and Lenders to enter into this Amendment, Borrower hereby represents and warrants to Collateral Agent and Lenders as follows:</w:t>
      </w:r>
    </w:p>
    <w:p>
      <w:pPr>
        <w:spacing w:after="0" w:line="170"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33"/>
        </w:numPr>
        <w:rPr>
          <w:rFonts w:ascii="Arial" w:cs="Arial" w:eastAsia="Arial" w:hAnsi="Arial"/>
          <w:sz w:val="18"/>
          <w:szCs w:val="18"/>
          <w:color w:val="auto"/>
        </w:rPr>
      </w:pPr>
      <w:r>
        <w:rPr>
          <w:rFonts w:ascii="Arial" w:cs="Arial" w:eastAsia="Arial" w:hAnsi="Arial"/>
          <w:sz w:val="18"/>
          <w:szCs w:val="18"/>
          <w:color w:val="auto"/>
        </w:rPr>
        <w:t>Borrower has the power and due authority to execute and deliver this Amendment and to perform its obligations under the Loan Agreement, as amended by this Amendment;</w:t>
      </w:r>
    </w:p>
    <w:p>
      <w:pPr>
        <w:spacing w:after="0" w:line="170" w:lineRule="exact"/>
        <w:rPr>
          <w:rFonts w:ascii="Arial" w:cs="Arial" w:eastAsia="Arial" w:hAnsi="Arial"/>
          <w:sz w:val="18"/>
          <w:szCs w:val="18"/>
          <w:color w:val="auto"/>
        </w:rPr>
      </w:pPr>
    </w:p>
    <w:p>
      <w:pPr>
        <w:jc w:val="both"/>
        <w:ind w:left="968" w:hanging="320"/>
        <w:spacing w:after="0" w:line="264" w:lineRule="auto"/>
        <w:tabs>
          <w:tab w:leader="none" w:pos="968"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organizational documents of Borrower delivered to Collateral Agent on the Effective Date, and updated pursuant to subsequent deliveries by the Borrower to the Collateral Agent, remain true, accurate and complete and have not been amended, supplemented or restated and are and continue to be in full force and effect;</w:t>
      </w:r>
    </w:p>
    <w:p>
      <w:pPr>
        <w:spacing w:after="0" w:line="181" w:lineRule="exact"/>
        <w:rPr>
          <w:rFonts w:ascii="Arial" w:cs="Arial" w:eastAsia="Arial" w:hAnsi="Arial"/>
          <w:sz w:val="18"/>
          <w:szCs w:val="18"/>
          <w:color w:val="auto"/>
        </w:rPr>
      </w:pPr>
    </w:p>
    <w:p>
      <w:pPr>
        <w:jc w:val="both"/>
        <w:ind w:left="968" w:hanging="320"/>
        <w:spacing w:after="0" w:line="279" w:lineRule="auto"/>
        <w:tabs>
          <w:tab w:leader="none" w:pos="968"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execution and delivery by Borrower of this Amendment and the performance by Borrower of its obligations under the Loan Agreement, as amended by this Amendment, do not and will not contravene (i) any law or regulation binding on or affecting Borrower, (ii) any contractual restriction with a Person binding on Borrower, (iii) any order, judgment or decree of any court or other governmental or public body or authority, or subdivision thereof, binding on Borrower, or (iv) the organizational documents of Borrower;</w:t>
      </w:r>
    </w:p>
    <w:p>
      <w:pPr>
        <w:spacing w:after="0" w:line="171" w:lineRule="exact"/>
        <w:rPr>
          <w:rFonts w:ascii="Arial" w:cs="Arial" w:eastAsia="Arial" w:hAnsi="Arial"/>
          <w:sz w:val="17"/>
          <w:szCs w:val="17"/>
          <w:color w:val="auto"/>
        </w:rPr>
      </w:pPr>
    </w:p>
    <w:p>
      <w:pPr>
        <w:jc w:val="both"/>
        <w:ind w:left="968" w:hanging="320"/>
        <w:spacing w:after="0" w:line="259" w:lineRule="auto"/>
        <w:tabs>
          <w:tab w:leader="none" w:pos="968"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execution and delivery by Borrower of this Amendment and the performance by 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86" w:lineRule="exact"/>
        <w:rPr>
          <w:rFonts w:ascii="Arial" w:cs="Arial" w:eastAsia="Arial" w:hAnsi="Arial"/>
          <w:sz w:val="18"/>
          <w:szCs w:val="18"/>
          <w:color w:val="auto"/>
        </w:rPr>
      </w:pPr>
    </w:p>
    <w:p>
      <w:pPr>
        <w:jc w:val="both"/>
        <w:ind w:left="968" w:hanging="320"/>
        <w:spacing w:after="0" w:line="286" w:lineRule="auto"/>
        <w:tabs>
          <w:tab w:leader="none" w:pos="968"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This Amendment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65" w:lineRule="exact"/>
        <w:rPr>
          <w:rFonts w:ascii="Arial" w:cs="Arial" w:eastAsia="Arial" w:hAnsi="Arial"/>
          <w:sz w:val="17"/>
          <w:szCs w:val="17"/>
          <w:color w:val="auto"/>
        </w:rPr>
      </w:pPr>
    </w:p>
    <w:p>
      <w:pPr>
        <w:jc w:val="both"/>
        <w:ind w:left="968" w:hanging="320"/>
        <w:spacing w:after="0" w:line="257" w:lineRule="auto"/>
        <w:tabs>
          <w:tab w:leader="none" w:pos="968" w:val="left"/>
        </w:tabs>
        <w:numPr>
          <w:ilvl w:val="1"/>
          <w:numId w:val="33"/>
        </w:numPr>
        <w:rPr>
          <w:rFonts w:ascii="Arial" w:cs="Arial" w:eastAsia="Arial" w:hAnsi="Arial"/>
          <w:sz w:val="18"/>
          <w:szCs w:val="18"/>
          <w:color w:val="auto"/>
        </w:rPr>
      </w:pPr>
      <w:r>
        <w:rPr>
          <w:rFonts w:ascii="Arial" w:cs="Arial" w:eastAsia="Arial" w:hAnsi="Arial"/>
          <w:sz w:val="18"/>
          <w:szCs w:val="18"/>
          <w:color w:val="auto"/>
        </w:rPr>
        <w:t>Borrower hereby (i) acknowledges and reaffirms its Obligations as set forth in each Loan Document (as modified by this Agreement), (ii) agrees to continue to comply with, and be subject to, all of the terms, provisions, conditions, covenants, agreements and obligations applicable to them set forth in each Loan Document (as modified by this Agreement), which remain in full force and effect, and (iii) confirms, ratifies and reaffirms that the indemnities given by the Borrower pursuant to the Loan Agreement and/or any other Loan Documents continue in full force and effect.</w:t>
      </w:r>
    </w:p>
    <w:p>
      <w:pPr>
        <w:spacing w:after="0" w:line="200" w:lineRule="exact"/>
        <w:rPr>
          <w:sz w:val="20"/>
          <w:szCs w:val="20"/>
          <w:color w:val="auto"/>
        </w:rPr>
      </w:pPr>
    </w:p>
    <w:p>
      <w:pPr>
        <w:spacing w:after="0" w:line="20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63" w:name="page64"/>
    <w:bookmarkEnd w:id="63"/>
    <w:p>
      <w:pPr>
        <w:jc w:val="both"/>
        <w:ind w:left="328" w:hanging="328"/>
        <w:spacing w:after="0" w:line="270" w:lineRule="auto"/>
        <w:tabs>
          <w:tab w:leader="none" w:pos="328"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consideration of the agreements of the Collateral Agent and the Lenders set forth in this Amendment, Borrower hereby releases and forever discharges the Collateral Agent and the Lenders and each of the Collateral Agent’s and the Lenders’ respective predecessors, successors, assigns, officers, managers, directors, employees, agents, attorneys, representatives and affiliates (collectively, the “</w:t>
      </w:r>
      <w:r>
        <w:rPr>
          <w:rFonts w:ascii="Arial" w:cs="Arial" w:eastAsia="Arial" w:hAnsi="Arial"/>
          <w:sz w:val="17"/>
          <w:szCs w:val="17"/>
          <w:b w:val="1"/>
          <w:bCs w:val="1"/>
          <w:color w:val="auto"/>
        </w:rPr>
        <w:t>Lender Group</w:t>
      </w:r>
      <w:r>
        <w:rPr>
          <w:rFonts w:ascii="Arial" w:cs="Arial" w:eastAsia="Arial" w:hAnsi="Arial"/>
          <w:sz w:val="17"/>
          <w:szCs w:val="17"/>
          <w:color w:val="auto"/>
        </w:rPr>
        <w:t>”) from any and all claims, counterclaims, demands, damages, debts, suits, liabilities, actions and causes of action of any nature whatsoever, in each case to the extent arising in connection with any of the Loan Documents through the date of this Amendment, whether arising at law or in equity, whether known or unknown, whether liability be direct or indirect, liquidated or unliquidated, whether absolute or contingent, foreseen or unforeseen, and whether or not heretofore asserted, which Borrower may have or claim to have against any member of the Lender Group. As of the date hereof, Borrower represents, warrants, acknowledges and confirms that it has no knowledge of any action, cause of action, claim, demand, damage or liability of whatever kind or nature, in law or in equity, against any member of the Lender Group arising from any action by such Persons, or failure of such Persons to act under or in connection with any of the Loan Documents.</w:t>
      </w:r>
    </w:p>
    <w:p>
      <w:pPr>
        <w:spacing w:after="0" w:line="177" w:lineRule="exact"/>
        <w:rPr>
          <w:rFonts w:ascii="Arial" w:cs="Arial" w:eastAsia="Arial" w:hAnsi="Arial"/>
          <w:sz w:val="17"/>
          <w:szCs w:val="17"/>
          <w:color w:val="auto"/>
        </w:rPr>
      </w:pPr>
    </w:p>
    <w:p>
      <w:pPr>
        <w:jc w:val="both"/>
        <w:ind w:left="328" w:hanging="328"/>
        <w:spacing w:after="0" w:line="276" w:lineRule="auto"/>
        <w:tabs>
          <w:tab w:leader="none" w:pos="328"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Except as expressly set forth herein, the Loan Agreement shall continue in full force and effect without alteration or amendment. This Amendment and the Loan Documents represent the entire agreement about this subject matter and supersede prior negotiations or agreements. The Collateral Agent and Lenders expressly reserves all of its rights, powers and remedies under the Loan Agreement and applicable law, including, without limitation, the right at any time to assert the existence of any and all Events of Defaults, and to take any enforcement action or otherwise exercise any or all rights and remedies provided for by the Loan Agreement or applicable law.</w:t>
      </w:r>
    </w:p>
    <w:p>
      <w:pPr>
        <w:spacing w:after="0" w:line="172" w:lineRule="exact"/>
        <w:rPr>
          <w:rFonts w:ascii="Arial" w:cs="Arial" w:eastAsia="Arial" w:hAnsi="Arial"/>
          <w:sz w:val="17"/>
          <w:szCs w:val="17"/>
          <w:color w:val="auto"/>
        </w:rPr>
      </w:pPr>
    </w:p>
    <w:p>
      <w:pPr>
        <w:jc w:val="both"/>
        <w:ind w:left="328" w:hanging="328"/>
        <w:spacing w:after="0" w:line="264" w:lineRule="auto"/>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Amendment shall be deemed effective as of the Amendment Date upon (a) the due execution and delivery to Collateral Agent of this Amendment by each party hereto, and (b) Borrower’s payment of all Lenders’ Expenses incurred through the date hereof, which may be debited from any of Borrower’s accounts with Lenders.</w:t>
      </w:r>
    </w:p>
    <w:p>
      <w:pPr>
        <w:spacing w:after="0" w:line="181"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Amendment may be executed in any number of counterparts, each of which shall be deemed an original, and all of which, taken together, shall constitute one and the same instrument.</w:t>
      </w:r>
    </w:p>
    <w:p>
      <w:pPr>
        <w:spacing w:after="0" w:line="170"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Amendment and the rights and obligations of the parties hereto shall be governed by and construed in accordance with the laws of the State of New York.</w:t>
      </w:r>
    </w:p>
    <w:p>
      <w:pPr>
        <w:spacing w:after="0" w:line="166"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9" w:right="239" w:bottom="1440" w:gutter="0" w:footer="0" w:header="0"/>
        </w:sectPr>
      </w:pPr>
    </w:p>
    <w:bookmarkStart w:id="64" w:name="page65"/>
    <w:bookmarkEnd w:id="64"/>
    <w:p>
      <w:pPr>
        <w:ind w:right="4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Fourth Amendment to Loan and Security Agreement to be executed as of the Fourth</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President and CEO</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 TECHNOLOGIES,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Colette Featherly</w:t>
            </w:r>
          </w:p>
        </w:tc>
        <w:tc>
          <w:tcPr>
            <w:tcW w:w="5800" w:type="dxa"/>
            <w:vAlign w:val="bottom"/>
          </w:tcPr>
          <w:p>
            <w:pPr>
              <w:spacing w:after="0"/>
              <w:rPr>
                <w:sz w:val="20"/>
                <w:szCs w:val="20"/>
                <w:color w:val="auto"/>
              </w:rPr>
            </w:pP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Colette Featherly</w:t>
            </w:r>
          </w:p>
        </w:tc>
        <w:tc>
          <w:tcPr>
            <w:tcW w:w="580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5800" w:type="dxa"/>
            <w:vAlign w:val="bottom"/>
          </w:tcPr>
          <w:p>
            <w:pPr>
              <w:spacing w:after="0"/>
              <w:rPr>
                <w:sz w:val="20"/>
                <w:szCs w:val="20"/>
                <w:color w:val="auto"/>
              </w:rPr>
            </w:pPr>
          </w:p>
        </w:tc>
      </w:tr>
      <w:tr>
        <w:trPr>
          <w:trHeight w:val="648"/>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65" w:name="page66"/>
    <w:bookmarkEnd w:id="65"/>
    <w:p>
      <w:pPr>
        <w:ind w:left="10400"/>
        <w:spacing w:after="0"/>
        <w:rPr>
          <w:sz w:val="20"/>
          <w:szCs w:val="20"/>
          <w:color w:val="auto"/>
        </w:rPr>
      </w:pPr>
      <w:r>
        <w:rPr>
          <w:rFonts w:ascii="Arial" w:cs="Arial" w:eastAsia="Arial" w:hAnsi="Arial"/>
          <w:sz w:val="16"/>
          <w:szCs w:val="16"/>
          <w:b w:val="1"/>
          <w:bCs w:val="1"/>
          <w:color w:val="auto"/>
        </w:rPr>
        <w:t>Exhibit 10.38</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THIS PROMISSORY NOTE (AND ALL PAYMENT AND ENFORCEMENT PROVISIONS HEREIN) (THE “NOTE”) IS SUBJECT TO THE TERMS OF A SUBORDINATION AGREEMENT DATED AS OF MAY 7, 2018, BY AND AMONG OXFORD FINANCE LLC, AS COLLATERAL AGENT, THE NOTEHOLDER (AS DEFINED HEREIN), THE LENDERS THAT ARE PARTY TO THE LOAN AGREEMENT (AS DEFINED HEREIN), AND THE BORROWER (AS DEFINED HEREIN) (THE “SUBORDINATION AGREEMENT”). IN THE EVENT OF ANY INCONSISTENCY BETWEEN THIS NOTE AND THE SUBORDINATION AGREEMENT, THE TERMS OF THE SUBORDINATION AGREEMENT SHALL CONTROL.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ind w:right="260" w:firstLine="389"/>
        <w:spacing w:after="0" w:line="302" w:lineRule="auto"/>
        <w:rPr>
          <w:sz w:val="20"/>
          <w:szCs w:val="20"/>
          <w:color w:val="auto"/>
        </w:rPr>
      </w:pPr>
      <w:r>
        <w:rPr>
          <w:rFonts w:ascii="Arial" w:cs="Arial" w:eastAsia="Arial" w:hAnsi="Arial"/>
          <w:sz w:val="16"/>
          <w:szCs w:val="16"/>
          <w:color w:val="auto"/>
        </w:rPr>
        <w:t>FOR VALUE RECEIVED, and subject to the terms and conditions set forth herein, ACURA PHARMACEUTICALS, INC., a New York corporation with offices located at 616 N. North Court, Suite 120, Palatine, Illinois (</w:t>
      </w:r>
      <w:r>
        <w:rPr>
          <w:rFonts w:ascii="Arial" w:cs="Arial" w:eastAsia="Arial" w:hAnsi="Arial"/>
          <w:sz w:val="16"/>
          <w:szCs w:val="16"/>
          <w:b w:val="1"/>
          <w:bCs w:val="1"/>
          <w:color w:val="auto"/>
        </w:rPr>
        <w:t>“Borrower”</w:t>
      </w:r>
      <w:r>
        <w:rPr>
          <w:rFonts w:ascii="Arial" w:cs="Arial" w:eastAsia="Arial" w:hAnsi="Arial"/>
          <w:sz w:val="16"/>
          <w:szCs w:val="16"/>
          <w:color w:val="auto"/>
        </w:rPr>
        <w:t xml:space="preserve">), hereby unconditionally promises to pay to the order of John Schutte c/o MainPointe Pharmaceuticals, LLC, 333 E. Main Street, Louisville, KY 40202 or his assigns (the </w:t>
      </w:r>
      <w:r>
        <w:rPr>
          <w:rFonts w:ascii="Arial" w:cs="Arial" w:eastAsia="Arial" w:hAnsi="Arial"/>
          <w:sz w:val="16"/>
          <w:szCs w:val="16"/>
          <w:b w:val="1"/>
          <w:bCs w:val="1"/>
          <w:color w:val="auto"/>
        </w:rPr>
        <w:t>“Noteholder”</w:t>
      </w:r>
      <w:r>
        <w:rPr>
          <w:rFonts w:ascii="Arial" w:cs="Arial" w:eastAsia="Arial" w:hAnsi="Arial"/>
          <w:sz w:val="16"/>
          <w:szCs w:val="16"/>
          <w:color w:val="auto"/>
        </w:rPr>
        <w:t xml:space="preserve">), the principal amount of </w:t>
      </w:r>
      <w:r>
        <w:rPr>
          <w:rFonts w:ascii="Arial" w:cs="Arial" w:eastAsia="Arial" w:hAnsi="Arial"/>
          <w:sz w:val="16"/>
          <w:szCs w:val="16"/>
          <w:b w:val="1"/>
          <w:bCs w:val="1"/>
          <w:color w:val="auto"/>
        </w:rPr>
        <w:t>FIVE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HUNDRED THOUSAND DOLLARS ($500,000) </w:t>
      </w:r>
      <w:r>
        <w:rPr>
          <w:rFonts w:ascii="Arial" w:cs="Arial" w:eastAsia="Arial" w:hAnsi="Arial"/>
          <w:sz w:val="16"/>
          <w:szCs w:val="16"/>
          <w:color w:val="auto"/>
        </w:rPr>
        <w:t>together with all accrued interest thereon, as provided in this Promissory Note (this "</w:t>
      </w:r>
      <w:r>
        <w:rPr>
          <w:rFonts w:ascii="Arial" w:cs="Arial" w:eastAsia="Arial" w:hAnsi="Arial"/>
          <w:sz w:val="16"/>
          <w:szCs w:val="16"/>
          <w:b w:val="1"/>
          <w:bCs w:val="1"/>
          <w:color w:val="auto"/>
        </w:rPr>
        <w:t>Note</w:t>
      </w:r>
      <w:r>
        <w:rPr>
          <w:rFonts w:ascii="Arial" w:cs="Arial" w:eastAsia="Arial" w:hAnsi="Arial"/>
          <w:sz w:val="16"/>
          <w:szCs w:val="16"/>
          <w:color w:val="auto"/>
        </w:rPr>
        <w:t>").</w:t>
      </w:r>
    </w:p>
    <w:p>
      <w:pPr>
        <w:spacing w:after="0" w:line="154" w:lineRule="exact"/>
        <w:rPr>
          <w:sz w:val="20"/>
          <w:szCs w:val="20"/>
          <w:color w:val="auto"/>
        </w:rPr>
      </w:pPr>
    </w:p>
    <w:p>
      <w:pPr>
        <w:ind w:left="900" w:hanging="50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Unless defined elsewhere in this Note, capitalized terms used herein shall have the meanings set forth in this Section 1.</w:t>
      </w:r>
    </w:p>
    <w:p>
      <w:pPr>
        <w:spacing w:after="0" w:line="221" w:lineRule="exact"/>
        <w:rPr>
          <w:sz w:val="20"/>
          <w:szCs w:val="20"/>
          <w:color w:val="auto"/>
        </w:rPr>
      </w:pPr>
    </w:p>
    <w:p>
      <w:pPr>
        <w:ind w:left="400" w:right="220" w:firstLine="1167"/>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as to any Person, any other Person that, directly or indirectly through one or more intermediaries, is in control of, is controlled by, or is under common control with, such Person. For purposes of this definition, "control" of a Person means the power, directly or indirectly, either to (a) vote more than 50%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51" w:lineRule="exact"/>
        <w:rPr>
          <w:sz w:val="20"/>
          <w:szCs w:val="20"/>
          <w:color w:val="auto"/>
        </w:rPr>
      </w:pPr>
    </w:p>
    <w:p>
      <w:pPr>
        <w:ind w:left="400" w:right="360" w:firstLine="116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trust, joint venture, association, company, limited or general partnership, unincorporated organization, governmental authority or other entity.</w:t>
      </w:r>
    </w:p>
    <w:p>
      <w:pPr>
        <w:spacing w:after="0" w:line="16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xml:space="preserve">" means the rate of interest per annum equal to the prime rate as reported by the </w:t>
      </w:r>
      <w:r>
        <w:rPr>
          <w:rFonts w:ascii="Arial" w:cs="Arial" w:eastAsia="Arial" w:hAnsi="Arial"/>
          <w:sz w:val="18"/>
          <w:szCs w:val="18"/>
          <w:i w:val="1"/>
          <w:iCs w:val="1"/>
          <w:color w:val="auto"/>
        </w:rPr>
        <w:t>Wall Street Journal.</w:t>
      </w:r>
    </w:p>
    <w:p>
      <w:pPr>
        <w:spacing w:after="0" w:line="225" w:lineRule="exact"/>
        <w:rPr>
          <w:sz w:val="20"/>
          <w:szCs w:val="20"/>
          <w:color w:val="auto"/>
        </w:rPr>
      </w:pPr>
    </w:p>
    <w:p>
      <w:pPr>
        <w:ind w:left="900" w:hanging="50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On the date hereof Noteholder is funding a loan of $500,000 (the “</w:t>
      </w:r>
      <w:r>
        <w:rPr>
          <w:rFonts w:ascii="Arial" w:cs="Arial" w:eastAsia="Arial" w:hAnsi="Arial"/>
          <w:sz w:val="18"/>
          <w:szCs w:val="18"/>
          <w:b w:val="1"/>
          <w:bCs w:val="1"/>
          <w:color w:val="auto"/>
        </w:rPr>
        <w:t>Loan</w:t>
      </w:r>
      <w:r>
        <w:rPr>
          <w:rFonts w:ascii="Arial" w:cs="Arial" w:eastAsia="Arial" w:hAnsi="Arial"/>
          <w:sz w:val="18"/>
          <w:szCs w:val="18"/>
          <w:color w:val="auto"/>
        </w:rPr>
        <w:t>”) to Borrower.</w:t>
      </w:r>
    </w:p>
    <w:p>
      <w:pPr>
        <w:spacing w:after="0" w:line="229" w:lineRule="exact"/>
        <w:rPr>
          <w:rFonts w:ascii="Arial" w:cs="Arial" w:eastAsia="Arial" w:hAnsi="Arial"/>
          <w:sz w:val="18"/>
          <w:szCs w:val="18"/>
          <w:color w:val="auto"/>
        </w:rPr>
      </w:pPr>
    </w:p>
    <w:p>
      <w:pPr>
        <w:ind w:left="900" w:hanging="50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Payment Dates; Optional Prepayments;</w:t>
      </w:r>
    </w:p>
    <w:p>
      <w:pPr>
        <w:spacing w:after="0" w:line="225" w:lineRule="exact"/>
        <w:rPr>
          <w:sz w:val="20"/>
          <w:szCs w:val="20"/>
          <w:color w:val="auto"/>
        </w:rPr>
      </w:pPr>
    </w:p>
    <w:p>
      <w:pPr>
        <w:ind w:left="400" w:right="40" w:firstLine="51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Payment Dates</w:t>
      </w:r>
      <w:r>
        <w:rPr>
          <w:rFonts w:ascii="Arial" w:cs="Arial" w:eastAsia="Arial" w:hAnsi="Arial"/>
          <w:sz w:val="18"/>
          <w:szCs w:val="18"/>
          <w:color w:val="auto"/>
        </w:rPr>
        <w:t xml:space="preserve">. The aggregate unpaid principal amount of the Loan together with all accrued and unpaid interest thereon shall be due and payable on January 2, 2020 (the </w:t>
      </w:r>
      <w:r>
        <w:rPr>
          <w:rFonts w:ascii="Arial" w:cs="Arial" w:eastAsia="Arial" w:hAnsi="Arial"/>
          <w:sz w:val="18"/>
          <w:szCs w:val="18"/>
          <w:b w:val="1"/>
          <w:bCs w:val="1"/>
          <w:color w:val="auto"/>
        </w:rPr>
        <w:t>“Maturity Date”)</w:t>
      </w:r>
      <w:r>
        <w:rPr>
          <w:rFonts w:ascii="Arial" w:cs="Arial" w:eastAsia="Arial" w:hAnsi="Arial"/>
          <w:sz w:val="18"/>
          <w:szCs w:val="18"/>
          <w:color w:val="auto"/>
        </w:rPr>
        <w:t>.</w:t>
      </w:r>
    </w:p>
    <w:p>
      <w:pPr>
        <w:spacing w:after="0" w:line="170" w:lineRule="exact"/>
        <w:rPr>
          <w:sz w:val="20"/>
          <w:szCs w:val="20"/>
          <w:color w:val="auto"/>
        </w:rPr>
      </w:pPr>
    </w:p>
    <w:p>
      <w:pPr>
        <w:ind w:left="400" w:right="600" w:firstLine="51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Optional Prepayments</w:t>
      </w:r>
      <w:r>
        <w:rPr>
          <w:rFonts w:ascii="Arial" w:cs="Arial" w:eastAsia="Arial" w:hAnsi="Arial"/>
          <w:sz w:val="18"/>
          <w:szCs w:val="18"/>
          <w:color w:val="auto"/>
        </w:rPr>
        <w:t>. The Borrower may prepay the Loan in whole or in part at any time or from time to time without penalty or premium by paying the principal amount to be prepaid together with accrued interest thereon to the date of prepayment.</w:t>
      </w:r>
    </w:p>
    <w:p>
      <w:pPr>
        <w:spacing w:after="0" w:line="170" w:lineRule="exact"/>
        <w:rPr>
          <w:sz w:val="20"/>
          <w:szCs w:val="20"/>
          <w:color w:val="auto"/>
        </w:rPr>
      </w:pPr>
    </w:p>
    <w:p>
      <w:pPr>
        <w:jc w:val="both"/>
        <w:ind w:left="400" w:right="40" w:firstLine="51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Payment Mechanics</w:t>
      </w:r>
      <w:r>
        <w:rPr>
          <w:rFonts w:ascii="Arial" w:cs="Arial" w:eastAsia="Arial" w:hAnsi="Arial"/>
          <w:sz w:val="16"/>
          <w:szCs w:val="16"/>
          <w:color w:val="auto"/>
        </w:rPr>
        <w:t>. All payments of interest and principal shall be made in lawful money of the United States of America on the date on which such payment is due by wire transfer of immediately available funds to the Noteholder's account at a bank specified by the Noteholder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6" w:name="page67"/>
    <w:bookmarkEnd w:id="66"/>
    <w:p>
      <w:pPr>
        <w:ind w:left="-40" w:right="60" w:firstLine="397"/>
        <w:spacing w:after="0" w:line="342" w:lineRule="auto"/>
        <w:tabs>
          <w:tab w:leader="none" w:pos="844"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The outstanding principal amount of the Loan shall bear interest at a rate equal to the Prime Rate plus 2% per anum and shall accrue and be payable at the Maturity Date. All computations of interest shall be made on the basis of a 360 day year consisting of 12 months of 30 days.</w:t>
      </w:r>
    </w:p>
    <w:p>
      <w:pPr>
        <w:spacing w:after="0" w:line="119" w:lineRule="exact"/>
        <w:rPr>
          <w:rFonts w:ascii="Arial" w:cs="Arial" w:eastAsia="Arial" w:hAnsi="Arial"/>
          <w:sz w:val="16"/>
          <w:szCs w:val="16"/>
          <w:color w:val="auto"/>
        </w:rPr>
      </w:pPr>
    </w:p>
    <w:p>
      <w:pPr>
        <w:ind w:left="860" w:hanging="503"/>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and continuance of any of the following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hereunder:</w:t>
      </w:r>
    </w:p>
    <w:p>
      <w:pPr>
        <w:spacing w:after="0" w:line="229" w:lineRule="exact"/>
        <w:rPr>
          <w:sz w:val="20"/>
          <w:szCs w:val="20"/>
          <w:color w:val="auto"/>
        </w:rPr>
      </w:pPr>
    </w:p>
    <w:p>
      <w:pPr>
        <w:ind w:left="360" w:right="200" w:firstLine="518"/>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Failure to Pay</w:t>
      </w:r>
      <w:r>
        <w:rPr>
          <w:rFonts w:ascii="Arial" w:cs="Arial" w:eastAsia="Arial" w:hAnsi="Arial"/>
          <w:sz w:val="18"/>
          <w:szCs w:val="18"/>
          <w:color w:val="auto"/>
        </w:rPr>
        <w:t>. The Borrower fails to pay any amount of principal of, or interest on, the Loan when due and such failure continues for 5 days after written notice to the Borrower.</w:t>
      </w:r>
    </w:p>
    <w:p>
      <w:pPr>
        <w:spacing w:after="0" w:line="170" w:lineRule="exact"/>
        <w:rPr>
          <w:sz w:val="20"/>
          <w:szCs w:val="20"/>
          <w:color w:val="auto"/>
        </w:rPr>
      </w:pPr>
    </w:p>
    <w:p>
      <w:pPr>
        <w:ind w:left="360" w:firstLine="518"/>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Bankruptcy</w:t>
      </w:r>
      <w:r>
        <w:rPr>
          <w:rFonts w:ascii="Arial" w:cs="Arial" w:eastAsia="Arial" w:hAnsi="Arial"/>
          <w:sz w:val="17"/>
          <w:szCs w:val="17"/>
          <w:color w:val="auto"/>
        </w:rPr>
        <w:t>. (A) The Borrower commences any case, proceeding or other action (i) under any existing or future law relating to 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or the Borrower makes a general assignment for the benefit of its creditors; or (B) there is commenced against the Borrower any case, proceeding or other action of a nature referred to in Section 5.2(A) above which (i) results in the entry of an order for relief or any such adjudication or appointment or (ii) remains undismissed, undischarged or unbonded for a period of 60 days.</w:t>
      </w:r>
    </w:p>
    <w:p>
      <w:pPr>
        <w:spacing w:after="0" w:line="178" w:lineRule="exact"/>
        <w:rPr>
          <w:sz w:val="20"/>
          <w:szCs w:val="20"/>
          <w:color w:val="auto"/>
        </w:rPr>
      </w:pPr>
    </w:p>
    <w:p>
      <w:pPr>
        <w:ind w:left="-40" w:right="120" w:firstLine="397"/>
        <w:spacing w:after="0" w:line="279" w:lineRule="auto"/>
        <w:tabs>
          <w:tab w:leader="none" w:pos="844"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Upon the occurrence of any Event of Default and at any time thereafter during the continuance of such Event of Default, the Noteholder may at its option, by written notice to the Borrower declare the entire principal amount of this Note, together with all accrued interest thereon, immediately due and payable,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an Event of Default described in Section 5.2 shall occur, the principal of and accrued interest on the Loan shall become immediately due and payable without any notice, declaration or other act on the part of the Noteholder.</w:t>
      </w:r>
    </w:p>
    <w:p>
      <w:pPr>
        <w:spacing w:after="0" w:line="171" w:lineRule="exact"/>
        <w:rPr>
          <w:rFonts w:ascii="Arial" w:cs="Arial" w:eastAsia="Arial" w:hAnsi="Arial"/>
          <w:sz w:val="17"/>
          <w:szCs w:val="17"/>
          <w:color w:val="auto"/>
        </w:rPr>
      </w:pPr>
    </w:p>
    <w:p>
      <w:pPr>
        <w:ind w:left="860" w:hanging="503"/>
        <w:spacing w:after="0"/>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360" w:right="160" w:firstLine="518"/>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Note, and any claim, controversy, dispute or cause of action (whether in contract or tort or otherwise) based upon, arising out of or relating to this Note and the transactions contemplated hereby and thereby shall be governed by the laws of the State of New York, without giving effect to conflict of law provisions.</w:t>
      </w:r>
    </w:p>
    <w:p>
      <w:pPr>
        <w:spacing w:after="0" w:line="181" w:lineRule="exact"/>
        <w:rPr>
          <w:sz w:val="20"/>
          <w:szCs w:val="20"/>
          <w:color w:val="auto"/>
        </w:rPr>
      </w:pPr>
    </w:p>
    <w:p>
      <w:pPr>
        <w:jc w:val="both"/>
        <w:ind w:left="360" w:firstLine="518"/>
        <w:spacing w:after="0" w:line="31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Note is non-negotiable but may be assigned or transferred by the Noteholder, with the prior written consent of the Collateral Agent (as defined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consent is not required if the Noteholder assigns or transfers this Note to an Affiliate. The Borrower must provide prior written notice to the Collateral Agent of any assignment or transfer this Note or any of its rights hereunder.</w:t>
      </w:r>
    </w:p>
    <w:p>
      <w:pPr>
        <w:spacing w:after="0" w:line="147" w:lineRule="exact"/>
        <w:rPr>
          <w:sz w:val="20"/>
          <w:szCs w:val="20"/>
          <w:color w:val="auto"/>
        </w:rPr>
      </w:pPr>
    </w:p>
    <w:p>
      <w:pPr>
        <w:ind w:left="360" w:right="400" w:firstLine="518"/>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Waiver of Notice</w:t>
      </w:r>
      <w:r>
        <w:rPr>
          <w:rFonts w:ascii="Arial" w:cs="Arial" w:eastAsia="Arial" w:hAnsi="Arial"/>
          <w:sz w:val="17"/>
          <w:szCs w:val="17"/>
          <w:color w:val="auto"/>
        </w:rPr>
        <w:t>. The Borrower hereby waives demand for payment, presentment for payment, protest, notice of payment, notice of dishonor, notice of nonpayment, notice of acceleration of maturity and diligence in taking any action to collect sums owing hereunder.</w:t>
      </w:r>
    </w:p>
    <w:p>
      <w:pPr>
        <w:spacing w:after="0" w:line="147" w:lineRule="exact"/>
        <w:rPr>
          <w:sz w:val="20"/>
          <w:szCs w:val="20"/>
          <w:color w:val="auto"/>
        </w:rPr>
      </w:pPr>
    </w:p>
    <w:p>
      <w:pPr>
        <w:ind w:left="360" w:right="400" w:firstLine="518"/>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term of this Note may be waived, modified or amended except by an instrument in writing signed the Noteholder and Borrower, and with the prior written consent of the Collateral Agent (as defined below). Any waiver of the terms hereof shall be effective only in the specific instance and for the specific purpose given.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67" w:name="page68"/>
    <w:bookmarkEnd w:id="67"/>
    <w:p>
      <w:pPr>
        <w:ind w:left="360" w:right="20" w:firstLine="518"/>
        <w:spacing w:after="0" w:line="279"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No Waiver; Cumulative Remedies</w:t>
      </w:r>
      <w:r>
        <w:rPr>
          <w:rFonts w:ascii="Arial" w:cs="Arial" w:eastAsia="Arial" w:hAnsi="Arial"/>
          <w:sz w:val="17"/>
          <w:szCs w:val="17"/>
          <w:color w:val="auto"/>
        </w:rPr>
        <w:t>. No failure to exercise and no delay in exercising on the part of the Noteholder, of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1" w:lineRule="exact"/>
        <w:rPr>
          <w:sz w:val="20"/>
          <w:szCs w:val="20"/>
          <w:color w:val="auto"/>
        </w:rPr>
      </w:pPr>
    </w:p>
    <w:p>
      <w:pPr>
        <w:ind w:left="360" w:firstLine="518"/>
        <w:spacing w:after="0" w:line="293"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Security</w:t>
      </w:r>
      <w:r>
        <w:rPr>
          <w:rFonts w:ascii="Arial" w:cs="Arial" w:eastAsia="Arial" w:hAnsi="Arial"/>
          <w:sz w:val="16"/>
          <w:szCs w:val="16"/>
          <w:color w:val="auto"/>
        </w:rPr>
        <w:t>. This Note is unsecured, provided however, upon the full satisfaction of all Borrower’s obligations to Collateral Agent and Lenders (as defined below in paragraph 8), Borrower shall grant a security interest to Noteholder, execute all documents reasonably required by Noteholder and take all action reasonably necessary to secure and perfect Noteholder’s security interest in all of Borrower’s property including, but not limited to, accounts, inventory, equipment, general intangibles, intellectual property, chattel paper, investment property, instruments, documents, letter of credit rights, insurance proceeds and real estate, excluding agreements that by their terms may not be collaterally assigned and other property that may not be collaterally assigned (such as intent to use trademark applications), in each case without causing a default, termination or right of termination.</w:t>
      </w:r>
    </w:p>
    <w:p>
      <w:pPr>
        <w:spacing w:after="0" w:line="165" w:lineRule="exact"/>
        <w:rPr>
          <w:sz w:val="20"/>
          <w:szCs w:val="20"/>
          <w:color w:val="auto"/>
        </w:rPr>
      </w:pPr>
    </w:p>
    <w:p>
      <w:pPr>
        <w:ind w:left="-40" w:right="20" w:firstLine="397"/>
        <w:spacing w:after="0" w:line="257" w:lineRule="auto"/>
        <w:tabs>
          <w:tab w:leader="none" w:pos="84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 The indebtedness represented by this Note shall be subordinated in accordance with the provisions of that certain Subordination Agreement dated of even date herewith (the “</w:t>
      </w:r>
      <w:r>
        <w:rPr>
          <w:rFonts w:ascii="Arial" w:cs="Arial" w:eastAsia="Arial" w:hAnsi="Arial"/>
          <w:sz w:val="18"/>
          <w:szCs w:val="18"/>
          <w:b w:val="1"/>
          <w:bCs w:val="1"/>
          <w:color w:val="auto"/>
        </w:rPr>
        <w:t>Subordination Agreement</w:t>
      </w:r>
      <w:r>
        <w:rPr>
          <w:rFonts w:ascii="Arial" w:cs="Arial" w:eastAsia="Arial" w:hAnsi="Arial"/>
          <w:sz w:val="18"/>
          <w:szCs w:val="18"/>
          <w:color w:val="auto"/>
        </w:rPr>
        <w:t>”) among the Noteholder, Borrower, OXFORD FINANCE LLC, as Collateral Agent (the “</w:t>
      </w:r>
      <w:r>
        <w:rPr>
          <w:rFonts w:ascii="Arial" w:cs="Arial" w:eastAsia="Arial" w:hAnsi="Arial"/>
          <w:sz w:val="18"/>
          <w:szCs w:val="18"/>
          <w:b w:val="1"/>
          <w:bCs w:val="1"/>
          <w:color w:val="auto"/>
        </w:rPr>
        <w:t>Collateral Agent</w:t>
      </w:r>
      <w:r>
        <w:rPr>
          <w:rFonts w:ascii="Arial" w:cs="Arial" w:eastAsia="Arial" w:hAnsi="Arial"/>
          <w:sz w:val="18"/>
          <w:szCs w:val="18"/>
          <w:color w:val="auto"/>
        </w:rPr>
        <w:t>”) for the lenders (“</w:t>
      </w:r>
      <w:r>
        <w:rPr>
          <w:rFonts w:ascii="Arial" w:cs="Arial" w:eastAsia="Arial" w:hAnsi="Arial"/>
          <w:sz w:val="18"/>
          <w:szCs w:val="18"/>
          <w:b w:val="1"/>
          <w:bCs w:val="1"/>
          <w:color w:val="auto"/>
        </w:rPr>
        <w:t>Lenders</w:t>
      </w:r>
      <w:r>
        <w:rPr>
          <w:rFonts w:ascii="Arial" w:cs="Arial" w:eastAsia="Arial" w:hAnsi="Arial"/>
          <w:sz w:val="18"/>
          <w:szCs w:val="18"/>
          <w:color w:val="auto"/>
        </w:rPr>
        <w:t>”) party to that certain Loan and Security Agreement, dated as of December 27, 2013 (as amended, supplemented or otherwise modified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to the Collateral Agent’s and/or Lender’s Senior Debt (as defined in the Subordination Agreement).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Borrower has executed this Note as of June 28, 2018.</w:t>
      </w:r>
    </w:p>
    <w:p>
      <w:pPr>
        <w:spacing w:after="0" w:line="221"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ACURA PHARMACEUTICALS, INC.</w:t>
      </w:r>
    </w:p>
    <w:p>
      <w:pPr>
        <w:spacing w:after="0" w:line="229" w:lineRule="exact"/>
        <w:rPr>
          <w:sz w:val="20"/>
          <w:szCs w:val="20"/>
          <w:color w:val="auto"/>
        </w:rPr>
      </w:pPr>
    </w:p>
    <w:p>
      <w:pPr>
        <w:ind w:left="5680"/>
        <w:spacing w:after="0"/>
        <w:tabs>
          <w:tab w:leader="none" w:pos="6120" w:val="left"/>
        </w:tabs>
        <w:rPr>
          <w:sz w:val="20"/>
          <w:szCs w:val="20"/>
          <w:color w:val="auto"/>
        </w:rPr>
      </w:pPr>
      <w:r>
        <w:rPr>
          <w:rFonts w:ascii="Arial" w:cs="Arial" w:eastAsia="Arial" w:hAnsi="Arial"/>
          <w:sz w:val="18"/>
          <w:szCs w:val="18"/>
          <w:color w:val="auto"/>
        </w:rPr>
        <w:t>By:</w:t>
        <w:tab/>
        <w:t>/s/ Peter A. Clemens</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-130810</wp:posOffset>
            </wp:positionV>
            <wp:extent cx="33274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Sr. VP &amp; CFO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9" w:right="25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t>Exhibit 31.1</w:t>
      </w:r>
    </w:p>
    <w:p>
      <w:pPr>
        <w:spacing w:after="0" w:line="21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81" w:lineRule="exact"/>
        <w:rPr>
          <w:rFonts w:ascii="Arial" w:cs="Arial" w:eastAsia="Arial" w:hAnsi="Arial"/>
          <w:sz w:val="18"/>
          <w:szCs w:val="18"/>
          <w:color w:val="auto"/>
        </w:rPr>
      </w:pPr>
    </w:p>
    <w:p>
      <w:pPr>
        <w:jc w:val="both"/>
        <w:ind w:left="980" w:hanging="310"/>
        <w:spacing w:after="0" w:line="264" w:lineRule="auto"/>
        <w:tabs>
          <w:tab w:leader="none" w:pos="980" w:val="left"/>
        </w:tabs>
        <w:numPr>
          <w:ilvl w:val="2"/>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980" w:hanging="310"/>
        <w:spacing w:after="0" w:line="264" w:lineRule="auto"/>
        <w:tabs>
          <w:tab w:leader="none" w:pos="980" w:val="left"/>
        </w:tabs>
        <w:numPr>
          <w:ilvl w:val="2"/>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81" w:lineRule="exact"/>
        <w:rPr>
          <w:rFonts w:ascii="Arial" w:cs="Arial" w:eastAsia="Arial" w:hAnsi="Arial"/>
          <w:sz w:val="18"/>
          <w:szCs w:val="18"/>
          <w:color w:val="auto"/>
        </w:rPr>
      </w:pPr>
    </w:p>
    <w:p>
      <w:pPr>
        <w:ind w:left="980" w:hanging="310"/>
        <w:spacing w:after="0" w:line="308" w:lineRule="auto"/>
        <w:tabs>
          <w:tab w:leader="none" w:pos="980" w:val="left"/>
        </w:tabs>
        <w:numPr>
          <w:ilvl w:val="2"/>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980" w:hanging="310"/>
        <w:spacing w:after="0" w:line="342" w:lineRule="auto"/>
        <w:tabs>
          <w:tab w:leader="none" w:pos="980" w:val="left"/>
        </w:tabs>
        <w:numPr>
          <w:ilvl w:val="2"/>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980" w:right="20" w:hanging="324"/>
        <w:spacing w:after="0" w:line="342" w:lineRule="auto"/>
        <w:tabs>
          <w:tab w:leader="none" w:pos="9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660"/>
              <w:spacing w:after="0"/>
              <w:rPr>
                <w:sz w:val="20"/>
                <w:szCs w:val="20"/>
                <w:color w:val="auto"/>
              </w:rPr>
            </w:pPr>
            <w:r>
              <w:rPr>
                <w:rFonts w:ascii="Arial" w:cs="Arial" w:eastAsia="Arial" w:hAnsi="Arial"/>
                <w:sz w:val="18"/>
                <w:szCs w:val="18"/>
                <w:color w:val="auto"/>
              </w:rPr>
              <w:t>August 13,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648"/>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1" w:lineRule="exact"/>
        <w:rPr>
          <w:rFonts w:ascii="Arial" w:cs="Arial" w:eastAsia="Arial" w:hAnsi="Arial"/>
          <w:sz w:val="18"/>
          <w:szCs w:val="18"/>
          <w:color w:val="auto"/>
        </w:rPr>
      </w:pPr>
    </w:p>
    <w:p>
      <w:pPr>
        <w:jc w:val="both"/>
        <w:ind w:left="980" w:hanging="310"/>
        <w:spacing w:after="0" w:line="264"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980" w:hanging="310"/>
        <w:spacing w:after="0" w:line="264" w:lineRule="auto"/>
        <w:tabs>
          <w:tab w:leader="none" w:pos="9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10"/>
        <w:spacing w:after="0" w:line="308" w:lineRule="auto"/>
        <w:tabs>
          <w:tab w:leader="none" w:pos="980" w:val="left"/>
        </w:tabs>
        <w:numPr>
          <w:ilvl w:val="2"/>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980" w:hanging="310"/>
        <w:spacing w:after="0" w:line="342" w:lineRule="auto"/>
        <w:tabs>
          <w:tab w:leader="none" w:pos="980" w:val="left"/>
        </w:tabs>
        <w:numPr>
          <w:ilvl w:val="2"/>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980" w:right="20" w:hanging="310"/>
        <w:spacing w:after="0" w:line="342" w:lineRule="auto"/>
        <w:tabs>
          <w:tab w:leader="none" w:pos="9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700"/>
              <w:spacing w:after="0"/>
              <w:rPr>
                <w:sz w:val="20"/>
                <w:szCs w:val="20"/>
                <w:color w:val="auto"/>
              </w:rPr>
            </w:pPr>
            <w:r>
              <w:rPr>
                <w:rFonts w:ascii="Arial" w:cs="Arial" w:eastAsia="Arial" w:hAnsi="Arial"/>
                <w:sz w:val="18"/>
                <w:szCs w:val="18"/>
                <w:color w:val="auto"/>
              </w:rPr>
              <w:t>August 13,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Acura Pharmaceuticals, Inc. (the "Company") on Form 10-Q for the period ending June 30, 2018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47"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340"/>
              <w:spacing w:after="0"/>
              <w:rPr>
                <w:sz w:val="20"/>
                <w:szCs w:val="20"/>
                <w:color w:val="auto"/>
              </w:rPr>
            </w:pPr>
            <w:r>
              <w:rPr>
                <w:rFonts w:ascii="Arial" w:cs="Arial" w:eastAsia="Arial" w:hAnsi="Arial"/>
                <w:sz w:val="18"/>
                <w:szCs w:val="18"/>
                <w:color w:val="auto"/>
              </w:rPr>
              <w:t>August 13,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57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þ"/>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lowerRoman"/>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bullet"/>
      <w:start w:val="1"/>
    </w:lvl>
  </w:abstractNum>
  <w:abstractNum w:abstractNumId="14">
    <w:nsid w:val="836C40E"/>
    <w:multiLevelType w:val="hybridMultilevel"/>
    <w:lvl w:ilvl="0">
      <w:lvlJc w:val="left"/>
      <w:lvlText w:val="1"/>
      <w:numFmt w:val="bullet"/>
      <w:start w:val="1"/>
    </w:lvl>
  </w:abstractNum>
  <w:abstractNum w:abstractNumId="15">
    <w:nsid w:val="2901D82"/>
    <w:multiLevelType w:val="hybridMultilevel"/>
    <w:lvl w:ilvl="0">
      <w:lvlJc w:val="left"/>
      <w:lvlText w:val="1"/>
      <w:numFmt w:val="bullet"/>
      <w:start w:val="1"/>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lowerLetter"/>
      <w:start w:val="2"/>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2"/>
    </w:lvl>
  </w:abstractNum>
  <w:abstractNum w:abstractNumId="20">
    <w:nsid w:val="737B8DDC"/>
    <w:multiLevelType w:val="hybridMultilevel"/>
    <w:lvl w:ilvl="0">
      <w:lvlJc w:val="left"/>
      <w:lvlText w:val="%1."/>
      <w:numFmt w:val="decimal"/>
      <w:start w:val="4"/>
    </w:lvl>
  </w:abstractNum>
  <w:abstractNum w:abstractNumId="21">
    <w:nsid w:val="6CEAF087"/>
    <w:multiLevelType w:val="hybridMultilevel"/>
    <w:lvl w:ilvl="0">
      <w:lvlJc w:val="left"/>
      <w:lvlText w:val="%1."/>
      <w:numFmt w:val="decimal"/>
      <w:start w:val="6"/>
    </w:lvl>
  </w:abstractNum>
  <w:abstractNum w:abstractNumId="22">
    <w:nsid w:val="22221A70"/>
    <w:multiLevelType w:val="hybridMultilevel"/>
    <w:lvl w:ilvl="0">
      <w:lvlJc w:val="left"/>
      <w:lvlText w:val="%1."/>
      <w:numFmt w:val="decimal"/>
      <w:start w:val="8"/>
    </w:lvl>
  </w:abstractNum>
  <w:abstractNum w:abstractNumId="23">
    <w:nsid w:val="4516DDE9"/>
    <w:multiLevelType w:val="hybridMultilevel"/>
    <w:lvl w:ilvl="0">
      <w:lvlJc w:val="left"/>
      <w:lvlText w:val="%1."/>
      <w:numFmt w:val="upperLetter"/>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3"/>
    </w:lvl>
    <w:lvl w:ilvl="1">
      <w:lvlJc w:val="left"/>
      <w:lvlText w:val="(%2)"/>
      <w:numFmt w:val="lowerRoman"/>
      <w:start w:val="1"/>
    </w:lvl>
  </w:abstractNum>
  <w:abstractNum w:abstractNumId="26">
    <w:nsid w:val="419AC241"/>
    <w:multiLevelType w:val="hybridMultilevel"/>
    <w:lvl w:ilvl="0">
      <w:lvlJc w:val="left"/>
      <w:lvlText w:val="%1"/>
      <w:numFmt w:val="decimal"/>
      <w:start w:val="30"/>
    </w:lvl>
    <w:lvl w:ilvl="1">
      <w:lvlJc w:val="left"/>
      <w:lvlText w:val="(%2)"/>
      <w:numFmt w:val="lowerRoman"/>
      <w:start w:val="2"/>
    </w:lvl>
  </w:abstractNum>
  <w:abstractNum w:abstractNumId="27">
    <w:nsid w:val="5577F8E1"/>
    <w:multiLevelType w:val="hybridMultilevel"/>
    <w:lvl w:ilvl="0">
      <w:lvlJc w:val="left"/>
      <w:lvlText w:val="%1."/>
      <w:numFmt w:val="decimal"/>
      <w:start w:val="7"/>
    </w:lvl>
    <w:lvl w:ilvl="1">
      <w:lvlJc w:val="left"/>
      <w:lvlText w:val="%2"/>
      <w:numFmt w:val="lowerRoman"/>
      <w:start w:val="1"/>
    </w:lvl>
  </w:abstractNum>
  <w:abstractNum w:abstractNumId="28">
    <w:nsid w:val="440BADFC"/>
    <w:multiLevelType w:val="hybridMultilevel"/>
    <w:lvl w:ilvl="0">
      <w:lvlJc w:val="left"/>
      <w:lvlText w:val="%1."/>
      <w:numFmt w:val="decimal"/>
      <w:start w:val="8"/>
    </w:lvl>
  </w:abstractNum>
  <w:abstractNum w:abstractNumId="29">
    <w:nsid w:val="5072367"/>
    <w:multiLevelType w:val="hybridMultilevel"/>
    <w:lvl w:ilvl="0">
      <w:lvlJc w:val="left"/>
      <w:lvlText w:val="%1."/>
      <w:numFmt w:val="decimal"/>
      <w:start w:val="14"/>
    </w:lvl>
  </w:abstractNum>
  <w:abstractNum w:abstractNumId="30">
    <w:nsid w:val="3804823E"/>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1"/>
    </w:lvl>
  </w:abstractNum>
  <w:abstractNum w:abstractNumId="31">
    <w:nsid w:val="77465F01"/>
    <w:multiLevelType w:val="hybridMultilevel"/>
    <w:lvl w:ilvl="0">
      <w:lvlJc w:val="left"/>
      <w:lvlText w:val="%1"/>
      <w:numFmt w:val="decimal"/>
      <w:start w:val="1"/>
    </w:lvl>
    <w:lvl w:ilvl="1">
      <w:lvlJc w:val="left"/>
      <w:lvlText w:val="%2."/>
      <w:numFmt w:val="lowerLetter"/>
      <w:start w:val="2"/>
    </w:lvl>
  </w:abstractNum>
  <w:abstractNum w:abstractNumId="32">
    <w:nsid w:val="7724C67E"/>
    <w:multiLevelType w:val="hybridMultilevel"/>
    <w:lvl w:ilvl="0">
      <w:lvlJc w:val="left"/>
      <w:lvlText w:val="%1."/>
      <w:numFmt w:val="decimal"/>
      <w:start w:val="4"/>
    </w:lvl>
    <w:lvl w:ilvl="1">
      <w:lvlJc w:val="left"/>
      <w:lvlText w:val="%2."/>
      <w:numFmt w:val="lowerLetter"/>
      <w:start w:val="1"/>
    </w:lvl>
  </w:abstractNum>
  <w:abstractNum w:abstractNumId="33">
    <w:nsid w:val="5C482A97"/>
    <w:multiLevelType w:val="hybridMultilevel"/>
    <w:lvl w:ilvl="0">
      <w:lvlJc w:val="left"/>
      <w:lvlText w:val="%1."/>
      <w:numFmt w:val="decimal"/>
      <w:start w:val="5"/>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2"/>
    </w:lvl>
  </w:abstractNum>
  <w:abstractNum w:abstractNumId="36">
    <w:nsid w:val="51EAD36B"/>
    <w:multiLevelType w:val="hybridMultilevel"/>
    <w:lvl w:ilvl="0">
      <w:lvlJc w:val="left"/>
      <w:lvlText w:val="%1."/>
      <w:numFmt w:val="decimal"/>
      <w:start w:val="4"/>
    </w:lvl>
  </w:abstractNum>
  <w:abstractNum w:abstractNumId="37">
    <w:nsid w:val="2D517796"/>
    <w:multiLevelType w:val="hybridMultilevel"/>
    <w:lvl w:ilvl="0">
      <w:lvlJc w:val="left"/>
      <w:lvlText w:val="%1."/>
      <w:numFmt w:val="decimal"/>
      <w:start w:val="6"/>
    </w:lvl>
  </w:abstractNum>
  <w:abstractNum w:abstractNumId="38">
    <w:nsid w:val="580BD78F"/>
    <w:multiLevelType w:val="hybridMultilevel"/>
    <w:lvl w:ilvl="0">
      <w:lvlJc w:val="left"/>
      <w:lvlText w:val="%1."/>
      <w:numFmt w:val="decimal"/>
      <w:start w:val="8"/>
    </w:lvl>
  </w:abstractNum>
  <w:abstractNum w:abstractNumId="39">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2019-12-28T19:41:30Z</dcterms:created>
  <dcterms:modified xsi:type="dcterms:W3CDTF">2019-12-28T19:41:30Z</dcterms:modified>
</cp:coreProperties>
</file>