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 w:lineRule="exact"/>
        <w:rPr>
          <w:sz w:val="24"/>
          <w:szCs w:val="24"/>
          <w:color w:val="auto"/>
        </w:rPr>
      </w:pPr>
    </w:p>
    <w:p>
      <w:pPr>
        <w:ind w:left="660" w:right="1560" w:hanging="652"/>
        <w:spacing w:after="0" w:line="48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2017</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380" w:firstLine="8"/>
        <w:spacing w:after="0" w:line="501"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Acura Pharmaceuticals,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41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11-0853640</w:t>
            </w:r>
          </w:p>
        </w:tc>
      </w:tr>
      <w:tr>
        <w:trPr>
          <w:trHeight w:val="216"/>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120" w:type="dxa"/>
            <w:vAlign w:val="bottom"/>
          </w:tcPr>
          <w:p>
            <w:pPr>
              <w:jc w:val="center"/>
              <w:ind w:left="14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20" w:type="dxa"/>
            <w:vAlign w:val="bottom"/>
          </w:tcPr>
          <w:p>
            <w:pPr>
              <w:spacing w:after="0"/>
              <w:rPr>
                <w:sz w:val="20"/>
                <w:szCs w:val="20"/>
                <w:color w:val="auto"/>
              </w:rPr>
            </w:pPr>
          </w:p>
        </w:tc>
      </w:tr>
      <w:tr>
        <w:trPr>
          <w:trHeight w:val="410"/>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tc>
        <w:tc>
          <w:tcPr>
            <w:tcW w:w="4120" w:type="dxa"/>
            <w:vAlign w:val="bottom"/>
          </w:tcPr>
          <w:p>
            <w:pPr>
              <w:spacing w:after="0"/>
              <w:rPr>
                <w:sz w:val="24"/>
                <w:szCs w:val="24"/>
                <w:color w:val="auto"/>
              </w:rPr>
            </w:pPr>
          </w:p>
        </w:tc>
      </w:tr>
      <w:tr>
        <w:trPr>
          <w:trHeight w:val="218"/>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Palatine, Illinois</w:t>
            </w:r>
          </w:p>
        </w:tc>
        <w:tc>
          <w:tcPr>
            <w:tcW w:w="41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60067</w:t>
            </w:r>
          </w:p>
        </w:tc>
      </w:tr>
      <w:tr>
        <w:trPr>
          <w:trHeight w:val="236"/>
        </w:trPr>
        <w:tc>
          <w:tcPr>
            <w:tcW w:w="4440" w:type="dxa"/>
            <w:vAlign w:val="bottom"/>
          </w:tcPr>
          <w:p>
            <w:pPr>
              <w:jc w:val="center"/>
              <w:ind w:right="14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120" w:type="dxa"/>
            <w:vAlign w:val="bottom"/>
          </w:tcPr>
          <w:p>
            <w:pPr>
              <w:jc w:val="center"/>
              <w:ind w:left="14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847 705 7709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7" w:lineRule="exact"/>
        <w:rPr>
          <w:sz w:val="24"/>
          <w:szCs w:val="24"/>
          <w:color w:val="auto"/>
        </w:rPr>
      </w:pPr>
    </w:p>
    <w:p>
      <w:pPr>
        <w:jc w:val="both"/>
        <w:ind w:firstLine="259"/>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259"/>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þ 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þ</w:t>
            </w:r>
          </w:p>
        </w:tc>
      </w:tr>
      <w:tr>
        <w:trPr>
          <w:trHeight w:val="283"/>
        </w:trPr>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9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firstLine="2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þ</w:t>
      </w:r>
    </w:p>
    <w:p>
      <w:pPr>
        <w:spacing w:after="0" w:line="25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August 11, 2017 the registrant had 20,795,994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JUNE 30,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June 30, 2017 and December 31, 2016 (unaudited)</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 and Comprehensive Loss for the Three and Six months Ended June 30, 2017 and</w:t>
              </w:r>
            </w:hyperlink>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June 30, 2016 (unaudited)</w:t>
              </w:r>
            </w:hyperlink>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 of Stockholders’ Equity for the Six months Ended June 30, 2017 (unaudited)</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 for the Six months Ended June 30, 2017 and June 30, 2016 (unaudited)</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 (unaudited)</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Controls and Procedures</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17"/>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Part II. OTHER INFORMATION</w:t>
              </w:r>
            </w:hyperlink>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Legal Proceedings</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Risk Factors</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340" w:type="dxa"/>
            <w:vAlign w:val="bottom"/>
            <w:shd w:val="clear" w:color="auto" w:fill="CCEEFF"/>
          </w:tcPr>
          <w:p>
            <w:pPr>
              <w:spacing w:after="0"/>
              <w:rPr>
                <w:sz w:val="17"/>
                <w:szCs w:val="17"/>
                <w:color w:val="auto"/>
              </w:rPr>
            </w:pPr>
          </w:p>
        </w:tc>
        <w:tc>
          <w:tcPr>
            <w:tcW w:w="902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w:t>
              </w:r>
            </w:hyperlink>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Signatures</w:t>
              </w:r>
            </w:hyperlink>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500" w:type="dxa"/>
            <w:vAlign w:val="bottom"/>
            <w:tcBorders>
              <w:top w:val="single" w:sz="8" w:color="CCEEFF"/>
              <w:bottom w:val="single" w:sz="8" w:color="auto"/>
            </w:tcBorders>
            <w:gridSpan w:val="10"/>
          </w:tcPr>
          <w:p>
            <w:pPr>
              <w:jc w:val="right"/>
              <w:ind w:right="17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96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ACURA PHARMACEUTICALS, INC.</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rPr>
              <w:t>(Unaudited; in thousands except par 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 equivalents (Note 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allowances of $- and $7)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Collaboration revenue receivable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receivable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 of allowances of $- and $32) (Note 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 of accumulated amortization of $672 and $569 (Note 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(Note 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returns liability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 current (Note 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non-current portion, net of discounts (Note 9)</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 non-current portion (Note 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 $.01 par value per share; 100,000 shares authorized, 11,883 and 11,834 shares issued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at June 30, 2017 and December 31, 2016,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(376,442)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fee revenue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(excluding inventory provisions)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provisions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(Note 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on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4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(374,698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distribution of common stock pursuant to restricted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unit award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(376,442)</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80" w:type="dxa"/>
            <w:vAlign w:val="bottom"/>
            <w:gridSpan w:val="4"/>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w:t>
            </w:r>
          </w:p>
        </w:tc>
        <w:tc>
          <w:tcPr>
            <w:tcW w:w="940" w:type="dxa"/>
            <w:vAlign w:val="bottom"/>
          </w:tcPr>
          <w:p>
            <w:pPr>
              <w:jc w:val="right"/>
              <w:ind w:right="81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to reduce inventory to net realizable value</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sales returns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debt discount and deferred debt issue costs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bond premium in marketable securities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disposal of machinery and equipment</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sales of marketable securities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Collaboration revenue receivable</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9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expenses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interest</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Sales returns liability</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tcBorders>
              <w:top w:val="single" w:sz="8" w:color="CCEEFF"/>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transfer of equipment to licensee</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transfer of inventory to licensee</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(1,602)</w:t>
            </w:r>
          </w:p>
        </w:tc>
        <w:tc>
          <w:tcPr>
            <w:tcW w:w="2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5,181</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w:t>
            </w:r>
          </w:p>
        </w:tc>
        <w:tc>
          <w:tcPr>
            <w:tcW w:w="17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94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81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 that sum to the total of the same such amounts shown in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58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780" w:type="dxa"/>
            <w:vAlign w:val="bottom"/>
            <w:tcBorders>
              <w:top w:val="single" w:sz="8" w:color="auto"/>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1,079</w:t>
            </w:r>
          </w:p>
        </w:tc>
        <w:tc>
          <w:tcPr>
            <w:tcW w:w="116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2,500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2,500</w:t>
            </w: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 in the consolidated statements of cash flows</w:t>
            </w:r>
          </w:p>
        </w:tc>
        <w:tc>
          <w:tcPr>
            <w:tcW w:w="5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 AND JUNE 30,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w:t>
      </w:r>
    </w:p>
    <w:p>
      <w:pPr>
        <w:spacing w:after="0" w:line="184" w:lineRule="exact"/>
        <w:rPr>
          <w:sz w:val="20"/>
          <w:szCs w:val="20"/>
          <w:color w:val="auto"/>
        </w:rPr>
      </w:pPr>
    </w:p>
    <w:p>
      <w:pPr>
        <w:jc w:val="both"/>
        <w:ind w:left="660" w:hanging="328"/>
        <w:spacing w:after="0" w:line="25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Limitx Technology, is designed to retard the release of active drug ingredients when too many tablets are accidently or purposefully ingested. We have completed two clinical studies of our lead Limitx immediate release oral abuse deterrent drug candidate using the opioid hydromorphone HCI (LTX-04). Each of Study AP-LTX-400 or Study 400, and AP-LTX-401, or Study 401, was a two cohort, open label, crossover design pharmacokinetic study in healthy adult subjects. In our initial analysis of Study 400 we concluded that we had (a) identified the appropriate buffer level for the technology, (b) demonstrated the maximum plasma level of the opioid active ingredient, or Cmax, was reduced by an average of approximately 22% when multiple tablets were ingested and (c) a reformulation of the drug containing micro-particles would be required to achieve sufficient levels of drug in the blood stream with a single tablet dose. Study 401 utilized a modified formulation of our Limitx technology with a much faster releasing micro-particle. Since the Cmax in Study 401 at one tablet was essentially unchanged from the results from Study 400, we have subsequently concluded that our formulation contains too much buffering ingredient. This is evidenced in Study 401’s Cmax reduction of up to 65% following ingestion of multiple tablets compared to currently marketed products and our re-assessed conclusion of Study 400 indicating a 57% reduction in Cmax with multiple tablets. Because, we believe, Study 401 used too much buffer for even a single tablet, Study 401 achieved insufficient blood levels of the opioid active ingredient with a single tablet. The Company is developing plans for a buffer dose ranging study to guide the reformulation of the tablet buffers to increase the single dose Cmax, while retaining a reduction in Cmax in multiple Limitx tablets. The Company has also changed its development focus from LTX-04, an immediate-release hydromorphone product, to LTX-03, an immediate-release hydrocodone bitartrate product, which is more likely to be abused by excess oral consumption. The FDA has designated the development program for LTX-04 as Fast Track, which is designed to facilitate the development, and expedite the review of drugs to treat serious conditions and fill an unmet medical need.</w:t>
      </w:r>
    </w:p>
    <w:p>
      <w:pPr>
        <w:spacing w:after="0" w:line="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Aversion Technology incorporates gelling ingredients and irritants into tablets to discourage abuse by snorting and provide barriers to abuse by injection. Aversion is used in Oxaydo® Tablets (oxycodone HCl, CII), and is the first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(see Note 3).</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Impede Technology is a proprietary mixture of inactive ingredients that prevents the extraction of pseudoephedrine, or PSE, from tablets using known extraction methods and disrupts the direct conversion of PSE from tablets into methamphetamine. Impede is used in Nexafed® Tablets (30mg pseudoephedrine) and Nexafed® Sinus Pressure + Pain Tablets (30/325mg pseudoephedrine and acetaminophen), and those Nexafed products were launched by us into the United States market in December 2012 and February 2015, respectively. We have multiple PSE products in development utilizing our Impede Technology. On March 16, 2017, we and MainPointe Pharmaceuticals, LLC (“MainPointe”), entered into a License, Commercialization and Option Agreement (“MainPointe Agreement”), pursuant to which we granted MainPointe an exclusive license to our Impede technology in the United States and Canada to commercialize our Nexafed products. The MainPointe Agreement also grants MainPointe the option to expand the licensed territory to the European Union, Japan and South Korea and to add additional pseudoephedrine-containing products utilizing our Impede Technology. (see Note 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in accordance with accounting principles generally accepted in the United States of America (“GAAP”). The going concern basis of presentation assumes that we will continue in operation for the next twelve months and will be able to realize our assets and discharge our liabilities and commitments in the normal course of business and does not include any adjustments to reflect the possible future effects on the recoverability and classification of assets or the amounts and classification of liabilities that may result from our inability to continue as a going concern. At June 30, 2017, we had unrestricted cash and cash equivalents of $1.1 million (after giving effect to our $2.5 million cash reserve requirement in effect at June 30, 2017 under our term loan with Oxford), working capital deficit of $2.8 million and an accumulated deficit of $376.4 million. We had loss from operations of $1.4 million and a net loss of $1.7 million for the six months ended June 30, 2017. Historically, we have suffered annual losses from operations and have not generated or have generated limited annual positive cash flows from operations. After giving effect to the net proceeds of $3.9 million from our equity financing completed in July 2017, our $2.5 million cash reserve requirement under our term loan with Oxford Finance has been removed as discussed in Item 2, under the caption “Recent Events”, however our current unrestricted cash and cash equivalents is expected to only be sufficient to fund the development of our products and our related operating expenses into April 2018.</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or the Unqualified Audit Opinion Covenant. Per the term loan agreement an audit opinion with an explanatory paragraph noting substantial doubt about the Company’s ability to continue in business (the “going concern opinion”) is deemed to violate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On March 16, 2017, we and Oxford entered into a third amendment to the Loan Agreement, or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these factors, among others, raise substantial doubt about the Company's ability to continue as a going concern. To fund further operations and product development activities beyond April 2018,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potential private offerings of common stock to institutional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completing any one or more of such transactions on acceptable terms, if at all, or if completed, that such transactions will provide payments to the Company sufficient to fund continued operations. In the absence of the Company’s completion of one or more of such transactions,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2014-09), which supersedes nearly all existing revenue recognition guidance under U.S. GAAP. The core principle of ASU 2014-09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is effective for annual periods beginning after December 15, 2017, and interim periods therein, using either of the following transition methods:</w:t>
      </w:r>
    </w:p>
    <w:p>
      <w:pPr>
        <w:spacing w:after="0" w:line="27"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 retrospective approach reflecting the application of the standard in each prior reporting period with the option to elect certain practical expedients, or</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related disclosures and have not yet determined the transition method we will utilize to adopt the standard for use in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2015, the FASB issued ASU No. 2015-11, which amended Accounting Standards Codification (“ASC”) Topic 330 Inventory. The amendment simplifies the measurement of inventory, applying to inventories for which cost is determined by methods other than last-in first-out (LIFO) and the retail inventory method (RIM), specifying that an entity should measure inventory at the lower of cost and net realizable value instead of at the lower of cost or market. The amendments in this ASU were effective for annual and interim periods, within those fiscal years, beginning after December 15, 2016. The Company adopted the guidance of the standard in the first quarter of 2017 which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which will require most leases (with the exception of leases with terms of one year or less) to be recognized on the balance sheet as an asset and a lease liability. Leases will be classified as an operating lease or a financing lease. Operating leases are expensed using the straight-line method whereas financing leases will be treated similarly to a capital lease under the current standard. The new standard will be effective for annual and interim periods, within those fiscal years, beginning after December 15, 2018 but early adoption is permitted. The new standard must be presented using the modified retrospective method beginning with the earliest comparative period presented. The Company is currently evaluating the impact that the standard will have on the consolidated financial statements and related footnote disclosures, and has not yet determined what effect, if any, the impact of adoption will be.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Share-Based Payments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provides for simplification of certain aspects of employee share-based payment accounting including income taxes, classification of awards as either equity or liabilities, accounting for forfeitures and classification on the statement of cash flows. ASU 2016-09 is to be applied either prospectively, retrospectively or using a modified retrospective transition approach depending on the area covered in this update. The new standard was effective for annual and interim periods, within those fiscal years, beginning after December 15, 2016. The Company adopted the guidance in the first quarter of 2017 which did not have a material impact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which clarifies existing guidance on how companies present and classify certain cash receipts and cash payments in the statement of cash flows by addressing specific cash flow issues in an effort to reduce diversity in practice, including guidance on debt prepayment or extinguishment costs and contingent consideration payments made after a business combination. This update is effective for annual reporting periods beginning after December 15, 2017, with early adoption permitted. The Company is currently evaluating the impact that the standard will have on the consolidated financial statements and related footnote disclosures, and has not yet determined what effect, if any, the impact of adoption will be.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Intra-Entity Transfers of Assets Other than Inventory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ASU 2016-16 eliminates from Topic 740, Income Taxes, the recognition exception for intra-entity asset transfers other than inventory so that an entity’s consolidated financial statements reflect the current and deferred tax consequences of those intra-entity asset transfers when they occur. The new standard will be effective for annual and interim periods, within those fiscal years, beginning after December 15, 2017 but early adoption is permitted. The Company is currently evaluating the impact that the standard will have on the consolidated financial statements and related footnote disclosures, and has not yet determined what effect, if any, the impact of adoption will 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 - Restricted Cash</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Statements of Cash Flows (Topic 230): Restricted Cash</w:t>
      </w:r>
      <w:r>
        <w:rPr>
          <w:rFonts w:ascii="Times New Roman" w:cs="Times New Roman" w:eastAsia="Times New Roman" w:hAnsi="Times New Roman"/>
          <w:sz w:val="18"/>
          <w:szCs w:val="18"/>
          <w:color w:val="auto"/>
        </w:rPr>
        <w:t>. ASU 2016-18 requires that at statement of cash flows explain the change during the period in the total of cash, cash equivalents, and amounts generally described as restricted cash or restricted cash equivalents. The new standard will be effective for annual and interim periods, within those fiscal years, beginning after December 15, 2017 but early adoption is permitted. The Company early adopted the guidance in the first quarter of 2017 which did not have a material impact on the Company’s consolidated financial statements or related footnote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2017, the FASB issued ASU </w:t>
      </w:r>
      <w:r>
        <w:rPr>
          <w:rFonts w:ascii="Times New Roman" w:cs="Times New Roman" w:eastAsia="Times New Roman" w:hAnsi="Times New Roman"/>
          <w:sz w:val="18"/>
          <w:szCs w:val="18"/>
          <w:color w:val="333333"/>
        </w:rPr>
        <w:t>No.</w:t>
      </w:r>
      <w:r>
        <w:rPr>
          <w:rFonts w:ascii="Times New Roman" w:cs="Times New Roman" w:eastAsia="Times New Roman" w:hAnsi="Times New Roman"/>
          <w:sz w:val="18"/>
          <w:szCs w:val="18"/>
          <w:color w:val="auto"/>
        </w:rPr>
        <w:t xml:space="preserve"> 2017-05, </w:t>
      </w:r>
      <w:r>
        <w:rPr>
          <w:rFonts w:ascii="Times New Roman" w:cs="Times New Roman" w:eastAsia="Times New Roman" w:hAnsi="Times New Roman"/>
          <w:sz w:val="18"/>
          <w:szCs w:val="18"/>
          <w:i w:val="1"/>
          <w:iCs w:val="1"/>
          <w:color w:val="auto"/>
        </w:rPr>
        <w:t>Other Income—Gains and Losses from the Derecognition of Nonfinancial Assets (Subtopic 610-20):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Clarifying the Scope of Asset Derecognition Guidance and Accounting for Partial Sales of Nonfinancial Assets. </w:t>
      </w:r>
      <w:r>
        <w:rPr>
          <w:rFonts w:ascii="Times New Roman" w:cs="Times New Roman" w:eastAsia="Times New Roman" w:hAnsi="Times New Roman"/>
          <w:sz w:val="18"/>
          <w:szCs w:val="18"/>
          <w:color w:val="auto"/>
        </w:rPr>
        <w:t>The amendments in this ASU address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gains and losses on the transfer (i.e., sale) of nonfinancial (and in substance nonfinancial) assets to counterparties other than customers. The ASU conforms the derecognition guidance on nonfinancial assets with the model for transactions in the new revenue standard ASU 2014-09, as amended. The amendments are effective at the same time as the new revenue standard.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 Stock Compensation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 - Stock Compensation (ASC 718) - Scope of Modification Accounting.</w:t>
      </w:r>
      <w:r>
        <w:rPr>
          <w:rFonts w:ascii="Times New Roman" w:cs="Times New Roman" w:eastAsia="Times New Roman" w:hAnsi="Times New Roman"/>
          <w:sz w:val="18"/>
          <w:szCs w:val="18"/>
          <w:color w:val="auto"/>
        </w:rPr>
        <w:t xml:space="preserve"> The amendments provide guidance as to how an entity should apply modified accounting in Topic 718 when changing the terms and conditions of its share-based payment awards. The guidance clarifies that modification accounting will be applied if the value, vesting conditions or classification of the award changes. The ASU is effective for annual reporting periods, including interim periods within those annual periods, beginning after December 15, 2017 but early adoption is permitted. The Company has not adopted the standard and does not anticipate that the standard will have a material effect, if any, on our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3 – LICENSE, DEVELOPMENT, AND COMMERCIALIZATION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MainPointe Agreement covering Nexafed Product 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2017, we and MainPointe entered into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signing the MainPointe Agreement, MainPointe paid us an upfront licensing fee of $2.5 million plus approximately $309 thousand for inventories and equipment being transferred to them. They also paid us $117 thousand for Nexafed inventory under manufacture by one of our contract manufacturing organizations. The contract manufacturer completed delivery of such inventory to MainPointe during the second quarter 2017. The MainPointe Agreement also provides for our receipt of a 7.5% royalty on net sales of the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MainPointe has the option to expand the licensed territory beyond the United States and Canada to the European Union (and the United Kingdom), Japan and South Korea for payments of $1 million, $500 thousand and $250 thousand, respectively. In addition, MainPointe has the option to add to the MainPointe Agreement certain additional products, or Option Products, containing PSE and utilizing the Impede technology for a fee of $500 thousand per product (for all product strengths). MainPointe’s option rights extend to the product that was subject to the Bayer Agreement, as described below. If the territory has been expanded prior to the exercise of a product option, the option fee will be increased to $750 thousand per product. If the territory is expanded after the payment of the $500 thousand product option fee, a one-time $250 thousand fee will be due for each product. If a third party is interested in developing or licensing rights to an Option Product, MainPointe must exercise its option for that product or its option rights for such product will terminate.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KemPharm Agreement Covering Certain Opioid Prodrugs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13,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execution of the KemPharm Agreement, KemPharm paid us an upfront payment of $3.5 million. If KemPharm exercises its option to use our Aversion technology with more than the two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Egalet Agreement covering Oxaydo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2014, we terminated an agreement with Pfizer and the return to us of Aversion Oxycodone (formerly known as Oxecta®)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Aversion Oxycodone, which was 9.7 years as of the date the agreement was terminated. During each of the three and six months ended June 30, 2017 and 2016, we recorded amortization expense of $52 thousand in each three month period and $104 thousand in each six month period, respectively. Annual amortization of the patent for years 2017 through 2021 is expected to approximate $208 thousand.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Bayer Agreement Covering Methamphetamine Resistant Pseudoephedrine-containing Product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On June 28, 2017, we received Bayer’s notice of termination of the Bayer Agreement pursuant to its convenience termination right exercised prior to the Company’s completion of its product development obligations under the Bayer Agreement. We have received reimbursement of certain of our development costs under the Bayer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Bayer’s termination of the Bayer Agreement the Bayer License Product is now subject to MainPointe’s option rights under the MainPointe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signing the MainPointe Agreement, MainPointe paid us an upfront licensing fee of $2.5 million. The payment was non-refundable and non-creditable when made and we had no further requirements to earn the payment. The amount was recognized as revenue when received (see Note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Collaboration revenue is derived from research and development services we provide from time to time and are recognized when those services are incurred pursuant to the agreements. The ongoing research and development services being provided under the collaboration are priced at fair value based upon the service’s hourly rates pursuant to the collaboration agreement. We recognized $59 thousand and $233 thousand of collaboration revenue during the six months ended June 30, 2017 and 2016,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Collaboration and License Agreement with Egalet to commercialize Oxaydo tablets we are receiving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We have recorded royalties of $135 thousand and $47 thousand on net sales for the six months ended June 30, 2017 and 2016, respectively. (see Note 3).</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License, Commercialization and Option Agreement with MainPointe, which occurred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have recorded royalties of $8 thousand on net sales for the six months ended June 30, 2017 (see Note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Nexafed was launched in mid-December 2012 and Nexafed Sinus Pressure + Pain was launched in February 2015. Prior to entering into the MainPointe Agreement, we sold our Nexafed products in the United States to wholesale pharmaceutical distributors as well as directly to chain drug stores. Our Nexafed products were sold subject to the right of return usually for a period of up to twelve months after the product expiration. Both products had an initial shelf life of twenty-four months from the date of manufacture, which shelf life had been extended to thirty-six months for Nexafed product supplied to us during 2016 from one of the Company’s contract manufacturers. Prior to entering into the MainPointe Agreement, we recognized revenue from our Nexafed product line sales when the price was fixed and determinable at the date of sale, title and risk of ownership were transferred to the customer, and returns could be reasonably estimated, which generally occurred at the time of product shipment.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shipping and handling costs in selling expenses. As of mid-March 2017 we no longer manufacture, distribute or sell the Nexafed product line as the Company granted MainPointe an exclusive license to our Impede technology to commercialize our Nexafed products in the U.S. and Canada. The amounts recorded to selling expenses from the shipments of the Nexafed product line during each of the six month periods ended June 30, 2017 and 2016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RESEARCH AND DEVELOPMENT ACTIVITIES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formulation work,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commercially available Nexafed 30mg tablet while moving supply to an alternate contract manufacturer. Approximately $50 thousand was remaining under this agreement at December 31, 2016. During the second quarter 2017, this project was completed and our Impede 2.0 technology has been integrated into Nexafed 30mg tablets. Also during the second quarter 2017, we entered into a cancelable arrangement with a CRO for Study 401. At June 30, 2017 the remaining obligations under cancelable CRO arrangements were approximately $0.2 million, for services to be incurred as subjects are enrolled and progress through the studies and the final study reports are completed. We did not have prepaid CRO costs or prepaid clinical trial study expenses at either June 30, 2017 or December 31, 2016.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inventories at June 30, 2017 as all our inventories were transferred to MainPointe under the MainPointe Agreement. Inventories are stated at the lower of cost (first-in, first-out method) or net realizable value. We write down inventories to net realizable value based on forecasted demand and market conditions, which may differ from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December 31, 2016 are summarized as follows: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8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CCEEFF"/>
            </w:tcBorders>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and packaging materials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Less: reserve for finished goods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inventories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at June 30, 2017 and December 31, 2016 are summarized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Scientific equipment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personal property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9"/>
                <w:szCs w:val="19"/>
                <w:color w:val="auto"/>
              </w:rPr>
            </w:pPr>
          </w:p>
        </w:tc>
      </w:tr>
      <w:tr>
        <w:trPr>
          <w:trHeight w:val="210"/>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 reserve</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w:t>
            </w:r>
          </w:p>
        </w:tc>
      </w:tr>
      <w:tr>
        <w:trPr>
          <w:trHeight w:val="210"/>
        </w:trPr>
        <w:tc>
          <w:tcPr>
            <w:tcW w:w="38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impairment reserve of $82 thousand at December 31, 2016 was for our machinery and other equipment used in the production of our Nexafed product line which was not conveyed to MainPointe under the MainPointe Agreement. During 2017, we applied the reserve against the disposal of these assets. We do not have leasehold improvements nor do we have capitalized leases. Costs of betterments are capitalized while maintenance costs and repair costs are charged to operations as incurred. When a depreciable asset is retired from service, the cost and accumulated depreciation will be removed from the respective accounts.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ACCRUED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at June 30, 2017 and December 31, 2016 are summarized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1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7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80" w:type="dxa"/>
            <w:vAlign w:val="bottom"/>
            <w:tcBorders>
              <w:top w:val="single" w:sz="8" w:color="auto"/>
              <w:bottom w:val="single" w:sz="8" w:color="auto"/>
            </w:tcBorders>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sharing expenses under license agreement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fees and services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payroll taxes and benefits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non-clinical and regulatory services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Marketing, advertising, and promotion</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17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27, 2013, we entered into a Loan and Security Agreement (the “Loan Agreement”) with Oxford Finance LLC (“Oxford” or the “Lender”), for a term loan to the Company in the principal amount of $10.0 million (the “Term Loan”).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security for its obligations under the initial Loan Agreement (prior to the Third Amendment), the Company granted Lender a security interest in substantially all of its existing and after−acquired assets, exclusive of its intellectual property assets, which the Company was prohibited from pledging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relative fair value of the Warrants and are amortizing it to interest expense over the term of the loan using the loan’s effective interest rate. The Warrants are immediately exercisable for cash or by net exercise and will expire December 27, 2020.</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2016, we and Oxford entered into a second amendment to the Loan Agreement (the “Second Amendment”). Pursuant to the Second Amendment, (i) the requirement that we maintain a $2.5 million cash balance reserve until such time as $5.0 million in principal was repaid under the Term Loan was modified so that the $2.5 million cash balance reserve remains in place until we raise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 On July 24, 2017, the Company completed a private placement of its equity units to an investor, each unit consisting of one share of common stock and a warrant to purchase one-fifth of a share of common stock. The net proceeds to the Company from the private offering was approximately $3.9 million. Giving effect to the $2.5 million upfront payment received from MainPointe pursuant to the MainPointe Agreement and the $3.9 million in net proceeds from the July 2017 private offering, the Company has satisfied the condition in the Second Amendment to the Oxford Loan Agreement to waive the $2.5 million cash reserve requirement.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2017, we and Oxford entered into a third amendment to the Loan Agreement (the “Third Amendment”). Pursuant to the Third Amendment (i) we granted Oxford a lien on our intellectual property, (ii) Oxford provided a waiver of compliance with the Unqualified Audit Opinion Covenant in connection with our receipt of our auditor’s going concern opinion for our 2016 financial statements and (iii) Oxford consented to the terms of the MainPointe Agreement. Under the Loan Agreement, an audit opinion with an explanatory paragraph noting substantial doubt about the Company’s ability to continue in business is deemed to violate the Unqualified Audit Opinion Covenant.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June 30, 2017 and December 31, 2016, we have accumulated and accrued $634 thousand and $559 thousand, respectively, of this additional interest.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(including breach of the Unqualified Audit Opinion Covenant), a material adverse change in the Company, bankruptcy and insolvency defaults and material judgment defaults.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debt at June 30, 2017 is summarized below (in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492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00" w:type="dxa"/>
            <w:vAlign w:val="bottom"/>
          </w:tcPr>
          <w:p>
            <w:pPr>
              <w:spacing w:after="0"/>
              <w:rPr>
                <w:sz w:val="24"/>
                <w:szCs w:val="24"/>
                <w:color w:val="auto"/>
              </w:rPr>
            </w:pP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98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 1, 2017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98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 30, 2017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Discount</w:t>
            </w:r>
          </w:p>
        </w:tc>
        <w:tc>
          <w:tcPr>
            <w:tcW w:w="100" w:type="dxa"/>
            <w:vAlign w:val="bottom"/>
          </w:tcPr>
          <w:p>
            <w:pPr>
              <w:spacing w:after="0"/>
              <w:rPr>
                <w:sz w:val="20"/>
                <w:szCs w:val="20"/>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 1, 2017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(98)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r>
      <w:tr>
        <w:trPr>
          <w:trHeight w:val="230"/>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 30, 2017</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Borders>
              <w:top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 1, 2017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 30, 2017</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net at Jun 30, 2017</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9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Our interest expense for the three and six months ended June 30, 2017 and 2016 consisted of the following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0"/>
        </w:trPr>
        <w:tc>
          <w:tcPr>
            <w:tcW w:w="3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3"/>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300" w:type="dxa"/>
            <w:vAlign w:val="bottom"/>
          </w:tcPr>
          <w:p>
            <w:pPr>
              <w:spacing w:after="0"/>
              <w:rPr>
                <w:sz w:val="20"/>
                <w:szCs w:val="20"/>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2560" w:type="dxa"/>
            <w:vAlign w:val="bottom"/>
            <w:gridSpan w:val="2"/>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discount</w:t>
            </w: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30"/>
        </w:trPr>
        <w:tc>
          <w:tcPr>
            <w:tcW w:w="3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Debt issue costs</w:t>
            </w:r>
          </w:p>
        </w:tc>
        <w:tc>
          <w:tcPr>
            <w:tcW w:w="17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7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annual principal payments of the debt outstanding at June 30, 2017 are as follows:</w:t>
      </w:r>
    </w:p>
    <w:p>
      <w:pPr>
        <w:spacing w:after="0" w:line="221"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Remaining Annual</w:t>
            </w:r>
          </w:p>
        </w:tc>
        <w:tc>
          <w:tcPr>
            <w:tcW w:w="0" w:type="dxa"/>
            <w:vAlign w:val="bottom"/>
          </w:tcPr>
          <w:p>
            <w:pPr>
              <w:spacing w:after="0"/>
              <w:rPr>
                <w:sz w:val="1"/>
                <w:szCs w:val="1"/>
                <w:color w:val="auto"/>
              </w:rPr>
            </w:pPr>
          </w:p>
        </w:tc>
      </w:tr>
      <w:tr>
        <w:trPr>
          <w:trHeight w:val="238"/>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4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Payments</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2017 and 2016, we have outstanding common stock purchase warrants (“warrants”) exercisable for 60 thousand shares of our common stock having an exercise price of $2.52 per share (after giving effect to our one-for-five reverse stock split) with an expiration date in December 2020. See Note 9 for a discussion of the reduction of the exercise price of these warrants to $2.52 per share which were originally issued to the Lender in connection with the issuance of the $10.0 million secured promissory notes in December 2013. The warrants contain a cashless exercise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four share-based compensation plans covering stock options and RSUs for our employees and directors.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non-cash share-based compensation expense recognized in the Company’s results of operations from all types of issued instruments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gridSpan w:val="3"/>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20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20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2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5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various stock option plans. A summary of our stock option plan activity during the six month periods ending June 30, 2017 and 2016 is shown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78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40" w:type="dxa"/>
            <w:vAlign w:val="bottom"/>
            <w:gridSpan w:val="4"/>
            <w:vMerge w:val="restart"/>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780" w:type="dxa"/>
            <w:vAlign w:val="bottom"/>
            <w:tcBorders>
              <w:bottom w:val="single" w:sz="8" w:color="auto"/>
            </w:tcBorders>
            <w:gridSpan w:val="4"/>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0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 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 or 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nonvested stock options outstanding at June 30, 2017 (in thousands except price data):</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 Not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 1,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 30, 2017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intrinsic value of the option awards which were vested and outstanding at June 30, 2017 and 2016 was $0 thousand and $70 thousand, respectively. The total remaining unrecognized compensation cost on unvested option awards outstanding at June 30, 2017 was $222 thousand, and is expected to be recognized in operating expenses in varying amounts over the 17 months remaining in the requisite service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grants under the RSU Plans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lef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of RSUs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 1</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Distributed</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 or expired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Jun. 30</w:t>
            </w:r>
          </w:p>
        </w:tc>
        <w:tc>
          <w:tcPr>
            <w:tcW w:w="10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2014 RSU Plan was approved by shareholders on May 1, 2014 and permits the grant of up to 400 thousand shares of our common stock pursuant to awards under the 2014 RSU Plan. As of June 30, 2017, we had 3 thousand shares available for award under the 2014 RSU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the awards under the 2014 RSU Plan is as follows:</w:t>
      </w:r>
    </w:p>
    <w:p>
      <w:pPr>
        <w:spacing w:after="0" w:line="27" w:lineRule="exact"/>
        <w:rPr>
          <w:sz w:val="20"/>
          <w:szCs w:val="20"/>
          <w:color w:val="auto"/>
        </w:rPr>
      </w:pPr>
    </w:p>
    <w:p>
      <w:pPr>
        <w:jc w:val="both"/>
        <w:ind w:left="500" w:hanging="168"/>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2015, we awarded approximately 10 thousand RSUs to each of our four non-employee directors which also allow for them to receive payment in cash, instead of stock, for up to 40% of each RSU award. Such awards vest 25% at the end of each calendar quarter in 2015. The RSU awards subject to cash settlement are subject to marked-to market accounting. Distributions of stock under the January 2, 2015 award cannot be deferred until a later date and the stock under such awards were distributed on January 4, 2016.</w:t>
      </w:r>
    </w:p>
    <w:p>
      <w:pPr>
        <w:spacing w:after="0" w:line="1" w:lineRule="exact"/>
        <w:rPr>
          <w:rFonts w:ascii="Times New Roman" w:cs="Times New Roman" w:eastAsia="Times New Roman" w:hAnsi="Times New Roman"/>
          <w:sz w:val="18"/>
          <w:szCs w:val="18"/>
          <w:color w:val="auto"/>
        </w:rPr>
      </w:pPr>
    </w:p>
    <w:p>
      <w:pPr>
        <w:jc w:val="both"/>
        <w:ind w:left="500" w:hanging="168"/>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2016, we awarded approximately 22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$27 thousand at December 31, 2016. Distributions of stock under the January 4, 2016 award are generally distributed on the first business day of the year after vesting, but such distribution can be deferred until a later date at the election of the non-employee director.</w:t>
      </w:r>
    </w:p>
    <w:p>
      <w:pPr>
        <w:spacing w:after="0" w:line="2" w:lineRule="exact"/>
        <w:rPr>
          <w:rFonts w:ascii="Times New Roman" w:cs="Times New Roman" w:eastAsia="Times New Roman" w:hAnsi="Times New Roman"/>
          <w:sz w:val="18"/>
          <w:szCs w:val="18"/>
          <w:color w:val="auto"/>
        </w:rPr>
      </w:pPr>
    </w:p>
    <w:p>
      <w:pPr>
        <w:jc w:val="both"/>
        <w:ind w:left="500" w:hanging="168"/>
        <w:spacing w:after="0" w:line="25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2017, we awarded approximately 60 thousand RSUs to each of our 4 non-employee directors which also allow for them to receive payment in cash, instead of stock, for up to 40% of each RSU award. Such awards vest 25% at the end of each calendar quarter in 2017. The portion of the RSU awards which are subject to cash settlement are also subject to marked-to market accounting and the liability recorded in the Company’s balance sheet as an estimate for such cash settlement was $32 thousand at June 30, 2017. Distributions of stock under the January 3, 2017 award are generally distributed on the first business day of the year after vesting, but such distribution can be deferred until a later date at the election of the non-employee director.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Information about the distribution of shares under the 2014 RSU Plan is as follows:</w:t>
      </w:r>
    </w:p>
    <w:p>
      <w:pPr>
        <w:spacing w:after="0" w:line="27" w:lineRule="exact"/>
        <w:rPr>
          <w:sz w:val="20"/>
          <w:szCs w:val="20"/>
          <w:color w:val="auto"/>
        </w:rPr>
      </w:pPr>
    </w:p>
    <w:p>
      <w:pPr>
        <w:jc w:val="both"/>
        <w:ind w:left="500" w:hanging="168"/>
        <w:spacing w:after="0" w:line="250"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2016, 1 thousand RSUs from the May 1, 2014 award and 41 thousand RSUs from the January 2, 2015 award were distributed. There are 2 thousand RSUs from the May 1, 2014 award which remain deferred until a future distribution date. Of the 42 thousand RSUs distributed, 33 thousand RSUs were distributed in common stock and 9 thousand RSUs were settled in cash.</w:t>
      </w:r>
    </w:p>
    <w:p>
      <w:pPr>
        <w:spacing w:after="0" w:line="1" w:lineRule="exact"/>
        <w:rPr>
          <w:rFonts w:ascii="Times New Roman" w:cs="Times New Roman" w:eastAsia="Times New Roman" w:hAnsi="Times New Roman"/>
          <w:sz w:val="18"/>
          <w:szCs w:val="18"/>
          <w:color w:val="auto"/>
        </w:rPr>
      </w:pPr>
    </w:p>
    <w:p>
      <w:pPr>
        <w:jc w:val="both"/>
        <w:ind w:left="500" w:hanging="168"/>
        <w:spacing w:after="0" w:line="255"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 2017, 1 thousand RSUs from the May 1, 2014 award and 66 thousand RSUs from the January 4, 2016 award were distributed. There are 1 thousand RSUs from the May 1, 2014 award and 22 thousand RSUs from the January 4, 2016 award which remain deferred until a future distribution date. Of the 67 thousand RSUs distributed, 49 thousand RSUs were distributed in common stock and 18 thousand RSUs were settled in cash.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2017 and December 31, 2016,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$47.2 million federal income tax benefits at December 31, 2016 derived from $138.8 million Federal NOLs at the U.S. statutory tax rate of 34% and $2.1 million state NOLs, available to offset future taxable income, some of which already have limitations for future use as prescribed under IRC Section 382. Our Federal and State NOLs will expire in varying amounts between 2017 and 2036 if not used, and those expirations will cause fluctuations in our valuation allowances. As of December 31, 2016 we had federal research and development tax credits of approximately $1.2 million, which expire in the years 2024 through 2034 if gone unused. We also had approximately $0.2 million of Indiana state research and development tax credits, which will expire in 2017 if gone unused.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 (“EPS”)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 average common shares outstanding during a period, including shares weighted related to vested Restricted Stock Units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either 2017 or 2016 as the Company reported a net loss for the three and six month periods, and including the effects of the common stock equivalents in the diluted EPS calculations would have been antidilutive. The weighted-average common shares outstanding (diluted) computation is not impacted during any period where the exercise price of a stock option is greater than the average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numerators and denominators of basic and diluted EPS consisted of the following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0"/>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 and diluted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net loss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(weighted):</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11,883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11,833</w:t>
            </w:r>
          </w:p>
        </w:tc>
      </w:tr>
      <w:tr>
        <w:trPr>
          <w:trHeight w:val="230"/>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 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EPS – basic and diluted</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Excluded securities (non-weighted):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issuable:</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Nonvested RSUs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excluded common shares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/Metoclopramide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Halsey Drug Company, as predecessor to Acura,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we were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Pennsylvania action, over 200 lawsuits were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Times New Roman" w:cs="Times New Roman" w:eastAsia="Times New Roman" w:hAnsi="Times New Roman"/>
          <w:sz w:val="18"/>
          <w:szCs w:val="18"/>
          <w:i w:val="1"/>
          <w:iCs w:val="1"/>
          <w:color w:val="auto"/>
        </w:rPr>
        <w:t>PLIVA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 Mensing (“Mensing </w:t>
      </w:r>
      <w:r>
        <w:rPr>
          <w:rFonts w:ascii="Times New Roman" w:cs="Times New Roman" w:eastAsia="Times New Roman" w:hAnsi="Times New Roman"/>
          <w:sz w:val="18"/>
          <w:szCs w:val="18"/>
          <w:color w:val="auto"/>
        </w:rPr>
        <w:t>decision”) holding that state tort law failure to warn claims against generic drug companies are pre-empted by the 1984 Hatch-Waxman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Amendments and federal drug regulations will assist us in favorably resolving these cases.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New Jersey, Generic Defendants, including Acura,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 which the Court granted with a limited exception. In June 2012, the New Jersey trial court dismissed all of the New Jersey cases pending against us with prejudice.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Pennsylvania, and California, Generic Defendants, including us, also filed dispositive motions based on the </w:t>
      </w:r>
      <w:r>
        <w:rPr>
          <w:rFonts w:ascii="Times New Roman" w:cs="Times New Roman" w:eastAsia="Times New Roman" w:hAnsi="Times New Roman"/>
          <w:sz w:val="18"/>
          <w:szCs w:val="18"/>
          <w:i w:val="1"/>
          <w:iCs w:val="1"/>
          <w:color w:val="auto"/>
        </w:rPr>
        <w:t>Mensing</w:t>
      </w:r>
      <w:r>
        <w:rPr>
          <w:rFonts w:ascii="Times New Roman" w:cs="Times New Roman" w:eastAsia="Times New Roman" w:hAnsi="Times New Roman"/>
          <w:sz w:val="18"/>
          <w:szCs w:val="18"/>
          <w:color w:val="auto"/>
        </w:rPr>
        <w:t xml:space="preserve"> decision.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Times New Roman" w:cs="Times New Roman" w:eastAsia="Times New Roman" w:hAnsi="Times New Roman"/>
          <w:sz w:val="18"/>
          <w:szCs w:val="18"/>
          <w:i w:val="1"/>
          <w:iCs w:val="1"/>
          <w:color w:val="auto"/>
        </w:rPr>
        <w:t>Teva Pharmaceuticals USA, Inc. et al. v. Dorothy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Bentley, et al.</w:t>
      </w:r>
      <w:r>
        <w:rPr>
          <w:rFonts w:ascii="Times New Roman" w:cs="Times New Roman" w:eastAsia="Times New Roman" w:hAnsi="Times New Roman"/>
          <w:sz w:val="18"/>
          <w:szCs w:val="18"/>
          <w:color w:val="auto"/>
        </w:rPr>
        <w:t>, No. 14-711 (U.S.) seeking reversal of the Pennsylvania state court decision. On April 27, 2015, the U.S. Supreme Court denied this 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 matter has been returned to the trial court for further proceedings. From July, 2015 to date, the court has taken procedural steps to narrow this litigation, including requests for plaintiffs to voluntarily discontinue cases, such as those filed against us, where there is no case-specific product identification. The trial court proceedings were stayed on January 12, 2017. On June 15, 2017, a Stipulation of Dismissal without prejudice was entered as to nearly all of the Pennsylvania cases pending against us. We expect that the remaining few cases will be dismissed based on lack of product identification and the Court will finally dismiss the Pennsylvania-based litigation against us with prejudice later this year. Legal fees related to this matter are currently covered by our insurance carrier.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Times New Roman" w:cs="Times New Roman" w:eastAsia="Times New Roman" w:hAnsi="Times New Roman"/>
          <w:sz w:val="18"/>
          <w:szCs w:val="18"/>
          <w:i w:val="1"/>
          <w:iCs w:val="1"/>
          <w:color w:val="auto"/>
        </w:rPr>
        <w:t xml:space="preserve">Bartlett </w:t>
      </w:r>
      <w:r>
        <w:rPr>
          <w:rFonts w:ascii="Times New Roman" w:cs="Times New Roman" w:eastAsia="Times New Roman" w:hAnsi="Times New Roman"/>
          <w:sz w:val="18"/>
          <w:szCs w:val="18"/>
          <w:color w:val="auto"/>
        </w:rPr>
        <w:t>decision. Thus far, we and most Generic Defendants have not been required to file answers or other responsive pleadings in each individual case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are named defendants. On May 24, 2016, the Court entered an Order approving a stipulation which stays the individual cases against us and provides for an agreed upon dismissal protocol for all cases where there is a lack of product identification. On January 13, 2017, the Court also entered a general stay of this entire litigation. To date, none of these plaintiffs have confirmed they ingested any of the generic metoclopramide manufactured by us. Plaintiffs are proceeding to resolve all of their claims with co-defendants. Therefore, upon completion of this process, we expect that the lawsuits filed against us will be dismissed voluntarily with prejudice later this year. Legal fees related to this matter are currently covered by our insurance carrier.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any potential loss is neither probable nor estimable, we have not accrued for any potential loss related to these matters as of June 30, 2017 and we are presently unable to determine if any potential loss would be covered by our insurance carrier.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Purdue Pharma Settlement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The Settlement Agreement specifically excludes our patents related to our Impede® and Limitx™ technologies from the scope of the Acura/Egalet Patents under the Settlement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Egalet Agreement covering Oxaydo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June 30, 2017 and December 31, 2016, we have accrued approximately $217 thousand and $150 thousand, respectively, of these potential cost sharing expenses under the Egalet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administrative office space in Palatine, Illinois on a month to month basis at the rate of approximately $2,000 per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0"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obtain funding for our continuing operations, including the development of our products utilizing our Limitx and Impede technologies;</w:t>
      </w: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LTX-04 or any successor product candidate, the date by which such studies will be complete and the results will be available and whether LTX-04 will ultimately receive FDA approval;</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reformulate LTX-04 or any successor product candidate, to provide an efficacious level of drug when one or two tablets are taken;</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reformulated Limitx formulation that achieves an efficacious level of drug will continue to demonstrate acceptable abuse deterrent performance;</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reformulate LTX-04 or any successor product candidate, to improve its abuse deterrent performance;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deter abuse will be determined sufficient by the FDA to support approval or labelling describing abuse deterrent features;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Limitx technology can be expanded into extended-release formulations;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 including Oxaydo® Tablets and our Nexafed® products;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price discounting that may be offered by Egalet for Oxaydo;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develop a product under our agreement with Bayer;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development of our Limitx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further studies of our product candidates will be required to support FDA approval;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abuse discouraging technologies; and</w:t>
      </w: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“indicates,”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2016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or PSE, into methamphetamine. Oxaydo Tablets (oxycodone HCl, CII), which utilizes the Aversion Technology, is the first approved immediate-release oxycodone product in the United States with abuse deterrent labeling. On January 7, 2015, we entered into a Collaboration and License Agreement with Egalet US, Inc. and Egalet Ltd., each a subsidiary of Egalet Corporation, or collectively Egalet, pursuant to which we exclusively licensed to Egalet worldwide rights to manufacture and commercialize Oxaydo. Oxaydo is currently approved by the U. S. Food and Drug Administration, or FDA, for marketing in the United States in 5mg and 7.5mg strengths. Egalet launched Oxaydo in the United States late in the third quarter of 2015.</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March 16, 2017, we and MainPointe Pharmaceuticals, LLC (“MainPointe”), entered into a License, Commercialization and Option Agreement (“MainPointe Agreement”), pursuant to which we granted MainPointe an exclusive license to our Impede technology in the U.S. and Canada to commercialize our Nexafed products. The MainPointe Agreement also grants MainPointe the option to expand the licensed territory to the European Union, Japan and South Korea and to add additional pseudoephedrine-containing products utilizing our Impede technology.</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third abuse deterrent technology, Limitx, is designed to retard the release of active drug ingredients when too many tablets are accidently or purposefully ingested. We have completed two clinical studies, Study AP-LTX-400, or Study 400, and Study AP-LTX-401, or Study 401, of our lead Limitx immediate release oral abuse deterrent drug candidate using the opioid hydromorphone HCI (LTX-04). Each of Study 400 and Study 401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On December 14, 2016, we announced that we had received advice from the FDA on the continued development of LTX-04 following the FDA’s review of summary data from Study</w:t>
      </w:r>
    </w:p>
    <w:p>
      <w:pPr>
        <w:spacing w:after="0" w:line="7" w:lineRule="exact"/>
        <w:rPr>
          <w:sz w:val="20"/>
          <w:szCs w:val="20"/>
          <w:color w:val="auto"/>
        </w:rPr>
      </w:pPr>
    </w:p>
    <w:p>
      <w:pPr>
        <w:jc w:val="both"/>
        <w:ind w:firstLine="8"/>
        <w:spacing w:after="0" w:line="252" w:lineRule="auto"/>
        <w:tabs>
          <w:tab w:leader="none" w:pos="3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maximum drug concentration, or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For Study 401, we utilized a new, faster releasing micro-particle formulation for LTX-04. Study 401 demonstrated that the Cmax following excessive tablet abuse (in excess of 2 tablets at a time) of the modified LTX-04 formulation are reduced by up to 65% compared to currently marketed products. The single tablet dose of LTX-04 in Study 401 did not achieve an efficacious blood level, having a Cmax that was 52% of the Cmax of the marketed comparator product. We believe the Study 401 results indicate that the current LTX-04 formulation contains excess buffering ingredients resulting in incomplete release of drug. The Company is developing plans for a buffer dose ranging study AP-LTX-300 or Study 300 to guide the reformulation of the tablet buffers in tandem with its change in development focus from LTX-04, an immediate-release hydromorphone product, to LTX-03, an immediate release hydrocodone bitartrate product, for subsequent Limitx studies. Hydrocodone bitartrate is more likely to be abused by excess oral ingestion. Study 300 is expected to commence dosing in early September. Since this will be a parallel design study – that is, each subject will only be dosed with one test article for the entire study – all subject dosing is expected to be completed in a couple of days. Thus, we anticipate topline results from this study to be available in October. We expect the results from Study 300 to guide us on the final formulation for LTX-03 tablets which will combine the hydrocodone micro-particles, acetaminophen and buffer ingredients into a single tablet. We will then progress to identifying a commercial manufacturer so that we may finalize the to-be-marketed formulation which is required for all future NDA development work.</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Opioid analgesics are one of the largest prescription drug markets in the United States with 222 million prescriptions dispensed in 2016.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2016, sales in the immediate-release opioid product segment were approximately 208 million prescriptions and $2.7 billion, of which approximately 98% was attributable to generic products. Immediate-release oxycodone tablets represent 20.1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6,000 opioid prescribing physicians.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At March 15, 2017, Nexafed, our 30mg pseudoephedrine hydrochloride immediate-release tablet, were stocked in approximately 21% of the estimated 65,000 U.S. pharmacies. Many of these pharmacies are either actively recommending Nexafed to their patients or carry Nexafed as their only 30mg pseudoephedrine product.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development program to develop an extended-release version of our Impede Technology to capitalize on higher sales products in the category. We also have investigated new technologies that would improve on our meth-resistant capabilities. 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will allow us to submit an IND to the FDA for our Nexafed extended release tablets, however, we have not yet committed to that level of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2017, we completed a $4.0 million private placement with John Schutte (the “Investor”), consisting of 8,912,655 units (“Units”) of the Company, at a price of $0.4488 per Unit (the “Transaction”). Each Unit consists of one share of Common Stock and a Warrant to purchase one fifth (0.2) of a share of Common Stock. The issue price of the Units was equal to 85% of the average last sale price of our Common Stock for the five trading days prior to completion of the Transaction. The Warrants are immediately exercisable at a price of $0.528 per share (which equals the average last sale price of the Company’s Common Stock for the five trading days prior to completion of the Transaction) and expire five years after issuance (subject to earlier expiration in event of certain acquisitions). The Transaction was completed through a private placement to an accredited investor and was exempt from registration pursuant to Section 4(2) of the Securities Act of 1933, as amended and/or Regulation D promulgated under the Securities Act of 1933.</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that the net cash proceeds to us after expenses of the Transaction are approximately $3.9 million. We intend to use the net proceeds of the Transaction for working capital purposes, including the funding of Phase I clinical trials for one or more products utilizing our LimitX technology.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our issuance of the Units, we have 20,745,994 shares of Common Stock outstanding and the Investor will beneficially own approximately 47.5% of the Company’s Common Stock (calculated in accordance with Rule 13d-3 of the Securities Exchange Act of 1934). Prior to Investor’s acquisition of Units, Galen Partners III, LP and Essex Woodlands Health Ventures Fund V, L.P. or their affiliates were the Company’s largest shareholders and beneficially owned approximately 18.5% and 16.5%, respectively, of the Company’s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closing of the Transaction, the Company, Essex Woodlands Health Ventures V, L.P. (“Essex”) and Galen Partners III, L.P. (“Galen”) amended and restated the existing Voting Agreement between the parties to provide for the Investor to join as a party (as so amended, the “Second Amended and Restated Voting Agreement”). The Second Amended and Restated Voting Agreement provides that our Board of Directors shall remain comprised of no more than seven members (subject to certain exceptions), (i) one of whom is the Company’s Chief Executive Officer, (ii) three of whom are independent under Nasdaq standards, and (iii) one of whom shall be designated by each of Essex, Galen and Investor. The right of each of Essex, Galen and Investor to designate one director to our Board will continue as long as he or it and their affiliates collectively hold at least 600,000 shares of our Common Stock (including warrants exercisable for such shares). Immanuel Thangaraj is the designee of Essex. Galen has not designated a director. Investor has not designated a director as of the date of filing of this Report.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 is a principal of MainPointe, a Kentucky limited liability company. In March 2017, MainPointe acquired from the Company rights to Nexafed® and Nexafed® Sinus Pressure + Pain in the United States and Canada for an upfront licensing fee of $2.5 million plus approximately $425,000 for transferred inventory and equipment. The Company will receive a 7.5% royalty on sales of licensed products. MainPointe also has options to expand the territory and products covered for additional sums.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4" w:lineRule="exact"/>
        <w:rPr>
          <w:sz w:val="20"/>
          <w:szCs w:val="20"/>
          <w:color w:val="auto"/>
        </w:rPr>
      </w:pPr>
    </w:p>
    <w:p>
      <w:pPr>
        <w:ind w:left="580" w:hanging="248"/>
        <w:spacing w:after="0" w:line="282"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Nasal snorting. Crushed tablets are insufflated for absorption of the drug through the nasal tissues.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Injection. The opioid is physically or chemically removed from the dosage and injected into the vein using a syringe.</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 although an FDA Advisory Committee recently recommended an opioid analgesic product for approval that did not meet the FDA’s bioequivalence standard.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development will likely also entail additional safety and/or efficacy assessment as may be identified by the FDA for each specific formulation during the Investigational New Drug application, or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Limitx™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Limitx Technology is intended to address oral ETA or accidental consumption of multiple tablets and provide a margin of safety during accidental over-ingestion of tablets. Limitx is also expected to exhibit barriers to abuse by snorting and injection.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are in the process of redirecting our development focus from LTX-04 to a hydrocodone/APAP product candidate utilizing our Limitx Technology (LTX-03). In August 2015, the United States Patent and Trademark Office, or USPTO, issued to us patent 9,101,636 covering, among other things, our Limitx Technology.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of our Limitx Technology was supported by a $300 thousand grant by the National Institute on Drug Abuse of the National Institutes of Health for Phase I development, which entailed the development of an optimized formulation of LTX-04 suitable for commercial manufacture and human testing.</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NIDA Disclaimer: Research on LTX-04 was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LTX-04 development program is also designated as Fast Track by the FDA for its potential to address an unmet medical need.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Limitx Technology Products in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products in development utilizing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Limitx Technology Product</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42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Immediate-release hydromorphone HCI (LTX-04)</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Two Phase I exploratory pharmacokinetic studies completed</w:t>
            </w: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Immediate-release hydrocodone bitartrate with acetaminophen (LTX-03)</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Formulation development in process</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Buffer dose ranging study expected to commence 3Q 2017</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Immediate-release oxycodone HCl (LTX-01) &amp; (LTX-02)</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Formulation development in process</w:t>
            </w:r>
          </w:p>
        </w:tc>
      </w:tr>
      <w:tr>
        <w:trPr>
          <w:trHeight w:val="648"/>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Study 400</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LTX-04 clinical study,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initial analysis of Study 400 we concluded that we (a) had identified the appropriate buffer level for the technology, (b) demonstrated the maximum plasma level of the opioid active ingredient, or Cmax, was reduced by an average of approximately 22% when multiple tablets were ingested and (c) needed to reformulate the drug containing micro-particles to achieve sufficient levels of drug in the blood stream with a single tablet dose. Based on the results of Study 401, we have revised these conclusions and determined that (a) we have too much buffer ingredient in a single tablet so that the micro-particles are not completely and immediately releasing all the drug even at a single tablet and (b) a 57% reduction in Cmax was demonstrated with the multiple tablet dose.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2016, we announced that we had received advice from the FDA on the continued development of LTX-04 following the FDA’s review of summary data from Study 400. The FDA confirmed our intention to reformulate LTX-04 to provide increased drug levels following an intended 1 or 2 tablet dose, noting that a scientific bridge of bioequivalence to the reference product will support a finding of safety and efficacy. The FDA also recommended that we identify studies to measure the clinical impact on abuser behavior and overdose outcome (such as drug liking and respiratory depression) associated with the reduction in Cmax when three or more LTX-04 tablets were ingested. We identified a subpopulation of participants in Study 400 that demonstrated increased reductions in Cmax when taking LTX-04, or faster drug absorbers. The FDA noted that to label a product for a particular subpopulation, including faster drug absorbers, prescribers should be able to understand that only a subset of their patients may benefit from use of the product. The FDA’s advice also identified longer term studies necessary for submitting a NDA for LTX-04, including in vitro extraction studies, drug interaction studies, additional pharmacokinetic studies assessing the impact of food and beverages, and a category 3 abuse liability study.</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Study 401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second LTX-04 clinical study, or Study 401, also was a two cohort, open label, crossover design pharmacokinetic study in fasted, health adult subjects. Study 401 utilized a modified LTX-04 formulation containing micro-particles intended to improve drug delivery with one and two tablet dosing. Study 401 measured the rate and extent of absorption of the active drug ingredient into the blood stream with the Cmax typically associated with an increase in drug abuse. 27 subjects completed Cohort 1 swallowing a single dose tablet of LTX-04 compared to a generic hydromorphone tablet. 13 subjects completed Cohort 2 swallowing 7 LTX-04 and generic tablets doses. 15 subjects followed an undisclosed, exploratory protocol.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All tablets contained 2 mg of hydromorphone hydrochloride. All subjects received dosages of naltrexone and/or naloxone and there was a one week washout between dosages. Blood samples were taken at pre-designated time-points after dosing and were subsequently analyzed for the concentration of hydromorphone contained in the sample. The objective of Cohort 1 was to determine if adequate active drug entered the bloodstream when one Limitx tablet was swallowed. The objective of Cohort 2 was to explore the extent to which the release of the hydromorphone active ingredient from LTX-04 tablets is retarded at a seven tablet dose (oral excess abuse levels). A safety assessment of Limitx hydromorphone would be made from both study cohorts.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topline results from Study 401 at one tablet was essentially unchanged from the results from Study 400; that is the average Cmax for an LTX-04P3 dose was approximately 50% of the active comparator. Since the micro-particles used in Study 401 release drug much faster than the micro-particles used in Study 400, we have concluded that the buffer levels used in both studies were too much and is retarding the release of drug even with a single dose.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this conclusion, we believe Study 401 demonstrated a Cmax reduction of up to 65% following ingestion of multiple tablets compared to currently marketed products as the 7 tablet dose Cmax was 65% less than the comparator. This also means our conclusion of Study 400 changed such that an 8 tablet dose demonstrated a 57% reduction in Cmax with an 8 tablet dose. Because, we believe, Study 401 used too much buffer for even a single tablet, Study 401 achieved insufficient blood levels of the opioid active ingredient with a single tablet.</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Study 300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commencing Study 300, the first study for LTX-03. Study 300 will be a buffer dose ranging study. That is, we are in the process of producing an active component that will include 10mg of hydrocodone bitartrate micro-particles and 325mg of acetaminophen. This active component will contain no buffering capacity. Separately, we are producing a buffering component which will have a fraction of the buffering capacity that we have previously used in testing LTX-04. In Study 300, we will encapsulate the active component with an incremental number of buffering units. Subjects will be assigned into one of seven subgroups and administered a dose with either no buffering component or up to 5 buffering units. For one group, encapsulated commercially available reference product 10 mg hydrocodone bitartrate/325 mg acetaminophen will be administered as the positive control. The analysis of this study data will allow us to incrementally assess the distinct levels of buffer amounts on the in vivo micro-particle performance. Our goal is to identify the highest buffer level that allows for a full release of hydrocodone at a single tablet dose relative to the positive control before the LIMITx buffering effect is observed. Acetaminophen blood levels will also be analyzed and compared to the positive control.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Study 300 is expected to commence dosing in early September. Since this will be a parallel design study – that is, each subject will only be dosed with one test article for the entire study – all subject dosing is expected to be completed in a couple of days. Thus, we anticipate topline results from this study to be available in October. We expect the results from Study 300 to guide us on the final formulation for LTX-03 tablets which will combine the hydrocodone microparticles, acetaminophen and buffer ingredients into a single tablet. We will then progress to identifying a commercial manufacturer so that we may finalize the to-be-marketed formulation which is required for all future NDA development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Aversion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Oxaydo Tablets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2015 market for immediate-release oxycodone products was 20.1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820" w:hanging="164"/>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subjects exposed to Oxaydo responded that they would not take the drug again compared to 5% of subjects exposed to immediate-release oxycodone;</w:t>
      </w:r>
    </w:p>
    <w:p>
      <w:pPr>
        <w:ind w:left="820" w:hanging="164"/>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taking Oxaydo reported a higher incidence of nasopharyngeal and facial adverse events compared to immediate-release oxycodone;</w:t>
      </w:r>
    </w:p>
    <w:p>
      <w:pPr>
        <w:spacing w:after="0" w:line="9" w:lineRule="exact"/>
        <w:rPr>
          <w:rFonts w:ascii="Times New Roman" w:cs="Times New Roman" w:eastAsia="Times New Roman" w:hAnsi="Times New Roman"/>
          <w:sz w:val="18"/>
          <w:szCs w:val="18"/>
          <w:color w:val="auto"/>
        </w:rPr>
      </w:pPr>
    </w:p>
    <w:p>
      <w:pPr>
        <w:ind w:left="820" w:right="20" w:hanging="164"/>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numeric differences in the median and mean drug liking scores, which were lower in response to Oxaydo than immediate-release oxycodone.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Egalet has advised us that it has commenced formulation work on a 15mg dosage strength for Oxaydo, has achieved bioequivalence of this new strength to a reference formulation, and has set a target date for submission of this new dosage strength to the FDA in the second half of 2017. Egalet has also advised that late in the fourth quarter of 2016 it filed a supplemental NDA for Oxaydo with the FDA to support an abuse-deterrent label claim for the intravenous route of abuse.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advised that Egalet commenced promoting Oxaydo in September 2015 and is targeting approximately 6,000 immediate-release opioid prescribing physicians using approximately 50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20, 2017, Egalet announced that it had received a complete response letter from the FDA in response to its prior approval supplement to the Oxaydo NDA seeking approval for 10mg and 15mg strengths of Oxaydo. Eaglet has advised that the FDA is requesting more information regarding the effect of food on Oxaydo 15mg and the intranasal abuse-deterrent properties of Oxaydo 10mg and 15mg.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Egalet Agreement Covering Oxaydo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2015, we and Egalet US, Inc. and Egalet Ltd., each a subsidiary of Egalet Corporation, or Egalet, entered into a Collaboration and License Agreement, or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or the Territory, in all strengths, subject to our right to co-promote Oxaydo in the United States.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KemPharm Agreement Covering Opioid Prodrugs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13, 2016, we and KemPharm Inc., or KemPharm, entered into a worldwide License Agreement, or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Aversion Technology Development Opioid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2015, we announced the indefinite suspension of further development of our Aversion hydrocodone/APAP product candidate, in order to focus our time and available resources on the development of our Limitx technology product candidates. We currently have 6 additional opioids at various stages of formulation development using the Aversion Technology which are not being actively developed.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Impede 1.0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Impede 2.0 Technology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Meth Resistant</w:t>
            </w: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Meth Recovery</w:t>
            </w:r>
            <w:r>
              <w:rPr>
                <w:rFonts w:ascii="Times New Roman" w:cs="Times New Roman" w:eastAsia="Times New Roman" w:hAnsi="Times New Roman"/>
                <w:sz w:val="30"/>
                <w:szCs w:val="30"/>
                <w:b w:val="1"/>
                <w:bCs w:val="1"/>
                <w:color w:val="auto"/>
                <w:vertAlign w:val="superscript"/>
              </w:rPr>
              <w:t>1</w:t>
            </w:r>
          </w:p>
        </w:tc>
        <w:tc>
          <w:tcPr>
            <w:tcW w:w="260" w:type="dxa"/>
            <w:vAlign w:val="bottom"/>
            <w:vMerge w:val="restart"/>
          </w:tcPr>
          <w:p>
            <w:pPr>
              <w:spacing w:after="0"/>
              <w:rPr>
                <w:sz w:val="18"/>
                <w:szCs w:val="18"/>
                <w:color w:val="auto"/>
              </w:rPr>
            </w:pPr>
          </w:p>
        </w:tc>
        <w:tc>
          <w:tcPr>
            <w:tcW w:w="17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Purity</w:t>
            </w:r>
            <w:r>
              <w:rPr>
                <w:rFonts w:ascii="Times New Roman" w:cs="Times New Roman" w:eastAsia="Times New Roman" w:hAnsi="Times New Roman"/>
                <w:sz w:val="30"/>
                <w:szCs w:val="30"/>
                <w:b w:val="1"/>
                <w:bCs w:val="1"/>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Product/Formulation</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Technology</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17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Sudafed® 30mg Tablets</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Nexafed 30mg Technology</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Impede® 1.0</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Zephrex-D® 30mg Pills</w:t>
            </w: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Tarex®</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7"/>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Nexafed 120mg Extended-release tablets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Impede® 2.0</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ind w:left="760" w:hanging="104"/>
        <w:spacing w:after="0" w:line="183" w:lineRule="auto"/>
        <w:tabs>
          <w:tab w:leader="none" w:pos="7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Total methamphetamine HCl recovered from the equivalent of 100 PSE 30mg tablets divided by the maximum theoretical yield of 2.7 grams.</w:t>
      </w:r>
    </w:p>
    <w:p>
      <w:pPr>
        <w:spacing w:after="0" w:line="43" w:lineRule="exact"/>
        <w:rPr>
          <w:rFonts w:ascii="Times New Roman" w:cs="Times New Roman" w:eastAsia="Times New Roman" w:hAnsi="Times New Roman"/>
          <w:sz w:val="29"/>
          <w:szCs w:val="29"/>
          <w:color w:val="auto"/>
          <w:vertAlign w:val="superscript"/>
        </w:rPr>
      </w:pPr>
    </w:p>
    <w:p>
      <w:pPr>
        <w:ind w:left="660"/>
        <w:spacing w:after="0" w:line="23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Total methamphetamine HCl recovered from the equivalent of 100 PSE 30mg tablets divided by the total weight of powder recovered.</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have completed process validation on this new formulation and expect MainPointe will introduce the new formulation into the market in the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quarter of 2017.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Nexafed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Nexafed products currently marketed consist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Prior the MainPointe Agreement completed in March 2017, we capitalized on this consumer-pharmacist interaction at the point of sale by soliciting distribution to pharmacies and educating and encouraging pharmacists to recommend Nexafed to their customers.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launched Nexafed commercially in mid-December 2012 into the United States OTC market for cold and allergy products. At March 15, 2017, Nexafed was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actively recommend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2015, we began initial shipments of Nexafed Sinus Pressure + Pain. Prior to the MainPointe Agreement, we were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Nexafed and Nexafed Sinus Pressure + Pain products are marketed under FDA’s regulations applicable to OTC Monograph products. Nexafed and Nexafed Sinus Pressure + Pain tablets are offered in 24-count blister packaged cartons.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MainPointe Agreement covering Nexafed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2017, we and MainPointe entered into a License, Commercialization and Option Agreement, or the MainPointe Agreement, pursuant to which we granted MainPointe an exclusive license to our Impede technology to commercialize our Nexafed products in the U.S. and Canada. We also conveyed to MainPointe our existing inventory and equipment relating to our Nexafed products. MainPointe is responsible for all development, manufacturing and commercialization activities with respect to products covered by the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signing the MainPointe Agreement, MainPointe paid us an upfront licensing fee of $2.5 million plus approximately $425,000 for the net book value of inventory and equipment being transferred. The MainPointe Agreement also provides for our receipt of a 7.5% royalty on net sales of licensed products. The royalty payment for each product will expire on a country-by-country basis when the Impede® patent rights for such country have expired or are no longer valid; provided that if no Impede patent right exists in a country, then the royalty term for that country will be the same as the royalty term for the United States. After the expiration of a royalty term for a country, MainPointe retains a royalty free license to our Impede® technology for products covered by the Agreement in such country.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MainPointe has the option to expand the licensed territory beyond the United States and Canada to the European Union (and the United Kingdom), Japan and South Korea for payments of $1 million, $500,000 and $250,000, respectively. In addition, MainPointe has the option to add to the MainPointe Agreement certain additional products, or Option Products, containing PSE and utilizing the Impede technology for a fee of $500,000 per product (for all product strengths), including the product previously subject to our agreement with Bayer. If the territory has been expanded prior to the exercise of a product option, the option fee will be increased to $750,000 per product. If the territory is expanded after the payment of the $500,000 product option fee, a one-time $250,000 fee will be due for each product. If a third party is interested in developing or licensing rights to an Option Product, MainPointe must exercise its option for that product or its option rights for such product will terminate.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MainPointe Agreement may be terminated by either party for a material breach of the other party, or by Acura if MainPointe challenges certain of its patents. Upon early termination of the MainPointe Agreement, MainPointe’s licenses to the Impede technology and all products will terminate. Upon termination, at Acura’s request the parties will use commercially reasonable efforts to transition the Nexafed® and Nexafed® Sinus Pressure + Pain products back to Acura.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Impede Technology Products in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4" w:right="239" w:bottom="1440" w:gutter="0" w:footer="0" w:header="0"/>
        </w:sectPr>
      </w:pPr>
    </w:p>
    <w:p>
      <w:pPr>
        <w:spacing w:after="0" w:line="158" w:lineRule="exact"/>
        <w:rPr>
          <w:sz w:val="20"/>
          <w:szCs w:val="20"/>
          <w:color w:val="auto"/>
        </w:rPr>
      </w:pPr>
    </w:p>
    <w:p>
      <w:pPr>
        <w:ind w:left="300" w:right="1460" w:firstLine="1574"/>
        <w:spacing w:after="0" w:line="334" w:lineRule="auto"/>
        <w:rPr>
          <w:sz w:val="20"/>
          <w:szCs w:val="20"/>
          <w:color w:val="auto"/>
        </w:rPr>
      </w:pPr>
      <w:r>
        <w:rPr>
          <w:rFonts w:ascii="Times New Roman" w:cs="Times New Roman" w:eastAsia="Times New Roman" w:hAnsi="Times New Roman"/>
          <w:sz w:val="17"/>
          <w:szCs w:val="17"/>
          <w:b w:val="1"/>
          <w:bCs w:val="1"/>
          <w:color w:val="auto"/>
        </w:rPr>
        <w:t xml:space="preserve">Impede Technology Product </w:t>
      </w:r>
      <w:r>
        <w:rPr>
          <w:rFonts w:ascii="Times New Roman" w:cs="Times New Roman" w:eastAsia="Times New Roman" w:hAnsi="Times New Roman"/>
          <w:sz w:val="17"/>
          <w:szCs w:val="17"/>
          <w:color w:val="auto"/>
        </w:rPr>
        <w:t>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-193675</wp:posOffset>
            </wp:positionV>
            <wp:extent cx="3370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10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Immediate-release pseudoephedrine HCl in combination with other cold and allergy active ingredients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Extended-release formulation utilizing Impede 2.0 Technology</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Extended-release combination products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3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Manufacturing validation complete with commercial shipments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3361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Nexafed Sinus Pressure + Pain launched and licensed to MainPointe.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formulations being considered.</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Pilot pharmacokinetic testing demonstrated bioequivalence to Sudafed® 12-hour Tablets. Pre-IND meeting held with the FDA.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Formulations being considered.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Bayer’s rights terminated.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clinical testing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Formulation ready for final development and NDA submission.</w:t>
      </w:r>
    </w:p>
    <w:p>
      <w:pPr>
        <w:spacing w:after="0" w:line="200" w:lineRule="exact"/>
        <w:rPr>
          <w:sz w:val="20"/>
          <w:szCs w:val="20"/>
          <w:color w:val="auto"/>
        </w:rPr>
      </w:pPr>
    </w:p>
    <w:p>
      <w:pPr>
        <w:sectPr>
          <w:pgSz w:w="11900" w:h="16838" w:orient="portrait"/>
          <w:cols w:equalWidth="0" w:num="2">
            <w:col w:w="5500" w:space="340"/>
            <w:col w:w="5580"/>
          </w:cols>
          <w:pgMar w:left="240" w:top="904"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allows us to submit an IND to the FDA for our Nexafed extended release tablets, however, we have not yet committed to that level of development.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2017, we completed a pilot pharmacokinetic study for the PSE-containing combination product using our Impede 1.0 technology we were formerly developing for Bayer. The study in 24 healthy adult subjects demonstrated sufficient, but not bioequivalent blood levels of PSE to the comparator while the second active ingredient achieved bioequivalence. Based on the product profile, the Company believes this formulation can be moved into final development for a 5050(b)(2) NDA submission. The Company intends to upgrade this formulation with its Impede 2.0 technology before determining any advancement in development.</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objective is to establish, either directly or through third-party licensees, the Nexafed franchise in the United States with multiple product offerings, including both immediate and extended release products utilizing both single and combinations of active ingredients. We aim to make meth-resistant PSE product the standard of care in all U.S. pharmacies. In addition to the MainPointe Agreement, we may license our Impede technology to commercial partners to extend our internal development resources to develop difficult to formulate products, such as extended-release.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Bayer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15, 2015, we and Bayer entered into a License and Development Agreement, or the Bayer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We received reimbursement of certain our development expenses, and were entitled to success-based development and regulatory milestone payments, and low mid-single digit royalties on the net sales of the developed product. On June 28, 2017, we received Bayer’s written notice terminating the Bayer Agreement. Bayer exercised its convenience termination right prior to the completion of our development obligations under the Bayer Agreement, which we believe is as a result of Bayer’s de-prioritization of development of the methamphetamine resistant PSE-containing product contemplated in the Agreement. As a result of the termination, MainPointe has the option to license such product in the U.S. and Canada upon payment to us of $500,000, together with royalty of 7.5% of net sales of such product, under the MainPointe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 Opportunity for Impede PSE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Reference Brand</w:t>
            </w:r>
            <w:r>
              <w:rPr>
                <w:rFonts w:ascii="Times New Roman" w:cs="Times New Roman" w:eastAsia="Times New Roman" w:hAnsi="Times New Roman"/>
                <w:sz w:val="30"/>
                <w:szCs w:val="30"/>
                <w:b w:val="1"/>
                <w:bCs w:val="1"/>
                <w:color w:val="auto"/>
                <w:vertAlign w:val="superscript"/>
              </w:rPr>
              <w:t>1</w:t>
            </w: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2014 Retail Sales</w:t>
            </w:r>
          </w:p>
        </w:tc>
        <w:tc>
          <w:tcPr>
            <w:tcW w:w="0" w:type="dxa"/>
            <w:vAlign w:val="bottom"/>
          </w:tcPr>
          <w:p>
            <w:pPr>
              <w:spacing w:after="0"/>
              <w:rPr>
                <w:sz w:val="1"/>
                <w:szCs w:val="1"/>
                <w:color w:val="auto"/>
              </w:rPr>
            </w:pPr>
          </w:p>
        </w:tc>
      </w:tr>
      <w:tr>
        <w:trPr>
          <w:trHeight w:val="238"/>
        </w:trPr>
        <w:tc>
          <w:tcPr>
            <w:tcW w:w="2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Brand Company</w:t>
            </w:r>
          </w:p>
        </w:tc>
        <w:tc>
          <w:tcPr>
            <w:tcW w:w="10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Ingredient(s)</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Claritin-D</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Bayer</w:t>
            </w:r>
          </w:p>
        </w:tc>
        <w:tc>
          <w:tcPr>
            <w:tcW w:w="1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PSE &amp; Loraditine</w:t>
            </w:r>
            <w:r>
              <w:rPr>
                <w:rFonts w:ascii="Times New Roman" w:cs="Times New Roman" w:eastAsia="Times New Roman" w:hAnsi="Times New Roman"/>
                <w:sz w:val="28"/>
                <w:szCs w:val="28"/>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Allegra-D</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Chattem</w:t>
            </w:r>
          </w:p>
        </w:tc>
        <w:tc>
          <w:tcPr>
            <w:tcW w:w="2960" w:type="dxa"/>
            <w:vAlign w:val="bottom"/>
            <w:gridSpan w:val="2"/>
          </w:tcPr>
          <w:p>
            <w:pPr>
              <w:ind w:left="100"/>
              <w:spacing w:after="0" w:line="256" w:lineRule="exact"/>
              <w:rPr>
                <w:sz w:val="20"/>
                <w:szCs w:val="20"/>
                <w:color w:val="auto"/>
              </w:rPr>
            </w:pPr>
            <w:r>
              <w:rPr>
                <w:rFonts w:ascii="Times New Roman" w:cs="Times New Roman" w:eastAsia="Times New Roman" w:hAnsi="Times New Roman"/>
                <w:sz w:val="18"/>
                <w:szCs w:val="18"/>
                <w:color w:val="auto"/>
              </w:rPr>
              <w:t>PSE &amp; Fexofenadine</w:t>
            </w:r>
            <w:r>
              <w:rPr>
                <w:rFonts w:ascii="Times New Roman" w:cs="Times New Roman" w:eastAsia="Times New Roman" w:hAnsi="Times New Roman"/>
                <w:sz w:val="29"/>
                <w:szCs w:val="29"/>
                <w:color w:val="auto"/>
                <w:vertAlign w:val="superscript"/>
              </w:rPr>
              <w:t>2</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Zyrtec-D</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Pfizer</w:t>
            </w:r>
          </w:p>
        </w:tc>
        <w:tc>
          <w:tcPr>
            <w:tcW w:w="2960" w:type="dxa"/>
            <w:vAlign w:val="bottom"/>
            <w:gridSpan w:val="2"/>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PSE &amp; Ceterizine</w:t>
            </w:r>
            <w:r>
              <w:rPr>
                <w:rFonts w:ascii="Times New Roman" w:cs="Times New Roman" w:eastAsia="Times New Roman" w:hAnsi="Times New Roman"/>
                <w:sz w:val="29"/>
                <w:szCs w:val="29"/>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Advil Sinus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Pfizer</w:t>
            </w: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PSE &amp; Ibuprofen</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Sudafed 12 Hour</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J&amp;J</w:t>
            </w:r>
          </w:p>
        </w:tc>
        <w:tc>
          <w:tcPr>
            <w:tcW w:w="2960" w:type="dxa"/>
            <w:vAlign w:val="bottom"/>
            <w:gridSpan w:val="2"/>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PSE</w:t>
            </w:r>
            <w:r>
              <w:rPr>
                <w:rFonts w:ascii="Times New Roman" w:cs="Times New Roman" w:eastAsia="Times New Roman" w:hAnsi="Times New Roman"/>
                <w:sz w:val="29"/>
                <w:szCs w:val="29"/>
                <w:color w:val="auto"/>
                <w:vertAlign w:val="superscript"/>
              </w:rPr>
              <w:t>2</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Sudafed 30mg</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J&amp;J</w:t>
            </w: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PSE</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20" w:hanging="129"/>
        <w:spacing w:after="0" w:line="183" w:lineRule="auto"/>
        <w:tabs>
          <w:tab w:leader="none" w:pos="72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Branded product only. Does not include store brand sales.</w:t>
      </w:r>
    </w:p>
    <w:p>
      <w:pPr>
        <w:spacing w:after="0" w:line="43" w:lineRule="exact"/>
        <w:rPr>
          <w:rFonts w:ascii="Times New Roman" w:cs="Times New Roman" w:eastAsia="Times New Roman" w:hAnsi="Times New Roman"/>
          <w:sz w:val="29"/>
          <w:szCs w:val="29"/>
          <w:color w:val="auto"/>
          <w:vertAlign w:val="superscript"/>
        </w:rPr>
      </w:pPr>
    </w:p>
    <w:p>
      <w:pPr>
        <w:ind w:left="600"/>
        <w:spacing w:after="0" w:line="23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Extended release PSE formulations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The 2014 market for 30mg PSE tablets, including store brands was approximately 470 million tablets or 19 million boxes of 24 tablets. Prior to the MainPointe Agreement, Nexafed was priced at $4.39 for a box of 24 tablets and Nexafed Sinus Pressure + Pain at $7.95 for a box of 24 tablets. MainPointe will control the price of Nexafed and Nexafed Sinus under the terms of the MainPointe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Labeling for Impede Technology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Nexafed and Nexafed Sinus Pressure + Pain products are marketed pursuant to the FDA’s OTC Monograph regulations, which require that our product have labeling as specified in the regulations. Marketing for the Nexafed products includes advertising the extraction characteristics and methamphetamine-resistant benefits of these products which is supported by our published research studies.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misuse and abuse of controlled prescription drugs, or CPDs, in general, and opioid analgesics in particular, continues to constitute a dynamic and challenging threat to the United States and is the nation’s fastest growing drug problem. Results from the 2013 National Drug Threat Assessment conducted by the U.S. Drug Enforcement Administration, or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222 million tablet and capsule prescriptions dispensed in 2016 of which approximately 208 million were for IR opioid products and 14 million were for ER opioid products. However, physicians and other health care providers at times are reluctant to prescribe opioid analgesics for fear of misuse, abuse, and diversion of legitimate prescriptions for illicit use.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66 tablets or capsules. According to IMS Health, in 2016, sales in the IR opioid product segment were approximately $2.7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2016 is provided below:</w:t>
      </w:r>
    </w:p>
    <w:p>
      <w:pPr>
        <w:spacing w:after="0" w:line="18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2016 US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IR Opioid Products</w:t>
            </w:r>
            <w:r>
              <w:rPr>
                <w:rFonts w:ascii="Times New Roman" w:cs="Times New Roman" w:eastAsia="Times New Roman" w:hAnsi="Times New Roman"/>
                <w:sz w:val="30"/>
                <w:szCs w:val="30"/>
                <w:b w:val="1"/>
                <w:bCs w:val="1"/>
                <w:color w:val="auto"/>
                <w:vertAlign w:val="superscript"/>
              </w:rPr>
              <w:t>(1)</w:t>
            </w:r>
          </w:p>
        </w:tc>
        <w:tc>
          <w:tcPr>
            <w:tcW w:w="40" w:type="dxa"/>
            <w:vAlign w:val="bottom"/>
            <w:vMerge w:val="restart"/>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Prescriptions</w:t>
            </w: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240" w:type="dxa"/>
            <w:vAlign w:val="bottom"/>
            <w:tcBorders>
              <w:bottom w:val="single" w:sz="8" w:color="auto"/>
            </w:tcBorders>
            <w:vMerge w:val="continue"/>
          </w:tcPr>
          <w:p>
            <w:pPr>
              <w:spacing w:after="0"/>
              <w:rPr>
                <w:sz w:val="23"/>
                <w:szCs w:val="23"/>
                <w:color w:val="auto"/>
              </w:rPr>
            </w:pPr>
          </w:p>
        </w:tc>
        <w:tc>
          <w:tcPr>
            <w:tcW w:w="40" w:type="dxa"/>
            <w:vAlign w:val="bottom"/>
            <w:tcBorders>
              <w:bottom w:val="single" w:sz="8" w:color="CCEEFF"/>
            </w:tcBorders>
            <w:vMerge w:val="continue"/>
          </w:tcPr>
          <w:p>
            <w:pPr>
              <w:spacing w:after="0"/>
              <w:rPr>
                <w:sz w:val="23"/>
                <w:szCs w:val="23"/>
                <w:color w:val="auto"/>
              </w:rPr>
            </w:pPr>
          </w:p>
        </w:tc>
        <w:tc>
          <w:tcPr>
            <w:tcW w:w="108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3"/>
              </w:rPr>
              <w:t>(Millions)</w:t>
            </w:r>
            <w:r>
              <w:rPr>
                <w:rFonts w:ascii="Times New Roman" w:cs="Times New Roman" w:eastAsia="Times New Roman" w:hAnsi="Times New Roman"/>
                <w:sz w:val="30"/>
                <w:szCs w:val="30"/>
                <w:b w:val="1"/>
                <w:bCs w:val="1"/>
                <w:color w:val="auto"/>
                <w:w w:val="93"/>
                <w:vertAlign w:val="superscript"/>
              </w:rPr>
              <w:t>(2)</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Hydrocodone</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Oxycodone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Tramadol</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Codeine</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Others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32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-8890</wp:posOffset>
            </wp:positionV>
            <wp:extent cx="14236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ind w:left="2280" w:hanging="327"/>
        <w:spacing w:after="0" w:line="186" w:lineRule="auto"/>
        <w:tabs>
          <w:tab w:leader="none" w:pos="22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Includes all salts and esters of the opioid and opioids in combination with other active ingredients such as acetaminophen.</w:t>
      </w:r>
    </w:p>
    <w:p>
      <w:pPr>
        <w:ind w:left="2280" w:hanging="327"/>
        <w:spacing w:after="0" w:line="181" w:lineRule="auto"/>
        <w:tabs>
          <w:tab w:leader="none" w:pos="228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IMS Health, 2016</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Labeling for Abuse-Deterrent Opioid Products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issued patent covering, among other things, our Limitx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Patent No. (Jurisdiction)</w:t>
            </w:r>
          </w:p>
        </w:tc>
        <w:tc>
          <w:tcPr>
            <w:tcW w:w="80" w:type="dxa"/>
            <w:vAlign w:val="bottom"/>
          </w:tcPr>
          <w:p>
            <w:pPr>
              <w:spacing w:after="0"/>
              <w:rPr>
                <w:sz w:val="20"/>
                <w:szCs w:val="20"/>
                <w:color w:val="auto"/>
              </w:rPr>
            </w:pPr>
          </w:p>
        </w:tc>
        <w:tc>
          <w:tcPr>
            <w:tcW w:w="694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191"/>
        </w:trPr>
        <w:tc>
          <w:tcPr>
            <w:tcW w:w="2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9,101,636</w:t>
            </w:r>
          </w:p>
        </w:tc>
        <w:tc>
          <w:tcPr>
            <w:tcW w:w="11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6"/>
                <w:szCs w:val="16"/>
                <w:color w:val="auto"/>
              </w:rPr>
            </w:pPr>
          </w:p>
        </w:tc>
        <w:tc>
          <w:tcPr>
            <w:tcW w:w="6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Abuse deterrent products wherein the release of active ingredient is retarded when 3 or more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doses are consumed</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9,320,796</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products wherein the release of active ingredient is retarded when 3 or more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doses are consumed</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9,662,393</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products wherein the release of active ingredient is retarded when 3 or more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doses are consumed</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2,892,908</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products wherein the release of active ingredient is retarded when excessive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doses are consumed</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5,922,851</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products wherein the release of active ingredient is retarded when excessive</w:t>
            </w: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doses are consumed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issued patents covering, among other things, Oxaydo and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Patent No. (Jurisdiction)</w:t>
            </w:r>
          </w:p>
        </w:tc>
        <w:tc>
          <w:tcPr>
            <w:tcW w:w="80" w:type="dxa"/>
            <w:vAlign w:val="bottom"/>
          </w:tcPr>
          <w:p>
            <w:pPr>
              <w:spacing w:after="0"/>
              <w:rPr>
                <w:sz w:val="20"/>
                <w:szCs w:val="20"/>
                <w:color w:val="auto"/>
              </w:rPr>
            </w:pPr>
          </w:p>
        </w:tc>
        <w:tc>
          <w:tcPr>
            <w:tcW w:w="69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191"/>
        </w:trPr>
        <w:tc>
          <w:tcPr>
            <w:tcW w:w="20" w:type="dxa"/>
            <w:vAlign w:val="bottom"/>
          </w:tcPr>
          <w:p>
            <w:pPr>
              <w:spacing w:after="0"/>
              <w:rPr>
                <w:sz w:val="16"/>
                <w:szCs w:val="16"/>
                <w:color w:val="auto"/>
              </w:rPr>
            </w:pPr>
          </w:p>
        </w:tc>
        <w:tc>
          <w:tcPr>
            <w:tcW w:w="1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7,201,920 (US)</w:t>
            </w:r>
          </w:p>
        </w:tc>
        <w:tc>
          <w:tcPr>
            <w:tcW w:w="80" w:type="dxa"/>
            <w:vAlign w:val="bottom"/>
          </w:tcPr>
          <w:p>
            <w:pPr>
              <w:spacing w:after="0"/>
              <w:rPr>
                <w:sz w:val="16"/>
                <w:szCs w:val="16"/>
                <w:color w:val="auto"/>
              </w:rPr>
            </w:pPr>
          </w:p>
        </w:tc>
        <w:tc>
          <w:tcPr>
            <w:tcW w:w="6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including a mixture of functional inactive ingredients and specific</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opioid analgesics</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7,510,726 (US)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wider range of compositions than those described in the 7,201,920 Patent</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7,981,439 (US)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compositions including any water soluble drug susceptible to abuse</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8,409,616 (US)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compositions of immediate-release abuse deterrent dosage forms</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8,637,540 (US)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compositions of immediate-release abuse deterrent opioid products</w:t>
            </w: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9,492,443 (US)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compositions of immediate-release abuse deterrent opioid products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additional issued patents relating to our Aversion Technology: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Patent No. (Jurisdiction)</w:t>
            </w:r>
          </w:p>
        </w:tc>
        <w:tc>
          <w:tcPr>
            <w:tcW w:w="80" w:type="dxa"/>
            <w:vAlign w:val="bottom"/>
          </w:tcPr>
          <w:p>
            <w:pPr>
              <w:spacing w:after="0"/>
              <w:rPr>
                <w:sz w:val="20"/>
                <w:szCs w:val="20"/>
                <w:color w:val="auto"/>
              </w:rPr>
            </w:pPr>
          </w:p>
        </w:tc>
        <w:tc>
          <w:tcPr>
            <w:tcW w:w="694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Subject Matter</w:t>
            </w:r>
          </w:p>
        </w:tc>
      </w:tr>
      <w:tr>
        <w:trPr>
          <w:trHeight w:val="191"/>
        </w:trPr>
        <w:tc>
          <w:tcPr>
            <w:tcW w:w="20" w:type="dxa"/>
            <w:vAlign w:val="bottom"/>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7,476,402</w:t>
            </w:r>
          </w:p>
        </w:tc>
        <w:tc>
          <w:tcPr>
            <w:tcW w:w="11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6"/>
                <w:szCs w:val="16"/>
                <w:color w:val="auto"/>
              </w:rPr>
            </w:pPr>
          </w:p>
        </w:tc>
        <w:tc>
          <w:tcPr>
            <w:tcW w:w="6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of certain combinations of kappa and mu opioid receptor agonists</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other ingredients intended to deter opioid analgesic product misuse and abuse</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8,822,489</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compositions of certain abuse deterrent products that contain polymers,</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surfactant and polysorb 80</w:t>
            </w: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2,004,294,953 (AUS)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2,010,200,979 (AUS)</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2,547,334</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16"/>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2,647,360</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175,863 (ISR)</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221,018 (ISR)</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1694260 (EUR)</w:t>
            </w:r>
          </w:p>
        </w:tc>
        <w:tc>
          <w:tcPr>
            <w:tcW w:w="7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Abuse deterrent pharmaceuticals</w:t>
            </w:r>
          </w:p>
        </w:tc>
      </w:tr>
      <w:tr>
        <w:trPr>
          <w:trHeight w:val="64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20" w:type="dxa"/>
            <w:vAlign w:val="bottom"/>
            <w:gridSpan w:val="2"/>
          </w:tcPr>
          <w:p>
            <w:pPr>
              <w:jc w:val="right"/>
              <w:ind w:right="305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r>
      <w:tr>
        <w:trPr>
          <w:trHeight w:val="228"/>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 2015</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Nov. 2033</w:t>
            </w:r>
          </w:p>
        </w:tc>
      </w:tr>
      <w:tr>
        <w:trPr>
          <w:trHeight w:val="414"/>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2033</w:t>
            </w:r>
          </w:p>
        </w:tc>
      </w:tr>
      <w:tr>
        <w:trPr>
          <w:trHeight w:val="43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2033</w:t>
            </w:r>
          </w:p>
        </w:tc>
      </w:tr>
      <w:tr>
        <w:trPr>
          <w:trHeight w:val="432"/>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2033</w:t>
            </w:r>
          </w:p>
        </w:tc>
      </w:tr>
      <w:tr>
        <w:trPr>
          <w:trHeight w:val="432"/>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r>
      <w:tr>
        <w:trPr>
          <w:trHeight w:val="228"/>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 2007</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 2025</w:t>
            </w:r>
          </w:p>
        </w:tc>
      </w:tr>
      <w:tr>
        <w:trPr>
          <w:trHeight w:val="39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2009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 2011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 2024</w:t>
            </w:r>
          </w:p>
        </w:tc>
      </w:t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2013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 2014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r>
      <w:tr>
        <w:trPr>
          <w:trHeight w:val="228"/>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 2009</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41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 2014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2023</w:t>
            </w:r>
          </w:p>
        </w:tc>
      </w:tr>
      <w:tr>
        <w:trPr>
          <w:trHeight w:val="414"/>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 2010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 2010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 2010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2012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 2027</w:t>
            </w: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2004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1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2004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r>
        <w:trPr>
          <w:trHeight w:val="23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2004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 2024</w:t>
            </w:r>
          </w:p>
        </w:tc>
      </w:tr>
    </w:tbl>
    <w:p>
      <w:pPr>
        <w:sectPr>
          <w:pgSz w:w="11900" w:h="16838" w:orient="portrait"/>
          <w:cols w:equalWidth="0" w:num="2">
            <w:col w:w="8940" w:space="100"/>
            <w:col w:w="2380"/>
          </w:cols>
          <w:pgMar w:left="240" w:top="90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We have the following issued patent covering, among other things, our Nexafed product line and Impede 1.0 and 2.0 technologies: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Patent No. (Jurisdiction)</w:t>
            </w:r>
          </w:p>
        </w:tc>
        <w:tc>
          <w:tcPr>
            <w:tcW w:w="80" w:type="dxa"/>
            <w:vAlign w:val="bottom"/>
          </w:tcPr>
          <w:p>
            <w:pPr>
              <w:spacing w:after="0"/>
              <w:rPr>
                <w:sz w:val="20"/>
                <w:szCs w:val="20"/>
                <w:color w:val="auto"/>
              </w:rPr>
            </w:pPr>
          </w:p>
        </w:tc>
        <w:tc>
          <w:tcPr>
            <w:tcW w:w="704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Subject Matter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Expires</w:t>
            </w:r>
          </w:p>
        </w:tc>
      </w:tr>
      <w:tr>
        <w:trPr>
          <w:trHeight w:val="191"/>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8,901,113 (US)</w:t>
            </w:r>
          </w:p>
        </w:tc>
        <w:tc>
          <w:tcPr>
            <w:tcW w:w="80" w:type="dxa"/>
            <w:vAlign w:val="bottom"/>
          </w:tcPr>
          <w:p>
            <w:pPr>
              <w:spacing w:after="0"/>
              <w:rPr>
                <w:sz w:val="16"/>
                <w:szCs w:val="16"/>
                <w:color w:val="auto"/>
              </w:rPr>
            </w:pPr>
          </w:p>
        </w:tc>
        <w:tc>
          <w:tcPr>
            <w:tcW w:w="6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 precursor</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Dec. 2014</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 2032</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compounds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2010300641 (AUS)</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 precursor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 2030</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compounds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2,775,890 (CAN)</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 precursor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 2030</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compounds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2,488,029 (EUR)</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 precursor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 2030</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compounds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218533 (ISR)</w:t>
            </w: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Pharmaceutical compositions suitable for reducing the chemical conversion of precursor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 2016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 2030</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compounds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the KemPharm Agreement, and the MainPointe Agreement and in the patent infringement settlement agreements described below, we have retained all intellectual property rights to our Aversion Technology, Impede Technology, Limitx Technology and related product candidates.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2015, Purdue Pharma L.P., Purdue Pharmaceuticals L.P. and The P.F. Laboratories, Inc., or collectively Purdue, commenced a patent infringement lawsuit against us and our Oxaydo product licensee Egalet in the United States District Court for the District of Delaware alleging our Oxaydo product infringes Purdue’s U.S. Patent No. 8,389,007, or the 007 Patent. In April 2016, Purdue commenced a second patent infringement lawsuit against us and Egalet in the United States District Court for the District of Delaware alleging our Oxaydo product infringes Purdue’s newly issued U.S. Patent No. 9,308,171, or the 171 Patent. The actions regarding the 007 Patent and the 171 Patent are collectively referred to as the “Actions”. On April 6, 2016, we filed a petition for Inter Parties Review, or IPR Review, with the USPTO seeking to invalidate Purdue’s 007 Patent.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The Settlement Agreement specifically excludes our patents related to our Impede and Limitx technologies from the scope of our patents subject to the Settlement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Risk Factors contained in our Annual Report on Form 10-K for the year ended December 31, 2016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 Present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June 30, 2017, we had unrestricted cash and cash equivalents of $1.1 million, compared to $2.7 million of unrestricted cash and cash equivalents at December 31, 2016 (in each case which is after the deduction of the $2.5 million compensating balance requirement under our term loan with Oxford). Under our term loan with Oxford Finance LLC, we were required to maintain a $2.5 million compensating balance until such time as we raised an additional approximately $3.5 million through the issuance of equity securities and from upfront payments under license, joint venture, collaboration or other partnering transactions. On July 24, 2017 we completed a private placement of our equity securities, resulting in net proceeds to the Company of approximately $3.9 million. At a result, we are no longer subject to the $2.5 million compensating balance requirement under our term loan with Oxford. We had an accumulated deficit of approximately $376.4 million at June 30, 2017. We had loss from operations of $1.4 million and net loss of $1.7 million for the six months ended June 30, 2017 and we had a net loss from operations of $6.6 million and net loss of $7.4 million for the year ended December 31, 2016. Giving effect to our July 2017 private placement and the lapse of the $2.5 million cash balance requirement under our term loan with Oxford, we had unrestricted cash and cash equivalents of $6.6 million at August 1, 2017. Our current unrestricted cash and cash equivalents is expected to be sufficient to fund the development of our products and our related operating expenses only into April 2018.</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continue to incur substantial losses for the foreseeable future as we continue to develop our clinical and preclinical product candidates. To fund further operations and product development activities,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and post-marketing studies under the Egalet Agreement. Sales and marketing expenses include costs associated with the Nexafed product line advertising, salaries and other personnel-related costs include the stock-based compensation associated with stock options and restricted stock units granted to employees and non-employee directors.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86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June 30, 2017 Compared to Three months Ended June 30, 2016</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Borders>
              <w:top w:val="single" w:sz="8" w:color="auto"/>
            </w:tcBorders>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23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 net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 (excluding inventory provisions)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provisions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1,403</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(745)</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2,083</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(3,079)</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(3,2,88)</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revenue is derived from reimbursement of development expenses under various development agreements, such as from our former collaboration agreement with Bayer, and are recognized when costs are incurred pursuant to the collaboration agreement. We recognized $23 thousand and $133 thousand of collaboration revenue during the three months ended June 30, 2017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Collaboration and License Agreement with Egalet to commercialize Oxaydo tablets we are receiving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We recognized $64 thousand and $30 thousand of royalty revenue during the three months ended June 30, 2017 and 2016,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License, Commercialization and Option Agreement with MainPointe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recognized $5 thousand of royalty revenue during the three months ended June 30,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16, 2017, our licensee, MainPointe, is manufacturing, distributing, and selling the Nexafed product 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(R&amp;D) is primarily for our Aversion and our Impede Technologies development and includes costs of preclinical and non-clinical, clinical trials, clinical supplies and related formulation and design costs, salaries and other personnel related expenses, and facility costs. Included in the results for the three months ended June 30, 2017 and 2016 is approximately $5 thousand and $92 thousand, respectively of cost sharing expenses of clinical studies for product line extensions (additional strengths) of Oxaydo for the United States under the Egalet Agreement and approximately $24 thousand and $186 thousand, respectively of cost sharing expenses of the FDA required post-marketing study for Oxaydo under the Egalet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each of 2017 and 2016 quarterly results are non-cash share-based compensation expenses of approximately $34 thousand and $43 thousand, respectively. Excluding the share-based compensation expense, our R&amp;D expenses decreased approximately $375 thousand between reporting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LTX-04 clinical study, Study AP-LTX-400 or Study 400, was completed during 2016. During the first quarter 2017, our activities were addressing certain excipient issues in our LTX-04 tablet formulation and developing a new, faster releasing micro-particle formulation for LTX-04. We substantially completed our second pharmacokinetic study, AP-LTX-401 during the second quarter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Administrative, 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are primarily of advertising and marketing activities on the Nexafed product line. Our general and administrative expenses primarily consisted of legal, audit and other professional services, corporate insurance, and payroll. Included in each of the three months ended June 30, 2017 and 2016 results are non-cash share-based compensation expenses of approximately $83 thousand and $107 thousand, respectively. Excluding the share-based compensation expense our selling, marketing, general and administrative expenses decreased by approximately $720 thousand between reporting periods, resulting primarily from decreases in advertising and marketing activities for our Nexafed product line as well as patent and general legal activities. In March 2017 we licensed the Nexafed product line to MainPointe.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and 2016, non-operating expense consisted principally of interest expense on our term loan from Oxford, which originated in December 2013, less any interest income and investment income derived from any of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the three months ended June 30, 2017 and 2016 show no federal or state income tax benefit provisions due to 100% allowances placed against their deferred tax asset for uncertainty of their future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2017 Compared to Six months Ended June 30,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0" w:type="dxa"/>
            <w:vAlign w:val="bottom"/>
          </w:tcPr>
          <w:p>
            <w:pPr>
              <w:spacing w:after="0"/>
              <w:rPr>
                <w:sz w:val="19"/>
                <w:szCs w:val="19"/>
                <w:color w:val="auto"/>
              </w:rPr>
            </w:pPr>
          </w:p>
        </w:tc>
        <w:tc>
          <w:tcPr>
            <w:tcW w:w="2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0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fee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233</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revenue</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2,809</w:t>
            </w:r>
          </w:p>
        </w:tc>
        <w:tc>
          <w:tcPr>
            <w:tcW w:w="2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481</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 (excluding inventory provisions)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provisions</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4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(2,480)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(6,217)</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income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(482)</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(455)</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(6,672)</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(4,928)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(6,672)</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(4,928)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9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589"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Fees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under our Collaboration and License Agreement with MainPointe Agreement, we granted MainPointe an exclusive license to our Impede technology to commercialize our Nexafed products in the U.S. and Canada. On signing the MainPointe Agreement, MainPointe paid us an upfront licensing fee of $2.5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revenue is derived from reimbursement of development expenses under various development agreements, such as from our former collaboration agreement with Bayer, and are recognized when costs are incurred pursuant to the collaboration agreement. We recognized $59 thousand and $233 thousand of collaboration revenue during the six months ended June 30, 2017 and 2016,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Collaboration and License Agreement with Egalet to commercialize Oxaydo tablets we are receiving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We recognized $135 thousand and $47 thousand of royalty revenue during the six months ended June 30, 2017 and 2016,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License, Commercialization and Option Agreement with MainPointe on March 16, 2017, we are receiving a royalty of 7.5% on net sales of the licensed products over the term of the agreement. Such royalty shall be payable for sales made during each calendar quarter and payment will be remitted within forty-five (45) days after the end of the quarter to which it relates. We recognized $8 thousand of royalty revenue during the six months ended June 30,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Nexafed® was launched in December 2012. Nexafed® Sinus Pressure + Pain was launched in February 2015. Prior to the MainPointe Agreement, the Company sold the Nexafed® product line in the United States to wholesale pharmaceutical distributors and as well as directly to chain drug stores. The product line is sold subject to the right of return usually for a period of up to twelve months after the product’s expiration date. As of March 16, 2017, our licensee, MainPointe, is manufacturing, distributing, and selling the Nexafed product 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includes third-party acquisition costs, third-party warehousing and product distribution charges and inventory reserve expenses for the Nexafed product line. Our cost of sales for the six months ended June 30, 2017 and 2016 were $128 thousand and $227 thousand, respectively. As of March 16, 2017, our licensee, MainPointe, is manufacturing, distributing, and selling the Nexafed product 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(R&amp;D) is primarily for our Limitx and our Impede Technologies development and includes costs of preclinical and non-clinical, clinical trials, clinical supplies and related formulation and design costs, salaries and other personnel related expenses, and facility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results for the six months ended June 30, 2017 and 2016 is approximately $86 thousand and $92 thousand, respectively of cost sharing expenses of clinical studies for product line extensions (additional strengths) of Oxaydo for the United States under the Egalet Agreement and approximately $47 thousand and $186 thousand, respectively of cost sharing expenses of the FDA required post-marketing study for Oxaydo under the Egalet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each of 2017 and 2016 six month results are non-cash share-based compensation expenses of approximately $68 thousand and $85 thousand, respectively. Excluding the share-based compensation expense, our R&amp;D expenses decreased approximately $670 thousand between reporting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LTX-04 clinical study, Study AP-LTX-400 or Study 400, was completed during 2016. During the first quarter 2017, our activities were addressing certain excipient issues in our LTX-04 tablet formulation and developing a new, faster releasing micro-particle formulation for LTX-04. We substantially completed our second pharmacokinetic study, AP-LTX-401 during the second quarter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Administrative, 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are primarily of advertising and marketing activities on the Nexafed product line. Our general and administrative expenses primarily consisted of legal, audit and other professional services, corporate insurance, and payroll. Included in each of the six months ended June 30, 2017 and 2016 results are non-cash share-based compensation expenses of approximately $166 thousand and $214 thousand, respectively. Excluding the share-based compensation expense our selling, marketing, general and administrative expenses decreased by approximately $1.6 million between reporting periods, resulting primarily from decreases in advertising and marketing activities for our Nexafed product line as well as patent and general legal activities. In March 2017 we licensed the Nexafed product line to MainPointe.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and 2016, non-operating expense consisted principally of interest expense on our term loan from Oxford, which originated in December 2013, less any interest income and investment income derived from any of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for the six months ended June 30, 2017 and 2016 include no federal or state income tax benefit provisions due to 100% allowances placed against their deferred tax asset for uncertainty of their future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June 30, 2017, we had unrestricted cash and cash equivalents of $1.1 million compared to unrestricted cash and cash equivalents of $2.7 million at December 31, 2016. Under our term loan with Oxford, we were required to maintain a $2.5 million compensating balance until such time as we raised an additional $3.5 million through the issuance of our equity securities. On July 24, 2017, we completed a private placement of our equity securities, resulting in net proceeds to the Company of approximately $3.9 million. As a result, we are no longer subject to the $2.5 million compensating balance requirement under our term loan with Oxford. Giving effect to the lapse of such compensating balance requirement and the net proceeds from our July 2017 private placement, at August 1, 2017, we had unrestricted cash and cash equivalents of approximately $6.6 million. We estimate that our unrestricted working capital, together with milestone and royalty payments, if any, that may be made under the Egalet Agreement, the KemPharm Agreement, and the MainPointe Agreement, is expected to be sufficient to fund our continuing operations only into April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18"/>
          <w:szCs w:val="18"/>
          <w:color w:val="auto"/>
        </w:rPr>
        <w:t>To fund further operations and product development activities beyond April 2018, we must raise additional financing or enter into license or collaboration agreements with third parties relating to our technologies. The Company intends to explore a variety of capital raising and other transactions to provide additional funding to continue operations. These include a registered public offering of the Company’s common stock, for which the Company filed a registration statement on Form S-1 with the SEC on February 3, 2017, and additional potential private offerings of common stock to institutional and/or accredited investors. The Company is also actively seeking a licensing partner for its Limitx Technology, with the objective of receiving an upfront license fee, development milestone payments and royalties on the net sales of products utilizing the Limitx Technology, similar to the Egalet Agreement. The Company is also exploring licensing or selling select assets and intellectual property in an effort to raise capital and reduce operating expenses. Finally, the Company is evaluating the potential for a strategic transaction which may involve the Company being acquired in a merger or asset purchase transaction.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Our auditors have included in their report relating to our 2016 financial statements a “going concern” explanatory paragraph as to substantial doubt of our ability to continue as a going concern.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sources of revenue, if any, will be derived from milestone payments and royalties under the Egalet Agreement, the KemPharm Agreement, the MainPointe Agreement and similar agreements for our Limitx products in development with other pharmaceutical company partners, for which there can be no assurance.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A of the Notes to Consolidated Financial Statements, in the Company’s 2016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2016 Annual Report are also applicable to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7" w:lineRule="exact"/>
        <w:rPr>
          <w:sz w:val="20"/>
          <w:szCs w:val="20"/>
          <w:color w:val="auto"/>
        </w:rPr>
      </w:pPr>
    </w:p>
    <w:p>
      <w:pPr>
        <w:jc w:val="both"/>
        <w:ind w:firstLine="8"/>
        <w:spacing w:after="0" w:line="255" w:lineRule="auto"/>
        <w:tabs>
          <w:tab w:leader="none" w:pos="5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firstLine="8"/>
        <w:spacing w:after="0" w:line="284" w:lineRule="auto"/>
        <w:tabs>
          <w:tab w:leader="none" w:pos="4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Changes in Internal Controls over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no changes in our internal controls over financial reporting during the second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2017 that have materially affected, or are reasonably likely to materially affect, our internal controls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Note 14, “Commitments and Contingencies,” in Part I, Item 1,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our common stock should consider the following risk factors, in addition to those risk factors set forth in our 2016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require additional funding; if we fail to raise additional funding we will cease operations and/or seek protection under applicable bankruptcy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Our auditors have included in their report relating to our 2016 financial statements a “going concern” explanatory paragraph as to substantial doubt of our ability to continue as a going concern. After giving effect to the net proceeds from our July 2017 private placement, we believe we have unrestricted cash sufficient to fund operations only into April 2018. In the absence of the receipt of additional financing or payments under third-party license or collaborative agreements prior to such time, we will be required to scale back or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31.1</w:t>
            </w:r>
          </w:p>
        </w:tc>
        <w:tc>
          <w:tcPr>
            <w:tcW w:w="10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pursuant to Rule 13a-14 and 15d-14 of the Securities Exchange Act of 1934.</w:t>
            </w:r>
          </w:p>
        </w:tc>
      </w:tr>
      <w:tr>
        <w:trPr>
          <w:trHeight w:val="432"/>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31.2</w:t>
            </w:r>
          </w:p>
        </w:tc>
        <w:tc>
          <w:tcPr>
            <w:tcW w:w="10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pursuant to Rule 13a-14 and 15d-14 of the Securities Exchange Act of 1934.</w:t>
            </w:r>
          </w:p>
        </w:tc>
      </w:tr>
      <w:tr>
        <w:trPr>
          <w:trHeight w:val="414"/>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32.1</w:t>
            </w:r>
          </w:p>
        </w:tc>
        <w:tc>
          <w:tcPr>
            <w:tcW w:w="105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Certification of Periodic Report by the Chief Executive Officer and Chief Financial Officer pursuant to 18 U.S.C. Section 1350, as adopted</w:t>
            </w:r>
          </w:p>
        </w:tc>
      </w:tr>
      <w:tr>
        <w:trPr>
          <w:trHeight w:val="234"/>
        </w:trPr>
        <w:tc>
          <w:tcPr>
            <w:tcW w:w="860" w:type="dxa"/>
            <w:vAlign w:val="bottom"/>
          </w:tcPr>
          <w:p>
            <w:pPr>
              <w:spacing w:after="0"/>
              <w:rPr>
                <w:sz w:val="20"/>
                <w:szCs w:val="20"/>
                <w:color w:val="auto"/>
              </w:rPr>
            </w:pPr>
          </w:p>
        </w:tc>
        <w:tc>
          <w:tcPr>
            <w:tcW w:w="10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648"/>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476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420"/>
          </w:cols>
          <w:pgMar w:left="240" w:top="903"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bl>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0" w:name="page51"/>
    <w:bookmarkEnd w:id="50"/>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August 14, 2017</w:t>
      </w:r>
      <w:r>
        <w:rPr>
          <w:sz w:val="20"/>
          <w:szCs w:val="20"/>
          <w:color w:val="auto"/>
        </w:rPr>
        <w:tab/>
      </w:r>
      <w:r>
        <w:rPr>
          <w:rFonts w:ascii="Times New Roman" w:cs="Times New Roman" w:eastAsia="Times New Roman" w:hAnsi="Times New Roman"/>
          <w:sz w:val="17"/>
          <w:szCs w:val="17"/>
          <w:color w:val="auto"/>
        </w:rPr>
        <w:t>ACURA PHARMACEUTICALS, INC.</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Robert B. Jones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-130810</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Peter A. Clemens</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VP &amp; Chief Financial Officer</w:t>
      </w:r>
    </w:p>
    <w:p>
      <w:pPr>
        <w:spacing w:after="0" w:line="200" w:lineRule="exact"/>
        <w:rPr>
          <w:sz w:val="20"/>
          <w:szCs w:val="20"/>
          <w:color w:val="auto"/>
        </w:rPr>
      </w:pPr>
    </w:p>
    <w:p>
      <w:pPr>
        <w:spacing w:after="0" w:line="2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80"/>
          </w:cols>
          <w:pgMar w:left="1160" w:top="901" w:right="2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10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1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11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0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0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14,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744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2" w:name="page53"/>
    <w:bookmarkEnd w:id="52"/>
    <w:p>
      <w:pPr>
        <w:ind w:left="10300"/>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PURSUANT TO RULES 13a-14 AND 15d-14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Acura Pharmaceuticals,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1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12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1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62" w:lineRule="exact"/>
        <w:rPr>
          <w:sz w:val="20"/>
          <w:szCs w:val="20"/>
          <w:color w:val="auto"/>
        </w:rPr>
      </w:pPr>
    </w:p>
    <w:p>
      <w:pPr>
        <w:ind w:left="660" w:hanging="4"/>
        <w:spacing w:after="0" w:line="282" w:lineRule="auto"/>
        <w:tabs>
          <w:tab w:leader="none" w:pos="10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14,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744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CERTIFICATIONS OF THE CHIEF EXEUTIVE OFFICER AND THE CHIEF FINANCIAL OFFICER PURSUANT TO 18 U.S.C. SECTION 1350, AS ADOPTED PURSUANT TO SECTION 906 OF THE SARBANES-OXLEY ACT OF 2002</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Acura Pharmaceuticals, Inc. (the "Company") on Form 10-Q for the period ending June 30, 2017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August 14, 2017</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Jones</w:t>
            </w:r>
          </w:p>
        </w:tc>
      </w:tr>
      <w:tr>
        <w:trPr>
          <w:trHeight w:val="191"/>
        </w:trPr>
        <w:tc>
          <w:tcPr>
            <w:tcW w:w="744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 Jones</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744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Clemens</w:t>
            </w:r>
          </w:p>
        </w:tc>
      </w:tr>
      <w:tr>
        <w:trPr>
          <w:trHeight w:val="191"/>
        </w:trPr>
        <w:tc>
          <w:tcPr>
            <w:tcW w:w="744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A. Clemens</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þ"/>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400"/>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2019-12-29T04:30:45Z</dcterms:created>
  <dcterms:modified xsi:type="dcterms:W3CDTF">2019-12-29T04:30:45Z</dcterms:modified>
</cp:coreProperties>
</file>