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 w:lineRule="exact"/>
        <w:rPr>
          <w:sz w:val="24"/>
          <w:szCs w:val="24"/>
          <w:color w:val="auto"/>
        </w:rPr>
      </w:pPr>
    </w:p>
    <w:p>
      <w:pPr>
        <w:ind w:left="1720" w:hanging="895"/>
        <w:spacing w:after="0"/>
        <w:tabs>
          <w:tab w:leader="none" w:pos="1720" w:val="left"/>
        </w:tabs>
        <w:numPr>
          <w:ilvl w:val="0"/>
          <w:numId w:val="1"/>
        </w:numPr>
        <w:rPr>
          <w:rFonts w:ascii="Arial" w:cs="Arial" w:eastAsia="Arial" w:hAnsi="Arial"/>
          <w:sz w:val="15"/>
          <w:szCs w:val="15"/>
          <w:color w:val="auto"/>
        </w:rPr>
      </w:pPr>
      <w:r>
        <w:rPr>
          <w:rFonts w:ascii="Arial" w:cs="Arial" w:eastAsia="Arial" w:hAnsi="Arial"/>
          <w:sz w:val="17"/>
          <w:szCs w:val="17"/>
          <w:b w:val="1"/>
          <w:bCs w:val="1"/>
          <w:color w:val="auto"/>
        </w:rPr>
        <w:t>ANNUAL REPORT PURSUANT TO SECTION 13 OR 15(d) OF THE SECURITIES EXCHANGE ACT OF 1934 FOR THE</w:t>
      </w:r>
    </w:p>
    <w:p>
      <w:pPr>
        <w:spacing w:after="0" w:line="27"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FISCAL YEAR ENDED DECEMBER 31, 2013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 w:lineRule="exact"/>
        <w:rPr>
          <w:sz w:val="24"/>
          <w:szCs w:val="24"/>
          <w:color w:val="auto"/>
        </w:rPr>
      </w:pPr>
    </w:p>
    <w:p>
      <w:pPr>
        <w:ind w:left="1720" w:right="540" w:hanging="895"/>
        <w:spacing w:after="0" w:line="268" w:lineRule="auto"/>
        <w:tabs>
          <w:tab w:leader="none" w:pos="172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1-10113</w:t>
      </w:r>
    </w:p>
    <w:p>
      <w:pPr>
        <w:spacing w:after="0" w:line="145" w:lineRule="exact"/>
        <w:rPr>
          <w:sz w:val="24"/>
          <w:szCs w:val="24"/>
          <w:color w:val="auto"/>
        </w:rPr>
      </w:pPr>
    </w:p>
    <w:p>
      <w:pPr>
        <w:ind w:left="4060"/>
        <w:spacing w:after="0"/>
        <w:rPr>
          <w:sz w:val="20"/>
          <w:szCs w:val="20"/>
          <w:color w:val="auto"/>
        </w:rPr>
      </w:pPr>
      <w:r>
        <w:rPr>
          <w:rFonts w:ascii="Arial" w:cs="Arial" w:eastAsia="Arial" w:hAnsi="Arial"/>
          <w:sz w:val="20"/>
          <w:szCs w:val="20"/>
          <w:b w:val="1"/>
          <w:bCs w:val="1"/>
          <w:color w:val="auto"/>
        </w:rPr>
        <w:t>ACURA PHARMACEUTICALS, INC.</w:t>
      </w:r>
    </w:p>
    <w:p>
      <w:pPr>
        <w:spacing w:after="0" w:line="26"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220" w:type="dxa"/>
            <w:vAlign w:val="bottom"/>
          </w:tcPr>
          <w:p>
            <w:pPr>
              <w:jc w:val="center"/>
              <w:ind w:right="399"/>
              <w:spacing w:after="0"/>
              <w:rPr>
                <w:sz w:val="20"/>
                <w:szCs w:val="20"/>
                <w:color w:val="auto"/>
              </w:rPr>
            </w:pPr>
            <w:r>
              <w:rPr>
                <w:rFonts w:ascii="Arial" w:cs="Arial" w:eastAsia="Arial" w:hAnsi="Arial"/>
                <w:sz w:val="16"/>
                <w:szCs w:val="16"/>
                <w:b w:val="1"/>
                <w:bCs w:val="1"/>
                <w:color w:val="auto"/>
                <w:w w:val="95"/>
              </w:rPr>
              <w:t>New York</w:t>
            </w:r>
          </w:p>
        </w:tc>
        <w:tc>
          <w:tcPr>
            <w:tcW w:w="4040" w:type="dxa"/>
            <w:vAlign w:val="bottom"/>
          </w:tcPr>
          <w:p>
            <w:pPr>
              <w:jc w:val="right"/>
              <w:ind w:right="719"/>
              <w:spacing w:after="0"/>
              <w:rPr>
                <w:sz w:val="20"/>
                <w:szCs w:val="20"/>
                <w:color w:val="auto"/>
              </w:rPr>
            </w:pPr>
            <w:r>
              <w:rPr>
                <w:rFonts w:ascii="Arial" w:cs="Arial" w:eastAsia="Arial" w:hAnsi="Arial"/>
                <w:sz w:val="16"/>
                <w:szCs w:val="16"/>
                <w:b w:val="1"/>
                <w:bCs w:val="1"/>
                <w:color w:val="auto"/>
              </w:rPr>
              <w:t>11-0853640</w:t>
            </w:r>
          </w:p>
        </w:tc>
      </w:tr>
      <w:tr>
        <w:trPr>
          <w:trHeight w:val="206"/>
        </w:trPr>
        <w:tc>
          <w:tcPr>
            <w:tcW w:w="5220" w:type="dxa"/>
            <w:vAlign w:val="bottom"/>
          </w:tcPr>
          <w:p>
            <w:pPr>
              <w:jc w:val="center"/>
              <w:ind w:right="37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040" w:type="dxa"/>
            <w:vAlign w:val="bottom"/>
          </w:tcPr>
          <w:p>
            <w:pPr>
              <w:jc w:val="center"/>
              <w:ind w:left="1599"/>
              <w:spacing w:after="0"/>
              <w:rPr>
                <w:sz w:val="20"/>
                <w:szCs w:val="20"/>
                <w:color w:val="auto"/>
              </w:rPr>
            </w:pPr>
            <w:r>
              <w:rPr>
                <w:rFonts w:ascii="Arial" w:cs="Arial" w:eastAsia="Arial" w:hAnsi="Arial"/>
                <w:sz w:val="16"/>
                <w:szCs w:val="16"/>
                <w:color w:val="auto"/>
                <w:w w:val="95"/>
              </w:rPr>
              <w:t>(I.R.S. Employer Identification No.)</w:t>
            </w:r>
          </w:p>
        </w:tc>
      </w:tr>
      <w:tr>
        <w:trPr>
          <w:trHeight w:val="428"/>
        </w:trPr>
        <w:tc>
          <w:tcPr>
            <w:tcW w:w="5220" w:type="dxa"/>
            <w:vAlign w:val="bottom"/>
          </w:tcPr>
          <w:p>
            <w:pPr>
              <w:jc w:val="center"/>
              <w:ind w:right="399"/>
              <w:spacing w:after="0"/>
              <w:rPr>
                <w:sz w:val="20"/>
                <w:szCs w:val="20"/>
                <w:color w:val="auto"/>
              </w:rPr>
            </w:pPr>
            <w:r>
              <w:rPr>
                <w:rFonts w:ascii="Arial" w:cs="Arial" w:eastAsia="Arial" w:hAnsi="Arial"/>
                <w:sz w:val="16"/>
                <w:szCs w:val="16"/>
                <w:b w:val="1"/>
                <w:bCs w:val="1"/>
                <w:color w:val="auto"/>
                <w:w w:val="93"/>
              </w:rPr>
              <w:t>616 N. North Court, Suite 120, Palatine, Illinois</w:t>
            </w:r>
          </w:p>
        </w:tc>
        <w:tc>
          <w:tcPr>
            <w:tcW w:w="4040" w:type="dxa"/>
            <w:vAlign w:val="bottom"/>
          </w:tcPr>
          <w:p>
            <w:pPr>
              <w:jc w:val="right"/>
              <w:ind w:right="899"/>
              <w:spacing w:after="0"/>
              <w:rPr>
                <w:sz w:val="20"/>
                <w:szCs w:val="20"/>
                <w:color w:val="auto"/>
              </w:rPr>
            </w:pPr>
            <w:r>
              <w:rPr>
                <w:rFonts w:ascii="Arial" w:cs="Arial" w:eastAsia="Arial" w:hAnsi="Arial"/>
                <w:sz w:val="16"/>
                <w:szCs w:val="16"/>
                <w:b w:val="1"/>
                <w:bCs w:val="1"/>
                <w:color w:val="auto"/>
              </w:rPr>
              <w:t>60067</w:t>
            </w:r>
          </w:p>
        </w:tc>
      </w:tr>
      <w:tr>
        <w:trPr>
          <w:trHeight w:val="206"/>
        </w:trPr>
        <w:tc>
          <w:tcPr>
            <w:tcW w:w="5220" w:type="dxa"/>
            <w:vAlign w:val="bottom"/>
          </w:tcPr>
          <w:p>
            <w:pPr>
              <w:jc w:val="center"/>
              <w:ind w:right="399"/>
              <w:spacing w:after="0"/>
              <w:rPr>
                <w:sz w:val="20"/>
                <w:szCs w:val="20"/>
                <w:color w:val="auto"/>
              </w:rPr>
            </w:pPr>
            <w:r>
              <w:rPr>
                <w:rFonts w:ascii="Arial" w:cs="Arial" w:eastAsia="Arial" w:hAnsi="Arial"/>
                <w:sz w:val="16"/>
                <w:szCs w:val="16"/>
                <w:color w:val="auto"/>
                <w:w w:val="94"/>
              </w:rPr>
              <w:t>(Address of principal administrative office)</w:t>
            </w:r>
          </w:p>
        </w:tc>
        <w:tc>
          <w:tcPr>
            <w:tcW w:w="4040" w:type="dxa"/>
            <w:vAlign w:val="bottom"/>
          </w:tcPr>
          <w:p>
            <w:pPr>
              <w:jc w:val="center"/>
              <w:ind w:left="1599"/>
              <w:spacing w:after="0"/>
              <w:rPr>
                <w:sz w:val="20"/>
                <w:szCs w:val="20"/>
                <w:color w:val="auto"/>
              </w:rPr>
            </w:pPr>
            <w:r>
              <w:rPr>
                <w:rFonts w:ascii="Arial" w:cs="Arial" w:eastAsia="Arial" w:hAnsi="Arial"/>
                <w:sz w:val="16"/>
                <w:szCs w:val="16"/>
                <w:color w:val="auto"/>
                <w:w w:val="94"/>
              </w:rPr>
              <w:t>(Zip code)</w:t>
            </w:r>
          </w:p>
        </w:tc>
      </w:tr>
      <w:tr>
        <w:trPr>
          <w:trHeight w:val="324"/>
        </w:trPr>
        <w:tc>
          <w:tcPr>
            <w:tcW w:w="9260" w:type="dxa"/>
            <w:vAlign w:val="bottom"/>
            <w:gridSpan w:val="2"/>
          </w:tcPr>
          <w:p>
            <w:pPr>
              <w:ind w:left="25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847 705 7709</w:t>
            </w:r>
          </w:p>
        </w:tc>
      </w:tr>
      <w:tr>
        <w:trPr>
          <w:trHeight w:val="401"/>
        </w:trPr>
        <w:tc>
          <w:tcPr>
            <w:tcW w:w="5220" w:type="dxa"/>
            <w:vAlign w:val="bottom"/>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4040" w:type="dxa"/>
            <w:vAlign w:val="bottom"/>
          </w:tcPr>
          <w:p>
            <w:pPr>
              <w:jc w:val="center"/>
              <w:ind w:left="77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5220" w:type="dxa"/>
            <w:vAlign w:val="bottom"/>
          </w:tcPr>
          <w:p>
            <w:pPr>
              <w:ind w:left="580"/>
              <w:spacing w:after="0"/>
              <w:rPr>
                <w:sz w:val="20"/>
                <w:szCs w:val="20"/>
                <w:color w:val="auto"/>
              </w:rPr>
            </w:pPr>
            <w:r>
              <w:rPr>
                <w:rFonts w:ascii="Arial" w:cs="Arial" w:eastAsia="Arial" w:hAnsi="Arial"/>
                <w:sz w:val="16"/>
                <w:szCs w:val="16"/>
                <w:color w:val="auto"/>
              </w:rPr>
              <w:t>Common Stock, par value $0.01 per share</w:t>
            </w:r>
          </w:p>
        </w:tc>
        <w:tc>
          <w:tcPr>
            <w:tcW w:w="4040" w:type="dxa"/>
            <w:vAlign w:val="bottom"/>
          </w:tcPr>
          <w:p>
            <w:pPr>
              <w:jc w:val="center"/>
              <w:ind w:left="779"/>
              <w:spacing w:after="0"/>
              <w:rPr>
                <w:sz w:val="20"/>
                <w:szCs w:val="20"/>
                <w:color w:val="auto"/>
              </w:rPr>
            </w:pPr>
            <w:r>
              <w:rPr>
                <w:rFonts w:ascii="Arial" w:cs="Arial" w:eastAsia="Arial" w:hAnsi="Arial"/>
                <w:sz w:val="16"/>
                <w:szCs w:val="16"/>
                <w:color w:val="auto"/>
                <w:w w:val="97"/>
              </w:rPr>
              <w:t>NASDAQ Capital Market</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Class)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9"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Arial" w:cs="Arial" w:eastAsia="Arial" w:hAnsi="Arial"/>
          <w:sz w:val="18"/>
          <w:szCs w:val="18"/>
          <w:color w:val="auto"/>
        </w:rPr>
        <w:t>x</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Yes o No x</w:t>
      </w:r>
    </w:p>
    <w:p>
      <w:pPr>
        <w:spacing w:after="0" w:line="150" w:lineRule="exact"/>
        <w:rPr>
          <w:sz w:val="24"/>
          <w:szCs w:val="24"/>
          <w:color w:val="auto"/>
        </w:rPr>
      </w:pPr>
    </w:p>
    <w:p>
      <w:pPr>
        <w:jc w:val="both"/>
        <w:ind w:right="20"/>
        <w:spacing w:after="0" w:line="3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03"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151" w:lineRule="exact"/>
        <w:rPr>
          <w:sz w:val="24"/>
          <w:szCs w:val="24"/>
          <w:color w:val="auto"/>
        </w:rPr>
      </w:pPr>
    </w:p>
    <w:p>
      <w:pPr>
        <w:ind w:left="220" w:hanging="212"/>
        <w:spacing w:after="0" w:line="189"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x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54"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Based on the last sale price on the NASDAQ Capital Market of the Common Stock of $1.88 on June 28, 2013 (the last business day of the registrant's most recently completed second fiscal quarter), the aggregate market value of the voting stock held by non-affiliates of the registrant was approximately $36.0 million.</w:t>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28, 2014, the registrant had 48,847,737 shares of Common Stock, par value $0.01, outstanding.</w:t>
      </w:r>
    </w:p>
    <w:p>
      <w:pPr>
        <w:spacing w:after="0" w:line="22" w:lineRule="exact"/>
        <w:rPr>
          <w:sz w:val="24"/>
          <w:szCs w:val="24"/>
          <w:color w:val="auto"/>
        </w:rPr>
      </w:pPr>
    </w:p>
    <w:p>
      <w:pPr>
        <w:ind w:right="20"/>
        <w:spacing w:after="0" w:line="288" w:lineRule="auto"/>
        <w:rPr>
          <w:sz w:val="20"/>
          <w:szCs w:val="20"/>
          <w:color w:val="auto"/>
        </w:rPr>
      </w:pPr>
      <w:r>
        <w:rPr>
          <w:rFonts w:ascii="Arial" w:cs="Arial" w:eastAsia="Arial" w:hAnsi="Arial"/>
          <w:sz w:val="16"/>
          <w:szCs w:val="16"/>
          <w:color w:val="auto"/>
        </w:rPr>
        <w:t>DOCUMENTS INCORPORATED BY REFERENCE</w:t>
      </w:r>
      <w:r>
        <w:rPr>
          <w:rFonts w:ascii="Arial" w:cs="Arial" w:eastAsia="Arial" w:hAnsi="Arial"/>
          <w:sz w:val="16"/>
          <w:szCs w:val="16"/>
          <w:b w:val="1"/>
          <w:bCs w:val="1"/>
          <w:color w:val="auto"/>
        </w:rPr>
        <w:t>:</w:t>
      </w:r>
      <w:r>
        <w:rPr>
          <w:rFonts w:ascii="Arial" w:cs="Arial" w:eastAsia="Arial" w:hAnsi="Arial"/>
          <w:sz w:val="16"/>
          <w:szCs w:val="16"/>
          <w:color w:val="auto"/>
        </w:rPr>
        <w:t xml:space="preserve"> Portions of the Proxy Statement for the registrant’s Annual Meeting of Shareholders to be held on or about May 1, 2014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Acura Pharmaceuticals, Inc.</w:t>
            </w:r>
          </w:p>
        </w:tc>
        <w:tc>
          <w:tcPr>
            <w:tcW w:w="72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9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Form 10-K</w:t>
            </w:r>
          </w:p>
        </w:tc>
        <w:tc>
          <w:tcPr>
            <w:tcW w:w="72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9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For the Fiscal Year Ended December 31, 2013</w:t>
            </w:r>
          </w:p>
        </w:tc>
        <w:tc>
          <w:tcPr>
            <w:tcW w:w="72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97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Tablet of Contents</w:t>
            </w:r>
          </w:p>
        </w:tc>
        <w:tc>
          <w:tcPr>
            <w:tcW w:w="720" w:type="dxa"/>
            <w:vAlign w:val="bottom"/>
          </w:tcPr>
          <w:p>
            <w:pPr>
              <w:spacing w:after="0"/>
              <w:rPr>
                <w:sz w:val="24"/>
                <w:szCs w:val="24"/>
                <w:color w:val="auto"/>
              </w:rPr>
            </w:pPr>
          </w:p>
        </w:tc>
      </w:tr>
      <w:tr>
        <w:trPr>
          <w:trHeight w:val="432"/>
        </w:trPr>
        <w:tc>
          <w:tcPr>
            <w:tcW w:w="920" w:type="dxa"/>
            <w:vAlign w:val="bottom"/>
            <w:tcBorders>
              <w:bottom w:val="single" w:sz="8" w:color="CCFFCC"/>
            </w:tcBorders>
          </w:tcPr>
          <w:p>
            <w:pPr>
              <w:spacing w:after="0"/>
              <w:rPr>
                <w:sz w:val="24"/>
                <w:szCs w:val="24"/>
                <w:color w:val="auto"/>
              </w:rPr>
            </w:pPr>
          </w:p>
        </w:tc>
        <w:tc>
          <w:tcPr>
            <w:tcW w:w="9780" w:type="dxa"/>
            <w:vAlign w:val="bottom"/>
            <w:tcBorders>
              <w:bottom w:val="single" w:sz="8" w:color="CCFFCC"/>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PAGE</w:t>
            </w:r>
          </w:p>
        </w:tc>
      </w:tr>
      <w:tr>
        <w:trPr>
          <w:trHeight w:val="210"/>
        </w:trPr>
        <w:tc>
          <w:tcPr>
            <w:tcW w:w="920" w:type="dxa"/>
            <w:vAlign w:val="bottom"/>
            <w:shd w:val="clear" w:color="auto" w:fill="CCFFCC"/>
          </w:tcPr>
          <w:p>
            <w:pPr>
              <w:spacing w:after="0"/>
              <w:rPr>
                <w:sz w:val="18"/>
                <w:szCs w:val="18"/>
                <w:color w:val="auto"/>
              </w:rPr>
            </w:pPr>
          </w:p>
        </w:tc>
        <w:tc>
          <w:tcPr>
            <w:tcW w:w="9780" w:type="dxa"/>
            <w:vAlign w:val="bottom"/>
            <w:shd w:val="clear" w:color="auto" w:fill="CCFFCC"/>
          </w:tcPr>
          <w:p>
            <w:pPr>
              <w:jc w:val="center"/>
              <w:ind w:left="190"/>
              <w:spacing w:after="0"/>
              <w:rPr>
                <w:sz w:val="20"/>
                <w:szCs w:val="20"/>
                <w:color w:val="auto"/>
              </w:rPr>
            </w:pPr>
            <w:r>
              <w:rPr>
                <w:rFonts w:ascii="Arial" w:cs="Arial" w:eastAsia="Arial" w:hAnsi="Arial"/>
                <w:sz w:val="18"/>
                <w:szCs w:val="18"/>
                <w:color w:val="auto"/>
                <w:w w:val="92"/>
              </w:rPr>
              <w:t>PART I</w:t>
            </w:r>
          </w:p>
        </w:tc>
        <w:tc>
          <w:tcPr>
            <w:tcW w:w="720" w:type="dxa"/>
            <w:vAlign w:val="bottom"/>
            <w:shd w:val="clear" w:color="auto" w:fill="CCFFCC"/>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tcPr>
          <w:p>
            <w:pPr>
              <w:ind w:left="280"/>
              <w:spacing w:after="0"/>
              <w:rPr>
                <w:sz w:val="20"/>
                <w:szCs w:val="20"/>
                <w:color w:val="auto"/>
              </w:rPr>
            </w:pPr>
            <w:r>
              <w:rPr>
                <w:rFonts w:ascii="Arial" w:cs="Arial" w:eastAsia="Arial" w:hAnsi="Arial"/>
                <w:sz w:val="18"/>
                <w:szCs w:val="18"/>
                <w:color w:val="auto"/>
              </w:rPr>
              <w:t>Business</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92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7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Risk Factors</w:t>
            </w:r>
          </w:p>
        </w:tc>
        <w:tc>
          <w:tcPr>
            <w:tcW w:w="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9780" w:type="dxa"/>
            <w:vAlign w:val="bottom"/>
          </w:tcPr>
          <w:p>
            <w:pPr>
              <w:ind w:left="280"/>
              <w:spacing w:after="0"/>
              <w:rPr>
                <w:sz w:val="20"/>
                <w:szCs w:val="20"/>
                <w:color w:val="auto"/>
              </w:rPr>
            </w:pPr>
            <w:r>
              <w:rPr>
                <w:rFonts w:ascii="Arial" w:cs="Arial" w:eastAsia="Arial" w:hAnsi="Arial"/>
                <w:sz w:val="18"/>
                <w:szCs w:val="18"/>
                <w:color w:val="auto"/>
              </w:rPr>
              <w:t>Unresolved Staff Comments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92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7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Properties</w:t>
            </w:r>
          </w:p>
        </w:tc>
        <w:tc>
          <w:tcPr>
            <w:tcW w:w="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92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7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Mine Safety Disclosures</w:t>
            </w:r>
          </w:p>
        </w:tc>
        <w:tc>
          <w:tcPr>
            <w:tcW w:w="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920" w:type="dxa"/>
            <w:vAlign w:val="bottom"/>
          </w:tcPr>
          <w:p>
            <w:pPr>
              <w:spacing w:after="0"/>
              <w:rPr>
                <w:sz w:val="18"/>
                <w:szCs w:val="18"/>
                <w:color w:val="auto"/>
              </w:rPr>
            </w:pPr>
          </w:p>
        </w:tc>
        <w:tc>
          <w:tcPr>
            <w:tcW w:w="9780" w:type="dxa"/>
            <w:vAlign w:val="bottom"/>
          </w:tcPr>
          <w:p>
            <w:pPr>
              <w:jc w:val="center"/>
              <w:ind w:left="190"/>
              <w:spacing w:after="0"/>
              <w:rPr>
                <w:sz w:val="20"/>
                <w:szCs w:val="20"/>
                <w:color w:val="auto"/>
              </w:rPr>
            </w:pPr>
            <w:r>
              <w:rPr>
                <w:rFonts w:ascii="Arial" w:cs="Arial" w:eastAsia="Arial" w:hAnsi="Arial"/>
                <w:sz w:val="18"/>
                <w:szCs w:val="18"/>
                <w:color w:val="auto"/>
                <w:w w:val="91"/>
              </w:rPr>
              <w:t>PART II</w:t>
            </w:r>
          </w:p>
        </w:tc>
        <w:tc>
          <w:tcPr>
            <w:tcW w:w="720" w:type="dxa"/>
            <w:vAlign w:val="bottom"/>
          </w:tcPr>
          <w:p>
            <w:pPr>
              <w:spacing w:after="0"/>
              <w:rPr>
                <w:sz w:val="18"/>
                <w:szCs w:val="18"/>
                <w:color w:val="auto"/>
              </w:rPr>
            </w:pPr>
          </w:p>
        </w:tc>
      </w:tr>
      <w:tr>
        <w:trPr>
          <w:trHeight w:val="216"/>
        </w:trPr>
        <w:tc>
          <w:tcPr>
            <w:tcW w:w="92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7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780" w:type="dxa"/>
            <w:vAlign w:val="bottom"/>
          </w:tcPr>
          <w:p>
            <w:pPr>
              <w:ind w:left="280"/>
              <w:spacing w:after="0"/>
              <w:rPr>
                <w:sz w:val="20"/>
                <w:szCs w:val="20"/>
                <w:color w:val="auto"/>
              </w:rPr>
            </w:pPr>
            <w:r>
              <w:rPr>
                <w:rFonts w:ascii="Arial" w:cs="Arial" w:eastAsia="Arial" w:hAnsi="Arial"/>
                <w:sz w:val="18"/>
                <w:szCs w:val="18"/>
                <w:color w:val="auto"/>
              </w:rPr>
              <w:t>Selected Financial Data</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920" w:type="dxa"/>
            <w:vAlign w:val="bottom"/>
            <w:shd w:val="clear" w:color="auto" w:fill="CCFFCC"/>
          </w:tcPr>
          <w:p>
            <w:pPr>
              <w:spacing w:after="0"/>
              <w:rPr>
                <w:sz w:val="20"/>
                <w:szCs w:val="20"/>
                <w:color w:val="auto"/>
              </w:rPr>
            </w:pPr>
            <w:r>
              <w:rPr>
                <w:rFonts w:ascii="Arial" w:cs="Arial" w:eastAsia="Arial" w:hAnsi="Arial"/>
                <w:sz w:val="18"/>
                <w:szCs w:val="18"/>
                <w:color w:val="auto"/>
              </w:rPr>
              <w:t>Item 7.</w:t>
            </w:r>
          </w:p>
        </w:tc>
        <w:tc>
          <w:tcPr>
            <w:tcW w:w="97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9780" w:type="dxa"/>
            <w:vAlign w:val="bottom"/>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920" w:type="dxa"/>
            <w:vAlign w:val="bottom"/>
            <w:shd w:val="clear" w:color="auto" w:fill="CCFFCC"/>
          </w:tcPr>
          <w:p>
            <w:pPr>
              <w:spacing w:after="0"/>
              <w:rPr>
                <w:sz w:val="20"/>
                <w:szCs w:val="20"/>
                <w:color w:val="auto"/>
              </w:rPr>
            </w:pPr>
            <w:r>
              <w:rPr>
                <w:rFonts w:ascii="Arial" w:cs="Arial" w:eastAsia="Arial" w:hAnsi="Arial"/>
                <w:sz w:val="18"/>
                <w:szCs w:val="18"/>
                <w:color w:val="auto"/>
              </w:rPr>
              <w:t>Item 8.</w:t>
            </w:r>
          </w:p>
        </w:tc>
        <w:tc>
          <w:tcPr>
            <w:tcW w:w="97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Financial Statements and Supplementary Data</w:t>
            </w:r>
          </w:p>
        </w:tc>
        <w:tc>
          <w:tcPr>
            <w:tcW w:w="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tcPr>
          <w:p>
            <w:pPr>
              <w:ind w:left="280"/>
              <w:spacing w:after="0"/>
              <w:rPr>
                <w:sz w:val="20"/>
                <w:szCs w:val="20"/>
                <w:color w:val="auto"/>
              </w:rPr>
            </w:pPr>
            <w:r>
              <w:rPr>
                <w:rFonts w:ascii="Arial" w:cs="Arial" w:eastAsia="Arial" w:hAnsi="Arial"/>
                <w:sz w:val="18"/>
                <w:szCs w:val="18"/>
                <w:color w:val="auto"/>
              </w:rPr>
              <w:t>Changes in and Disagreement with Accountants on Accounting and Financial Disclosure</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920" w:type="dxa"/>
            <w:vAlign w:val="bottom"/>
            <w:shd w:val="clear" w:color="auto" w:fill="CCFFCC"/>
          </w:tcPr>
          <w:p>
            <w:pPr>
              <w:spacing w:after="0"/>
              <w:rPr>
                <w:sz w:val="20"/>
                <w:szCs w:val="20"/>
                <w:color w:val="auto"/>
              </w:rPr>
            </w:pPr>
            <w:r>
              <w:rPr>
                <w:rFonts w:ascii="Arial" w:cs="Arial" w:eastAsia="Arial" w:hAnsi="Arial"/>
                <w:sz w:val="18"/>
                <w:szCs w:val="18"/>
                <w:color w:val="auto"/>
              </w:rPr>
              <w:t>Item 9A.</w:t>
            </w:r>
          </w:p>
        </w:tc>
        <w:tc>
          <w:tcPr>
            <w:tcW w:w="97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Controls and Procedures</w:t>
            </w:r>
          </w:p>
        </w:tc>
        <w:tc>
          <w:tcPr>
            <w:tcW w:w="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9780" w:type="dxa"/>
            <w:vAlign w:val="bottom"/>
          </w:tcPr>
          <w:p>
            <w:pPr>
              <w:ind w:left="280"/>
              <w:spacing w:after="0"/>
              <w:rPr>
                <w:sz w:val="20"/>
                <w:szCs w:val="20"/>
                <w:color w:val="auto"/>
              </w:rPr>
            </w:pPr>
            <w:r>
              <w:rPr>
                <w:rFonts w:ascii="Arial" w:cs="Arial" w:eastAsia="Arial" w:hAnsi="Arial"/>
                <w:sz w:val="18"/>
                <w:szCs w:val="18"/>
                <w:color w:val="auto"/>
              </w:rPr>
              <w:t>Other Information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920" w:type="dxa"/>
            <w:vAlign w:val="bottom"/>
            <w:shd w:val="clear" w:color="auto" w:fill="CCFFCC"/>
          </w:tcPr>
          <w:p>
            <w:pPr>
              <w:spacing w:after="0"/>
              <w:rPr>
                <w:sz w:val="18"/>
                <w:szCs w:val="18"/>
                <w:color w:val="auto"/>
              </w:rPr>
            </w:pPr>
          </w:p>
        </w:tc>
        <w:tc>
          <w:tcPr>
            <w:tcW w:w="9780" w:type="dxa"/>
            <w:vAlign w:val="bottom"/>
            <w:shd w:val="clear" w:color="auto" w:fill="CCFFCC"/>
          </w:tcPr>
          <w:p>
            <w:pPr>
              <w:jc w:val="center"/>
              <w:ind w:left="190"/>
              <w:spacing w:after="0"/>
              <w:rPr>
                <w:sz w:val="20"/>
                <w:szCs w:val="20"/>
                <w:color w:val="auto"/>
              </w:rPr>
            </w:pPr>
            <w:r>
              <w:rPr>
                <w:rFonts w:ascii="Arial" w:cs="Arial" w:eastAsia="Arial" w:hAnsi="Arial"/>
                <w:sz w:val="18"/>
                <w:szCs w:val="18"/>
                <w:color w:val="auto"/>
                <w:w w:val="96"/>
              </w:rPr>
              <w:t>PART III</w:t>
            </w:r>
          </w:p>
        </w:tc>
        <w:tc>
          <w:tcPr>
            <w:tcW w:w="720" w:type="dxa"/>
            <w:vAlign w:val="bottom"/>
            <w:shd w:val="clear" w:color="auto" w:fill="CCFFCC"/>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tcPr>
          <w:p>
            <w:pPr>
              <w:ind w:left="280"/>
              <w:spacing w:after="0"/>
              <w:rPr>
                <w:sz w:val="20"/>
                <w:szCs w:val="20"/>
                <w:color w:val="auto"/>
              </w:rPr>
            </w:pPr>
            <w:r>
              <w:rPr>
                <w:rFonts w:ascii="Arial" w:cs="Arial" w:eastAsia="Arial" w:hAnsi="Arial"/>
                <w:sz w:val="18"/>
                <w:szCs w:val="18"/>
                <w:color w:val="auto"/>
              </w:rPr>
              <w:t>Directors, Executive Officers and Corporate Governance</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920" w:type="dxa"/>
            <w:vAlign w:val="bottom"/>
            <w:shd w:val="clear" w:color="auto" w:fill="CCFFCC"/>
          </w:tcPr>
          <w:p>
            <w:pPr>
              <w:spacing w:after="0"/>
              <w:rPr>
                <w:sz w:val="20"/>
                <w:szCs w:val="20"/>
                <w:color w:val="auto"/>
              </w:rPr>
            </w:pPr>
            <w:r>
              <w:rPr>
                <w:rFonts w:ascii="Arial" w:cs="Arial" w:eastAsia="Arial" w:hAnsi="Arial"/>
                <w:sz w:val="18"/>
                <w:szCs w:val="18"/>
                <w:color w:val="auto"/>
              </w:rPr>
              <w:t>Item 11.</w:t>
            </w:r>
          </w:p>
        </w:tc>
        <w:tc>
          <w:tcPr>
            <w:tcW w:w="97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Executive Compensation</w:t>
            </w:r>
          </w:p>
        </w:tc>
        <w:tc>
          <w:tcPr>
            <w:tcW w:w="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tcPr>
          <w:p>
            <w:pPr>
              <w:ind w:left="2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920" w:type="dxa"/>
            <w:vAlign w:val="bottom"/>
            <w:shd w:val="clear" w:color="auto" w:fill="CCFFCC"/>
          </w:tcPr>
          <w:p>
            <w:pPr>
              <w:spacing w:after="0"/>
              <w:rPr>
                <w:sz w:val="20"/>
                <w:szCs w:val="20"/>
                <w:color w:val="auto"/>
              </w:rPr>
            </w:pPr>
            <w:r>
              <w:rPr>
                <w:rFonts w:ascii="Arial" w:cs="Arial" w:eastAsia="Arial" w:hAnsi="Arial"/>
                <w:sz w:val="18"/>
                <w:szCs w:val="18"/>
                <w:color w:val="auto"/>
              </w:rPr>
              <w:t>Item 13.</w:t>
            </w:r>
          </w:p>
        </w:tc>
        <w:tc>
          <w:tcPr>
            <w:tcW w:w="97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9780" w:type="dxa"/>
            <w:vAlign w:val="bottom"/>
          </w:tcPr>
          <w:p>
            <w:pPr>
              <w:ind w:left="280"/>
              <w:spacing w:after="0"/>
              <w:rPr>
                <w:sz w:val="20"/>
                <w:szCs w:val="20"/>
                <w:color w:val="auto"/>
              </w:rPr>
            </w:pPr>
            <w:r>
              <w:rPr>
                <w:rFonts w:ascii="Arial" w:cs="Arial" w:eastAsia="Arial" w:hAnsi="Arial"/>
                <w:sz w:val="18"/>
                <w:szCs w:val="18"/>
                <w:color w:val="auto"/>
              </w:rPr>
              <w:t>Principal Accounting Fees and Services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920" w:type="dxa"/>
            <w:vAlign w:val="bottom"/>
            <w:shd w:val="clear" w:color="auto" w:fill="CCFFCC"/>
          </w:tcPr>
          <w:p>
            <w:pPr>
              <w:spacing w:after="0"/>
              <w:rPr>
                <w:sz w:val="18"/>
                <w:szCs w:val="18"/>
                <w:color w:val="auto"/>
              </w:rPr>
            </w:pPr>
          </w:p>
        </w:tc>
        <w:tc>
          <w:tcPr>
            <w:tcW w:w="9780" w:type="dxa"/>
            <w:vAlign w:val="bottom"/>
            <w:shd w:val="clear" w:color="auto" w:fill="CCFFCC"/>
          </w:tcPr>
          <w:p>
            <w:pPr>
              <w:jc w:val="center"/>
              <w:ind w:left="190"/>
              <w:spacing w:after="0"/>
              <w:rPr>
                <w:sz w:val="20"/>
                <w:szCs w:val="20"/>
                <w:color w:val="auto"/>
              </w:rPr>
            </w:pPr>
            <w:r>
              <w:rPr>
                <w:rFonts w:ascii="Arial" w:cs="Arial" w:eastAsia="Arial" w:hAnsi="Arial"/>
                <w:sz w:val="18"/>
                <w:szCs w:val="18"/>
                <w:color w:val="auto"/>
                <w:w w:val="94"/>
              </w:rPr>
              <w:t>PART IV</w:t>
            </w:r>
          </w:p>
        </w:tc>
        <w:tc>
          <w:tcPr>
            <w:tcW w:w="720" w:type="dxa"/>
            <w:vAlign w:val="bottom"/>
            <w:shd w:val="clear" w:color="auto" w:fill="CCFFCC"/>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9780" w:type="dxa"/>
            <w:vAlign w:val="bottom"/>
          </w:tcPr>
          <w:p>
            <w:pPr>
              <w:ind w:left="280"/>
              <w:spacing w:after="0"/>
              <w:rPr>
                <w:sz w:val="20"/>
                <w:szCs w:val="20"/>
                <w:color w:val="auto"/>
              </w:rPr>
            </w:pPr>
            <w:r>
              <w:rPr>
                <w:rFonts w:ascii="Arial" w:cs="Arial" w:eastAsia="Arial" w:hAnsi="Arial"/>
                <w:sz w:val="18"/>
                <w:szCs w:val="18"/>
                <w:color w:val="auto"/>
              </w:rPr>
              <w:t>Exhibits, Financial Statement Schedules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920" w:type="dxa"/>
            <w:vAlign w:val="bottom"/>
            <w:shd w:val="clear" w:color="auto" w:fill="CCFFCC"/>
          </w:tcPr>
          <w:p>
            <w:pPr>
              <w:spacing w:after="0"/>
              <w:rPr>
                <w:sz w:val="18"/>
                <w:szCs w:val="18"/>
                <w:color w:val="auto"/>
              </w:rPr>
            </w:pPr>
          </w:p>
        </w:tc>
        <w:tc>
          <w:tcPr>
            <w:tcW w:w="97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Signatures</w:t>
            </w:r>
          </w:p>
        </w:tc>
        <w:tc>
          <w:tcPr>
            <w:tcW w:w="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57</w:t>
            </w:r>
          </w:p>
        </w:tc>
      </w:tr>
      <w:tr>
        <w:trPr>
          <w:trHeight w:val="230"/>
        </w:trPr>
        <w:tc>
          <w:tcPr>
            <w:tcW w:w="92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Index to Financial Statements</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F-1</w:t>
            </w:r>
          </w:p>
        </w:tc>
      </w:tr>
      <w:tr>
        <w:trPr>
          <w:trHeight w:val="438"/>
        </w:trPr>
        <w:tc>
          <w:tcPr>
            <w:tcW w:w="9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 the ability of our patents to protect our products from generic competition, our ability to protect and enforce our patent rights in any paragraph IV patent infringement litigation, whether private plaintiffs will challenge the Settlement Agreements we entered into with each of Par Pharmaceutical and Impax Laboratories relating to our Oxecta® patent infringement litigation</w:t>
      </w:r>
      <w:r>
        <w:rPr>
          <w:rFonts w:ascii="Arial" w:cs="Arial" w:eastAsia="Arial" w:hAnsi="Arial"/>
          <w:sz w:val="16"/>
          <w:szCs w:val="16"/>
          <w:color w:val="0000FF"/>
        </w:rPr>
        <w:t>,</w:t>
      </w:r>
      <w:r>
        <w:rPr>
          <w:rFonts w:ascii="Arial" w:cs="Arial" w:eastAsia="Arial" w:hAnsi="Arial"/>
          <w:sz w:val="16"/>
          <w:szCs w:val="16"/>
          <w:color w:val="auto"/>
        </w:rPr>
        <w:t xml:space="preserve"> whether or not additional third parties may seek to market generic versions of Oxecta® and the results of any litigation that we have filed or may file to defend and/or assert our patents against such companies, the possible occurrence of one of the specific events that would result in Par Pharmaceutical Impax Laboratories marketing a generic Oxecta® earlier than we anticipate, the possible approval by the U.S. Food and Drug Administration (“FDA”) of Sandoz Inc.’s or Ranbaxy Inc.’s generic Oxecta product prior to the expiry of our patents covering Oxecta, our and our licensee's ability to successfully launch and commercialize our products and technologies including Oxecta® Tablets and Nexafed® Tablets, the price discounting that may be offered by Pfizer for Oxecta, our and our licensee's ability to obtain necessary regulatory approvals and commercialize products utilizing our technologies and the market acceptance of and competitive environment for any of our products, the willingness of wholesalers and pharmacies to stock Nexafed Tablets, expectations regarding potential market share for our products and the timing of first sales, our ability to enter into additional license agreements for our other product candidates, our exposure to product liability and other lawsuits in connection with the commercialization of our products, the increased cost of insurance and the availability of product liability insurance coverage, the ability to avoid infringement of patents, trademarks and other proprietary rights of third parties, and 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to meet over-the-counter, or OTC, Monograph standards as applicable, the adequacy of the development program for our product candidates, including whether additional clinical studies will be required to support FDA approval of our product candidates, changes in regulatory requirements, adverse safety findings relating to our product candidates, whether the FDA will agree with our analysis of our clinical and laboratory studies and how it may evaluate the results of these studies or whether further studies of our product candidates will be required to support FDA approval, whether or when we are able to obtain FDA approval of labeling for our product candidates for the proposed indications and will be able to promote the features of our abuse discouraging technologies, whether our product candidates will ultimately deter abuse in commercial settings and whether our Impede technology will disrupt the processing of pseudoephedrine into methamphetamine. 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and beliefs with respect to future events and are based on assumptions and subject to significant risks and uncertainties. Given these uncertainties, you should not place undue reliance on these forward-looking statements. We discuss many of these risks in greater detail in Item 1A of this Report.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Forward-looking statements speak only as of the date of this Report, and Acura undertakes no obligation to update or revise these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our license agreement with a subsidiary of Pfizer, or the Pfizer Agreement. We have also developed our Impede® Technology which is a combination of inactive ingredients that prevent the extraction of pseudoephedrine from tablets and disrupt the direct conversion of pseudoephedrine from tablets into methamphetamine.</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7 additional opioid products utilizing Aversion in various stages of development. Our product containing hydrocodone bitartrate and acetaminophen utilizing the Aversion technology, or hydrocodone/acetaminophen, is the most advanced opioid product in development and the primary focus of our opioid development efforts. Hydrocodone/acetaminophen is the most widely prescribed and often abused opioid product in the United States. We filed an Investigational New Drug Application, or IND, with the Food and Drug Administration, or FDA, on December 20, 2012, which became effective in late January 2013. On August 26, 2013, we announced the top-line results from Study AP-ADF-301 (“Study 301”), a phase II clinical study in 40 recreational drug abusers assessing the liability of snorting our hydrocodone/acetaminophen product. Study 301s primary endpoint indicated that Aversion hydrocodone/acetaminophen had slightly lower numeric mean maximum drug liking compared to an equivalent dose of a generic hydrocodone/acetaminophen tablet, however these results were not statistically significant. The Study 301 secondary endpoints demonstrated statistical significance in mean minimum drug liking, the Overall Drug Liking score and the Take Drug Again assessment. On December 5, 2013, we met with the FDA to discuss if the FDA will consider whether the results of Study 301 are acceptable for submission in a New Drug Application, or NDA. On February 7, 2014, the FDA advised us their discussion of whether the results of study AP-ADF-301 could support abuse-deterrent labeling is ongoing. We expect that the development program for our other Aversion opioid products in development will be consistent with that of Oxecta and our hydrocodone/acetaminophen product candidate.</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launched Nexafed commercially in mid-December 2012 into the $1 billion United States over the counter market, or OTC, for cold and allergy products containing a decongestant. Nexafed was demonstrated in a clinical study to meet the FDA Guideline standards for bioequivalence to the reference drug Sudafed® marketed by Johnson &amp; Johnson Corporation. We anticipate developing line extensions for our Nexafed franchise to capitalize on the many different combination offerings in the OTC cold/allergy market and expect to launch our first line extension in 2014. We also are developing a next generation of our Impede Technology in order to further improve our Nexafed franchise.</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have discovered an early-stage technology which, in proof of concept laboratory tests, demonstrates the ability to limit the release of the active ingredient from tablets when multiple tablets are consumed simultaneously.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goal is to become a leading specialty pharmaceutical company focused on addressing the growing societal problem of pharmaceutical drug abuse by developing a broad portfolio of products with abuse deterrent features and benefits. Specifically, we intend 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Capitalize on our experience and expertise in the research and development of technologies that address medication abuse and misuse</w:t>
      </w:r>
      <w:r>
        <w:rPr>
          <w:rFonts w:ascii="Arial" w:cs="Arial" w:eastAsia="Arial" w:hAnsi="Arial"/>
          <w:sz w:val="18"/>
          <w:szCs w:val="18"/>
          <w:color w:val="auto"/>
        </w:rPr>
        <w: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two products commercially launched containing our Aversion and Impede Technologies. We continue to invest in improvements in these technologies and to innovate new technologies to address medication abuse and misuse.</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Leverage our technologies by developing a full line of pharmaceutical products which utilize our proprietary technologies</w:t>
      </w:r>
      <w:r>
        <w:rPr>
          <w:rFonts w:ascii="Arial" w:cs="Arial" w:eastAsia="Arial" w:hAnsi="Arial"/>
          <w:sz w:val="17"/>
          <w:szCs w:val="17"/>
          <w:color w:val="auto"/>
        </w:rPr>
        <w:t>. Medication abuse and</w:t>
      </w:r>
      <w:r>
        <w:rPr>
          <w:rFonts w:ascii="Arial" w:cs="Arial" w:eastAsia="Arial" w:hAnsi="Arial"/>
          <w:sz w:val="17"/>
          <w:szCs w:val="17"/>
          <w:i w:val="1"/>
          <w:iCs w:val="1"/>
          <w:color w:val="auto"/>
        </w:rPr>
        <w:t xml:space="preserve"> </w:t>
      </w:r>
      <w:r>
        <w:rPr>
          <w:rFonts w:ascii="Arial" w:cs="Arial" w:eastAsia="Arial" w:hAnsi="Arial"/>
          <w:sz w:val="17"/>
          <w:szCs w:val="17"/>
          <w:color w:val="auto"/>
        </w:rPr>
        <w:t>misuse is not limited to single drugs but often pervades entire drug categories. We intend to develop or collaborate with strategically focused pharmaceutical companies to develop multiple products in the prescription opioid and OTC cold/allergy markets with our technologies.</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Commercialize our products with our internal resources or license to strategically focused companies in the United States and other geographic territories</w:t>
      </w:r>
      <w:r>
        <w:rPr>
          <w:rFonts w:ascii="Arial" w:cs="Arial" w:eastAsia="Arial" w:hAnsi="Arial"/>
          <w:sz w:val="18"/>
          <w:szCs w:val="18"/>
          <w:color w:val="auto"/>
        </w:rPr>
        <w:t>. We have developed a small infrastructure to commercialize our OTC products that utilize the Impede Technology. We have licensed our</w:t>
      </w:r>
      <w:r>
        <w:rPr>
          <w:rFonts w:ascii="Arial" w:cs="Arial" w:eastAsia="Arial" w:hAnsi="Arial"/>
          <w:sz w:val="18"/>
          <w:szCs w:val="18"/>
          <w:i w:val="1"/>
          <w:iCs w:val="1"/>
          <w:color w:val="auto"/>
        </w:rPr>
        <w:t xml:space="preserve"> </w:t>
      </w:r>
      <w:r>
        <w:rPr>
          <w:rFonts w:ascii="Arial" w:cs="Arial" w:eastAsia="Arial" w:hAnsi="Arial"/>
          <w:sz w:val="18"/>
          <w:szCs w:val="18"/>
          <w:color w:val="auto"/>
        </w:rPr>
        <w:t>Aversion Technology to Pfizer for use in Oxecta in the United States and Mexico. We are seeking licensing partners for our Aversion and Impede technologies worldwide, and marketing partners for Nexafed outside the United States.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Maintain an efficient internal cost structure</w:t>
      </w:r>
      <w:r>
        <w:rPr>
          <w:rFonts w:ascii="Arial" w:cs="Arial" w:eastAsia="Arial" w:hAnsi="Arial"/>
          <w:sz w:val="18"/>
          <w:szCs w:val="18"/>
          <w:color w:val="auto"/>
        </w:rPr>
        <w:t>. We maintain an efficient internal cost structure focused on discovering new technologies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product formulations using those technologies. We also have a small, focused OTC marketing and sales team. We outsource many high cost elements of development and commercialization, such as clinical trials and commercial manufacturing that minimize required fixed overhead and capital investment and thereby reduces our business risk.</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In-license or acquire technologies and/or products to expand our portfolio of technologies and products</w:t>
      </w:r>
      <w:r>
        <w:rPr>
          <w:rFonts w:ascii="Arial" w:cs="Arial" w:eastAsia="Arial" w:hAnsi="Arial"/>
          <w:sz w:val="18"/>
          <w:szCs w:val="18"/>
          <w:color w:val="auto"/>
        </w:rPr>
        <w:t>. We intend to pursue the in-license or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product candidates and technologies that will allow us to expand our portfolio of products. Such in-licensing or acquisition transactions, if successfully completed, of which no assurance can be given, may include product candidates or technologies for pain relief, addiction, and other drugs.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Aversion Technology is a unique composition of inactive pharmaceutical ingredients utilized with an opioid or other drug susceptible of abuse to provide abuse deterrent functionality. All of our Aversion Technology opioid products are covered by six issued U.S. patents, which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188" w:lineRule="exact"/>
        <w:rPr>
          <w:sz w:val="20"/>
          <w:szCs w:val="20"/>
          <w:color w:val="auto"/>
        </w:rPr>
      </w:pPr>
    </w:p>
    <w:p>
      <w:pPr>
        <w:jc w:val="both"/>
        <w:ind w:left="660" w:hanging="4"/>
        <w:spacing w:after="0" w:line="279" w:lineRule="auto"/>
        <w:tabs>
          <w:tab w:leader="none" w:pos="1119" w:val="left"/>
        </w:tabs>
        <w:numPr>
          <w:ilvl w:val="0"/>
          <w:numId w:val="5"/>
        </w:numPr>
        <w:rPr>
          <w:rFonts w:ascii="Arial" w:cs="Arial" w:eastAsia="Arial" w:hAnsi="Arial"/>
          <w:sz w:val="17"/>
          <w:szCs w:val="17"/>
          <w:color w:val="auto"/>
        </w:rPr>
      </w:pPr>
      <w:r>
        <w:rPr>
          <w:rFonts w:ascii="Arial" w:cs="Arial" w:eastAsia="Arial" w:hAnsi="Arial"/>
          <w:sz w:val="17"/>
          <w:szCs w:val="17"/>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171" w:lineRule="exact"/>
        <w:rPr>
          <w:rFonts w:ascii="Arial" w:cs="Arial" w:eastAsia="Arial" w:hAnsi="Arial"/>
          <w:sz w:val="17"/>
          <w:szCs w:val="17"/>
          <w:color w:val="auto"/>
        </w:rPr>
      </w:pPr>
    </w:p>
    <w:p>
      <w:pPr>
        <w:jc w:val="both"/>
        <w:ind w:left="660" w:hanging="4"/>
        <w:spacing w:after="0" w:line="259" w:lineRule="auto"/>
        <w:tabs>
          <w:tab w:leader="none" w:pos="1109"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extent and manner in which any of the features described above may be described in the FDA approved label for our pipeline products will be dependent on the results of and the acceptance by the FDA of our and our licensees’ studies for each product.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Oxecta</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Oxecta is a Schedule II narcotic indicated for the management of acute and chronic moderate to severe pain where the use of an opioid analgesic is appropriate. Oxecta utilizes our Aversion Technology. Pfizer received FDA approval for its 505(b)(2) NDA for Oxecta on June 17, 2011 and introduced the product into the market in February 2012. Pending receipt of the FDA’s advice on Pfizer’s proposed Oxecta promotional materials, which were submitted to the FDA in July 2012, Pfizer did not market Oxecta to physicians. As such, Pfizer attained no meaningful sales of Oxecta in 2012 or 2013. In April 2013, Pfizer received FDA’s advice on its Oxecta promotional materials and commenced a non-branded marketing campaign to raise awareness of the problem of</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opioid abuse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2013. Pfizer expanded its commercialization of Oxecta to health care providers in late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 of 2013 but this effort was minimal due to the holidays. We do not expect the Pfizer promotional activities will include the use of field representatives.</w:t>
      </w:r>
    </w:p>
    <w:p>
      <w:pPr>
        <w:spacing w:after="0" w:line="2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safety and efficacy of Oxecta 5mg and 7.5mg tablets was established by demonstrating bioequivalence to commercially available oxycodone immediate-release tablets in the fasted state. Oxecta differs from oxycodone tablets when taken with a high fat meal though these differences are not considered clinically relevant, and Oxecta can be taken without regard to food. The FDA-approved label for Oxecta describes elements unique to our Aversion Technology, which differs from current commercially available oxycodone immediate-release tablets. The label for Oxecta includes the results from a clinical study that evaluated the effects of nasally snorting crushed Oxecta and commercially available oxycodone tablets, and limitations on exposing Oxecta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98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 of subjects exposed to Oxecta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subjects taking Oxecta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Oxecta tablets within a fixed time period (21 of 40 subjects), while all subjects were able to completely insufflate the entire dose of immediate-release oxycodone; and</w:t>
      </w:r>
    </w:p>
    <w:p>
      <w:pPr>
        <w:ind w:left="98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Oxecta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Oxecta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Oxecta has a reduced abuse liability compared to immediate release oxycodone. Pfizer has agreed to a post-approval commitment with the FDA to perform an epidemiology study to assess the actual impact on abuse of Oxecta tablets.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the Oxecta product label guides patients not to crush and dissolve the tablets or pre-soak, lick or otherwise wet the tablets prior to administration. Similarly, caregivers are advised not to crush and dissolve the tablets or otherwise use Oxecta for administration via nasogastric, gastric or other feeding tubes as it may cause an obstruction. Our laboratory studies demonstrated that the Oxecta tablet characteristics may change when Oxecta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Opioid Products in Development</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the following multiple opioid products utilizing our Aversion Technology in various stages of development. Pursuant to a September 24, 2012 agreement with Pfizer, the license and/or option rights to these products were returned to us by Pfizer and we retain all rights to develop and commercial these products worldwide.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Comparable Brand</w:t>
            </w:r>
          </w:p>
        </w:tc>
      </w:tr>
      <w:tr>
        <w:trPr>
          <w:trHeight w:val="267"/>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Aversion Technology Tablets</w:t>
            </w:r>
          </w:p>
        </w:tc>
        <w:tc>
          <w:tcPr>
            <w:tcW w:w="140" w:type="dxa"/>
            <w:vAlign w:val="bottom"/>
          </w:tcPr>
          <w:p>
            <w:pPr>
              <w:spacing w:after="0"/>
              <w:rPr>
                <w:sz w:val="23"/>
                <w:szCs w:val="23"/>
                <w:color w:val="auto"/>
              </w:rPr>
            </w:pPr>
          </w:p>
        </w:tc>
        <w:tc>
          <w:tcPr>
            <w:tcW w:w="2040" w:type="dxa"/>
            <w:vAlign w:val="bottom"/>
            <w:tcBorders>
              <w:bottom w:val="single" w:sz="8" w:color="auto"/>
            </w:tcBorders>
          </w:tcPr>
          <w:p>
            <w:pPr>
              <w:ind w:left="760"/>
              <w:spacing w:after="0" w:line="266" w:lineRule="exact"/>
              <w:rPr>
                <w:sz w:val="20"/>
                <w:szCs w:val="20"/>
                <w:color w:val="auto"/>
              </w:rPr>
            </w:pPr>
            <w:r>
              <w:rPr>
                <w:rFonts w:ascii="Arial" w:cs="Arial" w:eastAsia="Arial" w:hAnsi="Arial"/>
                <w:sz w:val="18"/>
                <w:szCs w:val="18"/>
                <w:color w:val="auto"/>
              </w:rPr>
              <w:t>Name</w:t>
            </w:r>
            <w:r>
              <w:rPr>
                <w:rFonts w:ascii="Arial" w:cs="Arial" w:eastAsia="Arial" w:hAnsi="Arial"/>
                <w:sz w:val="30"/>
                <w:szCs w:val="30"/>
                <w:color w:val="auto"/>
                <w:vertAlign w:val="superscript"/>
              </w:rPr>
              <w:t>1</w:t>
            </w:r>
          </w:p>
        </w:tc>
      </w:tr>
      <w:tr>
        <w:trPr>
          <w:trHeight w:val="411"/>
        </w:trPr>
        <w:tc>
          <w:tcPr>
            <w:tcW w:w="3380" w:type="dxa"/>
            <w:vAlign w:val="bottom"/>
            <w:gridSpan w:val="2"/>
          </w:tcPr>
          <w:p>
            <w:pPr>
              <w:spacing w:after="0"/>
              <w:rPr>
                <w:sz w:val="20"/>
                <w:szCs w:val="20"/>
                <w:color w:val="auto"/>
              </w:rPr>
            </w:pPr>
            <w:r>
              <w:rPr>
                <w:rFonts w:ascii="Arial" w:cs="Arial" w:eastAsia="Arial" w:hAnsi="Arial"/>
                <w:sz w:val="18"/>
                <w:szCs w:val="18"/>
                <w:color w:val="auto"/>
              </w:rPr>
              <w:t>Hydrocodone bitartrate/acetaminophen</w:t>
            </w:r>
          </w:p>
        </w:tc>
        <w:tc>
          <w:tcPr>
            <w:tcW w:w="2040" w:type="dxa"/>
            <w:vAlign w:val="bottom"/>
          </w:tcPr>
          <w:p>
            <w:pPr>
              <w:spacing w:after="0"/>
              <w:rPr>
                <w:sz w:val="20"/>
                <w:szCs w:val="20"/>
                <w:color w:val="auto"/>
              </w:rPr>
            </w:pPr>
            <w:r>
              <w:rPr>
                <w:rFonts w:ascii="Arial" w:cs="Arial" w:eastAsia="Arial" w:hAnsi="Arial"/>
                <w:sz w:val="18"/>
                <w:szCs w:val="18"/>
                <w:color w:val="auto"/>
              </w:rPr>
              <w:t>Vicodin®, Lortab®,</w:t>
            </w:r>
          </w:p>
        </w:tc>
      </w:tr>
      <w:tr>
        <w:trPr>
          <w:trHeight w:val="230"/>
        </w:trPr>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Norco®</w:t>
            </w:r>
          </w:p>
        </w:tc>
      </w:tr>
      <w:tr>
        <w:trPr>
          <w:trHeight w:val="864"/>
        </w:trPr>
        <w:tc>
          <w:tcPr>
            <w:tcW w:w="3380" w:type="dxa"/>
            <w:vAlign w:val="bottom"/>
            <w:gridSpan w:val="2"/>
          </w:tcPr>
          <w:p>
            <w:pPr>
              <w:spacing w:after="0"/>
              <w:rPr>
                <w:sz w:val="20"/>
                <w:szCs w:val="20"/>
                <w:color w:val="auto"/>
              </w:rPr>
            </w:pPr>
            <w:r>
              <w:rPr>
                <w:rFonts w:ascii="Arial" w:cs="Arial" w:eastAsia="Arial" w:hAnsi="Arial"/>
                <w:sz w:val="18"/>
                <w:szCs w:val="18"/>
                <w:color w:val="auto"/>
              </w:rPr>
              <w:t>Hydromorphone HCl</w:t>
            </w:r>
          </w:p>
        </w:tc>
        <w:tc>
          <w:tcPr>
            <w:tcW w:w="2040" w:type="dxa"/>
            <w:vAlign w:val="bottom"/>
          </w:tcPr>
          <w:p>
            <w:pPr>
              <w:spacing w:after="0"/>
              <w:rPr>
                <w:sz w:val="20"/>
                <w:szCs w:val="20"/>
                <w:color w:val="auto"/>
              </w:rPr>
            </w:pPr>
            <w:r>
              <w:rPr>
                <w:rFonts w:ascii="Arial" w:cs="Arial" w:eastAsia="Arial" w:hAnsi="Arial"/>
                <w:sz w:val="18"/>
                <w:szCs w:val="18"/>
                <w:color w:val="auto"/>
              </w:rPr>
              <w:t>Dilaudid®</w:t>
            </w:r>
          </w:p>
        </w:tc>
      </w:tr>
      <w:tr>
        <w:trPr>
          <w:trHeight w:val="257"/>
        </w:trPr>
        <w:tc>
          <w:tcPr>
            <w:tcW w:w="3380" w:type="dxa"/>
            <w:vAlign w:val="bottom"/>
            <w:gridSpan w:val="2"/>
          </w:tcPr>
          <w:p>
            <w:pPr>
              <w:spacing w:after="0"/>
              <w:rPr>
                <w:sz w:val="20"/>
                <w:szCs w:val="20"/>
                <w:color w:val="auto"/>
              </w:rPr>
            </w:pPr>
            <w:r>
              <w:rPr>
                <w:rFonts w:ascii="Arial" w:cs="Arial" w:eastAsia="Arial" w:hAnsi="Arial"/>
                <w:sz w:val="18"/>
                <w:szCs w:val="18"/>
                <w:color w:val="auto"/>
              </w:rPr>
              <w:t>Methadone HCl</w:t>
            </w:r>
          </w:p>
        </w:tc>
        <w:tc>
          <w:tcPr>
            <w:tcW w:w="2040" w:type="dxa"/>
            <w:vAlign w:val="bottom"/>
          </w:tcPr>
          <w:p>
            <w:pPr>
              <w:spacing w:after="0"/>
              <w:rPr>
                <w:sz w:val="20"/>
                <w:szCs w:val="20"/>
                <w:color w:val="auto"/>
              </w:rPr>
            </w:pPr>
            <w:r>
              <w:rPr>
                <w:rFonts w:ascii="Arial" w:cs="Arial" w:eastAsia="Arial" w:hAnsi="Arial"/>
                <w:sz w:val="18"/>
                <w:szCs w:val="18"/>
                <w:color w:val="auto"/>
              </w:rPr>
              <w:t>Methadose</w:t>
            </w:r>
          </w:p>
        </w:tc>
      </w:tr>
      <w:tr>
        <w:trPr>
          <w:trHeight w:val="257"/>
        </w:trPr>
        <w:tc>
          <w:tcPr>
            <w:tcW w:w="3380" w:type="dxa"/>
            <w:vAlign w:val="bottom"/>
            <w:gridSpan w:val="2"/>
          </w:tcPr>
          <w:p>
            <w:pPr>
              <w:spacing w:after="0"/>
              <w:rPr>
                <w:sz w:val="20"/>
                <w:szCs w:val="20"/>
                <w:color w:val="auto"/>
              </w:rPr>
            </w:pPr>
            <w:r>
              <w:rPr>
                <w:rFonts w:ascii="Arial" w:cs="Arial" w:eastAsia="Arial" w:hAnsi="Arial"/>
                <w:sz w:val="18"/>
                <w:szCs w:val="18"/>
                <w:color w:val="auto"/>
              </w:rPr>
              <w:t>Morphine Sulfate</w:t>
            </w:r>
          </w:p>
        </w:tc>
        <w:tc>
          <w:tcPr>
            <w:tcW w:w="2040" w:type="dxa"/>
            <w:vAlign w:val="bottom"/>
          </w:tcPr>
          <w:p>
            <w:pPr>
              <w:spacing w:after="0"/>
              <w:rPr>
                <w:sz w:val="20"/>
                <w:szCs w:val="20"/>
                <w:color w:val="auto"/>
              </w:rPr>
            </w:pPr>
            <w:r>
              <w:rPr>
                <w:rFonts w:ascii="Arial" w:cs="Arial" w:eastAsia="Arial" w:hAnsi="Arial"/>
                <w:sz w:val="18"/>
                <w:szCs w:val="18"/>
                <w:color w:val="auto"/>
              </w:rPr>
              <w:t>MSIR®</w:t>
            </w:r>
          </w:p>
        </w:tc>
      </w:tr>
      <w:tr>
        <w:trPr>
          <w:trHeight w:val="257"/>
        </w:trPr>
        <w:tc>
          <w:tcPr>
            <w:tcW w:w="3380" w:type="dxa"/>
            <w:vAlign w:val="bottom"/>
            <w:gridSpan w:val="2"/>
          </w:tcPr>
          <w:p>
            <w:pPr>
              <w:spacing w:after="0"/>
              <w:rPr>
                <w:sz w:val="20"/>
                <w:szCs w:val="20"/>
                <w:color w:val="auto"/>
              </w:rPr>
            </w:pPr>
            <w:r>
              <w:rPr>
                <w:rFonts w:ascii="Arial" w:cs="Arial" w:eastAsia="Arial" w:hAnsi="Arial"/>
                <w:sz w:val="18"/>
                <w:szCs w:val="18"/>
                <w:color w:val="auto"/>
              </w:rPr>
              <w:t>Oxycodone HCl/acetaminophen</w:t>
            </w:r>
          </w:p>
        </w:tc>
        <w:tc>
          <w:tcPr>
            <w:tcW w:w="2040" w:type="dxa"/>
            <w:vAlign w:val="bottom"/>
          </w:tcPr>
          <w:p>
            <w:pPr>
              <w:spacing w:after="0"/>
              <w:rPr>
                <w:sz w:val="20"/>
                <w:szCs w:val="20"/>
                <w:color w:val="auto"/>
              </w:rPr>
            </w:pPr>
            <w:r>
              <w:rPr>
                <w:rFonts w:ascii="Arial" w:cs="Arial" w:eastAsia="Arial" w:hAnsi="Arial"/>
                <w:sz w:val="18"/>
                <w:szCs w:val="18"/>
                <w:color w:val="auto"/>
              </w:rPr>
              <w:t>Percocet®</w:t>
            </w:r>
          </w:p>
        </w:tc>
      </w:tr>
      <w:tr>
        <w:trPr>
          <w:trHeight w:val="257"/>
        </w:trPr>
        <w:tc>
          <w:tcPr>
            <w:tcW w:w="3380" w:type="dxa"/>
            <w:vAlign w:val="bottom"/>
            <w:gridSpan w:val="2"/>
          </w:tcPr>
          <w:p>
            <w:pPr>
              <w:spacing w:after="0"/>
              <w:rPr>
                <w:sz w:val="20"/>
                <w:szCs w:val="20"/>
                <w:color w:val="auto"/>
              </w:rPr>
            </w:pPr>
            <w:r>
              <w:rPr>
                <w:rFonts w:ascii="Arial" w:cs="Arial" w:eastAsia="Arial" w:hAnsi="Arial"/>
                <w:sz w:val="18"/>
                <w:szCs w:val="18"/>
                <w:color w:val="auto"/>
              </w:rPr>
              <w:t>Oxymorphone HCl</w:t>
            </w:r>
          </w:p>
        </w:tc>
        <w:tc>
          <w:tcPr>
            <w:tcW w:w="2040" w:type="dxa"/>
            <w:vAlign w:val="bottom"/>
          </w:tcPr>
          <w:p>
            <w:pPr>
              <w:spacing w:after="0"/>
              <w:rPr>
                <w:sz w:val="20"/>
                <w:szCs w:val="20"/>
                <w:color w:val="auto"/>
              </w:rPr>
            </w:pPr>
            <w:r>
              <w:rPr>
                <w:rFonts w:ascii="Arial" w:cs="Arial" w:eastAsia="Arial" w:hAnsi="Arial"/>
                <w:sz w:val="18"/>
                <w:szCs w:val="18"/>
                <w:color w:val="auto"/>
              </w:rPr>
              <w:t>Opana®</w:t>
            </w:r>
          </w:p>
        </w:tc>
      </w:tr>
      <w:tr>
        <w:trPr>
          <w:trHeight w:val="257"/>
        </w:trPr>
        <w:tc>
          <w:tcPr>
            <w:tcW w:w="3380" w:type="dxa"/>
            <w:vAlign w:val="bottom"/>
            <w:gridSpan w:val="2"/>
          </w:tcPr>
          <w:p>
            <w:pPr>
              <w:spacing w:after="0"/>
              <w:rPr>
                <w:sz w:val="20"/>
                <w:szCs w:val="20"/>
                <w:color w:val="auto"/>
              </w:rPr>
            </w:pPr>
            <w:r>
              <w:rPr>
                <w:rFonts w:ascii="Arial" w:cs="Arial" w:eastAsia="Arial" w:hAnsi="Arial"/>
                <w:sz w:val="18"/>
                <w:szCs w:val="18"/>
                <w:color w:val="auto"/>
              </w:rPr>
              <w:t>Tramadol HCl</w:t>
            </w:r>
          </w:p>
        </w:tc>
        <w:tc>
          <w:tcPr>
            <w:tcW w:w="2040" w:type="dxa"/>
            <w:vAlign w:val="bottom"/>
          </w:tcPr>
          <w:p>
            <w:pPr>
              <w:spacing w:after="0"/>
              <w:rPr>
                <w:sz w:val="20"/>
                <w:szCs w:val="20"/>
                <w:color w:val="auto"/>
              </w:rPr>
            </w:pPr>
            <w:r>
              <w:rPr>
                <w:rFonts w:ascii="Arial" w:cs="Arial" w:eastAsia="Arial" w:hAnsi="Arial"/>
                <w:sz w:val="18"/>
                <w:szCs w:val="18"/>
                <w:color w:val="auto"/>
              </w:rPr>
              <w:t>Ultram®</w:t>
            </w: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738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 submitted to the FDA on December 20,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Pharmacokinetic studies in progress.</w:t>
      </w:r>
    </w:p>
    <w:p>
      <w:pPr>
        <w:spacing w:after="0" w:line="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Awaiting feedback from the FDA on the applicability of the results of Study AP-ADF-301 for NDA submission.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p>
    <w:p>
      <w:pPr>
        <w:spacing w:after="0" w:line="184"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p>
    <w:p>
      <w:pPr>
        <w:spacing w:after="0" w:line="193" w:lineRule="exact"/>
        <w:rPr>
          <w:sz w:val="20"/>
          <w:szCs w:val="20"/>
          <w:color w:val="auto"/>
        </w:rPr>
      </w:pPr>
    </w:p>
    <w:p>
      <w:pPr>
        <w:sectPr>
          <w:pgSz w:w="11900" w:h="16838" w:orient="portrait"/>
          <w:cols w:equalWidth="0" w:num="2">
            <w:col w:w="5420" w:space="120"/>
            <w:col w:w="5880"/>
          </w:cols>
          <w:pgMar w:left="240" w:top="341" w:right="239" w:bottom="1440" w:gutter="0" w:footer="0" w:header="0"/>
        </w:sectPr>
      </w:pPr>
    </w:p>
    <w:p>
      <w:pPr>
        <w:ind w:left="180" w:hanging="172"/>
        <w:spacing w:after="0" w:line="182" w:lineRule="auto"/>
        <w:tabs>
          <w:tab w:leader="none" w:pos="153" w:val="left"/>
        </w:tabs>
        <w:numPr>
          <w:ilvl w:val="0"/>
          <w:numId w:val="7"/>
        </w:numPr>
        <w:rPr>
          <w:rFonts w:ascii="Arial" w:cs="Arial" w:eastAsia="Arial" w:hAnsi="Arial"/>
          <w:sz w:val="34"/>
          <w:szCs w:val="34"/>
          <w:color w:val="auto"/>
          <w:vertAlign w:val="superscript"/>
        </w:rPr>
      </w:pPr>
      <w:r>
        <w:rPr>
          <w:rFonts w:ascii="Arial" w:cs="Arial" w:eastAsia="Arial" w:hAnsi="Arial"/>
          <w:sz w:val="17"/>
          <w:szCs w:val="17"/>
          <w:color w:val="auto"/>
        </w:rPr>
        <w:t>Comparable Brand Name refers to currently marketed prescription products in the United States containing the same active analgesic ingredient(s) as in the corresponding Aversion Technology product.</w:t>
      </w:r>
    </w:p>
    <w:p>
      <w:pPr>
        <w:spacing w:after="0" w:line="55" w:lineRule="exact"/>
        <w:rPr>
          <w:sz w:val="20"/>
          <w:szCs w:val="20"/>
          <w:color w:val="auto"/>
        </w:rPr>
      </w:pPr>
    </w:p>
    <w:p>
      <w:pPr>
        <w:ind w:left="180" w:hanging="172"/>
        <w:spacing w:after="0" w:line="182" w:lineRule="auto"/>
        <w:tabs>
          <w:tab w:leader="none" w:pos="238" w:val="left"/>
        </w:tabs>
        <w:numPr>
          <w:ilvl w:val="0"/>
          <w:numId w:val="8"/>
        </w:numPr>
        <w:rPr>
          <w:rFonts w:ascii="Arial" w:cs="Arial" w:eastAsia="Arial" w:hAnsi="Arial"/>
          <w:sz w:val="34"/>
          <w:szCs w:val="34"/>
          <w:color w:val="auto"/>
          <w:vertAlign w:val="superscript"/>
        </w:rPr>
      </w:pPr>
      <w:r>
        <w:rPr>
          <w:rFonts w:ascii="Arial" w:cs="Arial" w:eastAsia="Arial" w:hAnsi="Arial"/>
          <w:sz w:val="17"/>
          <w:szCs w:val="17"/>
          <w:color w:val="auto"/>
        </w:rPr>
        <w:t>Proof of Concept is attained upon demonstration of product stability and bioavailability parameters. All proof of concept formulations contain niacin (derived from the initial Aversion formulation) and will require reformulation.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Hydrocodone/Acetaminophen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hydrocodone/acetaminophen product was previously under development by Pfizer who, before returning the product to us: (1) removed niacin from the formulation, (2) conducted bioequivalence testing and (3) held a pre-IND meeting with the FDA. We expect our clinical development program for our hydrocodone/acetaminophen product to consist of:</w:t>
      </w:r>
    </w:p>
    <w:p>
      <w:pPr>
        <w:spacing w:after="0" w:line="181" w:lineRule="exact"/>
        <w:rPr>
          <w:sz w:val="20"/>
          <w:szCs w:val="20"/>
          <w:color w:val="auto"/>
        </w:rPr>
      </w:pPr>
    </w:p>
    <w:p>
      <w:pPr>
        <w:ind w:left="1300" w:hanging="644"/>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pharmacokinetic study in about 36 fasted subjects to establish bioequivalence of product made by a new contract manufacturer to the FDA’s reference listed drug and determine the food effect on our drug;</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pharmacokinetic study in about 24 subjects to establish safety compared to the reference listed drugs tramadol/acetaminophen (for acetaminophen) and hydrocodone bitartrate/ibuprofen (for hydrocodone);</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pharmacokinetic study in about 24 subjects demonstrating dose proportionality of our formulation;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nasal abuse liability liking study in about 40 recreational drug users against a reference drug, or Study AP-ADF-301;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Laboratory studies demonstrating extraction, syringing and particle size characteristics of our product;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assessment of the routes of abuse of hydrocodone products.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August 26, 2013, we announced top-line results from Study AP-ADF-301 (Study 301), a phase II clinical study in 40 recreational drug abusers assessing the abuse liability of snorting of our crushed hydrocodone/acetaminophen product. Study 301’s primary endpoint indicated Aversion hydrocodone/acetaminophen had slightly lower numeric mean maximum drug liking (Emax: 72.1) compared to an equivalent dose of a generic hydrocodone/acetaminophen tablet (Emax: 75.6) currently on the market, however these results were not statistically significant (p=0.22). The secondary endpoints demonstrated the effects of the Aversion ingredients on drug snorting. Aversion hydrocodone/acetaminophen’s mean minimum liking (Emin: 40.2) was less than the comparator (Emin: 50.4) (the difference being statistically significant at p=0.0003). The mean minimum drug liking for Aversion hydrocodone/acetaminophen and the placebo control were 40.2 and 48.8, respectively (the difference being statistically significant at p=0.0042). A score below 50 indicates a subject disliked the drug they were taking at some point during the treatment (a score of 50 means neither like or dislike), and a score greater than 50 indicates they liked the drug they were taking.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7" w:name="page8"/>
    <w:bookmarkEnd w:id="7"/>
    <w:p>
      <w:pPr>
        <w:jc w:val="both"/>
        <w:ind w:firstLine="648"/>
        <w:spacing w:after="0" w:line="255" w:lineRule="auto"/>
        <w:rPr>
          <w:sz w:val="20"/>
          <w:szCs w:val="20"/>
          <w:color w:val="auto"/>
        </w:rPr>
      </w:pPr>
      <w:r>
        <w:rPr>
          <w:rFonts w:ascii="Arial" w:cs="Arial" w:eastAsia="Arial" w:hAnsi="Arial"/>
          <w:sz w:val="18"/>
          <w:szCs w:val="18"/>
          <w:color w:val="auto"/>
        </w:rPr>
        <w:t>The mean minimum liking results correlated closely the Overall Drug Liking score (ODL) and Take Drug Again assessment (TDA). ODL assessed the subject like or dislike for the drug experience 12 hours after taking the dose. The ODL for Aversion hydrocodone/acetaminophen (52.7) was lower than the generic comparator (71.0) (the difference being statistically significant at p=0.0001) with a score of 50 indicating a neither a like or dislike. TDA assessed a subject’s willingness to take the drug again assessed 12 hours after taking the dose. The TDA for Aversion hydrocodone/acetaminophen (45.1) was lower than the generic comparator (71.0) (the difference being statistically significant at p=0.0001) with the Aversion hydrocodone/acetaminophen score below 50 indicating an unwillingness to take the drug again.</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were no serious adverse events reported for Aversion hydrocodone/acetaminophen. There was no sequence effect identified in the study but a carryover effect between the 5 study crossover periods was identified for the Emax measure but not the Emin measure. This effect is being further evaluated.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5, 2013, we met with the FDA to discuss if the FDA will consider whether the results of Study 301 are acceptable for submission in a NDA. On February 7, 2014 the FDA advised us their discussion of whether the results of study AP-ADF-301 could support abuse-deterrent labeling is ongoing.</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completed scale-up activities for our Aversion hydrocodone/acetaminophen product at the proposed commercial manufacturer and have manufactured our registration batches for use in subsequent clinical trials. We commenced the pharmacokinetic studies for Aversion hydrocodone/acetaminophen in the first quarter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evaluate possible partnering of our Aversion development products with alternative strategic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 Utilizing Aversion Technology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179,787—between 2006 and 2010. Immediate release, or IR, opioid products comprise the vast majority of this abuse compared with extended release, or ER, opioid products. In addition, 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253 million tablet and capsule prescriptions dispensed in 2013, of which approximately 238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our Aversion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2013, sales in the IR opioid product segment were approximately $2.6 billion, of which ~97% was attributable to generic products. Due to fewer identified competitors and the significantly larger market for dispensed prescriptions for IR opioid products compared to ER opioid products, we have initially focused on developing IR opioid products utilizing our Aversion Technology. Oxecta and our Aversion Technology products in development include the active opioid ingredients representing approximately 76% of the U.S. IR Opioid Product segment. A summary of the IR opioid product prescription data for 2013 is provided below:</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ind w:left="230"/>
              <w:spacing w:after="0"/>
              <w:rPr>
                <w:sz w:val="20"/>
                <w:szCs w:val="20"/>
                <w:color w:val="auto"/>
              </w:rPr>
            </w:pPr>
            <w:r>
              <w:rPr>
                <w:rFonts w:ascii="Arial" w:cs="Arial" w:eastAsia="Arial" w:hAnsi="Arial"/>
                <w:sz w:val="18"/>
                <w:szCs w:val="18"/>
                <w:color w:val="auto"/>
                <w:w w:val="91"/>
              </w:rPr>
              <w:t>2013 US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left="210"/>
              <w:spacing w:after="0"/>
              <w:rPr>
                <w:sz w:val="20"/>
                <w:szCs w:val="20"/>
                <w:color w:val="auto"/>
              </w:rPr>
            </w:pPr>
            <w:r>
              <w:rPr>
                <w:rFonts w:ascii="Arial" w:cs="Arial" w:eastAsia="Arial" w:hAnsi="Arial"/>
                <w:sz w:val="18"/>
                <w:szCs w:val="18"/>
                <w:color w:val="auto"/>
                <w:w w:val="90"/>
              </w:rPr>
              <w:t>Prescriptions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67"/>
        </w:trPr>
        <w:tc>
          <w:tcPr>
            <w:tcW w:w="2800" w:type="dxa"/>
            <w:vAlign w:val="bottom"/>
            <w:gridSpan w:val="3"/>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1280" w:type="dxa"/>
            <w:vAlign w:val="bottom"/>
          </w:tcPr>
          <w:p>
            <w:pPr>
              <w:jc w:val="center"/>
              <w:ind w:left="250"/>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of Total</w:t>
            </w:r>
          </w:p>
        </w:tc>
      </w:tr>
      <w:tr>
        <w:trPr>
          <w:trHeight w:val="210"/>
        </w:trPr>
        <w:tc>
          <w:tcPr>
            <w:tcW w:w="20" w:type="dxa"/>
            <w:vAlign w:val="bottom"/>
          </w:tcPr>
          <w:p>
            <w:pPr>
              <w:spacing w:after="0"/>
              <w:rPr>
                <w:sz w:val="18"/>
                <w:szCs w:val="18"/>
                <w:color w:val="auto"/>
              </w:rPr>
            </w:pPr>
          </w:p>
        </w:tc>
        <w:tc>
          <w:tcPr>
            <w:tcW w:w="27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Hydrocodone</w:t>
            </w:r>
          </w:p>
        </w:tc>
        <w:tc>
          <w:tcPr>
            <w:tcW w:w="8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128</w:t>
            </w:r>
          </w:p>
        </w:tc>
        <w:tc>
          <w:tcPr>
            <w:tcW w:w="10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Oxycodone</w:t>
            </w:r>
          </w:p>
        </w:tc>
        <w:tc>
          <w:tcPr>
            <w:tcW w:w="1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Tramadol</w:t>
            </w:r>
          </w:p>
        </w:tc>
        <w:tc>
          <w:tcPr>
            <w:tcW w:w="1280" w:type="dxa"/>
            <w:vAlign w:val="bottom"/>
            <w:shd w:val="clear" w:color="auto" w:fill="CCFFCC"/>
          </w:tcPr>
          <w:p>
            <w:pPr>
              <w:spacing w:after="0"/>
              <w:rPr>
                <w:sz w:val="18"/>
                <w:szCs w:val="18"/>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Codeine</w:t>
            </w:r>
          </w:p>
        </w:tc>
        <w:tc>
          <w:tcPr>
            <w:tcW w:w="1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3 others</w:t>
            </w:r>
          </w:p>
        </w:tc>
        <w:tc>
          <w:tcPr>
            <w:tcW w:w="1280" w:type="dxa"/>
            <w:vAlign w:val="bottom"/>
            <w:shd w:val="clear" w:color="auto" w:fill="CCFFCC"/>
          </w:tcPr>
          <w:p>
            <w:pPr>
              <w:spacing w:after="0"/>
              <w:rPr>
                <w:sz w:val="18"/>
                <w:szCs w:val="18"/>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tcPr>
          <w:p>
            <w:pPr>
              <w:ind w:left="160"/>
              <w:spacing w:after="0"/>
              <w:rPr>
                <w:sz w:val="20"/>
                <w:szCs w:val="20"/>
                <w:color w:val="auto"/>
              </w:rPr>
            </w:pPr>
            <w:r>
              <w:rPr>
                <w:rFonts w:ascii="Arial" w:cs="Arial" w:eastAsia="Arial" w:hAnsi="Arial"/>
                <w:sz w:val="18"/>
                <w:szCs w:val="18"/>
                <w:color w:val="auto"/>
              </w:rPr>
              <w:t>Total (Average)</w:t>
            </w:r>
          </w:p>
        </w:tc>
        <w:tc>
          <w:tcPr>
            <w:tcW w:w="12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238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r>
    </w:tbl>
    <w:p>
      <w:pPr>
        <w:spacing w:after="0" w:line="71" w:lineRule="exact"/>
        <w:rPr>
          <w:sz w:val="20"/>
          <w:szCs w:val="20"/>
          <w:color w:val="auto"/>
        </w:rPr>
      </w:pPr>
    </w:p>
    <w:p>
      <w:pPr>
        <w:ind w:left="800" w:hanging="144"/>
        <w:spacing w:after="0"/>
        <w:tabs>
          <w:tab w:leader="none" w:pos="80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color w:val="auto"/>
        </w:rPr>
        <w:t>Includes all salts and esters of the opioid and opioids in combination with other active ingredients such as acetaminophen.</w:t>
      </w:r>
    </w:p>
    <w:p>
      <w:pPr>
        <w:spacing w:after="0" w:line="69" w:lineRule="exact"/>
        <w:rPr>
          <w:rFonts w:ascii="Arial" w:cs="Arial" w:eastAsia="Arial" w:hAnsi="Arial"/>
          <w:sz w:val="36"/>
          <w:szCs w:val="36"/>
          <w:color w:val="auto"/>
          <w:vertAlign w:val="superscript"/>
        </w:rPr>
      </w:pPr>
    </w:p>
    <w:p>
      <w:pPr>
        <w:ind w:left="660"/>
        <w:spacing w:after="0" w:line="224" w:lineRule="auto"/>
        <w:rPr>
          <w:rFonts w:ascii="Arial" w:cs="Arial" w:eastAsia="Arial" w:hAnsi="Arial"/>
          <w:sz w:val="36"/>
          <w:szCs w:val="36"/>
          <w:color w:val="auto"/>
          <w:vertAlign w:val="superscript"/>
        </w:rPr>
      </w:pPr>
      <w:r>
        <w:rPr>
          <w:rFonts w:ascii="Arial" w:cs="Arial" w:eastAsia="Arial" w:hAnsi="Arial"/>
          <w:sz w:val="36"/>
          <w:szCs w:val="36"/>
          <w:color w:val="auto"/>
          <w:vertAlign w:val="superscript"/>
        </w:rPr>
        <w:t>2</w:t>
      </w:r>
      <w:r>
        <w:rPr>
          <w:rFonts w:ascii="Arial" w:cs="Arial" w:eastAsia="Arial" w:hAnsi="Arial"/>
          <w:sz w:val="18"/>
          <w:szCs w:val="18"/>
          <w:color w:val="auto"/>
        </w:rPr>
        <w:t xml:space="preserve"> IMS Health, 2013</w:t>
      </w:r>
    </w:p>
    <w:p>
      <w:pPr>
        <w:spacing w:after="0" w:line="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 We estimate 60-95% of the 37 million lifetime U.S. opioid abusers have engaged in the non-medical use of the active ingredients in our IR opioid product candidates. As indicated in the following chart, the top five abused opioid products are available only as IR opioid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Lifetime Non-Medical Use of Selected Pain Relievers, Age 12 or Older: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SAMHSA, Office of Applied Studies, 2012 National Survey on Drug Use and Health.</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 2011 survey of 400 opioid prescribing physicians conducted for us by an independent research firm, 39% of physicians indicated they were highly concerned with the diversion of their opioid prescriptions for non-medical purposes and 42% were highly concerned about opioid misuse by their patients. However, less than 17% of these same physicians indicated they were confident they could adequately identify patients who are diverting or misusing their opioid prescriptions. Further, 77% and 66% of the physicians indicated that abuse of their opioid prescription by injection and snorting, respectively, would likely lead to serious adverse health consequences for the abuser as compared to only 38% for abuse by oral administration.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color w:val="auto"/>
        </w:rPr>
        <w:t>A majority of pharmaceutical products in the United States are paid for by third-party payers such as insurers, pharmacy benefit managers, self-insured companies and the federal and state governments through Medicare, Medicaid and other health care programs. We believe our product candidates must demonstrate a clinical benefit to the patient and/or an economic benefit to third-party payers and/or a benefit to health care providers to receive favorable reimbursement status by the third-party payers, of which no assurance can be given.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Several independent organizations have estimated the potential cost impact of prescription opioid abuse to insurers. An analysis of health and pharmacy insurance claims between 1998 and 2002 for almost two million Americans conducted by Analysis Group, Inc. and others indicated that enrollees with a diagnosis of opioid abuse had average claims of approximately $14,000 per year higher than an age-gender matched non-opioid abuse sample. A 2007 report by the Coalition Against Insurance Fraud, after adjusting for inflation, estimated this excess cost per patient at more than $16,000 for 2007. By applying the U.S. government’s estimated 4.4 million annual opioid abusers, this organization concluded that abuse of IR and ER opioid products could cost health insurers up to $72.5 billion a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Aversion Technology Products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2013, the FDA published draft guidance for industry on the evaluation and labeling of abuse-deterrent opioids. While this guidance is non-binding on the FDA, it outlines FDA’s current thinking on the labeling of abuse-deterrent products. FDA encourages sponsors to seek approval of proposed product labeling that sets forth the results of physiochemical, physiologic, pharmacodynamic, pharmacokinetic, and/or formal postmarketing studies that appropriately characterizes the abuse-deterrent properties of a product. To date the FDA has limited data correlating the potentially abuse-deterrent properties of certain opioid drug products with actual reduction in abuse or adverse events associated with abuse. When the data predict or show that a product’s potentially abuse-deterrent properties can be expected to, or actually do, result in a significant reduction in that product’s abuse potential, these data, together with an accurate characterization of what the data mean, should be included in product labeling.</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Technology products in development. Although the FDA approved label for Oxecta contains limitations on exposing Oxecta tablets to water and other solvents and administration through feeding tubes, the FDA approved Oxecta label does not contain a description of the I.V. injection studies we performed to characterize the abuse deterrent properties of Oxecta. Pfizer has committed to the FDA to undertake epidemiological studies to assess the actual consequences of abuse of Oxecta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Oxecta. Further, because the FDA closely regulates promotional materials, even if the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2007, we entered into a License, Development and Commercialization Agreement, or the Pfizer Agreement, with King Pharmaceuticals Research and Development, Inc., now a subsidiary of Pfizer, covering the United States, Canada and Mexico. Under the Pfizer Agreement, Pfizer will manufacture and commercialize Oxecta in the United States. As of December 31, 2013, we had received an aggregate of $78.5 million in payments from Pfizer in the form of a $30.0 million upfront cash payment, milestone payments, option fees and reimbursement for research and development expenses, including a $20.0 million milestone fee relating to the receipt of FDA approval of the NDA for Oxecta. In addition, as of December 31, 2013, we had received aggregate royalties of $10 thousand from Pfizer on net sales of Oxecta, which royalty is calculated at 5% of Oxecta net sales based on current annual net sales levels.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both"/>
        <w:ind w:firstLine="648"/>
        <w:spacing w:after="0" w:line="286" w:lineRule="auto"/>
        <w:rPr>
          <w:sz w:val="20"/>
          <w:szCs w:val="20"/>
          <w:color w:val="auto"/>
        </w:rPr>
      </w:pPr>
      <w:r>
        <w:rPr>
          <w:rFonts w:ascii="Arial" w:cs="Arial" w:eastAsia="Arial" w:hAnsi="Arial"/>
          <w:sz w:val="17"/>
          <w:szCs w:val="17"/>
          <w:color w:val="auto"/>
        </w:rPr>
        <w:t>Pursuant to the Pfizer Agreement, we and Pfizer formed a joint steering committee to oversee development and commercialization strategies for Oxecta. Pfizer is responsible, at its own expense, for all regulatory, manufacturing and commercialization activities for Oxecta. Subject to the Pfizer Agreement, Pfizer will have final decision making authority with respect to all regulatory and commercialization activities for Oxecta.</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Pfizer’s royalty payment obligations for Oxecta expire on a country-by-country basis upon the later of (i) the expiration of the last valid patent claim covering Oxecta in such country, or (ii) 15 years from the first commercial sale of Oxecta in such country. No minimum annual fees are payable by either party under the Pfizer Agreement. If Pfizer, after consultation with us, enters into a license agreement with a third party to avoid or settle such third party’s allegations or claims regarding freedom to operate against Oxecta, Pfizer may deduct 50% of any royalties or other license payments it pays to such third party under such license, provided that the royalties payable to us are no less than 80% of the royalties otherwise due to us under the Pfizer Agreement.</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Pfizer Agreement expires upon the expiration of Pfizer’s royalty payment and other payment obligations under the Pfizer Agreement. Pfizer may terminate the Pfizer Agreement in its entirety at any time by written notice to us. We may terminate the Pfizer Agreement in its entirety if Pfizer commences any interference or opposition proceeding challenging the validity or enforceability of any of our patent rights licensed to Pfizer under the Pfizer Agreement. Either party has the right to terminate the Pfizer Agreement on a country-by-country basis if the other party is in material breach of its obligations under the Pfizer Agreement relating to such country, and to terminate the Agreement in its entirety in the event the other party makes an assignment for the benefit of creditors, files a petition in bankruptcy or otherwise seeks relief under applicable bankruptcy laws, in each case subject to applicable cure periods.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event of termination, no payments are due except those royalties and milestones that have accrued prior to termination under the Pfizer Agreement and all licenses under the Pfizer Agreement are terminated. For all Acura terminations and termination by Pfizer where we are not in breach, the Pfizer Agreement provides for the transition of development and marketing of the licensed products from Pfizer to us, including the conveyance by Pfizer to us of the trademarks and all regulatory filings and approvals solely used in connection with the commercialization of such licensed products and, in certain cases, for Pfizer’s supply of such licensed products for a transitional period at Pfizer’s cost plus a mark-up.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Impede Technology, a proprietary mixture of inactive ingredients, prevents the extraction of pseudoephedrine, or PSE, from tablets and disrupts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Studies sponsored by us at an independent laboratory demonstrated our Impede Technology prevents the extraction of PSE from tablets for conversion into methamphetamine using what we believe are the two most common extraction methods, each requiring extraction of PSE as an initial step. Laboratory tests conducted on our behalf by an independent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We are developing a next generation of our Impede Technology in order to further improve our Nexafed franchise.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Separately, we are advancing in development our first line extension of Nexafed, a combination product with additional active ingredients using our current Impede Technology. We expect to launch our Nexafed first line extension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Nexafed product is an immediate-release pseudoephedrine HCl, tablet which utilizes our patent pending Impede Technology. PSE is a widely-used nasal decongestant available in many non-prescription and prescription cold, sinus and allergy products We have demonstrated that our Nexafed 30mg tablets is bioequivalent to Johnson &amp; Johnson’s Sudafed® 30mg Tablets when a single 2 tablets dose is administered. Commencing in 2006, the Combat Methamphetamine Epidemic Act, or CMEA, required all non-prescription PSE products to be held securely behind the pharmacy counter, has set monthly consumer purchase volume limits, and has necessitated consumer interaction with pharmacy personnel to purchase PSE-containing products. We intend to capitalize on this consumer-pharmacist interaction at the point of sale by soliciting distribution to pharmacies and educating and encouraging pharmacists to recommend Nexafed to their customers.</w:t>
      </w:r>
    </w:p>
    <w:p>
      <w:pPr>
        <w:spacing w:after="0" w:line="18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launched Nexafed commercially in mid-December 2012 into the United States OTC market for cold and allergy products and have shipped Nexafed to several regional and national drug wholesalers for redistribution to pharmacies, including the three largest U.S. drug wholesalers: McKesson, Cardinal Health and AmerisourceBergen. In March 2013, we completed our first shipment of Nexafed directly to the warehouse of a regional drug chain who, we understand, would further stock all of their pharmacies with Nexafed</w:t>
      </w:r>
      <w:r>
        <w:rPr>
          <w:rFonts w:ascii="Arial" w:cs="Arial" w:eastAsia="Arial" w:hAnsi="Arial"/>
          <w:sz w:val="16"/>
          <w:szCs w:val="16"/>
          <w:b w:val="1"/>
          <w:bCs w:val="1"/>
          <w:color w:val="auto"/>
        </w:rPr>
        <w:t>.</w:t>
      </w:r>
      <w:r>
        <w:rPr>
          <w:rFonts w:ascii="Arial" w:cs="Arial" w:eastAsia="Arial" w:hAnsi="Arial"/>
          <w:sz w:val="16"/>
          <w:szCs w:val="16"/>
          <w:color w:val="auto"/>
        </w:rPr>
        <w:t xml:space="preserve"> We have also gained support from other pharmacy chain customers, including Rite Aid who has made Nexafed available in the substantial majority of its 4,600 pharmacies. The support for Nexafed from these chain customers varies from providing Nexafed educational materials to their pharmacists and allowing each pharmacy to make their own purchasing decision, to the stocking of Nexafed as their only 30mg pseudoephedrine product. We estimate Nexafed is currently stocked in approximately 8,300 U.S. pharmacies, or about 12% of</w:t>
      </w:r>
    </w:p>
    <w:p>
      <w:pPr>
        <w:spacing w:after="0" w:line="3"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the 65,000 U.S. pharmacy outlets. We estimate that approximately 46% of these pharmacies, excluding Rite Aid which initiated purchasing in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 of 2013, are repeat customers. We continue to work to expand the wholesale and retail distribution network for Nexafed and intend to re-approach some chain customers already stocking Nexafed with programs designed to improve penetration in those chains.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using telemarketing, direct mail, and online and journal advertising to educate pharmacists about Nexafed and encourage pharmacists to recommend Nexafed to their customers and are currently readapting our advertising program to differentiate Nexafed from a meth-resistant competitive product that launched in August 2013. We may use consumer advertising in the future. We have shipped approximately $252 thousand and $402 thousand in Nexafed product during the quarter and year ended December 31, 2013, respectively.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marketing our 30mg Nexafed product under FDA’s regulations applicable to OTC Monograph products. Nexafed tablets are offered in 24-count blister packaged cartons and priced comparable to other branded PSE 30mg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 in Development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assessing our initial success with the launch of Nexafed and are considering our product development options: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1800"/>
        <w:spacing w:after="0"/>
        <w:rPr>
          <w:sz w:val="20"/>
          <w:szCs w:val="20"/>
          <w:color w:val="auto"/>
        </w:rPr>
      </w:pPr>
      <w:r>
        <w:rPr>
          <w:rFonts w:ascii="Arial" w:cs="Arial" w:eastAsia="Arial" w:hAnsi="Arial"/>
          <w:sz w:val="18"/>
          <w:szCs w:val="18"/>
          <w:color w:val="auto"/>
        </w:rPr>
        <w:t>Impede Technology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Combination #1</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Immediate-release pseudoephedrine HCl in combination with other cold and allergy active ingredients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Extended-release formulation</w:t>
      </w:r>
    </w:p>
    <w:p>
      <w:pPr>
        <w:spacing w:after="0" w:line="20" w:lineRule="exact"/>
        <w:rPr>
          <w:sz w:val="20"/>
          <w:szCs w:val="20"/>
          <w:color w:val="auto"/>
        </w:rPr>
      </w:pPr>
      <w:r>
        <w:rPr>
          <w:sz w:val="20"/>
          <w:szCs w:val="20"/>
          <w:color w:val="auto"/>
        </w:rPr>
        <w:br w:type="column"/>
      </w:r>
    </w:p>
    <w:p>
      <w:pPr>
        <w:jc w:val="right"/>
        <w:ind w:right="2580"/>
        <w:spacing w:after="0"/>
        <w:rPr>
          <w:sz w:val="20"/>
          <w:szCs w:val="20"/>
          <w:color w:val="auto"/>
        </w:rPr>
      </w:pPr>
      <w:r>
        <w:rPr>
          <w:rFonts w:ascii="Arial" w:cs="Arial" w:eastAsia="Arial" w:hAnsi="Arial"/>
          <w:sz w:val="18"/>
          <w:szCs w:val="18"/>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manufacturing scale-up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Launch expected in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Formulations being considered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Development initiated</w:t>
      </w:r>
    </w:p>
    <w:p>
      <w:pPr>
        <w:spacing w:after="0" w:line="200" w:lineRule="exact"/>
        <w:rPr>
          <w:sz w:val="20"/>
          <w:szCs w:val="20"/>
          <w:color w:val="auto"/>
        </w:rPr>
      </w:pPr>
    </w:p>
    <w:p>
      <w:pPr>
        <w:sectPr>
          <w:pgSz w:w="11900" w:h="16838" w:orient="portrait"/>
          <w:cols w:equalWidth="0" w:num="2">
            <w:col w:w="5520" w:space="300"/>
            <w:col w:w="5600"/>
          </w:cols>
          <w:pgMar w:left="240" w:top="341" w:right="239" w:bottom="1440" w:gutter="0" w:footer="0" w:header="0"/>
        </w:sectPr>
      </w:pPr>
    </w:p>
    <w:p>
      <w:pPr>
        <w:spacing w:after="0" w:line="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have been working on a next generation Impede Technology, an improvement for our Nexafed franchise, which is an enhancement on the methamphetamine resistance of our current technology in the one-pot methamphetamine conversion method.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evaluate possible licensing of our Impede Technology with commercial partners within and outside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Methamphetamine is a highly addictive illicit drug used non-medically by an estimated 13 million people at some point in their lifetime. In 2006, the CMEA was enacted in response to an alarming increase in and widespread conversion of PSE containing products into methamphetamine. Among other things, the CMEA requires retail stores to maintain their inventory of PSE containing products in a secured location and restricts the amount of PSE products a store can sell to an individual customer. Implementation of the CMEA initially reduced the number of illegal methamphetamine laboratory seizures reported by the Drug Enforcement Administration, or DEA, as the then most commonly used process for conversion of PSE to methamphetamine required substantial quantities of PSE. However, a newer process for converting PSE to methamphetamine requires less PSE. Possibly as a result of this new conversion process, the DEA reported 2010 clandestine methamphetamine laboratory seizures increased 84% over the low reported in 2007. Laboratory seizures were down 12% and 5.5% in 2011 and 2012, respectively, although certain states continue to see increases. In response to the ongoing methamphetamine problem, several local jurisdictions (state, counties and/or local municipalities) have enacted or propose to enact legislation to require a physician’s prescription to obtain a PSE-containing product.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2009, AC Nielsen reported approximately $1.0 billion in sales of non-prescription products containing either PSE or phenylephrine as a nasal decongestant, of which approximately 47% contained PSE.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2010 market research study showed that 93% of the 204 pharmacists surveyed believe that PSE has superior efficacy as a nasal decongestant compared to phenylephrine. In our 2012 survey of 215 chain and independent pharmacists, 164 indicated they had influence over the pharmacies’ product offerings. Of such pharmacists, 70% indicated they were likely to stock or recommend stocking Nexafed in their pharmacies. The 215 surveyed pharmacists also indicated a willingness to recommend Nexafed to over 50% of their customers who seek a pharmacist’s advice for a single ingredient nasal decongestant.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color w:val="auto"/>
        </w:rPr>
        <w:t>Our 2009 survey of PSE 30mg tablet prices at these top four drug chains indicates that branded PSE products were priced, on average, to the consumer at approximately $0.25 per tablet as compared to approximately $0.12 per tablet for the corresponding store brand.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marketing our Nexafed product pursuant to the FDA’s OTC Monograph regulations, which require that our product have labeling as specified in the regulations. We are advertising the extraction characteristics and methaphetamine-resistant benefits of our Nexafed product, which is supported by our research studies.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Manufacturing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conduct research, development, manufacture of laboratory clinical trial supplies, and warehousing activities at our operations facility in Culver, Indiana and lease an administrative office in Palatine, Illinois. The 25,000 square foot facility is registered with U.S. Drug Enforcement Administration, or DEA, to perform research, development and manufacture of certain DEA-scheduled active pharmaceutical ingredients and finished dosage form products. We have obtained quotas for supply of DEA-scheduled active pharmaceutical ingredients from the DEA and develop finished dosage forms in our Culver facility. We manufacture clinical trial supplies of drug products in our Culver facility in volumes sufficient to meet FDA standards for NDAs.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Pfizer is responsible for commercial manufacture of Oxecta under the Pfizer Agreement. We expect that future opioid product candidates developed and licensed by us will be commercially manufactured by our licensees or other qualified third party contract manufacturers.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a contract manufacture r to manufacture, package and supply our commercial quantities of Nexafed. Initially, we will source our commercial requirements of Nexafed from a single manufacturer and will not have a second source. Although we believe there are alternate sources of supply that can satisfy our commercial requirements, replacing or adding a contract manufacture will result in additional costs and may delay or interrupt the supply of Nexafed.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2012, we completed initial discovery research on a new technology to address abuse and misuse of prescription pharmaceutical tablets though the intentional or accidental ingestion of multiple tablets in excess of the recommended dose. In a laboratory proof of concept study with prototype tablets, 100% of the active ingredient from 2 tablets was released in approximately 15 to 20 minutes compared with approximately 20% being released in the same timeframe when 8 tablets are tested. The synergistic effect of the ingredients in the technology retards the release of the active ingredient when multiple tablets are co-administered. The objective of this technology, if it can be optimized and it translates consistently to human use, of which no assurance can be given, will be to reduce the peak plasma concentration of drug which may be associated with adverse health consequences.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both"/>
        <w:ind w:firstLine="648"/>
        <w:spacing w:after="0" w:line="276" w:lineRule="auto"/>
        <w:rPr>
          <w:sz w:val="20"/>
          <w:szCs w:val="20"/>
          <w:color w:val="auto"/>
        </w:rPr>
      </w:pPr>
      <w:r>
        <w:rPr>
          <w:rFonts w:ascii="Arial" w:cs="Arial" w:eastAsia="Arial" w:hAnsi="Arial"/>
          <w:sz w:val="17"/>
          <w:szCs w:val="17"/>
          <w:color w:val="auto"/>
        </w:rPr>
        <w:t>We believe potential competitors may be developing opioid abuse deterrent technologies and products. Such potential competitors include, but may not be limited to, Pain Therapeutics, in collaboration with Pfizer, Purdue Pharma, Atlantic Pharmaceuticals, Egalet Corporation, KemPharm, Shionogi, Nektar Therapeutics, Signature Therapeutics, QRx Pharma, Tris Pharma, Pisgah Labs, and Collegium Pharmaceuticals, Inc. Pfizer, our partner for Oxecta, is also developing and/or marketing ER opioid products, other analgesic products and non-analgesic products, all of which will compete for development and commercialization resources with our products, which may adversely impact the sales of Oxecta.</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directly with Johnson &amp; Johnson’s Sudafed® brand as well as generic formulations manufactured by Perrigo Company and others. A competing product from Westport Pharmaceuticals is being marketed with claims of methamphetamine-resistance.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aware that some large pharmaceutical companies in the past have sought to develop PSE technologies or products that resist conversion into methamphetamine, but believe those efforts have been discontinued, although there can be no assurance that this is the case.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consider licensing our Impede Technology or products utilizing such technology for commercialization.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2007, the United States Patent and Trademark Office, or USPTO, issued to us U.S. Patent No. 7,201,920 titled “Methods and Compositions for Deterring Abuse of Opioid Containing Dosage Forms,” or the 920 Patent. The 54 allowed claims in the 920 Patent encompass certain pharmaceutical compositions intended to deter the most common methods of prescription opioid analgesic product misuse and abuse. These patented pharmaceutical compositions include the mixture of functional inactive ingredients and specific opioid analgesics such as oxycodone HCl and hydrocodone bitartrate among others.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January 2009, the USPTO issued to us U.S. Patent No. 7,476,402, or the 402 Patent, with 18 allowed claims. The 402 Patent encompasses certain combinations of kappa and mu opioid receptor agonists and other ingredients intended to deter opioid analgesic product misuse and abuse.</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2009, the USPTO issued to us U.S. Patent No. 7,510,726, or the 726 Patent, with 20 allowed claims. The ‘726 Patent encompasses a wider range of abuse deterrent compositions than our ’920 Patent.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July 2011, the USPTO issued to us U.S. Patent No. 7,981,439, or the 439 Patent, with 7 allowed claims. The 439 Patent encompasses certain compositions including any water soluble drug of abuse intended to deter the most common methods of prescription opioid analgesic product misuse and abuse.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2013, the USPTO issued to us U.S. Patent No. 8,409,616, or the 616 Patent, that encompasses certain immediate-release abuse deterrent dosage forms.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both"/>
        <w:ind w:firstLine="648"/>
        <w:spacing w:after="0" w:line="277" w:lineRule="auto"/>
        <w:rPr>
          <w:sz w:val="20"/>
          <w:szCs w:val="20"/>
          <w:color w:val="auto"/>
        </w:rPr>
      </w:pPr>
      <w:r>
        <w:rPr>
          <w:rFonts w:ascii="Arial" w:cs="Arial" w:eastAsia="Arial" w:hAnsi="Arial"/>
          <w:sz w:val="18"/>
          <w:szCs w:val="18"/>
          <w:color w:val="auto"/>
        </w:rPr>
        <w:t>In January 2014, the USPTO issued to us U.S. Patent No. 8,637,540, or the 540 Patent, that encompasses certain immediate-release abuse deterrent opioid products.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our issued U.S. patents, we have filed multiple U.S. patent applications and international patent applications relating to compositions containing abusable active pharmaceutical ingredients as well as applications covering our Impede Technology. Except for those rights conferred in the Pfizer Agreement, we have retained all intellectual property rights to our Aversion Technology, Impede Technology, and related product candidates. See below under the caption Legal Proceedings contained in Item 3 of this Report for a discussion of our pending patent infringement actions against two generic sponsors of ANDAs for generic drugs listing Oxecta as the reference drug.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made to the Risk Factors contained in item 1A of this Report for a discussion, among other things, of patent applications and patents owned by third parties, including claims that may encompass our Aversion Technology and Oxecta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Other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 marketing and distribution of controlled substances and certain other pharmaceutical active ingredients that are regulated as Listed Chemicals. Extensive FDA, DEA, and state regulation of our products and commercial operations continue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 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In addition to providing required safety and effectiveness data for FDA approval, a drug manufacturer's practices and procedures must comply with current Good Manufacturing Practices, or with cGMPs, which apply to manufacturing, receiving, holding and shipping. Accordingly, manufacturers must continue to expend time, money and effort in all applicable areas relating to quality assurance and regulatory compliance, including production and quality control to comply with cGMPs. Failure to do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The FDA Drug Approval Process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must be obtained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phases that may sometimes overlap or be combined:</w:t>
      </w:r>
    </w:p>
    <w:p>
      <w:pPr>
        <w:spacing w:after="0" w:line="221"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Phase 1</w:t>
      </w:r>
      <w:r>
        <w:rPr>
          <w:rFonts w:ascii="Arial" w:cs="Arial" w:eastAsia="Arial" w:hAnsi="Arial"/>
          <w:sz w:val="17"/>
          <w:szCs w:val="17"/>
          <w:color w:val="auto"/>
        </w:rPr>
        <w:t>: This phase is typically the first involving human participants, and involves the smallest number of human participants (typically, 20-50).</w:t>
      </w:r>
      <w:r>
        <w:rPr>
          <w:rFonts w:ascii="Arial" w:cs="Arial" w:eastAsia="Arial" w:hAnsi="Arial"/>
          <w:sz w:val="17"/>
          <w:szCs w:val="17"/>
          <w:b w:val="1"/>
          <w:bCs w:val="1"/>
          <w:color w:val="auto"/>
        </w:rPr>
        <w:t xml:space="preserve"> </w:t>
      </w:r>
      <w:r>
        <w:rPr>
          <w:rFonts w:ascii="Arial" w:cs="Arial" w:eastAsia="Arial" w:hAnsi="Arial"/>
          <w:sz w:val="17"/>
          <w:szCs w:val="17"/>
          <w:color w:val="auto"/>
        </w:rPr>
        <w:t>The investigational drug is initially introduced into healthy human subjects or patients and tested for safety, dosage tolerance, absorption, metabolism, distribution and excretion. In addition, it is sometimes possible to gain a preliminary indication of efficacy.</w:t>
      </w:r>
    </w:p>
    <w:p>
      <w:pPr>
        <w:spacing w:after="0" w:line="158" w:lineRule="exact"/>
        <w:rPr>
          <w:sz w:val="20"/>
          <w:szCs w:val="20"/>
          <w:color w:val="auto"/>
        </w:rPr>
      </w:pPr>
    </w:p>
    <w:p>
      <w:pPr>
        <w:jc w:val="both"/>
        <w:ind w:left="660"/>
        <w:spacing w:after="0" w:line="303" w:lineRule="auto"/>
        <w:rPr>
          <w:sz w:val="20"/>
          <w:szCs w:val="20"/>
          <w:color w:val="auto"/>
        </w:rPr>
      </w:pPr>
      <w:r>
        <w:rPr>
          <w:rFonts w:ascii="Arial" w:cs="Arial" w:eastAsia="Arial" w:hAnsi="Arial"/>
          <w:sz w:val="16"/>
          <w:szCs w:val="16"/>
          <w:b w:val="1"/>
          <w:bCs w:val="1"/>
          <w:color w:val="auto"/>
        </w:rPr>
        <w:t>Phase 2</w:t>
      </w:r>
      <w:r>
        <w:rPr>
          <w:rFonts w:ascii="Arial" w:cs="Arial" w:eastAsia="Arial" w:hAnsi="Arial"/>
          <w:sz w:val="16"/>
          <w:szCs w:val="16"/>
          <w:color w:val="auto"/>
        </w:rPr>
        <w:t>: Once the preliminary safety and tolerability of the drug in humans is confirmed during phase 1, phase 2 involves studies in a somewhat</w:t>
      </w:r>
      <w:r>
        <w:rPr>
          <w:rFonts w:ascii="Arial" w:cs="Arial" w:eastAsia="Arial" w:hAnsi="Arial"/>
          <w:sz w:val="16"/>
          <w:szCs w:val="16"/>
          <w:b w:val="1"/>
          <w:bCs w:val="1"/>
          <w:color w:val="auto"/>
        </w:rPr>
        <w:t xml:space="preserve"> </w:t>
      </w:r>
      <w:r>
        <w:rPr>
          <w:rFonts w:ascii="Arial" w:cs="Arial" w:eastAsia="Arial" w:hAnsi="Arial"/>
          <w:sz w:val="16"/>
          <w:szCs w:val="16"/>
          <w:color w:val="auto"/>
        </w:rPr>
        <w:t>larger 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spacing w:after="0" w:line="151"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b w:val="1"/>
          <w:bCs w:val="1"/>
          <w:color w:val="auto"/>
        </w:rPr>
        <w:t>Phase 3</w:t>
      </w:r>
      <w:r>
        <w:rPr>
          <w:rFonts w:ascii="Arial" w:cs="Arial" w:eastAsia="Arial" w:hAnsi="Arial"/>
          <w:sz w:val="18"/>
          <w:szCs w:val="18"/>
          <w:color w:val="auto"/>
        </w:rPr>
        <w:t>: Phase 3 trials typically involve a large number of patients affected by the disease or condition for which the product candidate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spacing w:after="0" w:line="180"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Phase 4</w:t>
      </w:r>
      <w:r>
        <w:rPr>
          <w:rFonts w:ascii="Arial" w:cs="Arial" w:eastAsia="Arial" w:hAnsi="Arial"/>
          <w:sz w:val="17"/>
          <w:szCs w:val="17"/>
          <w:color w:val="auto"/>
        </w:rPr>
        <w:t>: Phase 4 trials may be required by FDA after the approval of the NDA for the product, as a condition of the approval, or may be undertaken</w:t>
      </w:r>
      <w:r>
        <w:rPr>
          <w:rFonts w:ascii="Arial" w:cs="Arial" w:eastAsia="Arial" w:hAnsi="Arial"/>
          <w:sz w:val="17"/>
          <w:szCs w:val="17"/>
          <w:b w:val="1"/>
          <w:bCs w:val="1"/>
          <w:color w:val="auto"/>
        </w:rPr>
        <w:t xml:space="preserve"> </w:t>
      </w:r>
      <w:r>
        <w:rPr>
          <w:rFonts w:ascii="Arial" w:cs="Arial" w:eastAsia="Arial" w:hAnsi="Arial"/>
          <w:sz w:val="17"/>
          <w:szCs w:val="17"/>
          <w:color w:val="auto"/>
        </w:rPr>
        <w:t>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both"/>
        <w:spacing w:after="0" w:line="288" w:lineRule="auto"/>
        <w:rPr>
          <w:sz w:val="20"/>
          <w:szCs w:val="20"/>
          <w:color w:val="auto"/>
        </w:rPr>
      </w:pPr>
      <w:r>
        <w:rPr>
          <w:rFonts w:ascii="Arial" w:cs="Arial" w:eastAsia="Arial" w:hAnsi="Arial"/>
          <w:sz w:val="16"/>
          <w:szCs w:val="16"/>
          <w:color w:val="auto"/>
        </w:rPr>
        <w:t>After clinical trials have been completed, and if they were considered successful, the sponsor may submit a NDA or an Abbreviated New Drug Application, or ANDA, to the FDA including the results of the preclinical and clinical testing, together with, and among other things, detailed information on the chemistry, manufacturing, quality controls, and proposed product labeling. There are two types of NDAs; a 505(b)(1) NDA and a 505(b)(2) NDA. A 505(b)</w:t>
      </w:r>
    </w:p>
    <w:p>
      <w:pPr>
        <w:jc w:val="both"/>
        <w:ind w:firstLine="8"/>
        <w:spacing w:after="0" w:line="251" w:lineRule="auto"/>
        <w:tabs>
          <w:tab w:leader="none" w:pos="2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505(b)(2) 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 Pfizer’s submission for Oxecta Tablets was accepted for filing by FDA as a 505(b)(2) NDA.</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NDA requires payment of a user fee, pursuant to the requirements of the Prescription Drug User Fee Act, or PDUFA, as periodically amended. According to the FDA’s fee schedule, effective on October 1, 2013, for the 2014 fiscal year, the user fee for an application fee requiring clinical data, such as a NDA, is $2,169,100. The FDA adjusts PDUFA user fees on an annual basis. PDUFA also imposes annual product and facility fees. The annual product fee for prescription drugs and biologics for the 2014 fiscal year is $104,060 and the annual facility fee for facilities used to manufacture prescription drugs and biologics for the 2014 fiscal year is $554,600. A written request can be submitted for a waiver of the application fee for the first human drug application that is filed by a small business, but no waivers for product or establishment fees are available. Where we are subject to these fees, they are significant expenditures that may be incurred in the future and must be paid at the time of submission of each application to FDA.</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a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FDA requires drug manufacturers to establish and maintain quality control procedures for manufacturing, processing and holding drugs and investigational products, and products must be manufactured in accordance with defined specifications. Before approving a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both"/>
        <w:ind w:firstLine="648"/>
        <w:spacing w:after="0" w:line="269" w:lineRule="auto"/>
        <w:rPr>
          <w:sz w:val="20"/>
          <w:szCs w:val="20"/>
          <w:color w:val="auto"/>
        </w:rPr>
      </w:pPr>
      <w:r>
        <w:rPr>
          <w:rFonts w:ascii="Arial" w:cs="Arial" w:eastAsia="Arial" w:hAnsi="Arial"/>
          <w:sz w:val="17"/>
          <w:szCs w:val="17"/>
          <w:color w:val="auto"/>
        </w:rPr>
        <w:t>The Best Pharmaceuticals for Children Act, or BPCA, became law in 2002 and was subsequently reauthorized and amended by the Food and Drug Administration Amendments Act, or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Pfizer is exempt from the pediatric studies requirement of the PREA for Oxecta.</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Oxecta Tablets on Pfizer’s commitment to conduct Phase 4 epidemiological studies to assess the actual abuse levels of Oxecta in the market. The testing and FDA approval process for our product candidates requires substantial time, effort, and financial resources, and we cannot be sure that any approval will be granted on a timely basis, if at all.</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Further, drug products approved by the FDA may be subject to continuing obligations intended to assure safe use of the products. Specifically, under the FD&amp;C Act, as amended by the Food and Drug Administration Amendments Act of 2007, or FDAAA, the FDA may require Risk Evaluation and Mitigation Strategies, or REMS, to manage known or potential serious risks associated with drugs or biological products. If the FDA finds, at the time of approval or afterward, that a REMS is necessary to ensure that the benefits of our products outweigh the risks associated with the products, the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 The FDA has indicated Pfizer is not required to maintain a REMS for Oxecta. There can be no assurance, however, that a REMS program will not be required by the FDA in the future for Oxecta or for our Aversion IR opioid product candidates in development. We are aware that a Citizens Petition has been filed with the FDA seeking to expand the FDA’s REMS requirement for ER opioid products to include IR opioid products.</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abuse deterrent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jc w:val="both"/>
        <w:ind w:firstLine="648"/>
        <w:spacing w:after="0" w:line="264" w:lineRule="auto"/>
        <w:rPr>
          <w:sz w:val="20"/>
          <w:szCs w:val="20"/>
          <w:color w:val="auto"/>
        </w:rPr>
      </w:pPr>
      <w:r>
        <w:rPr>
          <w:rFonts w:ascii="Arial" w:cs="Arial" w:eastAsia="Arial" w:hAnsi="Arial"/>
          <w:sz w:val="18"/>
          <w:szCs w:val="18"/>
          <w:color w:val="auto"/>
        </w:rPr>
        <w:t>Whether or not a FDA’s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FDA’s OTC Monograph Process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conditions set forth for OTC Monograph products include, among other things:</w:t>
      </w:r>
    </w:p>
    <w:p>
      <w:pPr>
        <w:spacing w:after="0" w:line="225" w:lineRule="exact"/>
        <w:rPr>
          <w:sz w:val="20"/>
          <w:szCs w:val="20"/>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is manufactured at FDA registered establishments and in accordance with cGMPs;</w:t>
      </w:r>
    </w:p>
    <w:p>
      <w:pPr>
        <w:spacing w:after="0" w:line="225" w:lineRule="exact"/>
        <w:rPr>
          <w:rFonts w:ascii="Arial" w:cs="Arial" w:eastAsia="Arial" w:hAnsi="Arial"/>
          <w:sz w:val="18"/>
          <w:szCs w:val="18"/>
          <w:color w:val="auto"/>
        </w:rPr>
      </w:pPr>
    </w:p>
    <w:p>
      <w:pPr>
        <w:ind w:left="820" w:hanging="164"/>
        <w:spacing w:after="0" w:line="308"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product label meets applicable format and content requirements including permissible “Indications” and all required dosing instructions and limitations, warnings, precautions and contraindications that have been established in an applicable OTC Monograph;</w:t>
      </w:r>
    </w:p>
    <w:p>
      <w:pPr>
        <w:spacing w:after="0" w:line="146" w:lineRule="exact"/>
        <w:rPr>
          <w:rFonts w:ascii="Arial" w:cs="Arial" w:eastAsia="Arial" w:hAnsi="Arial"/>
          <w:sz w:val="17"/>
          <w:szCs w:val="17"/>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contains only permissible active ingredients in permissible strengths and dosage forms;</w:t>
      </w:r>
    </w:p>
    <w:p>
      <w:pPr>
        <w:spacing w:after="0" w:line="225"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contains only suitable inactive ingredients which are safe in the amounts administered and do not interfere with the effectiveness of the preparation; and</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container and container components meet FDA’s requirements.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recall.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Several of our products,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ind w:firstLine="648"/>
        <w:spacing w:after="0" w:line="271" w:lineRule="auto"/>
        <w:rPr>
          <w:sz w:val="20"/>
          <w:szCs w:val="20"/>
          <w:color w:val="auto"/>
        </w:rPr>
      </w:pPr>
      <w:r>
        <w:rPr>
          <w:rFonts w:ascii="Arial" w:cs="Arial" w:eastAsia="Arial" w:hAnsi="Arial"/>
          <w:sz w:val="17"/>
          <w:szCs w:val="17"/>
          <w:color w:val="auto"/>
        </w:rPr>
        <w:t>The DEA designates controlled substances as Schedule I, II, III, IV or V or as List I Chemicals. Schedule I substances by definition have no established medicinal use, and may not be marketed or sold in the United States. A pharmaceutical product may be listed as a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Oxecta Tablets are listed as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spacing w:after="0" w:line="17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Because Oxecta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 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both"/>
        <w:ind w:firstLine="648"/>
        <w:spacing w:after="0" w:line="279" w:lineRule="auto"/>
        <w:rPr>
          <w:sz w:val="20"/>
          <w:szCs w:val="20"/>
          <w:color w:val="auto"/>
        </w:rPr>
      </w:pPr>
      <w:r>
        <w:rPr>
          <w:rFonts w:ascii="Arial" w:cs="Arial" w:eastAsia="Arial" w:hAnsi="Arial"/>
          <w:sz w:val="17"/>
          <w:szCs w:val="17"/>
          <w:color w:val="auto"/>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Individual states also regulate controlled substances and List I Chemicals, and we or our licensees are subject to such regulation by several states with respect to the manufacture and future distribution of these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spacing w:after="0" w:line="188"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23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(the “donut hole”);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will not know the full effects of the Health Care Reform Law until applicable federal and state agencies issue regulations or guidance under the new law. Many of the Healthcare Reform Law’s most significant reforms do not take effect until 2014 and thereafter, and their details will be shaped significantly by implementing regulations, some of which have yet to be finalized. In 2012, the Supreme Court of the United States heard challenges to certain provisions of the Healthcare Reform Law. The Supreme Court’s decision upheld most of the Healthcare Reform Law; however, the Supreme Court struck down a provision in the Healthcare Reform Law that penalized states that chose not to expand their Medicaid programs through an increase in the Medicaid eligibility income limit from a state’s current eligibility levels to 133% of the federal poverty limit. As a result of the Supreme Court’s ruling, it is unclear how many states will expand their Medicaid programs by raising the income limit to 133% of the federal poverty level and whether there will be more uninsured patients in 2014 than anticipated when Congress passed the Healthcare Reform Law. For each state that does not expand its Medicaid program, there will be fewer insured patients overall. An increase in the proportion of uninsured patients who are prescribed products resulting from our proprietary or partnered programs could impact future sales of any products that are commercialized in the future and our business and results of operations. Where patients receive insurance coverage under any of the new options made available through the Healthcare Reform Law, the possibility exists that manufacturers may be required to pay Medicaid rebates on that resulting drug utilization, a decision that could impact manufacturer revenues. In addition, the Administration has also announced delays in the implementation of key provisions of the Healthcare Reform Law. The implications of these delays for our sales, business and financial condition, if any, are not yet clear.</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both"/>
        <w:ind w:firstLine="648"/>
        <w:spacing w:after="0" w:line="259" w:lineRule="auto"/>
        <w:rPr>
          <w:sz w:val="20"/>
          <w:szCs w:val="20"/>
          <w:color w:val="auto"/>
        </w:rPr>
      </w:pPr>
      <w:r>
        <w:rPr>
          <w:rFonts w:ascii="Arial" w:cs="Arial" w:eastAsia="Arial" w:hAnsi="Arial"/>
          <w:sz w:val="18"/>
          <w:szCs w:val="18"/>
          <w:color w:val="auto"/>
        </w:rPr>
        <w:t>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In addition to the Healthcare Reform Law, there will continue to be proposals by legislators at both the federal and state levels, regulators and third-party payers to keep healthcare costs down while expanding individual healthcare benefits. Economic pressure on state budgets may result in states increasingly seeking to achieve budget savings through mechanisms that limit coverage or payment for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Certain of these changes could limit the prices that can be charged for drugs we develop or the amounts of reimbursement available for these products from governmental agencies or third-party payers, or may increase the tax obligations on pharmaceutical companies, or may facilitate the introduction of generic competition with respect to products we are able to commercialize. In short, our or our licensees’ results of operations could be adversely affected by current and future healthcare reforms.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 adequate level of coverage or payment will be available so that the third-party payers’ reimbursement policies will not adversely affect our ability to sell our products profitably.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and 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operate in one business segment; the research, development and manufacture of innovative abuse deterrent, orally administered pharmaceutical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regulation under federal, state and local environmental laws and believe we are in material compliance with such laws. We incur the usual waste disposal cost associated with a pharmaceutical research, development and manufacturing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15 full-time employees, 9 of whom are engaged in the research, development and manufacture of product candidates utilizing our proprietary Aversion® and Impede® Technologies. The remaining employees are engaged in administrative legal, accounting, finance, marketing, market research, and business development activities. All of our senior management and most of our other employees have had prior experience in pharmaceutical or biotechnology companies. None of our employees are covered by collective bargaining agreements. We believe that our relations with our employees are good.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future operating results may vary substantially from anticipated results due to a number of factors, many of which are beyond our control. The following discussion highlights some of these factors and the possible impact of these factors on future results of operations. If any of the following factors actually occur, our business, financial condition or results of operations could be materially harmed. In that case, the value of our common stock could decline substantially and you may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are largely dependent on the commercial success of Oxecta</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We anticipate that, for at least fiscal 2014 and 2015, our ability to generate revenues and become profitable will depend in large part on the commercial success of our only FDA approved product, Oxecta, which in turn, will depend on several factors, including our licensee Pfizer’s ability to:</w:t>
      </w:r>
    </w:p>
    <w:p>
      <w:pPr>
        <w:spacing w:after="0" w:line="124"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and increase market demand for, and sales of, Oxecta;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acceptance of Oxecta by physicians and patients;</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 and maintain adequate levels of coverage and reimbursement for Oxecta from commercial health plans and government health programs, which we refer to collectively as third-party payors, particularly in light of the availability of other branded and generic competitive products;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compliance with regulatory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Oxecta competitively and enter into price discounting contracts with third-party payors;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and distributors on commercially reasonable terms;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manufacture and supply Oxecta to meet commercial demand, including obtaining sufficient quota from the Drug Enforcement Administration;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 intellectual property protection for Oxecta and obtaining favorable drug listing treatment by the FDA to minimize generic competition.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There can be no assurance that Pfizer will devote sufficient resources to the marketing and commercialization of Oxecta. Pfizer’s marketing of Oxecta may result in low market acceptance and insufficient demand for, and sales of, the product. If Pfizer fails to successfully commercialize Oxecta and increase sales, we may be unable to generate sufficient revenues to sustain or grow our business and we may never become profitable, and our business, financial condition and results of operations will be materially affected.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If we are not successful in commercializing Nexafed and other Impede Technology products, our revenues and business will suffer.</w:t>
      </w:r>
    </w:p>
    <w:p>
      <w:pPr>
        <w:spacing w:after="0" w:line="2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commenced the launch and commercial distribution of Nexafed in mid-December 2012. Nexafed competes in the highly competitive market for cold, sinus and allergy products generally available to the consumer without a prescription. Many of our competitors have substantially greater financial and other resources and are able to expend more funds and effort than us in marketing their competing products. Category leading brands are often supported by regional and national advertising and promotional efforts. Nexafed will compete with national brands as well as pharmacy store brands that are offered at a lower price. There can be no assurance that we will succeed in commercializing Nexafed, or that the pricing of Nexafed will allow us to generate significant revenues or profit. Regulations have been enacted in several state or local jurisdictions requiring a doctor’s prescription to obtain pseudoephedrine products. An expansion of such restrictions to other jurisdictions or even nationally will adversely impact our ability to market Nexafed as an OTC product and generate revenue from Nexafed product sales. Our failure to successfully commercialize Nexafed and to develop and commercialize other Impede Technology products will have a material adverse effect on our business and financial condition.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Pfizer is not successful in commercializing Oxecta, our revenues and our business will suffer.</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our license, development and commercialization agreement with a subsidiary of Pfizer, or the Pfizer Agreement, Pfizer is responsible for manufacturing, marketing, pricing, promoting, selling, and distributing Oxecta in the United States and Mexico, or the Pfizer Territory. If such agreement is terminated in accordance with its terms, including due to a party’s failure to perform its obligations or responsibilities under the agreement, then we would need to commercialize Oxecta ourselves for which we currently have no infrastructure, or alternatively enter into a new agreement with another pharmaceutical company, of which no assurance can be given. If we are unable to build the necessary infrastructure to commercialize Oxecta ourselves, which would substantially increase our expenses and capital requirements that we might not be able to fund, or are unable to find a suitable replacement commercialization partner, we would be unable to generate any revenue from Oxecta. Even if we are successful at replacing the commercialization capabilities of Pfizer, our revenues and/or royalties from Oxecta could be adversely impacted.</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Pfizer’s third party manufacturing facility is currently the sole commercial source of supply for Oxecta. If Pfizer’s manufacturing facility fails to obtain sufficient DEA quotas for oxycodone, fails to source adequate quantities of active and inactive ingredients, fails to comply with regulatory requirements, or otherwise experiences disruptions in commercial supply of Oxecta, product revenue and our royalties could be adversely impacted.</w:t>
      </w:r>
    </w:p>
    <w:p>
      <w:pPr>
        <w:spacing w:after="0" w:line="16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Pfizer has a diversified product line for which Oxecta Tablets will vie for Pfizer’s promotional, marketing, and selling resources. If Pfizer fails to commit sufficient promotional, marketing and selling resources to Oxecta, product revenue and our royalties could be adversely impacted. Additionally, there can be no assurance that Pfizer will commit the resources required for the successful commercialization of Oxecta Tablets.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market for our opioid product candidates is highly competitive with many marketed non-abuse deterrent brand and generic products and other abuse deterrent product candidates in development. If Pfizer prices Oxecta inappropriately, fails to position Oxecta properly, targets inappropriate physician specialties, or otherwise does not provide sufficient promotional support, product revenue and our royalties could be materially adversely impacted.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both"/>
        <w:ind w:firstLine="648"/>
        <w:spacing w:after="0" w:line="271" w:lineRule="auto"/>
        <w:rPr>
          <w:sz w:val="20"/>
          <w:szCs w:val="20"/>
          <w:color w:val="auto"/>
        </w:rPr>
      </w:pPr>
      <w:r>
        <w:rPr>
          <w:rFonts w:ascii="Arial" w:cs="Arial" w:eastAsia="Arial" w:hAnsi="Arial"/>
          <w:sz w:val="17"/>
          <w:szCs w:val="17"/>
          <w:color w:val="auto"/>
        </w:rPr>
        <w:t>Pfizer’s promotional, marketing and sales activities in connection with Oxecta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Pfizer’s activities are found to be in violation of these laws or any other federal and state fraud and abuse laws, Pfizer may be subject to penalties, including civil and criminal penalties, damages, fines and the curtailment or restructuring of its activities with regard to the commercialization of Oxecta, which could harm the commercial success of Oxecta and have a material affect on our business, financial condition and results of operations.</w:t>
      </w:r>
    </w:p>
    <w:p>
      <w:pPr>
        <w:spacing w:after="0" w:line="179"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b w:val="1"/>
          <w:bCs w:val="1"/>
          <w:i w:val="1"/>
          <w:iCs w:val="1"/>
          <w:color w:val="auto"/>
        </w:rPr>
        <w:t>Our failure to continue the development of the three development stage products terminated by Pfizer under the Pfizer Agreement, or to successfully establish a license agreement with a pharmaceutical company for the development and commercialization of such products, will adversely impact our ability to develop, market and sell such products and our revenues and business will suffer.</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July 2012, Pfizer exercised its right to terminate the license to the three products in development, or the returned products, under the Pfizer Agreement. The termination of such license provides for the return to us of oxycodone hydrochloride with acetaminophen, hydrocodone bitartrate with acetaminophen and another undisclosed opioid product. We have the right to develop the returned products on our own or in partnership with a third party. Our plan for developing, manufacturing and commercializing the returned products includes entering into an agreement similar to the Pfizer Agreement with a strategically focused pharmaceutical company. However, there can be no assurance that we will be successful in entering into such an agreement. Pending any such agreement, we expect to continue the development of our hydrocodone bitartrate with acetaminophen product on our own. Although we believe we have sufficient cash resources to fund the development of such product and submit a corresponding NDA to the FDA, there can be no assurance that this will be the case. The continued development of our hydrocodone bitartrate with acetaminophen product and the other returned products may require additional financing, which may not be available on acceptable terms, or at all. In the absence of available financing, or our failure to successfully enter into a license agreement with a pharmaceutical company to develop and commercialize the returned products, we may have to limit the size or scope of, or delay or abandon, the development of some or all of the returned products, which would adversely impact our financial condition and results of operations.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a net loss of $13.9 million and $9.7 million for the years ended December 31, 2013 and 2012, respectively, net income of $10.4 million for the year ended December 31, 2011 and a net loss of $12.7 million and $15.8 million for the years ended December 31, 2010 and 2009, respectively. Our future profitability will depend on several factors, including:</w:t>
      </w:r>
    </w:p>
    <w:p>
      <w:pPr>
        <w:spacing w:after="0" w:line="18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receipt of royalties relating to Pfizer’s sale of Oxecta Tablets;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successful marketing and sale of Nexafed and other products utilizing our Impede Technology, and market acceptance, increased demand for and sales of Nexafed;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Aversion Technology products in development, including the products returned by Pfizer, from future licensees, of which no assurance can be given;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receipt of FDA approval and the successful commercialization by future licensees (if any) of products utilizing our Aversion Technology and our ability to commercialize our Impede Technology without infringing the patents and other intellectual property rights of third parties.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cannot assure you that our Oxecta or Nexafed products will be successfully commercialized or our Aversion Technology or Impede Technology products in development will be successfully developed or be approved for commercialization by the FDA.</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We recognized revenues of $10 thousand in the form of royalty payments from Pfizer for the year ended December 31, 2013. Even if Pfizer succeeds in commercializing Oxecta, or if we or a licensee succeed in developing and commercializing one or more of our pipeline Aversion Technology products, or if we are successful in commercializing Nexafed or other Impede Technology products, we expect to continue using cash reserves for the foreseeable future. Our expenses may increase in the foreseeable future as a result of continued research and development of our product candidates, including the three products returned to us by Pfizer under the Pfizer Agreement, maintaining and expanding the scope of our intellectual property, commercializing our Nexafed product, and hiring of additional research and development staff.</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need to generate revenues from direct product sales or indirectly from royalties on sales to achieve and maintain profitability. If we cannot successfully commercialize Nexafed, if Pfizer does not successfully commercialize Oxecta, or if we or our licensee (if any) cannot successfully develop, obtain regulatory approval and commercialize our products in development, we will not be able to generate such royalty revenues or achieve future profitability. Our failure to achieve or maintain profitability would have a material adverse impact on the market price of our common stock.</w:t>
      </w:r>
    </w:p>
    <w:p>
      <w:pPr>
        <w:spacing w:after="0" w:line="17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must rely on current cash reserves, royalty revenue from Pfizer’s sale of Oxecta, revenues from Nexafed sales, the proceeds of our term loan and the net proceeds, if any, from our “at-the-market” offering of our common stock to fund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Pending the receipt of milestone payments and royalties under license agreements similar to the Pfizer Agreement that we may enter into with other pharmaceutical companies in the future, of which no assurance can be given, we must rely on our current cash reserves, royalty revenue from Pfizer on its sales of Oxecta, revenues from our sales of Nexafed, the proceeds of our $10 million term loan from Oxford Finance and the net proceeds, if any, from our “at-the-market” offering of our common stock, to fund operations and product development activities. No assurance can be given that current cash reserves, royalty revenue from Pfizer on its sales of Oxecta, revenues from Nexafed product sales, the term loan from Oxford Finance or the net proceeds, if any, from our “at-the-market” offering of our common stock will be sufficient to fund continued operations and the development of our product candidates until such time as we generate additional royalty revenue from the Pfizer Agreement or any similar future license agreements. Moreover, no assurance can be given that we will be successful in raising additional financing or, if funding is obtained, that such funding will be sufficient to fund operations until product candidates utilizing our Aversion and Impede Technologies may be commercialized. In the event our cash reserves are insufficient to fund continued operations, we may need to suspend some or all of our product development efforts or possibly discontinue operations.</w:t>
      </w:r>
    </w:p>
    <w:p>
      <w:pPr>
        <w:spacing w:after="0" w:line="16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Oxecta and other Aversion Technology products by describing the abuse deterrent features of such products will be determined by the FDA approved label for such products.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commercial success of our Aversion Technology products will depend upon our and our licensees’ ability to obtain FDA approved labeling describing such products’ abuse deterrent features or benefits. Our or our licensees’ failure to achieve FDA approval of product labeling containing such information will prevent or substantiality limit our and our licensees’ advertising and promotion of such abuse deterrent features in order to differentiate Aversion Technology products from other immediate release opioid products containing the same active ingredients, and would have a material adverse impact on our business and results of operations. The FDA’s January 2013 draft guidance, while not binding on the FDA, outlines the FDA’s current views on the labeling of abuse deterrent products. The FDA encourages sponsors to seek approval of proposed product labeling that sets forth the results of physiochemical, physiologic, pharmacodynamic, pharmacokinetic, and/or formal post-marketing studies that appropriately characterizes the abuse-deterrent properties of a product. To date, the FDA has limited data correlating the potentially abuse-deterrent properties of certain opioid drug products with actual reduction in abuse or adverse events associated with abuse. When the data predict or show a product’s potential abuse-deterrent properties can be expected to, or actually do, result in a significant reduction in that product’s abuse potential, those data, together with an accurate characterization of what the data mean, should be included in product labeling. We intend to utilize certain clinical and laboratory studies for our opioid products in development to support a label describing the abuse-deterrent features of such products. However, the extent to which such information is included in the FDA approved product label is the subject of our and our licensees’ discussions with, and agreement by, the FDA as part of the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Oxecta includes the results from a clinical study which evaluated the effects of nasally snorting crushed Oxecta and commercially available oxycodone tablets and limitations on wetting or dissolving Oxecta, it does not, however, include the results of our laboratory studies intended to evaluate Oxecta’s potential to limit extraction of oxycodone HCl from dissolved Oxecta Tablets and resist conversion into an injectable, or IV solution. The absence of the results of these extraction and syringe studies in the FDA approved label for Oxecta may substantially limit Pfizer’s ability to differentiate Oxecta from other immediate release oxycodone products, which would have a material adverse effect on market acceptance of Oxecta and on our business and results of operations.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both"/>
        <w:ind w:firstLine="648"/>
        <w:spacing w:after="0" w:line="276" w:lineRule="auto"/>
        <w:rPr>
          <w:sz w:val="20"/>
          <w:szCs w:val="20"/>
          <w:color w:val="auto"/>
        </w:rPr>
      </w:pPr>
      <w:r>
        <w:rPr>
          <w:rFonts w:ascii="Arial" w:cs="Arial" w:eastAsia="Arial" w:hAnsi="Arial"/>
          <w:sz w:val="17"/>
          <w:szCs w:val="17"/>
          <w:color w:val="auto"/>
        </w:rPr>
        <w:t>Notwithstanding the FDA approved labeling for Oxecta, there can be no assurance that our Aversion Technology products in development will receive FDA approved labeling that describes the abuse deterrent features of such products. If the FDA does not approve labeling containing such information, we or our licensees will not be able to promote such products based on their abuse deterrent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Because the FDA closely regulates promotional materials and other promotional activities, even if the FDA initially approves product labeling that includes a description of the abuse deterrent characteristics of our product, as in the case of Oxecta, the FDA may object to our or our licensee’s marketing claims and product advertising campaigns. This could lead to the issuance of warning letters or untitled letters, suspension or withdrawal of Oxecta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committing a majority of our resources to the development of product candidates utilizing our Aversion and Impede Technologies. Notwithstanding the receipt of FDA approval of Oxecta Tablets and our marketing of Nexafed, there can be no assurance that any other product candidate utilizing our Aversion or Impede Technologies will meet FDA’s standards for commercial distribution. Further, there can be no assurance that other product candidates that may be developed using Aversion Technology or Impede Technology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will have a material adverse effect on our financial condition.</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the FDA disagrees with our determination that certain of our products meet the over-the-counter, or OTC, requirements, once those products are commercialized, they may be removed from the market; the FDA or the U.S. Federal Trade Commission, or FTC, may object to our advertisement and promotion of the extraction characteristics and benefits of Nexafed.</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cGMP and establishment registration. Any product which fails to conform to each of the general conditions and a monograph is subject to regulatory action. Further, although the FDA regulates OTC drug product labeling, the FTC regulates the advertising and marketing of OTC drug products. We believe that Nexafed is classified for OTC sale under an FDA OTC monograph, which will allow us to commercialize them without submitting an NDA or ANDA to the FDA. We have also determined that, provided we adhere to the FDA’s requirements for OTC monograph products, including product labeling, we can advertise and promote the extraction characteristics and benefits of Nexafed which are supported by our research studies. No assurance can be given, however, that the FDA will agree that Nexafed may be sold under the FDA’s OTC monograph product regulations or that the FDA or FTC will not object to our advertisement and promotion of Nexafed’s extraction characteristics and benefits. If the FDA determines that Nexafed does not conform to the OTC monograph or if we fail to meet the general conditions, once commercialized, the product may be removed from the market and we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Additionally, the FDA has recently announced that it is considering material changes to how it regulates OTC drug products and has scheduled a hearing in late March 2014 for public comment. Changes to the existing OTC regulations could result in a requirement that Acura file an NDA or ANDA for Nexafed or other Impede Technology products in order to commercialize such products. If the FDA requires that we submit a NDA or ANDA to obtain marketing approval for Nexafed or other Impede Technology products, this would result in substantial additional costs, suspend the commercialization of Nexafed and require FDA approval prior to sale, of which no assurance can be provided. In such case, the label for Nexafed or other Impede Technology products would be subject to FDA review and approval and there can be no assurance that we will be able to market Nexafed or other Impede Technology products with labeling sufficient to differentiate it from products that have comparable therapeutic profiles. If we are unable to advertise and promote the extraction characteristics of Nexafed or other Impede Technology products, we may be unable to compete with national brands and pharmacy chain store brands.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left="180"/>
        <w:spacing w:after="0"/>
        <w:rPr>
          <w:sz w:val="20"/>
          <w:szCs w:val="20"/>
          <w:color w:val="auto"/>
        </w:rPr>
      </w:pPr>
      <w:r>
        <w:rPr>
          <w:rFonts w:ascii="Arial" w:cs="Arial" w:eastAsia="Arial" w:hAnsi="Arial"/>
          <w:sz w:val="17"/>
          <w:szCs w:val="17"/>
          <w:b w:val="1"/>
          <w:bCs w:val="1"/>
          <w:i w:val="1"/>
          <w:iCs w:val="1"/>
          <w:color w:val="auto"/>
        </w:rPr>
        <w:t>Our Aversion and Impede Technology products may not be successful in limiting or impeding abuse or misuse upon commercialization.</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committing a majority of our resources to the development of products utilizing our Aversion and Impede Technologies. Notwithstanding the receipt of FDA approval of Oxecta Tablets and the results of our numerous clinical and laboratory studies for Oxecta, Nexafed, and our Aversion and Impede Technology products in development, there can be no assurance that Oxecta, Nexafed or any other product utilizing our Aversion or Impede Technologies will perform as tested and limit or impede the actual abuse or misuse of such products in commercial settings. Moreover, there can be no assurance that the post-approval epidemiological study required by the FDA as a condition of approval of Oxecta will show a reduction in the consequences of abuse and misuse by patients for whom Oxecta is prescribed. The failure of Oxecta, Nexafed or other products utilizing our Aversion and Impede Technologies to limit or impede actual abuse or misuse in practice will have a material adverse impact on market acceptance for such products and on our financial condition and results of operations.</w:t>
      </w:r>
    </w:p>
    <w:p>
      <w:pPr>
        <w:spacing w:after="0" w:line="192"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b w:val="1"/>
          <w:bCs w:val="1"/>
          <w:i w:val="1"/>
          <w:iCs w:val="1"/>
          <w:color w:val="auto"/>
        </w:rPr>
        <w:t>Relying on third party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both"/>
        <w:ind w:firstLine="648"/>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Aversion and Impede Technologies. These licensees and third- party contract manufacturers are also subject to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drug products, including Nexafed,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for some reason our contract manufacturers cannot perform as agreed, we may be required to replace them. Although we believe there are a number of potential replacements, we will incur added costs and delays in identifying and qualifying any such replacements. In addition, a new manufacturer would have to be educated in, or develop substantially equivalent processes for, production of our products or drug candidates.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both"/>
        <w:ind w:firstLine="648"/>
        <w:spacing w:after="0" w:line="270" w:lineRule="auto"/>
        <w:rPr>
          <w:sz w:val="20"/>
          <w:szCs w:val="20"/>
          <w:color w:val="auto"/>
        </w:rPr>
      </w:pPr>
      <w:r>
        <w:rPr>
          <w:rFonts w:ascii="Arial" w:cs="Arial" w:eastAsia="Arial" w:hAnsi="Arial"/>
          <w:sz w:val="17"/>
          <w:szCs w:val="17"/>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 NDA, the FDA may refuse to file the application, deny approval of the application, require additional testing or data and/or require post-marketing testing and surveillance to monitor the safety or efficacy of a product. For instance, the FDA’s approval of Oxecta is conditioned on Pfizer conducting a post-approval epidemiological study to assess the actual abuse levels and consequences of Oxecta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if we comply with all the FDA regulatory requirements, we or our licensees may not obtain regulatory approval for any of our product candidates in development. For example, we previously submitted a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 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Oxecta and other Aversion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such actions would have a material adverse effect on our operations and financial condition.</w:t>
      </w:r>
    </w:p>
    <w:p>
      <w:pPr>
        <w:spacing w:after="0" w:line="154"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Aversion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18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Aversion or Impede Technologies, which could adversely affect our business and results of operations.</w:t>
      </w:r>
    </w:p>
    <w:p>
      <w:pPr>
        <w:spacing w:after="0" w:line="17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189"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Pfizer Agreement grants Pfizer an exclusive license to develop and commercialize Oxecta. We believe that opportunities exist to enter into agreements similar to the Pfizer Agreement with other partners for the commercialization of Oxecta outside the Pfizer Territory, for the development and commercialization of our other opioid analgesic products (including the products returned to us by Pfizer under the Pfizer Agreement) in the United States and worldwide, and for the development and commercialization of additional Aversion Technology and Impede Technology product candidates for other abused and misused drugs, such as tranquilizers, stimulants, sedatives and nasal decongestants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adversely affected.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part of our Pfizer Agreement or other future similar license agreements (if any), we do not and will not have day-to-day control over the activities of our licensees with respect to any product candidate. If a licensee fails to fulfill its obligations under an agreement with us, we may be unable to assume the development of the product candidate covered by that agreement or to enter into alternative arrangements with another third party. In addition, we may encounter delays in the commercialization of the product candidate that is the subject of a license agreement. Accordingly, our ability to receive any revenue from the product candidates covered by such agreements will be dependent on the efforts of our licensee. We could be involved in disputes with a licensee, which could lead to delays in or termination of, our development and commercialization programs and result in time consuming and expensive litigation or arbitration. In addition, any such dispute could diminish our licensee’s commitment to us and reduce the resources they devote to developing and commercializing our products. If any licensee terminates or breaches its agreement, or otherwise fails to complete its obligations in a timely manner, our chances of successfully developing or commercializing our product candidates would be materially adversely effected. Additionally, due to the nature of the market for our product candidates, it may be necessary for us to license all or a significant portion of our product candidates to a single company, thereby eliminating our opportunity to commercialize other product candidates with other licensees.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180"/>
        <w:spacing w:after="0"/>
        <w:rPr>
          <w:sz w:val="20"/>
          <w:szCs w:val="20"/>
          <w:color w:val="auto"/>
        </w:rPr>
      </w:pPr>
      <w:r>
        <w:rPr>
          <w:rFonts w:ascii="Arial" w:cs="Arial" w:eastAsia="Arial" w:hAnsi="Arial"/>
          <w:sz w:val="18"/>
          <w:szCs w:val="18"/>
          <w:b w:val="1"/>
          <w:bCs w:val="1"/>
          <w:i w:val="1"/>
          <w:iCs w:val="1"/>
          <w:color w:val="auto"/>
        </w:rPr>
        <w:t>If we fail to maintain our license agreement with Pfizer, we may have to commercialize Oxecta on our own.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plan for manufacturing and commercializing Oxecta Tablets currently requires us to maintain our license agreement with Pfizer. In addition to other customary termination provisions, the Pfizer Agreement provides that Pfizer may terminate the Pfizer Agreement at any time upon written notice to us. If Pfizer elects to terminate the Pfizer Agreement, or if we are otherwise unable to maintain our existing relationship with Pfizer, we would have to commercialize Oxecta ourselves for which we currently have no infrastructure, or alternatively enter into a new agreement with another pharmaceutical company, of which no assurance can be given. Our ability to commercialize Oxecta on our own may require additional financing, which may not be available on acceptable terms, or at all.</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or Impede Technologies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or Impede Technologies would be accepted by health care providers and others. Factors that may materially affect market acceptance of our product candidates include but are not limited to:</w:t>
      </w:r>
    </w:p>
    <w:p>
      <w:pPr>
        <w:spacing w:after="0" w:line="16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pharmacy chains to stock our Impede Technology products;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pharmacists to recommend our Impede Technology products to their customers;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Oxecta and our product candidates, if successfully developed and commercially launched, will compete with both currently marketed and new products launched in the future by other companies. Health care providers may not accept or utilize any of our products. Physicians and other prescribers may not be inclined to prescribe our prescription products unless our products demonstrate commercially viable advantages over other products currently marketed for the same indications. Pharmacy chains may not be willing to stock our Impede Technology products and pharmacists may not recommend such products to consumers. Further, consumers may not be willing to purchase our products. If our products do not achieve market acceptance, we may not be able to generate significant revenues or become profitable.</w:t>
      </w:r>
    </w:p>
    <w:p>
      <w:pPr>
        <w:spacing w:after="0" w:line="19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left="180"/>
        <w:spacing w:after="0"/>
        <w:rPr>
          <w:sz w:val="20"/>
          <w:szCs w:val="20"/>
          <w:color w:val="auto"/>
        </w:rPr>
      </w:pPr>
      <w:r>
        <w:rPr>
          <w:rFonts w:ascii="Arial" w:cs="Arial" w:eastAsia="Arial" w:hAnsi="Arial"/>
          <w:sz w:val="15"/>
          <w:szCs w:val="15"/>
          <w:b w:val="1"/>
          <w:bCs w:val="1"/>
          <w:i w:val="1"/>
          <w:iCs w:val="1"/>
          <w:color w:val="auto"/>
        </w:rPr>
        <w:t>Our revenues may be adversely affected if we fail to obtain insurance coverage or adequate reimbursement for our products from third-party payers.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Technology.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products candidates. The continuing efforts of government and third-party payers to contain or reduce the costs of health care may limit our commercial opportunity. If government and other third-party payers do not provide adequate coverage and reimbursement for any product utilizing our Aversion Technology,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58" w:lineRule="exact"/>
        <w:rPr>
          <w:sz w:val="20"/>
          <w:szCs w:val="20"/>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beginning in 2011;</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 beginning in 2011;</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effective March 23, 2010;</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revision to the definition of “average manufacturer price” for reporting purposes;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Encouragement for the development of comparative effectiveness research, which may reduce the extent of reimbursement for our products if such research results in any adverse findings.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jc w:val="both"/>
        <w:ind w:firstLine="648"/>
        <w:spacing w:after="0" w:line="279" w:lineRule="auto"/>
        <w:rPr>
          <w:sz w:val="20"/>
          <w:szCs w:val="20"/>
          <w:color w:val="auto"/>
        </w:rPr>
      </w:pPr>
      <w:r>
        <w:rPr>
          <w:rFonts w:ascii="Arial" w:cs="Arial" w:eastAsia="Arial" w:hAnsi="Arial"/>
          <w:sz w:val="17"/>
          <w:szCs w:val="17"/>
          <w:color w:val="auto"/>
        </w:rPr>
        <w:t>At this time, it remains uncertain what the full impact of these provisions will be on the pharmaceutical industry generally or our business in particular. The full effects of these provisions will become apparent as these laws are implemented and the Centers for Medicare &amp; Medicaid Services and other agencies issue applicable regulations or guidance as required by the Healthcare Reform Law. Moreover, in the coming years, additional changes could be made to governmental healthcare programs that could significantly impact the success of our products.</w:t>
      </w:r>
    </w:p>
    <w:p>
      <w:pPr>
        <w:spacing w:after="0" w:line="17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for our products that are not licensed to third parties, our revenues and our business will suffer.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currently have an extensive organization for the sales, marketing and distribution of pharmaceutical products and the cost of establishing and maintaining such an organization may exceed the cost-effectiveness of doing so. If we do not license the commercialization of a product, we may have to build our sales, marketing, managerial and other non-technical capabilities or make arrangements with third parties to perform these services. If we are unable to establish or fund adequate sales, marketing and distribution capabilities, whether independently or with third parties, it will impair our ability to sell products and have a material adverse effect on our operations.</w:t>
      </w:r>
    </w:p>
    <w:p>
      <w:pPr>
        <w:spacing w:after="0" w:line="18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our agreement with Pfizer, Pfizer controls the price of Oxecta and may provide price discounts and price reductions in its discretion. Such price discounts and reductions will reduce the net sales of our licensed products and, correspondingly, our royalty payments under the Pfizer Agreement.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 No. 7,201,920 and U.S. Patent No. 7,510,726 from the USPTO encompassing our opioid products utilizing our Aversion Technology, and U.S. Patent No. 7,981,439 encompassing certain non-opioid products utilizing our Aversion Technology,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jc w:val="both"/>
        <w:ind w:firstLine="648"/>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affect on our operations and financial condition.</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rely on or intend to rely on our trademarks, trade names and brand names to distinguish our products from the products of our competitors, and have registered or applied to register many of these trademarks. However, our trademark applications may not be approved. Third parties may also oppose our trademark applications or otherwise challenge our use of the trademarks. In the event that our trademarks are successfully challenged, we could be forced to rebrand our product, which could result in loss of brand recognition and could require us to devote resources to advertising and marketing these new brands. Further, our competitors may infringe our trademarks, or we may not have adequate resources to enforce our trademarks.</w:t>
      </w:r>
    </w:p>
    <w:p>
      <w:pPr>
        <w:spacing w:after="0" w:line="158"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b w:val="1"/>
          <w:bCs w:val="1"/>
          <w:i w:val="1"/>
          <w:iCs w:val="1"/>
          <w:color w:val="auto"/>
        </w:rPr>
        <w:t>We may become involved in patent litigation or other intellectual property proceedings relating to our Aversion or Impede Technologies or product candidates, which could result in liability for damages or delay or stop our development and commercialization efforts.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Paragraph IV Proceedings described below;</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ind w:left="9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we may be forced to participate in interference or opposition proceedings to determine the priority of invention and whether we are entitled to patent rights on such invention; and</w:t>
      </w:r>
    </w:p>
    <w:p>
      <w:pPr>
        <w:ind w:left="980" w:right="2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jc w:val="both"/>
        <w:ind w:firstLine="648"/>
        <w:spacing w:after="0" w:line="270"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our licensee Pfizer has the first right to control the enforcement of certain of our patents against third party infringers. Pfizer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Oxecta and our Aversion products in development. While we do not expect the claims contained in such pending patent applications will issue in their present form, there can be no assurance that such patent applications will not issue as patents with claims encompassing one or more of our product candidates.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in a controlled release pharmaceutical preparation.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Pfizer will not be sued for infringing these patents, and if sued, there can be no assurance that we or Pfizer will prevail in any such litigation. If we or Pfizer are found to infringe either or both of these patents, we or Pfizer may seek a license to use the patented technology. If we are unable to obtain such a license, of which no assurance can be given, we or Pfizer may be restricted or prevented from commercializing our Aversion products.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aware of certain issued United States patents owned by a third party having claims encompassing a process used to manufacture oxycodone HCl of high purity and pharmaceutical products resulting therefrom. As required by the FDA, Oxecta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Pfizer or its oxycodone HCl supplier will not be sued for infringing these patents. In the event of an infringement action, Pfizer and their oxycodone HCl supplier would have to either: (a) demonstrate that the manufacture of the oxycodone HCl used in Oxecta does not infringe the patent claims, (b) demonstrate the patents are invalid or unenforceable, or (c) enter into a license with the patent owner. If Pfizer or their oxycodone HCl supplier is unable to demonstrate the foregoing, or obtain a license to these patients, Pfizer may be required or choose to withdraw Oxecta from the market.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both"/>
        <w:ind w:firstLine="648"/>
        <w:spacing w:after="0" w:line="286" w:lineRule="auto"/>
        <w:rPr>
          <w:sz w:val="20"/>
          <w:szCs w:val="20"/>
          <w:color w:val="auto"/>
        </w:rPr>
      </w:pPr>
      <w:r>
        <w:rPr>
          <w:rFonts w:ascii="Arial" w:cs="Arial" w:eastAsia="Arial" w:hAnsi="Arial"/>
          <w:sz w:val="17"/>
          <w:szCs w:val="17"/>
          <w:color w:val="auto"/>
        </w:rPr>
        <w:t>We are aware of a certain issued United States patent owned by a third party having claims similar to our second generation Impede Technology directed to ingredient amounts that are generally less than the amounts used in our technology. While we believe our technology does not infringe this patent, we cannot provide assurance that we will not be sued under such patent or if sued, that we will prevail in any such suit.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affect on our operations and financial condition.</w:t>
      </w:r>
    </w:p>
    <w:p>
      <w:pPr>
        <w:spacing w:after="0" w:line="18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Generic manufacturers are using litigation and regulatory means to seek approval for generic versions of Oxecta, which could cause our and our licensee’s sales to suffer.</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Hatch-Waxman Act, the FDA can approve an ANDA for a generic version of a branded drug and what is referred to as a Section 505(b)(2) NDA, for a branded variation of an existing branded drug, without requiring such applicant to undertake the full clinical testing necessary to obtain approval to market a new drug. An ANDA applicant usually needs to only submit data demonstrating that its product has the same active ingredient(s) and is bioequivalent to the branded product, in addition to any data necessary to establish that any difference in strength, dosage form, inactive ingredients, or delivery mechanism does not result in different safety or efficacy profiles, as compared to the reference drug.</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Hatch-Waxman Act requires an applicant for a drug that references one of our branded drugs to notify us of their application if they assert in their application that the patents we have listed in the Orange Book will not be infringed or otherwise are invalid or unenforceable (a Paragraph IV Certification). Upon receipt of this notice, we have 45 days to bring a patent infringement suit in federal district court against such applicant. If such a suit is commenced, the FDA is generally prohibited from granting approval of the ANDA or Section 505(b)(2) NDA until the earliest of 30 months from the date the FDA accepted the application for filing, the conclusion of litigation in the generic’s favor or expiration of the patent(s). If the litigation is resolved in favor of the applicant or the challenged patent expires during the 30-month stay period, the stay is lifted and the FDA may thereafter approve the application based on the standards for approval of ANDAs and Section 505(b)(2) NDAs. Frequently, the unpredictable nature and significant costs of patent litigation leads the parties to settle to remove this uncertainty. Settlement agreements between branded companies and generic applicants may allow, among other things, a generic product to enter the market prior to the expiration of any or all of the applicable patents covering the branded product, either through the introduction of an authorized generic or by providing a license to the applicant for the patents subject to the litigation.</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September 20, 2012, we announced that we had received a Paragraph IV Certification Notice under 21 U.S.C. 355(j) (a Paragraph IV Notice) from a generic sponsor of an ANDA for a generic drug listing Oxecta as the reference listed drug. Since such date, we have received similar Paragraph IV Notices from three other generic pharmaceutical companies that have filed ANDAs listing Oxecta as the reference drug. The Paragraph IV Notices refer to our U.S. Patent Numbers 7,201,920, 7,510,726 and 7,981,439, which cover our Aversion Technology and Oxecta. The Paragraph IV Notices state that each generic sponsor believes that such patents are invalid, unenforceable or not infringed. On October 31, 2012, we initiated suit against each of Watson Laboratories, Inc. - Florida,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The above actions are referred to as the “Paragraph IV Proceedings.”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both"/>
        <w:ind w:right="60" w:firstLine="648"/>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Oxecta® product for which each of Par and Impax is separately seeking approval to market in the United States pursuant to an ANDA filing with the FDA infringes a U.S. patent owned by us. Par is the first filer of an ANDA for a generic Oxecta® product and is entitled to the 180-day first filer exclusivity under applicable law and FDA regulations.</w:t>
      </w:r>
    </w:p>
    <w:p>
      <w:pPr>
        <w:spacing w:after="0" w:line="18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Oxecta®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Oxecta® product.</w:t>
      </w:r>
    </w:p>
    <w:p>
      <w:pPr>
        <w:spacing w:after="0" w:line="187"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Oxecta® product in the U.S. through the grant of a non-exclusive, royalty-free license from us that would trigger 180 days following the first sale of a generic Oxecta® product in the U.S. by an entity that is entitled to the 180 day first-filer exclusivity under applicable law and FDA regulations (or if no entity is entitled to such 180 day exclusivity period, the date on which a generic Oxecta®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Settlement Agreements with Par and Impax do not affect the status of our separate Oxecta patent litigations against Sandoz Inc. and Ranbaxy Inc. pending in the United States District Court for the District of Delaware.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Litigation is inherently uncertain and we cannot predict the outcome of the Paragraph IV Proceedings. If Sandoz and/or Ranbaxy prevails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 Paragraph IV Proceedings that our patents covering our Aversion Technology and Oxecta are invalid or unenforceable, in whole or in part, or that the products covered by generic sponsors’ ANDAs do not infringe our patents, could have a material adverse affect on our operations and financial condition.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product liability claims and may not be able to obtain or maintain adequate product liability insurance.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business exposes us to potential product liability risks, which are inherent in the testing, manufacturing, marketing and sale of pharmaceutical products. Product liability claims might be made by patients, health care providers or others that sell or consume our products. These claims may be made even with respect to those products that possess regulatory approval for commercial sale. We are currently covered by clinical trial product liability insurance on a claims-made basis and for product liability insurance covering our sale and distribution of Nexafed. This coverage may not be adequate to cover any product liability claims. Product liability coverage is expensive. In the future, we may not be able to maintain such product liability insurance at a reasonable cost or in sufficient amounts to protect us against losses due to product liability claims. Any claims that are not covered by product liability insurance could have a material adverse effect on our business, financial condition and results of operations.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discussed below under “Item 3. Legal Proceedings”. Such litigation may have material adverse consequences to our financial condition and results of operations.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left="340"/>
        <w:spacing w:after="0"/>
        <w:rPr>
          <w:sz w:val="20"/>
          <w:szCs w:val="20"/>
          <w:color w:val="auto"/>
        </w:rPr>
      </w:pPr>
      <w:r>
        <w:rPr>
          <w:rFonts w:ascii="Arial" w:cs="Arial" w:eastAsia="Arial" w:hAnsi="Arial"/>
          <w:sz w:val="16"/>
          <w:szCs w:val="16"/>
          <w:b w:val="1"/>
          <w:bCs w:val="1"/>
          <w:i w:val="1"/>
          <w:iCs w:val="1"/>
          <w:color w:val="auto"/>
        </w:rPr>
        <w:t>We face significant competition, which may result in others developing or commercializing products before or more successfully than we do.</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products and technologies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potential competitors may be developing opioid abuse deterrent technologies and products. Such potential competitors include, but may not be limited to, Pain Therapeutics, in collaboration with Pfizer, Purdue Pharma, Atlantic Pharmaceuticals, Egalet Corporation, KemPharm, Shionogi, Nektar Therapeutics, Signature Therapeutics, QRx Pharma, Tris Pharma, Pisgah Labs, and Collegium Pharmaceuticals, Inc. These companies appear to be focusing their development efforts on ER Opioid Products, except for Atlantic Pharmaceuticals, while the majority of our Aversion Technology opioid analgesic product candidates under development are IR Opioid Products. Pfizer, our partner in commercializing Oxecta, is also developing and/or marketing ER Opioid Products, other analgesic products and non-analgesic products, all of which will compete for development and commercialization resources with our products, which may delay development or adversely impact the sales of our products.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Impede Technology products containing PSE, including Nexafed,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directly with Johnson &amp; Johnson’s Sudafed® brand as well as generic formulations manufactured by Perrigo Company and others. In addition, Highland Pharmaceuticals has recently launched a PSE product that is stated to resist PSE extraction in aqueous solutions.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concentrating a substantial majority of our efforts and resources on developing product candidates utilizing our Aversion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Aversion and Impede Technologies. Alternative technologies and non-opioid products are being developed to improve or replace the use of opioid analgesics. In the event that such alternatives to opioid analgesics are widely adopted, then the market for products utilizing our Aversion and Impede Technologies may be substantially decreased, thus reducing our ability to generate future revenues and adversely affecting our ability to generate a profit.</w:t>
      </w:r>
    </w:p>
    <w:p>
      <w:pPr>
        <w:spacing w:after="0" w:line="17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covenants and other obligations under our term loan, the lender may be able to accelerate amounts owed under the facility and may foreclose upon the assets securing our obligations.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December 2013, we (including our wholly-owned subsidiary Acura Pharmaceutical Technologies, Inc. (“APT”)) entered into a loan and security agreement with Oxford Finance LLC (“Oxford”) pursuant to which we borrowed $10 million from Oxford and issued warrants to them to purchase 297,805 shares of our common stock. Under this agreement, we are subject to a variety of affirmative and negative covenants, including required financial reporting, limitations on certain dispositions and licensing of assets, limitations on the incurrence of additional debt and other requirements. To secure our performance of our obligations under this loan and security agreement, we granted Oxford a security interest in substantially all of our assets, other than intellectual property assets, and pledged to Oxford the stock of APT. Our failure to comply with the terms of the loan and security agreement, the occurrence of a material adverse change in our business, operations or condition (financial or otherwise) or prospects, the material impairment in our prospect of repayment, a material impairment in the perfection or priority of the Oxford’s lien on our assets or the value of Oxford’s collateral, or the occurrence of certain other specified events could result in an event of default that, if not cured or waived, could result in the acceleration of all or a substantial portion of our loan, coupled with prepayment penalties, an additional interest payment of between $795,000 and $995,000, potential foreclosure on our assets, and other adverse results.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left="260"/>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Peter A. Clemens, our Chief Financial Officer, and Albert W. Brzeczko, Ph.D., our Vice President of Technical Affairs. We may not be able to attract and retain personnel on acceptable terms given the competition for such personnel among biotechnology, pharmaceutical and healthcare companies, universities and non-profit research institutions. While we have employment agreements with our CEO and CFO, all of our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78"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products are subject to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we and our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left="180"/>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Significant equity restructuring often results in an Internal Revenue Section 382 ownership change that limits the future use of Net Operating Loss, or NOL, carryforwards and other tax attributes. We have determined that an ownership change (as defined by Section 382 of the Internal Revenue Code) did occur as a result of restructuring that occurred in 2004.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quarterly and annual operating results are likely to fluctuate in the future. These fluctuations could cause our stock price to decline. The nature of our business involves variable factors, such as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Volatility in stock prices of other companies may contribute to volatility in our stock price.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market price of our common stock, like the market price for securities of pharmaceutical and biotechnology companies, has historically been highly volatile. The stock market from time to time experiences significant price and volume fluctuations unrelated to the operating performance of particular companies. Factors, such as fluctuations in our operating results, future sales of our common stock, announcements of the timing and amount of product sales, announcements of the status of development of our products, announcements of technological innovations or new therapeutic products by us or our competitors, announcements regarding collaborative agreements, laboratory or clinical trial results, government regulation, FDA determinations on the approval of a product candidate NDA submission, developments in patent or other proprietary rights, public concern as to the safety of drugs developed by us or others, changes in reimbursement policies, comments made by securities analysts and general market conditions may have a substantial effect on the market price of our common stock. In the past, following periods of volatility in the market price of a company’s securities, securities class action litigation and shareholder derivative litigation has often been instituted. A securities class action suit or shareholder derivative suit against us could result in substantial costs, potential liabilities and the diversion of management’s attention and resources and result in a material adverse affect on our financial condition and results of operations.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stock price has been volatile and there may not be an active, liquid trading market for our common stock.</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stock price has experienced significant price and volume fluctuations and may continue to experience volatility in the future. Factors that may have a material impact on the price of our common stock, in addition to the other issues described herein, include the launch and commercial success of Oxecta and Nexafed, results of or delays in our pre-clinical and clinical studies, any delays in, or failure to receive FDA approval of our product candidates, the entry into collaboration or license agreements relating to our products in development, announcements of technological innovations or new commercial products by us or others, developments in patents and other proprietary rights by us or others, future sales of our common stock by existing stockholders, regulatory developments or changes in regulatory guidance, the departure of our officers, directors or key employees, and period-to-period fluctuations in our financial results. Also, you may not be able to sell your shares at the best market price if trading in our stock is not active or if the volume is low. There is no assurance that an active trading market for our common stock will be maintained on the NASDAQ Capital Market.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both"/>
        <w:ind w:firstLine="693"/>
        <w:spacing w:after="0" w:line="297" w:lineRule="auto"/>
        <w:rPr>
          <w:sz w:val="20"/>
          <w:szCs w:val="20"/>
          <w:color w:val="auto"/>
        </w:rPr>
      </w:pPr>
      <w:r>
        <w:rPr>
          <w:rFonts w:ascii="Arial" w:cs="Arial" w:eastAsia="Arial" w:hAnsi="Arial"/>
          <w:sz w:val="16"/>
          <w:szCs w:val="16"/>
          <w:color w:val="auto"/>
        </w:rPr>
        <w:t>The National Association of Securities Dealers, Inc., or NASD, and the Securities and Exchange Commission, or SEC, have adopted rules relating to the listing of publicly traded stock. If we were unable to continue to comply with such rules, we could be delisted from trading on the NASDAQ Capital Market and thereafter trading in our common stock, if any, would be conducted through the Over-the-Counter Bulletin Board of the NASD. As a consequence of such delisting, an investor would likely find it more difficult to dispose of, or to obtain quotations as to the price of, our common stock. Delisting of our common stock from the NASDAQ Capital Market could also result in lower prices per share of our common stock than would otherwise prevail.</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ind w:firstLine="752"/>
        <w:spacing w:after="0" w:line="264" w:lineRule="auto"/>
        <w:rPr>
          <w:sz w:val="20"/>
          <w:szCs w:val="20"/>
          <w:color w:val="auto"/>
        </w:rPr>
      </w:pPr>
      <w:r>
        <w:rPr>
          <w:rFonts w:ascii="Arial" w:cs="Arial" w:eastAsia="Arial" w:hAnsi="Arial"/>
          <w:sz w:val="18"/>
          <w:szCs w:val="18"/>
          <w:color w:val="auto"/>
        </w:rPr>
        <w:t>Historically, we have not declared and paid any cash dividends on 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Because our principal shareholders control a large percentage of our voting power, other stockholders' voting power may be limited</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principal shareholders, Galen Partners III, L.P and its affiliates and Essex Woodlands Health Ventures V, beneficially own approximately 24.4% and 20.8%, respectively, of our outstanding common stock (calculated in accordance with Rule 13d-3 promulgated under the Securities Exchange Act of 1934, as amended). Accordingly, these shareholders, individually or if they were to act as a group or vote in the same manner, may be able to influence the outcome of shareholder votes, including the adoption or amendment of provisions in our Certificate of Incorporation or By-Laws and the approval of mergers and other significant corporate transactions, including a sale of substantially all of our assets. These shareholders may make decisions that are adverse to other shareholders' interests. This ownership concentration may also adversely affect the market price of our common stock.</w:t>
      </w:r>
    </w:p>
    <w:p>
      <w:pPr>
        <w:spacing w:after="0" w:line="16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Any future sale of a substantial number of shares included in our current registration statement could depress the trading price of our stock, lower our value and make it more difficult for us to raise capital.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the terms of the Securities Purchase Agreement dated August 20, 2007 between us and the investors named therein, we filed a registration statement with and declared effective by the SEC, to register the shares included in our Units issued pursuant to the Securities Purchase Agreement, including shares underlying warrants included in the Units. In addition, pursuant to the exercise of previously granted piggyback registration rights, each of Galen Partners III, L.P., Galen Partners International III, L.P., Galen Employee Fund III, L.P., Care Capital Investments II, LP, Care Capital Offshore Investments II, LP and Essex Woodlands Health Ventures V, L.P. have exercised their piggyback registration rights to include an aggregate of 26,584,016 shares in such registration statement. As a result, approximately 26,800,763 shares (representing approximately 48% of our shares outstanding on a fully-diluted basis – including all derivative securities, whether or not currently exercisable) remain available for resale by selling stockholders under the registration statement. If some or all of the shares included in such registration statement are sold by our affiliates and others, it may have the effect of depressing the trading price of our common stock. In addition, such sales could lower our value and make it more difficult for us to raise capital if needed in the future.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left="180"/>
        <w:spacing w:after="0"/>
        <w:rPr>
          <w:sz w:val="20"/>
          <w:szCs w:val="20"/>
          <w:color w:val="auto"/>
        </w:rPr>
      </w:pPr>
      <w:r>
        <w:rPr>
          <w:rFonts w:ascii="Arial" w:cs="Arial" w:eastAsia="Arial" w:hAnsi="Arial"/>
          <w:sz w:val="17"/>
          <w:szCs w:val="17"/>
          <w:b w:val="1"/>
          <w:bCs w:val="1"/>
          <w:i w:val="1"/>
          <w:iCs w:val="1"/>
          <w:color w:val="auto"/>
        </w:rPr>
        <w:t>Future sales of our common stock in the public market by us or our significant stockholders or other insiders could lower our share price.</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Sales of substantial amounts of our common stock in the public market, or the perception that the sales could occur, could cause the market price of our common stocks to decline and could materially impair our future ability to raise capital through offerings of our common stock. In April 2013, we entered into an at-the-market equity facility, or ATM, with MLV &amp; Co. LLC, or MLV, as sales agent under which we may sell up to approximately $13 million of our common stock under our prospectus supplement by any method deemed to be an “at-the-market” offering under SEC rules. As of December 31, 2013 we sold $3.3 million of common stock (1,940,652 shares) under the ATM. If we continue to sell shares under the ATM, such sales will dilute our existing shareholders and could cause the market price of our common stock to decline significantly. The availability of the ATM to us, as well as any sales of our common stock under the ATM, should we elect to continue to use it, could encourage short sales by third parties, which could contribute to the further decline of our stock price. In addition, as of December 31, 2013, our directors, executive officers, Galen Partners III, L.P. and its affiliates, and Essex Woodlands Health Ventures V, L.P. owned an aggregate of approximately 45% of our common stock, or 21,835,147 shares. They are able to sell these shares under Rule 144 of the Securities Act, subject to restrictions in the case of shares held by persons deemed to be our affiliates, or pursuant to our registration statement declared effective by the SEC on November 20, 2007.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received no written comments regarding periodic or current reports from the staff of the SEC that were issued 180 days or more preceding the end of its 2013 fiscal year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from an unaffiliated Lessor, approximately 1,600 square feet of administrative office space at 616 N. North Court, Suite 120, Palatine, Illinois 60067. The lease agreement has a term expiring March 31, 2015. The lease agreement provides for rent, property taxes, common area maintenance, and janitorial services on an annualized basis of approximately $25,000 per year. We utilize this lease space for our administrative, marketing and business development functions.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 research, development, laboratory, development scale and NDA submission batch scale manufacturing and other activities relating to developing product candidates using Aversion and Impede Technologies at the facility we own located at 16235 State Road 17, Culver, Indiana. At this location, our wholly-owned subsidiary Acura Pharmaceutical Technologies, Inc., is a 25,000 square foot facility with 7,000 square feet of warehouse, 8,000 square feet of manufacturing space, 4,000 square feet of research and development labs and 6,000 square feet of administrative and storage space. The facility is located on 28 acres of 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about September 17, 2012, we believe the FDA internally changed the status of Oxecta to be considered a Reference Listed Drug, or RLD. An RLD is the standard to which all generic versions must be shown to be bioequivalent and a drug company seeking approval to market a generic equivalent must refer to the RLD. By designating Oxecta as an RLD, the FDA was allowed to accept ANDAs referencing Oxecta.</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Oxecta as the reference listed drug. Since such date, we have received similar Paragraph IV Notices from three other generic pharmaceutical companies that have filed ANDAs listing Oxecta as the reference drug. The Paragraph IV Notices refer to our U.S. Patent Numbers 7,201,920, 7,510,726 and 7,981,439, which cover our Aversion Technology and Oxecta. The Paragraph IV Notices state that each generic sponsor believes that such patents are invalid, unenforceable or not infringed. On October 31, 2012, we initiated suit against each of Watson Laboratories, Inc. –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w:t>
      </w:r>
    </w:p>
    <w:p>
      <w:pPr>
        <w:spacing w:after="0" w:line="182"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Oxecta® product for which each of Par and Impax is separately seeking approval to market in the United States pursuant to an ANDA filing with the FDA infringes a U.S. patent owned by us. Par is the first filer of an ANDA for a generic Oxecta® product and is entitled to the 180-day first filer exclusivity under applicable law and FDA regulations.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ind w:right="60" w:firstLine="648"/>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Oxecta®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Oxecta® product.</w:t>
      </w:r>
    </w:p>
    <w:p>
      <w:pPr>
        <w:spacing w:after="0" w:line="187"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Oxecta® product in the U.S., through the grant of a non-exclusive, royalty-free license from us that would trigger 180 days following the first sale of a generic Oxecta® product in the U.S. by an entity that is entitled to the 180 day first-filer exclusivity under applicable law and FDA regulations (or if no entity is entitled to such 180 day exclusivity period, the date on which a generic Oxecta®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Settlement Agreements with Par and Impax do not affect the status of our separate Oxecta patent litigations against Sandoz Inc. and Ranbaxy Inc. pending in the United States District Court for the District of Delaware.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Litigation is inherently uncertain and we cannot predict the outcome of these infringement actions. If Sandoz and/or Ranbaxy prevails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these infringement actions that our patents covering our Aversion Technology and Oxecta are invalid or unenforceable, in whole or in part, or that the products covered by generic sponsors’ ANDAs do not infringe our patents could have a material adverse affect on our operations and financial condition.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By designating Oxecta as an RLD, we believe the FDA has acknowledged that Oxecta contains unique properties and/or a unique label that is different from other FDA approved immediate-release oxycodone HCl tablets that do not contain abuse resistant characteristics. As required by the Food and Drug Administration Safety and Innovation Act of July 2012, the FDA published for comment draft guidance on the development of abuse-deterrent drug products in January 2013. We believe the ANDA applicants that refer to Oxecta as an RLD will have to have substantially equivalent, if not identical, abuse deterrent characteristics to be considered by the FDA as therapeutically equivalent to Oxecta. There can be no assurance, however, that FDA will rely on such guidance for ANDA applicants.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Reglan®/Metoclopramide Litigation</w:t>
      </w:r>
    </w:p>
    <w:p>
      <w:pPr>
        <w:spacing w:after="0" w:line="306" w:lineRule="exact"/>
        <w:rPr>
          <w:sz w:val="20"/>
          <w:szCs w:val="20"/>
          <w:color w:val="auto"/>
        </w:rPr>
      </w:pPr>
    </w:p>
    <w:p>
      <w:pPr>
        <w:jc w:val="both"/>
        <w:ind w:firstLine="1463"/>
        <w:spacing w:after="0" w:line="291" w:lineRule="auto"/>
        <w:rPr>
          <w:sz w:val="20"/>
          <w:szCs w:val="20"/>
          <w:color w:val="auto"/>
        </w:rPr>
      </w:pPr>
      <w:r>
        <w:rPr>
          <w:rFonts w:ascii="Arial" w:cs="Arial" w:eastAsia="Arial" w:hAnsi="Arial"/>
          <w:sz w:val="16"/>
          <w:szCs w:val="16"/>
          <w:color w:val="auto"/>
        </w:rPr>
        <w:t>Halsey Drug Company, as predecessor to Acura,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In this product liability litigation against numerous pharmaceutical product manufacturers and distributors, including Acura, plaintiffs claim injuries from their use of the Reglan brand of metoclopramide and generic metoclopramide.</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Pennsylvania state court mass tort proceeding, over 200 lawsuits have been filed against Acura and Halsey Drug Company alleging that plaintiffs developed neurological disorders as a result of their use of the Reglan brand and/or generic metoclopramide. Plaintiffs have filed approximately 150 lawsuits against Acura, but have served less than 50 individual lawsuits upon Acura in the New Jersey action. In the California action, Acura was not served with any complaints until the spring of 2011 when a single complaint including over 400 plaintiffs was served.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jc w:val="both"/>
        <w:ind w:firstLine="648"/>
        <w:spacing w:after="0" w:line="276" w:lineRule="auto"/>
        <w:rPr>
          <w:sz w:val="20"/>
          <w:szCs w:val="20"/>
          <w:color w:val="auto"/>
        </w:rPr>
      </w:pPr>
      <w:r>
        <w:rPr>
          <w:rFonts w:ascii="Arial" w:cs="Arial" w:eastAsia="Arial" w:hAnsi="Arial"/>
          <w:sz w:val="17"/>
          <w:szCs w:val="17"/>
          <w:color w:val="auto"/>
        </w:rPr>
        <w:t>In the lawsuits filed to date, plaintiffs have not confirmed they ingested any of the generic metoclopramide manufactured by Acura. Acura discontinued manufacture and distribution of generic metoclopramide more than 15 years ago. In addition, Acura believes the June 23, 2011 decision by the U.S. Supreme Court in PLIVA v. Mensing (“Mensing decision”), holding that state tort law failure to warn claims against generic drug companies are pre-empted by the 1984 Hatch-Waxman Act Amendments and federal drug regulations will assist Acura in favorably resolving these cases. Acura has consistently maintained the position that these claims are without merit and intend to vigorously defend these actions.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New Jersey, Generic Defendants, including Acura, filed dispositive motions based on the Mensing decision, which the Court granted with a limited exception. In June 2012, the New Jersey trial court dismissed Acura with prejudice.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Philadelphia and California, Generic Defendants, including Acura, also filed dispositive motions based on the Mensing decision.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18, 2011, the Philadelphia trial court denied Generic Defendants’ dispositive motion. In December 2011, the Generic Defendants appealed this ruling. On April 13, 2012, all trial court proceedings were stayed pending decisions by the Pennsylvania appellate courts. An adverse decision by the Pennsylvania Superior Court was issued in July 2013. Further appeal proceedings are pending. This appeal process eventually could result in dismissal of all of the Philadelphia cases against all generic defendants including Acura, although there can be no assurance in this regard. Legal fees related to this matter are currently covered by Acura’s insurance carrier.</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California, the trial court entered a May 25, 2012 Order denying Generic Defendants’ dispositive preemption motions. The Generics Defendants’ appeals from this order were denied by the California appellate courts. Therefore, subject to further developments, plaintiffs may be permitted to proceed with these lawsuits including state law claims based on (1) failing to communicate warnings to physicians through “Dear Doctor” letters; and (2) failure to update labeling to adopt brand labeling changes. California trial court also has acknowledged the preemptive effect of Mensing so that any claim “that would render the generic defendants in violation of federal law if they are found responsible under a state law cause of action, would not be permissible.” Nonetheless, plaintiffs have not confirmed they ingested any of the generic metoclopramide manufactured by Acura. Therefore, Acura expects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Nebraska, the litigation against Acura has been stayed and will be dismissed if plaintiffs present no evidence of ingestion of generic metoclopramide manufactured by Acura. Legal fees related to this matter are currently covered by Acura’s insurance carrier.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any potential loss is neither probable nor estimable, Acura has not accrued for any potential loss related to these matters as of December 31, 2013 and Acura is presently unable to determine if any potential loss would be covered by its insurance carrier.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DISLCOSURES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Market Prices of 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for the periods indicated are the high and low sales prices for trading in our common stock on the NASDAQ Capital Market as reported by the NASDAQ Capital Market.</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960" w:type="dxa"/>
            <w:vAlign w:val="bottom"/>
            <w:gridSpan w:val="3"/>
          </w:tcPr>
          <w:p>
            <w:pPr>
              <w:spacing w:after="0"/>
              <w:rPr>
                <w:sz w:val="20"/>
                <w:szCs w:val="20"/>
                <w:color w:val="auto"/>
              </w:rPr>
            </w:pPr>
            <w:r>
              <w:rPr>
                <w:rFonts w:ascii="Arial" w:cs="Arial" w:eastAsia="Arial" w:hAnsi="Arial"/>
                <w:sz w:val="18"/>
                <w:szCs w:val="18"/>
                <w:color w:val="auto"/>
              </w:rPr>
              <w:t>Period</w:t>
            </w:r>
          </w:p>
        </w:tc>
        <w:tc>
          <w:tcPr>
            <w:tcW w:w="8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2"/>
              </w:rPr>
              <w:t>Sale Prices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Low</w:t>
            </w:r>
          </w:p>
        </w:tc>
        <w:tc>
          <w:tcPr>
            <w:tcW w:w="12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2012 Fiscal Year</w:t>
            </w:r>
          </w:p>
        </w:tc>
        <w:tc>
          <w:tcPr>
            <w:tcW w:w="8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20"/>
              <w:spacing w:after="0"/>
              <w:rPr>
                <w:sz w:val="20"/>
                <w:szCs w:val="20"/>
                <w:color w:val="auto"/>
              </w:rPr>
            </w:pPr>
            <w:r>
              <w:rPr>
                <w:rFonts w:ascii="Arial" w:cs="Arial" w:eastAsia="Arial" w:hAnsi="Arial"/>
                <w:sz w:val="18"/>
                <w:szCs w:val="18"/>
                <w:color w:val="auto"/>
              </w:rPr>
              <w:t>First Quarter</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4.23</w:t>
            </w:r>
          </w:p>
        </w:tc>
        <w:tc>
          <w:tcPr>
            <w:tcW w:w="12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Second Quarter</w:t>
            </w:r>
          </w:p>
        </w:tc>
        <w:tc>
          <w:tcPr>
            <w:tcW w:w="840" w:type="dxa"/>
            <w:vAlign w:val="bottom"/>
            <w:shd w:val="clear" w:color="auto" w:fill="CCFFCC"/>
          </w:tcPr>
          <w:p>
            <w:pPr>
              <w:spacing w:after="0"/>
              <w:rPr>
                <w:sz w:val="18"/>
                <w:szCs w:val="18"/>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1"/>
              </w:rPr>
              <w:t>3.56</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20"/>
              <w:spacing w:after="0"/>
              <w:rPr>
                <w:sz w:val="20"/>
                <w:szCs w:val="20"/>
                <w:color w:val="auto"/>
              </w:rPr>
            </w:pPr>
            <w:r>
              <w:rPr>
                <w:rFonts w:ascii="Arial" w:cs="Arial" w:eastAsia="Arial" w:hAnsi="Arial"/>
                <w:sz w:val="18"/>
                <w:szCs w:val="18"/>
                <w:color w:val="auto"/>
              </w:rPr>
              <w:t>Third Quarter</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Fourth Quarter</w:t>
            </w:r>
          </w:p>
        </w:tc>
        <w:tc>
          <w:tcPr>
            <w:tcW w:w="840" w:type="dxa"/>
            <w:vAlign w:val="bottom"/>
            <w:shd w:val="clear" w:color="auto" w:fill="CCFFCC"/>
          </w:tcPr>
          <w:p>
            <w:pPr>
              <w:spacing w:after="0"/>
              <w:rPr>
                <w:sz w:val="18"/>
                <w:szCs w:val="18"/>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1"/>
              </w:rPr>
              <w:t>4.50</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2013 Fiscal Year</w:t>
            </w:r>
          </w:p>
        </w:tc>
        <w:tc>
          <w:tcPr>
            <w:tcW w:w="8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20"/>
              <w:spacing w:after="0"/>
              <w:rPr>
                <w:sz w:val="20"/>
                <w:szCs w:val="20"/>
                <w:color w:val="auto"/>
              </w:rPr>
            </w:pPr>
            <w:r>
              <w:rPr>
                <w:rFonts w:ascii="Arial" w:cs="Arial" w:eastAsia="Arial" w:hAnsi="Arial"/>
                <w:sz w:val="18"/>
                <w:szCs w:val="18"/>
                <w:color w:val="auto"/>
              </w:rPr>
              <w:t>First Quarter</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3.62</w:t>
            </w:r>
          </w:p>
        </w:tc>
        <w:tc>
          <w:tcPr>
            <w:tcW w:w="12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Second Quarter</w:t>
            </w:r>
          </w:p>
        </w:tc>
        <w:tc>
          <w:tcPr>
            <w:tcW w:w="840" w:type="dxa"/>
            <w:vAlign w:val="bottom"/>
            <w:shd w:val="clear" w:color="auto" w:fill="CCFFCC"/>
          </w:tcPr>
          <w:p>
            <w:pPr>
              <w:spacing w:after="0"/>
              <w:rPr>
                <w:sz w:val="18"/>
                <w:szCs w:val="18"/>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1"/>
              </w:rPr>
              <w:t>3.78</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20"/>
              <w:spacing w:after="0"/>
              <w:rPr>
                <w:sz w:val="20"/>
                <w:szCs w:val="20"/>
                <w:color w:val="auto"/>
              </w:rPr>
            </w:pPr>
            <w:r>
              <w:rPr>
                <w:rFonts w:ascii="Arial" w:cs="Arial" w:eastAsia="Arial" w:hAnsi="Arial"/>
                <w:sz w:val="18"/>
                <w:szCs w:val="18"/>
                <w:color w:val="auto"/>
              </w:rPr>
              <w:t>Third Quarter</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Fourth Quarter</w:t>
            </w:r>
          </w:p>
        </w:tc>
        <w:tc>
          <w:tcPr>
            <w:tcW w:w="840" w:type="dxa"/>
            <w:vAlign w:val="bottom"/>
            <w:shd w:val="clear" w:color="auto" w:fill="CCFFCC"/>
          </w:tcPr>
          <w:p>
            <w:pPr>
              <w:spacing w:after="0"/>
              <w:rPr>
                <w:sz w:val="18"/>
                <w:szCs w:val="18"/>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1"/>
              </w:rPr>
              <w:t>2.23</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2014 Fiscal Year</w:t>
            </w:r>
          </w:p>
        </w:tc>
        <w:tc>
          <w:tcPr>
            <w:tcW w:w="8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gridSpan w:val="2"/>
          </w:tcPr>
          <w:p>
            <w:pPr>
              <w:ind w:left="320"/>
              <w:spacing w:after="0"/>
              <w:rPr>
                <w:sz w:val="20"/>
                <w:szCs w:val="20"/>
                <w:color w:val="auto"/>
              </w:rPr>
            </w:pPr>
            <w:r>
              <w:rPr>
                <w:rFonts w:ascii="Arial" w:cs="Arial" w:eastAsia="Arial" w:hAnsi="Arial"/>
                <w:sz w:val="18"/>
                <w:szCs w:val="18"/>
                <w:color w:val="auto"/>
              </w:rPr>
              <w:t>First Quarter (through January 31, 2014)</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1.91</w:t>
            </w:r>
          </w:p>
        </w:tc>
        <w:tc>
          <w:tcPr>
            <w:tcW w:w="120" w:type="dxa"/>
            <w:vAlign w:val="bottom"/>
          </w:tcPr>
          <w:p>
            <w:pPr>
              <w:spacing w:after="0"/>
              <w:rPr>
                <w:sz w:val="20"/>
                <w:szCs w:val="20"/>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approximately 325 holders of record of our common stock on February 28, 2014. This number, however, does not reflect the ultimate number of beneficial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payment of cash dividends is subject to the discretion of our Board of Directors and is dependent upon many factors, including our earnings, our capital needs and our general financial condition. Historically, we have not paid any cash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Reference is made to the Company’s Proxy Statement for its 2014 Annual Meeting of Shareholders under the caption “Compensation of Executive Officers and Directors - Restricted Stock Unit Award Plan; and Securities Authorized for Issuance under Equity Compensation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selected consolidated financial data presented below for the years ended December 31, 2013, 2012, 2011, 2010 and 2009 are derived from our audited Consolidated Financial Statements. The Consolidated Financial Statements as of December 31, 2013 and 2012 and for each of the years in the three-year period ended December 31, 2013, and the reports thereon, are included elsewhere in this Report. The selected financial information presented for our 2010 and 2009 operations and for our 2011, 2010 and 2009 balance sheets are derived from our audited Consolidated Financial Statements not presented in this Report.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both"/>
        <w:ind w:firstLine="648"/>
        <w:spacing w:after="0" w:line="264" w:lineRule="auto"/>
        <w:rPr>
          <w:sz w:val="20"/>
          <w:szCs w:val="20"/>
          <w:color w:val="auto"/>
        </w:rPr>
      </w:pPr>
      <w:r>
        <w:rPr>
          <w:rFonts w:ascii="Arial" w:cs="Arial" w:eastAsia="Arial" w:hAnsi="Arial"/>
          <w:sz w:val="18"/>
          <w:szCs w:val="18"/>
          <w:color w:val="auto"/>
        </w:rPr>
        <w:t>The information set forth below is qualified by reference to, and should be read in conjunction with, the Consolidated Financial Statements and related notes thereto included elsewhere in this Report and "Item 7. Management's Discussion and Analysis of Financial Condition and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DATA (in thousands) except per share data</w:t>
            </w:r>
          </w:p>
        </w:tc>
        <w:tc>
          <w:tcPr>
            <w:tcW w:w="24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Revenues, net</w:t>
            </w:r>
          </w:p>
        </w:tc>
        <w:tc>
          <w:tcPr>
            <w:tcW w:w="2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20,466</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3,311</w:t>
            </w: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3,835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4,037</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FFCC"/>
          </w:tcPr>
          <w:p>
            <w:pPr>
              <w:ind w:left="160"/>
              <w:spacing w:after="0" w:line="256" w:lineRule="exact"/>
              <w:rPr>
                <w:sz w:val="20"/>
                <w:szCs w:val="20"/>
                <w:color w:val="auto"/>
              </w:rPr>
            </w:pPr>
            <w:r>
              <w:rPr>
                <w:rFonts w:ascii="Arial" w:cs="Arial" w:eastAsia="Arial" w:hAnsi="Arial"/>
                <w:sz w:val="18"/>
                <w:szCs w:val="18"/>
                <w:color w:val="auto"/>
              </w:rPr>
              <w:t>Selling, marketing, general and administrative</w:t>
            </w:r>
            <w:r>
              <w:rPr>
                <w:rFonts w:ascii="Arial" w:cs="Arial" w:eastAsia="Arial" w:hAnsi="Arial"/>
                <w:sz w:val="29"/>
                <w:szCs w:val="29"/>
                <w:color w:val="auto"/>
                <w:vertAlign w:val="superscript"/>
              </w:rPr>
              <w:t>(2)</w:t>
            </w:r>
          </w:p>
        </w:tc>
        <w:tc>
          <w:tcPr>
            <w:tcW w:w="24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8,926</w:t>
            </w:r>
          </w:p>
        </w:tc>
        <w:tc>
          <w:tcPr>
            <w:tcW w:w="6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6,013</w:t>
            </w:r>
          </w:p>
        </w:tc>
        <w:tc>
          <w:tcPr>
            <w:tcW w:w="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5,895</w:t>
            </w:r>
          </w:p>
        </w:tc>
        <w:tc>
          <w:tcPr>
            <w:tcW w:w="20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8,858</w:t>
            </w:r>
          </w:p>
        </w:tc>
        <w:tc>
          <w:tcPr>
            <w:tcW w:w="4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11,662</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(Loss) income before income tax</w:t>
            </w: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(13,901)</w:t>
            </w: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(9,668)</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10,532</w:t>
            </w: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(12,696)</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(loss) income applicable to common stockholders</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(13,901)</w:t>
            </w: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(9,668)</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10,385</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(12,707)</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(Loss) earnings per share: Basic</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 earnings per share: Diluted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net earnings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(loss) per share: Basic</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47,764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47,496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47,029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Weighted average shares used in computing net earnings</w:t>
            </w:r>
          </w:p>
        </w:tc>
        <w:tc>
          <w:tcPr>
            <w:tcW w:w="2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(loss) per share: Diluted</w:t>
            </w: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47,764</w:t>
            </w:r>
          </w:p>
        </w:tc>
        <w:tc>
          <w:tcPr>
            <w:tcW w:w="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47,521</w:t>
            </w: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48,007</w:t>
            </w:r>
          </w:p>
        </w:tc>
        <w:tc>
          <w:tcPr>
            <w:tcW w:w="20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47,029</w:t>
            </w: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45,932</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20" w:firstLine="8"/>
        <w:spacing w:after="0" w:line="258" w:lineRule="auto"/>
        <w:tabs>
          <w:tab w:leader="none" w:pos="213" w:val="left"/>
        </w:tabs>
        <w:numPr>
          <w:ilvl w:val="0"/>
          <w:numId w:val="19"/>
        </w:numPr>
        <w:rPr>
          <w:rFonts w:ascii="Arial" w:cs="Arial" w:eastAsia="Arial" w:hAnsi="Arial"/>
          <w:sz w:val="14"/>
          <w:szCs w:val="14"/>
          <w:color w:val="auto"/>
        </w:rPr>
      </w:pPr>
      <w:r>
        <w:rPr>
          <w:rFonts w:ascii="Arial" w:cs="Arial" w:eastAsia="Arial" w:hAnsi="Arial"/>
          <w:sz w:val="18"/>
          <w:szCs w:val="18"/>
          <w:color w:val="auto"/>
        </w:rPr>
        <w:t>Includes stock-based compensation expense of approximately $500, $400, $500, $1,700 and $1,900 for years 2013, 2012, 2011, 2010 and 2009, respectively.</w:t>
      </w:r>
    </w:p>
    <w:p>
      <w:pPr>
        <w:spacing w:after="0" w:line="1" w:lineRule="exact"/>
        <w:rPr>
          <w:rFonts w:ascii="Arial" w:cs="Arial" w:eastAsia="Arial" w:hAnsi="Arial"/>
          <w:sz w:val="14"/>
          <w:szCs w:val="14"/>
          <w:color w:val="auto"/>
        </w:rPr>
      </w:pPr>
    </w:p>
    <w:p>
      <w:pPr>
        <w:ind w:right="420" w:firstLine="8"/>
        <w:spacing w:after="0" w:line="261" w:lineRule="auto"/>
        <w:tabs>
          <w:tab w:leader="none" w:pos="213" w:val="left"/>
        </w:tabs>
        <w:numPr>
          <w:ilvl w:val="0"/>
          <w:numId w:val="19"/>
        </w:numPr>
        <w:rPr>
          <w:rFonts w:ascii="Arial" w:cs="Arial" w:eastAsia="Arial" w:hAnsi="Arial"/>
          <w:sz w:val="14"/>
          <w:szCs w:val="14"/>
          <w:color w:val="auto"/>
        </w:rPr>
      </w:pPr>
      <w:r>
        <w:rPr>
          <w:rFonts w:ascii="Arial" w:cs="Arial" w:eastAsia="Arial" w:hAnsi="Arial"/>
          <w:sz w:val="18"/>
          <w:szCs w:val="18"/>
          <w:color w:val="auto"/>
        </w:rPr>
        <w:t>Includes stock-based compensation expense of approximately $1,900, $1,300, $1,900, $5,100 and $7,300 for years 2013, 2012, 2011, 2010 and 2009, respectively.</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BALANCE SHEET DATA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2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FFCC"/>
            </w:tcBorders>
          </w:tcPr>
          <w:p>
            <w:pPr>
              <w:spacing w:after="0"/>
              <w:rPr>
                <w:sz w:val="20"/>
                <w:szCs w:val="20"/>
                <w:color w:val="auto"/>
              </w:rPr>
            </w:pPr>
          </w:p>
        </w:tc>
      </w:tr>
      <w:tr>
        <w:trPr>
          <w:trHeight w:val="210"/>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26,346</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26,572</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35,599</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23,289</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28,750</w:t>
            </w:r>
          </w:p>
        </w:tc>
        <w:tc>
          <w:tcPr>
            <w:tcW w:w="120" w:type="dxa"/>
            <w:vAlign w:val="bottom"/>
            <w:shd w:val="clear" w:color="auto" w:fill="CCFFC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28,630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29,054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37,173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25,493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31,917</w:t>
            </w:r>
          </w:p>
        </w:tc>
        <w:tc>
          <w:tcPr>
            <w:tcW w:w="120" w:type="dxa"/>
            <w:vAlign w:val="bottom"/>
          </w:tcPr>
          <w:p>
            <w:pPr>
              <w:spacing w:after="0"/>
              <w:rPr>
                <w:sz w:val="18"/>
                <w:szCs w:val="18"/>
                <w:color w:val="auto"/>
              </w:rPr>
            </w:pPr>
          </w:p>
        </w:tc>
      </w:tr>
      <w:tr>
        <w:trPr>
          <w:trHeight w:val="216"/>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10,707</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1,424</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FFC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(349,112)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(335,211)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(325,543)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(335,928)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(323,221)</w:t>
            </w:r>
          </w:p>
        </w:tc>
        <w:tc>
          <w:tcPr>
            <w:tcW w:w="120" w:type="dxa"/>
            <w:vAlign w:val="bottom"/>
          </w:tcPr>
          <w:p>
            <w:pPr>
              <w:spacing w:after="0"/>
              <w:rPr>
                <w:sz w:val="18"/>
                <w:szCs w:val="18"/>
                <w:color w:val="auto"/>
              </w:rPr>
            </w:pPr>
          </w:p>
        </w:tc>
      </w:tr>
      <w:tr>
        <w:trPr>
          <w:trHeight w:val="216"/>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17,923</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27,630</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36,643</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24,341</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29,910</w:t>
            </w:r>
          </w:p>
        </w:tc>
        <w:tc>
          <w:tcPr>
            <w:tcW w:w="120" w:type="dxa"/>
            <w:vAlign w:val="bottom"/>
            <w:shd w:val="clear" w:color="auto" w:fill="CCFFC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under the caption “Forward-Looking Statements” for a description of the most significant of such factors.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our license agreement with a subsidiary of Pfizer, or the Pfizer Agreement. We have also developed our Impede® Technology which is a combination of inactive ingredients that prevent the extraction of pseudoephedrine from tablets and disrupt the direct conversion of pseudoephedrine from tablets into methamphetamine.</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7 additional opioid products utilizing Aversion in various stages of development. Our product containing hydrocodone bitartrate and acetaminophen utilizing the Aversion technology, or hydrocodone/acetaminophen, is the most advanced opioid product in development and the primary focus of our opioid development efforts. Hydrocodone/acetaminophen is the most widely prescribed and often abused opioid product in the United States. We filed an Investigational New Drug Application, or IND, with the Food and Drug Administration, or FDA, on December 20, 2012, which became effective in late January 2013. On August 26, 2013, we announced the top-line results from Study AP-ADF-301 (“Study 301”), a phase II clinical study in 40 recreational drug abusers assessing the liability of snorting our hydrocodone/acetaminophen product. Study 301s primary endpoint indicated that Aversion hydrocodone/acetaminophen had slightly lower numeric mean maximum drug liking compared to an equivalent dose of a generic hydrocodone/acetaminophen tablet, however these results were not statistically significant. The Study 301 secondary endpoints demonstrated statistical significance in mean minimum drug liking, including the Overall Drug Liking score and the Take Drug Again assessment. On December 5, 2013, we met with the FDA to discuss if the FDA will consider whether the results of Study 301 are acceptable for submission in a New Drug Application, or NDA. On February 7, 2014, the FDA advised us their discussion of whether the results of study AP-ADF-301 could support abuse-deterrent labeling is ongoing. We expect that the development program for our other Aversion opioid products in development will be consistent with that of Oxecta and our hydrocodone/acetaminophen product candidate.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launched Nexafed commercially in mid-December 2012 into the $1 billion United States over the counter market, or OTC, for cold and allergy products containing a decongestant. Nexafed was demonstrated in a clinical study to meet the FDA Guideline standards for bioequivalence to the reference drug Sudafed® marketed by Johnson &amp; Johnson Corporation. We anticipate developing line extensions for our Nexafed franchise to capitalize on the many different combination offerings in the OTC cold/allergy market and expect to launch our first line extension in 2014. We also are developing a next generation of our Impede Technology in order to further improve our Nexafed franchise.</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have discovered an early-stage technology which, in proof of concept laboratory tests, demonstrates the ability to limit the release of the active ingredient from tablets when multiple tablets are consumed simultaneously.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Present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2013, we had cash, cash equivalents and marketable securities of $26.1 million compared to $27.4 million of cash, cash equivalents and marketable securities at December 31, 2012. We had working capital of $26.3 million at December 31, 2013, compared to working capital of $26.6 million at December 31, 2012. We had an accumulated deficit of approximately $349.0 million and $335.2 million at December 31, 2013 and December 31, 2012, respectively. We had a loss from operations of $14.1 million and a net loss of $13.9 million for the year ended December 31, 2013, compared to a loss from operation of $9.7 million and a net loss of $9.7 million for the year ended December 31, 2012. As of January 31, 2014, we had cash, cash equivalents and marketable securities of approximately $24.8 million.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both"/>
        <w:ind w:firstLine="648"/>
        <w:spacing w:after="0" w:line="271" w:lineRule="auto"/>
        <w:rPr>
          <w:sz w:val="20"/>
          <w:szCs w:val="20"/>
          <w:color w:val="auto"/>
        </w:rPr>
      </w:pPr>
      <w:r>
        <w:rPr>
          <w:rFonts w:ascii="Arial" w:cs="Arial" w:eastAsia="Arial" w:hAnsi="Arial"/>
          <w:sz w:val="17"/>
          <w:szCs w:val="17"/>
          <w:color w:val="auto"/>
        </w:rPr>
        <w:t>During the year ended December 31, 2013, we recognized $113 thousand of product sales on gross shipments of Nexafed which totaled $402 thousand. Certain of our customers have accepted a pricing allowance in exchange for forfeiting the right to return Nexafed and therefore we are recognizing revenue upon product shipment to them. Additionally, we are recognizing revenue from certain of our other customers based on a pharmacy’s Nexafed reorder activity with their own drug wholesaler supplier. For all other customers, given the limited sales history of Nexafed, the Company currently cannot reliably estimate expected returns of the product from these customers at the time of shipment. Accordingly, the Company is deferring recognition of revenue on these product shipments of Nexafed until the right of return no longer exists or adequate history and information is available to estimate product returns. Our royalty revenue from Pfizer’s sale of Oxecta Tablets began in February 2013 and we are accruing royalties based on the estimate of net product sales of Oxecta Tablets provided by Pfizer to us.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fund our continued operations, we expect to rely on our current cash resources, the proceeds of our $10 million term loan from Oxford Finance, net proceeds, if any, from our “at-the-market” offering of our common stock pursuant to our Sales Agreement with MLV &amp; Co., royalty payments that may be made under Pfizer Agreement, milestones and royalty payments that may be made under future license agreements with other pharmaceutical company partners, of which there can be no assurance of obtaining, and revenues from our commercialization of our Nexafed Tablets. Our cash requirements for operating activities may increase in the future as we continue to conduct pre-clinical studies and clinical trials for our product candidates, maintain, defend, and expand the scope of our intellectual property, including the litigation of the Paragraph IV Proceedings, hire additional personnel, commercialize our Nexafed Tablets, or invest in other areas.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losses have resulted principally from costs incurred in connection with research and development activities, salaries and other personnel-related costs and general corporate expenses. Research and development activities include costs of pre-clinical studies, clinical trials, and clinical trial product supplies associated with our product candidates. Salaries and other personnel-related costs include the non-cash stock-based compensation associated with stock options and restricted stock units granted to employees and non-employee directors.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Results of Operations for the Years Ended December 31, 2013 and 2012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8"/>
                <w:szCs w:val="18"/>
                <w:color w:val="auto"/>
                <w:w w:val="88"/>
              </w:rPr>
              <w:t>Change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$000’s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rPr>
              <w:t>$000’s</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w w:val="83"/>
              </w:rPr>
              <w:t>Percent</w:t>
            </w: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Product sales, net</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Total revenues, net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364</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4,923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8,926</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6,013</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14,213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(14,090)</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(9,739)</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4,351</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 (expense)</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(13,901)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(13,901)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(9,668)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Nexafed® was launched in mid-December 2012. The Company sells Nexafed® in the United States to wholesale pharmaceutical distributors and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the Company currently cannot reliably estimate expected returns of the product at the time of shipment to certain customers. Accordingly, the Company has deferred the recognition of revenue on $0.3 million of Nexafed® shipments to these customers until the right of return no longer exists or adequate history and information becomes available to estimate product returns. We have recognized revenue of $113 thousand in 2013 for shipments to customers where the right of return no longer existed either because a pricing allowance was accepted in exchange for forfeiting the right of return or because information became available on pharmacy’s reorder activity with their drug wholesaler. We will continue to analyze information to assess the recognition of our revenue but also expect to continue the deferral of some revenue in the foreseeable future. As of December 31, 2013, we had $0.3 million in deferred revenue on our balance sheet related to Nexafed shipments which occurred since its commercial launch. We had no net product sales during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connection with our License, Development, and Commercialization Agreement dated October 30, 2007 with King Pharmaceuticals Research and Development, Inc., now a subsidiary of Pfizer Inc., we began to earn royalties on Oxecta net sales starting in February 2013. Pfizer will pay us a royalty at one of six rates ranging from 5% to 25% based on the level of annual net sales for Oxecta across all Pfizer Territories, with the highest applicable royalty rate applied to such annual sales. These royalties are based on net sales of Oxecta reported to us by Pfizer being paid to us within 45 days after the end of each calendar quarter. We recorded royalties of approximately $10 thousand for 2013 on Pfizer’s net sales of Oxecta of approximately $0.2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9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Cost of sales includes third party acquisition costs, third party warehousing and product distribution charges and inventory reserve charges for the Nexafed product line. During 2013, we established an inventory reserve of $0.25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 (R&amp;D) during 2013 were primarily for our Aversion development expenses and during 2012 were for product candidates utilizing either our Aversion or our Impede® Technologies, including costs of preclinical, clinical trials, clinical supplies and related formulation and design costs, salaries and other personnel related expenses, and facility costs. Included in each of the 2013 and 2012 results are non-cash share-based compensation expenses of $0.3 million and $0.4 million, respectively. Excluding the share-based compensation expense, our R&amp;D expenses increased approximately $1.3 million between reporting periods primarily from our Aversion development expenses on our hydrocodone/acetaminophen product candidate.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both"/>
        <w:ind w:firstLine="648"/>
        <w:spacing w:after="0" w:line="254" w:lineRule="auto"/>
        <w:rPr>
          <w:sz w:val="20"/>
          <w:szCs w:val="20"/>
          <w:color w:val="auto"/>
        </w:rPr>
      </w:pPr>
      <w:r>
        <w:rPr>
          <w:rFonts w:ascii="Arial" w:cs="Arial" w:eastAsia="Arial" w:hAnsi="Arial"/>
          <w:sz w:val="18"/>
          <w:szCs w:val="18"/>
          <w:color w:val="auto"/>
        </w:rPr>
        <w:t>Selling and marketing expenses during 2013 primarily consisted of advertising and marketing activities on Nexafed which was launched in December 2012. Selling and marketing expenses during 2012 primarily consisted of market research studies on our Aversion and Impede® Technologies. Our Nexafed advertising and marketing activities will continue in 2014. Our G&amp;A expenses primarily consisted of legal, audit and other professional services, corporate insurance, and payroll. Included in the 2013 and 2012 results are non-cash share-based compensation expenses of $0.9 million and $1.3 million, respectively. Excluding the share-based compensation expense our selling, marketing, general and administrative expenses increased approximately $3.4 million between reporting periods, primarily for the marketing, advertising and promotional programs on Nexafed of $1.1 million, compensation costs of $0.2 million, legal services on our paragraph IV litigation of $1.7 million, patent and trademark services of $0.3 million and general corporate legal matters of $0.1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2013 and 2012, non-operating income consisted principally of investment income derived from our cash reserves being invested in accordance with a Board of Director approved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loss for 2013 and 2012 includes no federal or state income tax benefit provisions due to uncertainty of their future utilization.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Results of Operations for the Years Ended December 31, 2012 and 2011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8"/>
                <w:szCs w:val="18"/>
                <w:color w:val="auto"/>
                <w:w w:val="88"/>
              </w:rPr>
              <w:t>Change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$000’s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rPr>
              <w:t>$000’s</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w w:val="83"/>
              </w:rPr>
              <w:t>Percent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Milestone revenue</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3,726</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6,013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9,739</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9,932</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(9,739)</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income</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other income (expense), net</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(9,668)</w:t>
            </w: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10,532</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(20,200)</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(9,668)</w:t>
            </w:r>
          </w:p>
        </w:tc>
        <w:tc>
          <w:tcPr>
            <w:tcW w:w="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10,385</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(20,053)</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2012, we recorded $6.0 thousand from gross product sales of Nexafed from two regional wholesalers, which we completely offset with a returned goods reserve. This compares to revenues in 2011 of $20.5 million, all from the Pfizer Agreement comprised of a $20.0 million milestone payment for achieving the FDA approval of Oxecta and the amortization of the final amount of the initial upfront fee received back in 2007.</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 during 2012 and 2011 were primarily for product candidates utilizing our Aversion and Impede Technologies, including costs of preclinical studies, clinical trials, clinical supplies and related formulation and design costs, salaries and other personnel related expenses, and facility costs. Included in the 2012 and 2011 results are non-cash stock-based compensation charges of $0.4 million and $0.5 million, respectively, associated with the grant of stock options and restricted stock units. Excluding the stock-based compensation expense, there was a $0.2 million decrease in development expenses in 2012 compared to 2011.</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Marketing expenses during 2012 and 2011 consisted of market research studies on our Impede Technology. Our general and administrative expenses primarily consisted of legal, audit and other professional fees, corporate insurance, and payroll. Included in the 2012 and 2011 results are non-cash stock-based compensation charges of $1.3 million and $1.9 million, respectively, associated with the grant of stock options and restricted stock units. Excluding the stock-based compensation expense, there was an increase of $0.7 million in marketing, general and administrative expenses in 2012 compared to 2011, primarily attributable to Nexafed development and promotion.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fourth quarter of 2012, the Company amended its investment policy allowing greater flexibility in investment selections. As such, some investments were shifted from lower yielding money market funds to high grade corporate bonds resulting in significant improvement in interest income over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net loss of $9.7 million for 2012 includes no federal or state income tax benefit provisions due to uncertainty of their future utilization. In 2011, the Company was able to utilize existing net operating loss carryforwards to offset the majority of its 2011 federal and state income taxes. The income tax expense for 2011 is comprised of federal alternative minimum taxes as well as state income taxes totaling $0.1 million. The Company has maintained a full valuation allowance on its deferred tax asset due to the uncertainty of future utilization of the Company’s net operating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2013, we had cash, cash equivalents and marketable securities of $26.1 million compared to $27.4 million in cash and cash equivalents at December 31, 2012. We had working capital of $26.3 million at December 31, 2013 compared to $26.6 million at December 31, 2012. Our investing activities for capital expenditures were $23,000 in 2013 and $147,000 in 2012.</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Pending the receipt of milestone and royalty payments under license agreements similar to the Pfizer Agreement anticipated to be negotiated and executed with other pharmaceutical company partners, of which no assurance can be given, we must rely on royalty payments from Pfizer for its sales of Oxecta, revenues for our Nexafed sales, the net proceeds, if any, from our “at-the-market” offering of our common stock pursuant to our Sales Agreement with MLV &amp; Co., the proceeds of our $10.0 million loan from Oxford Finance completed in December 2013 (as described below), and our current cash reserves, including interest income from the investment of our cash reserves, to fund the development of our Aversion Technology, Impede Technology and related administrative and operating expenses. Our future sources of revenue, if any, will be derived from milestone payments and royalties under license agreements similar to the Pfizer Agreement with other pharmaceutical company partners, for which there can be no assurance, and from the commercialization of our Nexafed tablets and other Impede Technology products that we expect to develop.</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January 31, 2014, we had cash, cash equivalents and marketable securities of approximately $24.8 million. We estimate that such cash reserves will be sufficient to fund the development of Aversion Technology and Impede Technology product candidates, and related operating expenses at least through the next 12 months.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jc w:val="both"/>
        <w:ind w:firstLine="648"/>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expected cash payments on contractual obligations outstanding as of December 31, 2013:</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color w:val="auto"/>
              </w:rPr>
              <w:t>Payments due by period (in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5"/>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Less than</w:t>
            </w:r>
          </w:p>
        </w:tc>
        <w:tc>
          <w:tcPr>
            <w:tcW w:w="220" w:type="dxa"/>
            <w:vAlign w:val="bottom"/>
          </w:tcPr>
          <w:p>
            <w:pPr>
              <w:spacing w:after="0"/>
              <w:rPr>
                <w:sz w:val="16"/>
                <w:szCs w:val="16"/>
                <w:color w:val="auto"/>
              </w:rPr>
            </w:pPr>
          </w:p>
        </w:tc>
        <w:tc>
          <w:tcPr>
            <w:tcW w:w="82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ind w:left="20"/>
              <w:spacing w:after="0" w:line="195" w:lineRule="exact"/>
              <w:rPr>
                <w:sz w:val="20"/>
                <w:szCs w:val="20"/>
                <w:color w:val="auto"/>
              </w:rPr>
            </w:pPr>
            <w:r>
              <w:rPr>
                <w:rFonts w:ascii="Arial" w:cs="Arial" w:eastAsia="Arial" w:hAnsi="Arial"/>
                <w:sz w:val="18"/>
                <w:szCs w:val="18"/>
                <w:color w:val="auto"/>
              </w:rPr>
              <w:t>More than</w:t>
            </w:r>
          </w:p>
        </w:tc>
        <w:tc>
          <w:tcPr>
            <w:tcW w:w="120" w:type="dxa"/>
            <w:vAlign w:val="bottom"/>
          </w:tcPr>
          <w:p>
            <w:pPr>
              <w:spacing w:after="0"/>
              <w:rPr>
                <w:sz w:val="16"/>
                <w:szCs w:val="16"/>
                <w:color w:val="auto"/>
              </w:rPr>
            </w:pPr>
          </w:p>
        </w:tc>
      </w:tr>
      <w:tr>
        <w:trPr>
          <w:trHeight w:val="230"/>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1 year</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years</w:t>
            </w:r>
          </w:p>
        </w:tc>
        <w:tc>
          <w:tcPr>
            <w:tcW w:w="1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5 years</w:t>
            </w:r>
          </w:p>
        </w:tc>
      </w:tr>
      <w:tr>
        <w:trPr>
          <w:trHeight w:val="210"/>
        </w:trPr>
        <w:tc>
          <w:tcPr>
            <w:tcW w:w="28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leases</w:t>
            </w: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Contract manufacturing</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Clinical studies</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Employment agreements</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Debt principal</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Debt interest</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28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with Oxford Finance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27, 2013, we and our subsidiary, Acura Pharmaceutical Technologies, Inc. entered into a Loan and Security Agreement (the “Loan Agreement”) with Oxford Finance LLC (“Oxford”), as collateral agent and as a lender, pursuant to which the Oxford made a term loan to us in the principal amount of $10.0 million (the “Term Loan”), subject to the terms and conditions set forth in the Loan Agreement. We will use the proceeds of the Loan Agreement for general working capital and to fund our business requirements.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full principal amount of the Term Loan was funded on December 27, 2013. The Term Loan accrues interest at a fixed rate of 8.35% per annum (with a default rate of 13.35% per annum). We are required to make monthly interest-only payments until the Amortization Date and starting on the Amortization Date, we are required to make payments of principal and accrued interest in equal monthly installments sufficient to amortize the Term Loan through the maturity date of December 1, 2018. The “Amortization Date” is April 1, 2015, but shall automatically become April 1, 2016 if we achieve 75% of our projected Nexafed® cash receipts and 75% of our projected Oxecta® cash receipts for the fiscal year ending December 31, 2014 (collectively, the “First Revenue Event”). The Amortization Date will be further deferred until April 1, 2017 if the First Revenue Event occurs and in addition, we achieve 75% of our projected Nexafed cash receipts and 75% of our projected Oxecta cash receipts for the fiscal year ending December 31, 2015 (collectively, the “Second Revenue Event”). All unpaid principal and accrued and unpaid interest with respect to the Term Loan is due and payable in full on December 1, 2018. As security for our obligations under the Loan Agreement, we granted Oxford a security interest in substantially all of our existing and after-acquired assets, exclusive of intellectual property assets. Pursuant to the Loan Agreement, we are not allowed to pledge our intellectual property assets to others.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voluntarily prepay the Term Loan in full, but not in part, and any prepayment is subject to a prepayment premium equal to 3% of the principal prepaid if prepaid on or prior to December 27, 2014, 2% of the principal prepaid, if prepaid after December 27, 2014 but on or prior to December 27, 2015, and 1% of the principal prepaid if prepaid after December 27, 2015. In addition, at the maturity, termination or upon voluntary or mandatory prepayment of the Term Loan, we must pay Oxford an additional one-time interest payment of (A) $795,000 if the First Revenue Event does not occur, (B) $895,000 if the First Revenue Event occurs but the Second Revenue Event does not occur, or (C) $995,000 if both the First Revenue Event and the Second Revenue Event occur.</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our ability to incur liens, incur indebtedness, pay dividends, redeem stock, and merge or consolidate and dispose of assets. In addition, it contains customary events of default that entitles Oxford to cause any or all of our indebtedness under the Loan Agreement to become immediately due and payable. The events of default (some of which are subject to applicable grace or cure periods), include, among other things, non-payment defaults, covenant defaults, a material adverse change affecting us or our operations, bankruptcy and insolvency defaults and material judgment defaults.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jc w:val="both"/>
        <w:ind w:firstLine="648"/>
        <w:spacing w:after="0" w:line="264" w:lineRule="auto"/>
        <w:rPr>
          <w:sz w:val="20"/>
          <w:szCs w:val="20"/>
          <w:color w:val="auto"/>
        </w:rPr>
      </w:pPr>
      <w:r>
        <w:rPr>
          <w:rFonts w:ascii="Arial" w:cs="Arial" w:eastAsia="Arial" w:hAnsi="Arial"/>
          <w:sz w:val="18"/>
          <w:szCs w:val="18"/>
          <w:color w:val="auto"/>
        </w:rPr>
        <w:t>Simultaneous with the funding of the Term Loan, pursuant to the terms and conditions of the Loan Agreement, we issued to the Oxford warrants to purchase an aggregate of up to 297,805 shares of our common stock at an exercise price equal to $1.595 per share (the “Warrants”). The Warrants are immediately exercisable for cash or by net exercise and will expire December 27,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engage in transactions or arrangements with unconsolidated or other special 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sales when the price is fixed and determinable at the date of sale, title and risk of ownership have been transferred to the customer, and returns can be reasonably estimated.</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Nexafed was launched in mid-December 2012. The Company sells Nexafed in the United States to wholesale pharmaceutical distributors and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the Company currently cannot reliably estimate expected returns of the product at the time of shipment to certain customers. Accordingly, the Company has deferred revenue recognition on Nexafed shipments of $0.3 million since the product’s launch to these customers until the right of return no longer exists or adequate history and information is available to estimate product returns.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Commencing in February 2013, we began earning royalties based on net sales of Oxecta by Pfizer pursuant to the Pfizer Agreement. Such royalties are paid to us within 45 days after the end of each calendar quarter. We have recorded royalties of approximately $10 thousand for the year ended December 31, 2013 on Oxecta’s net sales of approximately $0.2 million.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Research and Development, or R&amp;D, expenses include internal R&amp;D activities, external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the study starting date. We review and accrue CRO expenses and clinical trial study expenses based on services performed and rely upon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have entered into several cancelable CRO arrangements and our obligations under these arrangements were approximately $0.7 million and $1.5 million at December 31, 2013 and 2012, respectively, for services to be incurred as subjects are enrolled and progress through the studies.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Because we realized taxable income in 2011 we were able to utilize a portion of our net operating loss carryforwards. At December 31, 2013, 100% of the remaining deferred income tax assets are offset by a valuation allowance due to uncertainties with respect to future utilization of net operating loss carryforwards.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capital expenditures during 2013, 2012 and 2011 were $23,000, $147,000 and $132,000, respectively. Capital expenditures in each such year were primarily attributable to the purchase of scientific equipment and improvements to the Culver, Indiana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inflation did not have a material impact on our operations for the periods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Some of the securities that we invest in may be subject to market risk. Our primary objective in our cash management activities is to preserve principal while at the same time maximizing income we receive from our investments. A change in the prevailing interest rates may cause the principal amount of our investments to fluctuate. We have no holdings of derivative financial and commodity instruments. As of December 31, 2013, our investments consisted of corporate bonds and exchange-traded funds.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consolidated financial statements of Acura Pharmaceuticals, Inc. and Subsidiary and the Report of the Independent Registered Public Accounting Firm thereon, to be filed pursuant to Item 8 are included in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We have conducted an evaluation, under the supervision and with the participation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pursuant to Exchange Act Rule 13a-15(e). Based upon that evaluation, our Chief Executive Officer and Chief Financial Officer concluded that our disclosure controls and procedures are effective in timely alerting them to material information relating to the Company (including our subsidiary) required to be included in our periodic Securities and Exchange Commission filings.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46"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2013. In making this assessment, management used the criteria set forth by the Committee of Sponsoring Organizations of the Treadway Commission (COSO) in Internal Control – Integrated Framework. Based on our assessment, our Chief Executive Officer and our Chief Financial Officer both believe that, as of December 31, 2013, our internal control over financial reporting is effective based on those criteria.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independent registered public accounting firm was not required to and did not express an opinion on the effectiveness of the Company’s internal control over financial reporting.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that occurred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2013 that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Reference is made to 2014 Proxy Statement to be filed with the SEC on or about March13, 2014 with respect to Directors, Executive Officers and Corporate Governance, which is incorporated herein by reference and made a part hereof in response to the information required by Item 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made to our 2014 Proxy Statement to be filed with the SEC on or about March 13, 2014 with respect to Executive Compensation, which is incorporated herein by reference and made a part hereof in response to the information required by Item 11.</w:t>
      </w:r>
    </w:p>
    <w:p>
      <w:pPr>
        <w:spacing w:after="0" w:line="166" w:lineRule="exact"/>
        <w:rPr>
          <w:sz w:val="20"/>
          <w:szCs w:val="20"/>
          <w:color w:val="auto"/>
        </w:rPr>
      </w:pPr>
    </w:p>
    <w:p>
      <w:pPr>
        <w:ind w:left="920" w:right="740" w:hanging="904"/>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Reference is made to our 2014 Proxy Statement to be filed with the SEC on or about March 13, 2014 with respect to the to the security ownership of certain beneficial owners and management and related stockholder matters, which is incorporated herein by reference and made a part hereof in response to the information required by Item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Reference is made to our 2014 Proxy Statement to be filed with the SEC on or about March 13, 2014 with respect to certain relationships and related transactions and direct independence, which is incorporated herein by reference and made a part hereof in response to the information required by Item 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Reference is made to our 2014 Proxy Statement to be filed with the SEC on or about March 13, 2014 with respect to auditor fees, which is incorporated herein by reference and made a part in response to the information required by Item 14.</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Financial Statements: See Index to Financial Statements</w:t>
      </w:r>
    </w:p>
    <w:p>
      <w:pPr>
        <w:spacing w:after="0" w:line="23" w:lineRule="exact"/>
        <w:rPr>
          <w:rFonts w:ascii="Arial" w:cs="Arial" w:eastAsia="Arial" w:hAnsi="Arial"/>
          <w:sz w:val="18"/>
          <w:szCs w:val="18"/>
          <w:color w:val="auto"/>
        </w:rPr>
      </w:pPr>
    </w:p>
    <w:p>
      <w:pPr>
        <w:ind w:left="700" w:hanging="368"/>
        <w:spacing w:after="0"/>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Exhibits: See Index to Exhibits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February 27, 2014</w:t>
            </w:r>
          </w:p>
        </w:tc>
        <w:tc>
          <w:tcPr>
            <w:tcW w:w="8020" w:type="dxa"/>
            <w:vAlign w:val="bottom"/>
            <w:gridSpan w:val="2"/>
          </w:tcPr>
          <w:p>
            <w:pPr>
              <w:ind w:left="1580"/>
              <w:spacing w:after="0"/>
              <w:rPr>
                <w:sz w:val="20"/>
                <w:szCs w:val="20"/>
                <w:color w:val="auto"/>
              </w:rPr>
            </w:pPr>
            <w:r>
              <w:rPr>
                <w:rFonts w:ascii="Arial" w:cs="Arial" w:eastAsia="Arial" w:hAnsi="Arial"/>
                <w:sz w:val="18"/>
                <w:szCs w:val="18"/>
                <w:color w:val="auto"/>
              </w:rPr>
              <w:t>ACURA PHARMACEUTICALS, INC.</w:t>
            </w:r>
          </w:p>
        </w:tc>
      </w:tr>
      <w:tr>
        <w:trPr>
          <w:trHeight w:val="432"/>
        </w:trPr>
        <w:tc>
          <w:tcPr>
            <w:tcW w:w="3400" w:type="dxa"/>
            <w:vAlign w:val="bottom"/>
          </w:tcPr>
          <w:p>
            <w:pPr>
              <w:spacing w:after="0"/>
              <w:rPr>
                <w:sz w:val="24"/>
                <w:szCs w:val="24"/>
                <w:color w:val="auto"/>
              </w:rPr>
            </w:pPr>
          </w:p>
        </w:tc>
        <w:tc>
          <w:tcPr>
            <w:tcW w:w="2320" w:type="dxa"/>
            <w:vAlign w:val="bottom"/>
          </w:tcPr>
          <w:p>
            <w:pPr>
              <w:ind w:left="158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ROBERT B. JONES</w:t>
            </w:r>
          </w:p>
        </w:tc>
      </w:tr>
      <w:tr>
        <w:trPr>
          <w:trHeight w:val="211"/>
        </w:trPr>
        <w:tc>
          <w:tcPr>
            <w:tcW w:w="3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Robert B. Jones</w:t>
            </w:r>
          </w:p>
        </w:tc>
      </w:tr>
    </w:tbl>
    <w:p>
      <w:pPr>
        <w:ind w:left="588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Title(s)</w:t>
            </w:r>
          </w:p>
        </w:tc>
        <w:tc>
          <w:tcPr>
            <w:tcW w:w="20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c>
          <w:tcPr>
            <w:tcW w:w="220" w:type="dxa"/>
            <w:vAlign w:val="bottom"/>
          </w:tcPr>
          <w:p>
            <w:pPr>
              <w:spacing w:after="0"/>
              <w:rPr>
                <w:sz w:val="24"/>
                <w:szCs w:val="24"/>
                <w:color w:val="auto"/>
              </w:rPr>
            </w:pPr>
          </w:p>
        </w:tc>
        <w:tc>
          <w:tcPr>
            <w:tcW w:w="5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Chief Executive Officer and 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February 27, 2014</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Robert B. Jones</w:t>
            </w:r>
          </w:p>
        </w:tc>
        <w:tc>
          <w:tcPr>
            <w:tcW w:w="220" w:type="dxa"/>
            <w:vAlign w:val="bottom"/>
          </w:tcPr>
          <w:p>
            <w:pPr>
              <w:spacing w:after="0"/>
              <w:rPr>
                <w:sz w:val="19"/>
                <w:szCs w:val="19"/>
                <w:color w:val="auto"/>
              </w:rPr>
            </w:pPr>
          </w:p>
        </w:tc>
        <w:tc>
          <w:tcPr>
            <w:tcW w:w="5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400" w:type="dxa"/>
            <w:vAlign w:val="bottom"/>
          </w:tcPr>
          <w:p>
            <w:pPr>
              <w:spacing w:after="0"/>
              <w:rPr>
                <w:sz w:val="19"/>
                <w:szCs w:val="19"/>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c>
          <w:tcPr>
            <w:tcW w:w="220" w:type="dxa"/>
            <w:vAlign w:val="bottom"/>
          </w:tcPr>
          <w:p>
            <w:pPr>
              <w:spacing w:after="0"/>
              <w:rPr>
                <w:sz w:val="24"/>
                <w:szCs w:val="24"/>
                <w:color w:val="auto"/>
              </w:rPr>
            </w:pPr>
          </w:p>
        </w:tc>
        <w:tc>
          <w:tcPr>
            <w:tcW w:w="5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Senior Vice President and Chief Financial Officer</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February 27, 2014</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Peter A. Clemens</w:t>
            </w:r>
          </w:p>
        </w:tc>
        <w:tc>
          <w:tcPr>
            <w:tcW w:w="220" w:type="dxa"/>
            <w:vAlign w:val="bottom"/>
          </w:tcPr>
          <w:p>
            <w:pPr>
              <w:spacing w:after="0"/>
              <w:rPr>
                <w:sz w:val="19"/>
                <w:szCs w:val="19"/>
                <w:color w:val="auto"/>
              </w:rPr>
            </w:pPr>
          </w:p>
        </w:tc>
        <w:tc>
          <w:tcPr>
            <w:tcW w:w="5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Financial and Accounting Officer)</w:t>
            </w:r>
          </w:p>
        </w:tc>
        <w:tc>
          <w:tcPr>
            <w:tcW w:w="2400" w:type="dxa"/>
            <w:vAlign w:val="bottom"/>
          </w:tcPr>
          <w:p>
            <w:pPr>
              <w:spacing w:after="0"/>
              <w:rPr>
                <w:sz w:val="19"/>
                <w:szCs w:val="19"/>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G. Skelly</w:t>
            </w:r>
          </w:p>
        </w:tc>
        <w:tc>
          <w:tcPr>
            <w:tcW w:w="220" w:type="dxa"/>
            <w:vAlign w:val="bottom"/>
          </w:tcPr>
          <w:p>
            <w:pPr>
              <w:spacing w:after="0"/>
              <w:rPr>
                <w:sz w:val="24"/>
                <w:szCs w:val="24"/>
                <w:color w:val="auto"/>
              </w:rPr>
            </w:pPr>
          </w:p>
        </w:tc>
        <w:tc>
          <w:tcPr>
            <w:tcW w:w="5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February 27, 2014</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William G. Skelly</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/s/Bruce F. Wesson</w:t>
            </w:r>
          </w:p>
        </w:tc>
        <w:tc>
          <w:tcPr>
            <w:tcW w:w="220" w:type="dxa"/>
            <w:vAlign w:val="bottom"/>
          </w:tcPr>
          <w:p>
            <w:pPr>
              <w:spacing w:after="0"/>
              <w:rPr>
                <w:sz w:val="24"/>
                <w:szCs w:val="24"/>
                <w:color w:val="auto"/>
              </w:rPr>
            </w:pPr>
          </w:p>
        </w:tc>
        <w:tc>
          <w:tcPr>
            <w:tcW w:w="5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February 27, 2014</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Bruce F. Wesson</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/s/Immanuel Thangaraj</w:t>
            </w:r>
          </w:p>
        </w:tc>
        <w:tc>
          <w:tcPr>
            <w:tcW w:w="220" w:type="dxa"/>
            <w:vAlign w:val="bottom"/>
          </w:tcPr>
          <w:p>
            <w:pPr>
              <w:spacing w:after="0"/>
              <w:rPr>
                <w:sz w:val="24"/>
                <w:szCs w:val="24"/>
                <w:color w:val="auto"/>
              </w:rPr>
            </w:pPr>
          </w:p>
        </w:tc>
        <w:tc>
          <w:tcPr>
            <w:tcW w:w="5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February 27, 2014</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Immanuel Thangaraj</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/s/George K. Ross</w:t>
            </w:r>
          </w:p>
        </w:tc>
        <w:tc>
          <w:tcPr>
            <w:tcW w:w="220" w:type="dxa"/>
            <w:vAlign w:val="bottom"/>
          </w:tcPr>
          <w:p>
            <w:pPr>
              <w:spacing w:after="0"/>
              <w:rPr>
                <w:sz w:val="24"/>
                <w:szCs w:val="24"/>
                <w:color w:val="auto"/>
              </w:rPr>
            </w:pPr>
          </w:p>
        </w:tc>
        <w:tc>
          <w:tcPr>
            <w:tcW w:w="5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February 27, 2014</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George K. Ross</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674"/>
        </w:trPr>
        <w:tc>
          <w:tcPr>
            <w:tcW w:w="2880" w:type="dxa"/>
            <w:vAlign w:val="bottom"/>
          </w:tcPr>
          <w:p>
            <w:pPr>
              <w:spacing w:after="0"/>
              <w:rPr>
                <w:sz w:val="24"/>
                <w:szCs w:val="24"/>
                <w:color w:val="auto"/>
              </w:rPr>
            </w:pPr>
          </w:p>
        </w:tc>
        <w:tc>
          <w:tcPr>
            <w:tcW w:w="5940" w:type="dxa"/>
            <w:vAlign w:val="bottom"/>
            <w:gridSpan w:val="2"/>
          </w:tcPr>
          <w:p>
            <w:pPr>
              <w:jc w:val="right"/>
              <w:ind w:right="291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58"/>
        </w:trPr>
        <w:tc>
          <w:tcPr>
            <w:tcW w:w="2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40" w:type="dxa"/>
            <w:vAlign w:val="bottom"/>
          </w:tcPr>
          <w:p>
            <w:pPr>
              <w:ind w:left="3140"/>
              <w:spacing w:after="0"/>
              <w:rPr>
                <w:sz w:val="20"/>
                <w:szCs w:val="20"/>
                <w:color w:val="auto"/>
              </w:rPr>
            </w:pPr>
            <w:r>
              <w:rPr>
                <w:rFonts w:ascii="Arial" w:cs="Arial" w:eastAsia="Arial" w:hAnsi="Arial"/>
                <w:sz w:val="18"/>
                <w:szCs w:val="18"/>
                <w:b w:val="1"/>
                <w:bCs w:val="1"/>
                <w:color w:val="auto"/>
              </w:rPr>
              <w:t>INDEX TO CONSOLIDATED FINANCIAL STATEMENTS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36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2013 and 2012</w:t>
            </w:r>
          </w:p>
        </w:tc>
        <w:tc>
          <w:tcPr>
            <w:tcW w:w="136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w w:val="95"/>
              </w:rPr>
              <w:t>Consolidated Statements of Operations and Comprehensive Income (Loss) for the years ended December 31, 2013, 2012 and 2011</w:t>
            </w:r>
          </w:p>
        </w:tc>
        <w:tc>
          <w:tcPr>
            <w:tcW w:w="136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2013, 2012 and 2011</w:t>
            </w:r>
          </w:p>
        </w:tc>
        <w:tc>
          <w:tcPr>
            <w:tcW w:w="136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 for the years ended December 31, 2013, 2012 and 2011</w:t>
            </w:r>
          </w:p>
        </w:tc>
        <w:tc>
          <w:tcPr>
            <w:tcW w:w="136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136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Supplementary Data (Unaudited)</w:t>
            </w:r>
          </w:p>
        </w:tc>
        <w:tc>
          <w:tcPr>
            <w:tcW w:w="136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91"/>
              </w:rPr>
              <w:t>F-23</w:t>
            </w: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10040" w:type="dxa"/>
            <w:vAlign w:val="bottom"/>
          </w:tcPr>
          <w:p>
            <w:pPr>
              <w:ind w:left="5580"/>
              <w:spacing w:after="0"/>
              <w:rPr>
                <w:sz w:val="20"/>
                <w:szCs w:val="20"/>
                <w:color w:val="auto"/>
              </w:rPr>
            </w:pPr>
            <w:r>
              <w:rPr>
                <w:rFonts w:ascii="Arial" w:cs="Arial" w:eastAsia="Arial" w:hAnsi="Arial"/>
                <w:sz w:val="18"/>
                <w:szCs w:val="18"/>
                <w:color w:val="auto"/>
              </w:rPr>
              <w:t>F-1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Acura Pharmaceuticals Inc. as of December 31, 2013 and 2012 and the related consolidated statements of operations and comprehensive income (loss), stockholders’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Acura Pharmaceuticals Inc. at December 31, 2013 and 2012, and the results of its operations and its cash flows for each of the three years in the period ended December 31, 2013</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DECEMBER 31, 2013 and 2012</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thousands except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ind w:left="39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12,340</w:t>
            </w:r>
          </w:p>
        </w:tc>
        <w:tc>
          <w:tcPr>
            <w:tcW w:w="6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13,733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receivable, net of allowances of $28 and $0</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investment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Finished good inventories, net</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Income taxes refundable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629</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Other current deferred assets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27,453</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28,630</w:t>
            </w:r>
          </w:p>
        </w:tc>
        <w:tc>
          <w:tcPr>
            <w:tcW w:w="6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242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Long-term debt, net of debt discount of $400</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10,707</w:t>
            </w: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w w:val="99"/>
              </w:rPr>
              <w:t>Common stock: $.01 par value per shares; 100,000 shares authorized, 48,325 and 45,867 shares issued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outstanding in 2013 and 2012, respectively</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366,533</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362,422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(349,112)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17,923</w:t>
            </w:r>
          </w:p>
        </w:tc>
        <w:tc>
          <w:tcPr>
            <w:tcW w:w="6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27,630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28,630</w:t>
            </w:r>
          </w:p>
        </w:tc>
        <w:tc>
          <w:tcPr>
            <w:tcW w:w="6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tcPr>
          <w:p>
            <w:pPr>
              <w:ind w:left="3400"/>
              <w:spacing w:after="0"/>
              <w:rPr>
                <w:sz w:val="20"/>
                <w:szCs w:val="20"/>
                <w:color w:val="auto"/>
              </w:rPr>
            </w:pPr>
            <w:r>
              <w:rPr>
                <w:rFonts w:ascii="Arial" w:cs="Arial" w:eastAsia="Arial" w:hAnsi="Arial"/>
                <w:sz w:val="18"/>
                <w:szCs w:val="18"/>
                <w:color w:val="auto"/>
              </w:rPr>
              <w:t>See accompanying Notes to Consolidated Financial Statements.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8680" w:type="dxa"/>
            <w:vAlign w:val="bottom"/>
          </w:tcPr>
          <w:p>
            <w:pPr>
              <w:ind w:left="5580"/>
              <w:spacing w:after="0"/>
              <w:rPr>
                <w:sz w:val="20"/>
                <w:szCs w:val="20"/>
                <w:color w:val="auto"/>
              </w:rPr>
            </w:pPr>
            <w:r>
              <w:rPr>
                <w:rFonts w:ascii="Arial" w:cs="Arial" w:eastAsia="Arial" w:hAnsi="Arial"/>
                <w:sz w:val="18"/>
                <w:szCs w:val="18"/>
                <w:color w:val="auto"/>
              </w:rPr>
              <w:t>F-3</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line="263" w:lineRule="auto"/>
        <w:rPr>
          <w:sz w:val="20"/>
          <w:szCs w:val="20"/>
          <w:color w:val="auto"/>
        </w:rPr>
      </w:pPr>
      <w:r>
        <w:rPr>
          <w:rFonts w:ascii="Arial" w:cs="Arial" w:eastAsia="Arial" w:hAnsi="Arial"/>
          <w:sz w:val="18"/>
          <w:szCs w:val="18"/>
          <w:b w:val="1"/>
          <w:bCs w:val="1"/>
          <w:color w:val="auto"/>
        </w:rPr>
        <w:t>ACURA PHARMACEUTICALS, INC. AND SUBSIDIARY CONSOLIDATED STATEMENTS OF OPERATIONS AND COMPREHENSIVE INCOME (LOSS) YEARS ENDED DECEMBER 31, 2013, 2012 and 2011 (in thousands except per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20" w:type="dxa"/>
            <w:vAlign w:val="bottom"/>
            <w:tcBorders>
              <w:bottom w:val="single" w:sz="8" w:color="CCFFCC"/>
            </w:tcBorders>
          </w:tcPr>
          <w:p>
            <w:pPr>
              <w:spacing w:after="0"/>
              <w:rPr>
                <w:sz w:val="20"/>
                <w:szCs w:val="20"/>
                <w:color w:val="auto"/>
              </w:rPr>
            </w:pPr>
          </w:p>
        </w:tc>
        <w:tc>
          <w:tcPr>
            <w:tcW w:w="18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Product sales, net</w:t>
            </w: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Program fee revenue</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Milestone revenue</w:t>
            </w:r>
          </w:p>
        </w:tc>
        <w:tc>
          <w:tcPr>
            <w:tcW w:w="188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FFCC"/>
            </w:tcBorders>
          </w:tcPr>
          <w:p>
            <w:pPr>
              <w:ind w:left="460"/>
              <w:spacing w:after="0"/>
              <w:rPr>
                <w:sz w:val="20"/>
                <w:szCs w:val="20"/>
                <w:color w:val="auto"/>
              </w:rPr>
            </w:pPr>
            <w:r>
              <w:rPr>
                <w:rFonts w:ascii="Arial" w:cs="Arial" w:eastAsia="Arial" w:hAnsi="Arial"/>
                <w:sz w:val="18"/>
                <w:szCs w:val="18"/>
                <w:color w:val="auto"/>
              </w:rPr>
              <w:t>Total revenues, net</w:t>
            </w:r>
          </w:p>
        </w:tc>
        <w:tc>
          <w:tcPr>
            <w:tcW w:w="18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Cost of sales (excluding inventory write-down)</w:t>
            </w: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Inventory write-down</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Research and development</w:t>
            </w: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4,923</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3,726</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FFCC"/>
            </w:tcBorders>
          </w:tcPr>
          <w:p>
            <w:pPr>
              <w:ind w:left="140"/>
              <w:spacing w:after="0"/>
              <w:rPr>
                <w:sz w:val="20"/>
                <w:szCs w:val="20"/>
                <w:color w:val="auto"/>
              </w:rPr>
            </w:pPr>
            <w:r>
              <w:rPr>
                <w:rFonts w:ascii="Arial" w:cs="Arial" w:eastAsia="Arial" w:hAnsi="Arial"/>
                <w:sz w:val="18"/>
                <w:szCs w:val="18"/>
                <w:color w:val="auto"/>
              </w:rPr>
              <w:t>Selling, marketing, general and administrative</w:t>
            </w:r>
          </w:p>
        </w:tc>
        <w:tc>
          <w:tcPr>
            <w:tcW w:w="18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1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FFCC"/>
          </w:tcPr>
          <w:p>
            <w:pPr>
              <w:ind w:left="460"/>
              <w:spacing w:after="0"/>
              <w:rPr>
                <w:sz w:val="20"/>
                <w:szCs w:val="20"/>
                <w:color w:val="auto"/>
              </w:rPr>
            </w:pPr>
            <w:r>
              <w:rPr>
                <w:rFonts w:ascii="Arial" w:cs="Arial" w:eastAsia="Arial" w:hAnsi="Arial"/>
                <w:sz w:val="18"/>
                <w:szCs w:val="18"/>
                <w:color w:val="auto"/>
              </w:rPr>
              <w:t>Total operating expenses</w:t>
            </w:r>
          </w:p>
        </w:tc>
        <w:tc>
          <w:tcPr>
            <w:tcW w:w="188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14,213</w:t>
            </w:r>
          </w:p>
        </w:tc>
        <w:tc>
          <w:tcPr>
            <w:tcW w:w="1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9,739</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9,932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 (loss)</w:t>
            </w: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(14,090)</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(9,739)</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 (expense):</w:t>
            </w: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Investment income</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Gain on sales of marketable securities</w:t>
            </w: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Interest expense – promissory note</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expense, net</w:t>
            </w: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FFCC"/>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188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(13,901)</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(9,668)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188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2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(13,901)</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(9,668)</w:t>
            </w:r>
          </w:p>
        </w:tc>
        <w:tc>
          <w:tcPr>
            <w:tcW w:w="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Unrealized gains (losses) on securities</w:t>
            </w: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FFCC"/>
            </w:tcBorders>
          </w:tcPr>
          <w:p>
            <w:pPr>
              <w:ind w:left="460"/>
              <w:spacing w:after="0"/>
              <w:rPr>
                <w:sz w:val="20"/>
                <w:szCs w:val="20"/>
                <w:color w:val="auto"/>
              </w:rPr>
            </w:pPr>
            <w:r>
              <w:rPr>
                <w:rFonts w:ascii="Arial" w:cs="Arial" w:eastAsia="Arial" w:hAnsi="Arial"/>
                <w:sz w:val="18"/>
                <w:szCs w:val="18"/>
                <w:color w:val="auto"/>
              </w:rPr>
              <w:t>Total other comprehensive income (loss)</w:t>
            </w:r>
          </w:p>
        </w:tc>
        <w:tc>
          <w:tcPr>
            <w:tcW w:w="188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(13,842)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(9,708)</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Borders>
              <w:top w:val="single" w:sz="8" w:color="CCFFCC"/>
            </w:tcBorders>
            <w:shd w:val="clear" w:color="auto" w:fill="CCFFCC"/>
          </w:tcPr>
          <w:p>
            <w:pPr>
              <w:spacing w:after="0"/>
              <w:rPr>
                <w:sz w:val="18"/>
                <w:szCs w:val="18"/>
                <w:color w:val="auto"/>
              </w:rPr>
            </w:pPr>
          </w:p>
        </w:tc>
        <w:tc>
          <w:tcPr>
            <w:tcW w:w="18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2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(0.29)</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rPr>
              <w:t>Diluted</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18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rPr>
              <w:t>Basic</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188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47,764</w:t>
            </w:r>
          </w:p>
        </w:tc>
        <w:tc>
          <w:tcPr>
            <w:tcW w:w="1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47,521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48,007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color w:val="auto"/>
                <w:w w:val="90"/>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1"/>
              </w:rPr>
              <w:t>Additional</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5"/>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980" w:type="dxa"/>
            <w:vAlign w:val="bottom"/>
            <w:gridSpan w:val="5"/>
          </w:tcPr>
          <w:p>
            <w:pPr>
              <w:ind w:left="540"/>
              <w:spacing w:after="0" w:line="135" w:lineRule="exact"/>
              <w:rPr>
                <w:sz w:val="20"/>
                <w:szCs w:val="20"/>
                <w:color w:val="auto"/>
              </w:rPr>
            </w:pPr>
            <w:r>
              <w:rPr>
                <w:rFonts w:ascii="Arial" w:cs="Arial" w:eastAsia="Arial" w:hAnsi="Arial"/>
                <w:sz w:val="13"/>
                <w:szCs w:val="13"/>
                <w:color w:val="auto"/>
              </w:rPr>
              <w:t>Common Stock</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Paid-in</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Accumulated</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7"/>
              </w:rPr>
              <w:t>Comprehensive</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Shares</w:t>
            </w:r>
          </w:p>
        </w:tc>
        <w:tc>
          <w:tcPr>
            <w:tcW w:w="140" w:type="dxa"/>
            <w:vAlign w:val="bottom"/>
          </w:tcPr>
          <w:p>
            <w:pPr>
              <w:spacing w:after="0"/>
              <w:rPr>
                <w:sz w:val="12"/>
                <w:szCs w:val="12"/>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 Amount</w:t>
            </w:r>
          </w:p>
        </w:tc>
        <w:tc>
          <w:tcPr>
            <w:tcW w:w="10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color w:val="auto"/>
                <w:w w:val="88"/>
              </w:rPr>
              <w:t>Capital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color w:val="auto"/>
              </w:rPr>
              <w:t>Deficit</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color w:val="auto"/>
                <w:w w:val="87"/>
              </w:rPr>
              <w:t>Income (Loss)</w:t>
            </w:r>
          </w:p>
        </w:tc>
        <w:tc>
          <w:tcPr>
            <w:tcW w:w="18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Borders>
              <w:top w:val="single" w:sz="8" w:color="CCFFCC"/>
            </w:tcBorders>
            <w:shd w:val="clear" w:color="auto" w:fill="CCFFCC"/>
          </w:tcPr>
          <w:p>
            <w:pPr>
              <w:spacing w:after="0" w:line="129" w:lineRule="exact"/>
              <w:rPr>
                <w:sz w:val="20"/>
                <w:szCs w:val="20"/>
                <w:color w:val="auto"/>
              </w:rPr>
            </w:pPr>
            <w:r>
              <w:rPr>
                <w:rFonts w:ascii="Arial" w:cs="Arial" w:eastAsia="Arial" w:hAnsi="Arial"/>
                <w:sz w:val="13"/>
                <w:szCs w:val="13"/>
                <w:color w:val="auto"/>
              </w:rPr>
              <w:t>Balance at Dec. 31, 2010</w:t>
            </w: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43,894</w:t>
            </w:r>
          </w:p>
        </w:tc>
        <w:tc>
          <w:tcPr>
            <w:tcW w:w="12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439</w:t>
            </w: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359,830</w:t>
            </w:r>
          </w:p>
        </w:tc>
        <w:tc>
          <w:tcPr>
            <w:tcW w:w="60" w:type="dxa"/>
            <w:vAlign w:val="bottom"/>
            <w:tcBorders>
              <w:top w:val="single" w:sz="8" w:color="CCFFCC"/>
            </w:tcBorders>
            <w:shd w:val="clear" w:color="auto" w:fill="CCFFCC"/>
          </w:tcPr>
          <w:p>
            <w:pPr>
              <w:spacing w:after="0"/>
              <w:rPr>
                <w:sz w:val="11"/>
                <w:szCs w:val="11"/>
                <w:color w:val="auto"/>
              </w:rPr>
            </w:pPr>
          </w:p>
        </w:tc>
        <w:tc>
          <w:tcPr>
            <w:tcW w:w="40" w:type="dxa"/>
            <w:vAlign w:val="bottom"/>
            <w:tcBorders>
              <w:top w:val="single" w:sz="8" w:color="CCFFCC"/>
            </w:tcBorders>
            <w:shd w:val="clear" w:color="auto" w:fill="CCFFCC"/>
          </w:tcPr>
          <w:p>
            <w:pPr>
              <w:spacing w:after="0"/>
              <w:rPr>
                <w:sz w:val="11"/>
                <w:szCs w:val="11"/>
                <w:color w:val="auto"/>
              </w:rPr>
            </w:pPr>
          </w:p>
        </w:tc>
        <w:tc>
          <w:tcPr>
            <w:tcW w:w="180" w:type="dxa"/>
            <w:vAlign w:val="bottom"/>
            <w:tcBorders>
              <w:top w:val="single" w:sz="8" w:color="auto"/>
              <w:bottom w:val="single" w:sz="8" w:color="auto"/>
            </w:tcBorders>
            <w:shd w:val="clear" w:color="auto" w:fill="CCFFCC"/>
          </w:tcPr>
          <w:p>
            <w:pPr>
              <w:jc w:val="right"/>
              <w:ind w:right="7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(335,928)</w:t>
            </w:r>
          </w:p>
        </w:tc>
        <w:tc>
          <w:tcPr>
            <w:tcW w:w="12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bottom w:val="single" w:sz="8" w:color="auto"/>
            </w:tcBorders>
            <w:shd w:val="clear" w:color="auto" w:fill="CCFFCC"/>
          </w:tcPr>
          <w:p>
            <w:pPr>
              <w:jc w:val="right"/>
              <w:ind w:right="33"/>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FFCC"/>
              <w:right w:val="single" w:sz="8" w:color="CCFFCC"/>
            </w:tcBorders>
            <w:shd w:val="clear" w:color="auto" w:fill="CCFFCC"/>
          </w:tcPr>
          <w:p>
            <w:pPr>
              <w:spacing w:after="0"/>
              <w:rPr>
                <w:sz w:val="11"/>
                <w:szCs w:val="11"/>
                <w:color w:val="auto"/>
              </w:rPr>
            </w:pPr>
          </w:p>
        </w:tc>
        <w:tc>
          <w:tcPr>
            <w:tcW w:w="180" w:type="dxa"/>
            <w:vAlign w:val="bottom"/>
            <w:tcBorders>
              <w:top w:val="single" w:sz="8" w:color="auto"/>
              <w:bottom w:val="single" w:sz="8" w:color="auto"/>
            </w:tcBorders>
            <w:shd w:val="clear" w:color="auto" w:fill="CCFFCC"/>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24,341</w:t>
            </w: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Comprehensive income: net income for the year ended Dec. 31, 2011</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10,385</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10,385</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2,458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2,458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Net distribution of common stock pursuant to restricted stock unit award plan</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828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97"/>
              </w:rPr>
              <w:t>Common shares withheld for withholding taxes on distribution of restricted stock units</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(288)</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(945)</w:t>
            </w: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issuance of common stock pursuant to cashless exercise of stock options</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611</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(6)</w:t>
            </w: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w w:val="98"/>
              </w:rPr>
              <w:t>Common shares withheld for withholding taxes on cashless exercise of stock options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(228)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(884)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(886)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Issuance of common stock for exercise of stock options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167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215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Issuance of common stock for exercise of warrants</w:t>
            </w:r>
          </w:p>
        </w:tc>
        <w:tc>
          <w:tcPr>
            <w:tcW w:w="80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336</w:t>
            </w:r>
          </w:p>
        </w:tc>
        <w:tc>
          <w:tcPr>
            <w:tcW w:w="1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0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FFCC"/>
          </w:tcPr>
          <w:p>
            <w:pPr>
              <w:spacing w:after="0"/>
              <w:rPr>
                <w:sz w:val="11"/>
                <w:szCs w:val="11"/>
                <w:color w:val="auto"/>
              </w:rPr>
            </w:pPr>
          </w:p>
        </w:tc>
        <w:tc>
          <w:tcPr>
            <w:tcW w:w="100" w:type="dxa"/>
            <w:vAlign w:val="bottom"/>
            <w:tcBorders>
              <w:bottom w:val="single" w:sz="8" w:color="auto"/>
            </w:tcBorders>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1,073</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tcBorders>
              <w:bottom w:val="single" w:sz="8" w:color="auto"/>
            </w:tcBorders>
            <w:shd w:val="clear" w:color="auto" w:fill="CCFFCC"/>
          </w:tcPr>
          <w:p>
            <w:pPr>
              <w:spacing w:after="0"/>
              <w:rPr>
                <w:sz w:val="11"/>
                <w:szCs w:val="11"/>
                <w:color w:val="auto"/>
              </w:rPr>
            </w:pPr>
          </w:p>
        </w:tc>
        <w:tc>
          <w:tcPr>
            <w:tcW w:w="106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110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tcBorders>
              <w:bottom w:val="single" w:sz="8" w:color="auto"/>
            </w:tcBorders>
            <w:shd w:val="clear" w:color="auto" w:fill="CCFFCC"/>
          </w:tcPr>
          <w:p>
            <w:pPr>
              <w:spacing w:after="0"/>
              <w:rPr>
                <w:sz w:val="11"/>
                <w:szCs w:val="11"/>
                <w:color w:val="auto"/>
              </w:rPr>
            </w:pPr>
          </w:p>
        </w:tc>
        <w:tc>
          <w:tcPr>
            <w:tcW w:w="72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1,076</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Balance at Dec. 31, 2011</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45,320</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453</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361,733</w:t>
            </w:r>
          </w:p>
        </w:tc>
        <w:tc>
          <w:tcPr>
            <w:tcW w:w="60" w:type="dxa"/>
            <w:vAlign w:val="bottom"/>
            <w:shd w:val="clear" w:color="auto" w:fill="CCFFCC"/>
          </w:tcPr>
          <w:p>
            <w:pPr>
              <w:spacing w:after="0"/>
              <w:rPr>
                <w:sz w:val="11"/>
                <w:szCs w:val="11"/>
                <w:color w:val="auto"/>
              </w:rPr>
            </w:pPr>
          </w:p>
        </w:tc>
        <w:tc>
          <w:tcPr>
            <w:tcW w:w="220" w:type="dxa"/>
            <w:vAlign w:val="bottom"/>
            <w:gridSpan w:val="2"/>
            <w:shd w:val="clear" w:color="auto" w:fill="CCFFCC"/>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(325,543)</w:t>
            </w:r>
          </w:p>
        </w:tc>
        <w:tc>
          <w:tcPr>
            <w:tcW w:w="140" w:type="dxa"/>
            <w:vAlign w:val="bottom"/>
            <w:shd w:val="clear" w:color="auto" w:fill="CCFFCC"/>
          </w:tcPr>
          <w:p>
            <w:pPr>
              <w:jc w:val="right"/>
              <w:ind w:right="33"/>
              <w:spacing w:after="0"/>
              <w:rPr>
                <w:sz w:val="20"/>
                <w:szCs w:val="20"/>
                <w:color w:val="auto"/>
              </w:rPr>
            </w:pPr>
            <w:r>
              <w:rPr>
                <w:rFonts w:ascii="Arial" w:cs="Arial" w:eastAsia="Arial" w:hAnsi="Arial"/>
                <w:sz w:val="9"/>
                <w:szCs w:val="9"/>
                <w:color w:val="auto"/>
                <w:w w:val="78"/>
              </w:rPr>
              <w:t>$</w:t>
            </w: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36,643</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loss</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1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(9,668)</w:t>
            </w: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(9,668)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w:t>
            </w: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Share-based compensation</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1,733</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1,733</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distribution of common stock pursuant to restricted stock unit award plan</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827</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w w:val="97"/>
              </w:rPr>
              <w:t>Common shares withheld for withholding taxes on distribution of restricted stock units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(296)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(1,031)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(1,033)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Net issuance of common stock pursuant to cashless exercise of stock options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98"/>
              </w:rPr>
              <w:t>Common shares withheld for withholding taxes on cashless exercise of stock options</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(15)</w:t>
            </w: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Issuance of common stock for exercise of stock options</w:t>
            </w:r>
          </w:p>
        </w:tc>
        <w:tc>
          <w:tcPr>
            <w:tcW w:w="80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0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00" w:type="dxa"/>
            <w:vAlign w:val="bottom"/>
            <w:tcBorders>
              <w:bottom w:val="single" w:sz="8" w:color="auto"/>
            </w:tcBorders>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9</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tcBorders>
              <w:bottom w:val="single" w:sz="8" w:color="auto"/>
            </w:tcBorders>
            <w:shd w:val="clear" w:color="auto" w:fill="CCFFCC"/>
          </w:tcPr>
          <w:p>
            <w:pPr>
              <w:spacing w:after="0"/>
              <w:rPr>
                <w:sz w:val="11"/>
                <w:szCs w:val="11"/>
                <w:color w:val="auto"/>
              </w:rPr>
            </w:pPr>
          </w:p>
        </w:tc>
        <w:tc>
          <w:tcPr>
            <w:tcW w:w="106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110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tcBorders>
              <w:bottom w:val="single" w:sz="8" w:color="auto"/>
            </w:tcBorders>
            <w:shd w:val="clear" w:color="auto" w:fill="CCFFCC"/>
          </w:tcPr>
          <w:p>
            <w:pPr>
              <w:spacing w:after="0"/>
              <w:rPr>
                <w:sz w:val="11"/>
                <w:szCs w:val="11"/>
                <w:color w:val="auto"/>
              </w:rPr>
            </w:pPr>
          </w:p>
        </w:tc>
        <w:tc>
          <w:tcPr>
            <w:tcW w:w="72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Balance at Dec. 31, 2012</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45,867</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459</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362,422</w:t>
            </w:r>
          </w:p>
        </w:tc>
        <w:tc>
          <w:tcPr>
            <w:tcW w:w="60" w:type="dxa"/>
            <w:vAlign w:val="bottom"/>
            <w:shd w:val="clear" w:color="auto" w:fill="CCFFCC"/>
          </w:tcPr>
          <w:p>
            <w:pPr>
              <w:spacing w:after="0"/>
              <w:rPr>
                <w:sz w:val="11"/>
                <w:szCs w:val="11"/>
                <w:color w:val="auto"/>
              </w:rPr>
            </w:pPr>
          </w:p>
        </w:tc>
        <w:tc>
          <w:tcPr>
            <w:tcW w:w="220" w:type="dxa"/>
            <w:vAlign w:val="bottom"/>
            <w:gridSpan w:val="2"/>
            <w:shd w:val="clear" w:color="auto" w:fill="CCFFCC"/>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(335,211)</w:t>
            </w:r>
          </w:p>
        </w:tc>
        <w:tc>
          <w:tcPr>
            <w:tcW w:w="140" w:type="dxa"/>
            <w:vAlign w:val="bottom"/>
            <w:shd w:val="clear" w:color="auto" w:fill="CCFFCC"/>
          </w:tcPr>
          <w:p>
            <w:pPr>
              <w:jc w:val="right"/>
              <w:ind w:right="33"/>
              <w:spacing w:after="0"/>
              <w:rPr>
                <w:sz w:val="20"/>
                <w:szCs w:val="20"/>
                <w:color w:val="auto"/>
              </w:rPr>
            </w:pPr>
            <w:r>
              <w:rPr>
                <w:rFonts w:ascii="Arial" w:cs="Arial" w:eastAsia="Arial" w:hAnsi="Arial"/>
                <w:sz w:val="9"/>
                <w:szCs w:val="9"/>
                <w:color w:val="auto"/>
                <w:w w:val="78"/>
              </w:rPr>
              <w:t>$</w:t>
            </w:r>
          </w:p>
        </w:tc>
        <w:tc>
          <w:tcPr>
            <w:tcW w:w="1220" w:type="dxa"/>
            <w:vAlign w:val="bottom"/>
            <w:tcBorders>
              <w:right w:val="single" w:sz="8" w:color="CCFFCC"/>
            </w:tcBorders>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(40)</w:t>
            </w:r>
          </w:p>
        </w:tc>
        <w:tc>
          <w:tcPr>
            <w:tcW w:w="180" w:type="dxa"/>
            <w:vAlign w:val="bottom"/>
            <w:shd w:val="clear" w:color="auto" w:fill="CCFFCC"/>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27,630</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loss</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1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(13,901)</w:t>
            </w: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(13,901)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Share-based compensation</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1,215</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1,215</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Warrants issued with promissory notes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Net distribution of common stock pursuant to restricted stock unit award plan</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826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97"/>
              </w:rPr>
              <w:t>Common shares withheld for withholding taxes on distribution of restricted stock units</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(321)</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(709)</w:t>
            </w: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issuance of common stock pursuant to cashless exercise of stock options</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w w:val="98"/>
              </w:rPr>
              <w:t>Common shares withheld for withholding taxes on cashless exercise of stock options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w w:val="95"/>
              </w:rPr>
              <w:t>Issuance of common stock under “at the market” offerings, net of offering costs of $102</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1,940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3,207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3,226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tcBorders>
              <w:bottom w:val="single" w:sz="8" w:color="CCFFCC"/>
            </w:tcBorders>
          </w:tcPr>
          <w:p>
            <w:pPr>
              <w:spacing w:after="0" w:line="135" w:lineRule="exact"/>
              <w:rPr>
                <w:sz w:val="20"/>
                <w:szCs w:val="20"/>
                <w:color w:val="auto"/>
              </w:rPr>
            </w:pPr>
            <w:r>
              <w:rPr>
                <w:rFonts w:ascii="Arial" w:cs="Arial" w:eastAsia="Arial" w:hAnsi="Arial"/>
                <w:sz w:val="13"/>
                <w:szCs w:val="13"/>
                <w:color w:val="auto"/>
              </w:rPr>
              <w:t>Issuance of common stock for exercise of stock options</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FFC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w:t>
            </w:r>
          </w:p>
        </w:tc>
        <w:tc>
          <w:tcPr>
            <w:tcW w:w="60" w:type="dxa"/>
            <w:vAlign w:val="bottom"/>
            <w:tcBorders>
              <w:bottom w:val="single" w:sz="8" w:color="CCFFCC"/>
            </w:tcBorders>
          </w:tcPr>
          <w:p>
            <w:pPr>
              <w:spacing w:after="0"/>
              <w:rPr>
                <w:sz w:val="11"/>
                <w:szCs w:val="11"/>
                <w:color w:val="auto"/>
              </w:rPr>
            </w:pPr>
          </w:p>
        </w:tc>
        <w:tc>
          <w:tcPr>
            <w:tcW w:w="40" w:type="dxa"/>
            <w:vAlign w:val="bottom"/>
            <w:tcBorders>
              <w:bottom w:val="single" w:sz="8" w:color="CCFFC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FFC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tcBorders>
              <w:right w:val="single" w:sz="8" w:color="CCFFCC"/>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Balance at Dec. 31, 2013</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48,325</w:t>
            </w:r>
          </w:p>
        </w:tc>
        <w:tc>
          <w:tcPr>
            <w:tcW w:w="12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483</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366,533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(349,112)</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17,923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(13,901)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(9,668)</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1"/>
              </w:rPr>
              <w:t>Adjustments to reconcile net income (loss) to net cash (used in) provided by operating activities: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440"/>
              <w:spacing w:after="0"/>
              <w:rPr>
                <w:sz w:val="20"/>
                <w:szCs w:val="20"/>
                <w:color w:val="auto"/>
              </w:rPr>
            </w:pPr>
            <w:r>
              <w:rPr>
                <w:rFonts w:ascii="Arial" w:cs="Arial" w:eastAsia="Arial" w:hAnsi="Arial"/>
                <w:sz w:val="18"/>
                <w:szCs w:val="18"/>
                <w:color w:val="auto"/>
              </w:rPr>
              <w:t>Provision to reduce inventory to net realizable value</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440"/>
              <w:spacing w:after="0"/>
              <w:rPr>
                <w:sz w:val="20"/>
                <w:szCs w:val="20"/>
                <w:color w:val="auto"/>
              </w:rPr>
            </w:pPr>
            <w:r>
              <w:rPr>
                <w:rFonts w:ascii="Arial" w:cs="Arial" w:eastAsia="Arial" w:hAnsi="Arial"/>
                <w:sz w:val="18"/>
                <w:szCs w:val="18"/>
                <w:color w:val="auto"/>
              </w:rPr>
              <w:t>Gain on sales of marketable securities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Loss on asset disposals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4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620"/>
              <w:spacing w:after="0"/>
              <w:rPr>
                <w:sz w:val="20"/>
                <w:szCs w:val="20"/>
                <w:color w:val="auto"/>
              </w:rPr>
            </w:pPr>
            <w:r>
              <w:rPr>
                <w:rFonts w:ascii="Arial" w:cs="Arial" w:eastAsia="Arial" w:hAnsi="Arial"/>
                <w:sz w:val="18"/>
                <w:szCs w:val="18"/>
                <w:color w:val="auto"/>
              </w:rPr>
              <w:t>Collaboration revenue receivable</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20"/>
              <w:spacing w:after="0"/>
              <w:rPr>
                <w:sz w:val="20"/>
                <w:szCs w:val="20"/>
                <w:color w:val="auto"/>
              </w:rPr>
            </w:pPr>
            <w:r>
              <w:rPr>
                <w:rFonts w:ascii="Arial" w:cs="Arial" w:eastAsia="Arial" w:hAnsi="Arial"/>
                <w:sz w:val="18"/>
                <w:szCs w:val="18"/>
                <w:color w:val="auto"/>
              </w:rPr>
              <w:t>Accrued investment income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6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(219)</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20"/>
              <w:spacing w:after="0"/>
              <w:rPr>
                <w:sz w:val="20"/>
                <w:szCs w:val="20"/>
                <w:color w:val="auto"/>
              </w:rPr>
            </w:pPr>
            <w:r>
              <w:rPr>
                <w:rFonts w:ascii="Arial" w:cs="Arial" w:eastAsia="Arial" w:hAnsi="Arial"/>
                <w:sz w:val="18"/>
                <w:szCs w:val="18"/>
                <w:color w:val="auto"/>
              </w:rPr>
              <w:t>Income taxes refundable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6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20"/>
              <w:spacing w:after="0"/>
              <w:rPr>
                <w:sz w:val="20"/>
                <w:szCs w:val="20"/>
                <w:color w:val="auto"/>
              </w:rPr>
            </w:pPr>
            <w:r>
              <w:rPr>
                <w:rFonts w:ascii="Arial" w:cs="Arial" w:eastAsia="Arial" w:hAnsi="Arial"/>
                <w:sz w:val="18"/>
                <w:szCs w:val="18"/>
                <w:color w:val="auto"/>
              </w:rPr>
              <w:t>Other current deferred assets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62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6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20"/>
              <w:spacing w:after="0"/>
              <w:rPr>
                <w:sz w:val="20"/>
                <w:szCs w:val="20"/>
                <w:color w:val="auto"/>
              </w:rPr>
            </w:pPr>
            <w:r>
              <w:rPr>
                <w:rFonts w:ascii="Arial" w:cs="Arial" w:eastAsia="Arial" w:hAnsi="Arial"/>
                <w:sz w:val="18"/>
                <w:szCs w:val="18"/>
                <w:color w:val="auto"/>
              </w:rPr>
              <w:t>Deferred program fee revenue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6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2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FFCC"/>
            </w:tcBorders>
            <w:shd w:val="clear" w:color="auto" w:fill="CCFFCC"/>
          </w:tcPr>
          <w:p>
            <w:pPr>
              <w:ind w:left="780"/>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(13,678)</w:t>
            </w: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(7,038)</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12,312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(7,611)</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(20,306)</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Proceeds from sale and maturities of marketable securities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(147)</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CCFFCC"/>
            </w:tcBorders>
          </w:tcPr>
          <w:p>
            <w:pPr>
              <w:ind w:left="78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2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(20,133)</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Proceeds from distribution of restricted stock units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ind w:left="420"/>
              <w:spacing w:after="0" w:line="201" w:lineRule="exact"/>
              <w:rPr>
                <w:sz w:val="20"/>
                <w:szCs w:val="20"/>
                <w:color w:val="auto"/>
              </w:rPr>
            </w:pPr>
            <w:r>
              <w:rPr>
                <w:rFonts w:ascii="Arial" w:cs="Arial" w:eastAsia="Arial" w:hAnsi="Arial"/>
                <w:sz w:val="18"/>
                <w:szCs w:val="18"/>
                <w:color w:val="auto"/>
                <w:w w:val="94"/>
              </w:rPr>
              <w:t>Statutory minimum withholding taxes paid on the distribution of common stock pursuant to</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restricted stock unit plan and exercise of stock options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(1,048)</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Proceeds from warrant exercise</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Long-term debt borrowings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Capitalized debt issuance costs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Proceeds from “at the market offering”</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“At the market offering” transaction costs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CCFFCC"/>
            </w:tcBorders>
          </w:tcPr>
          <w:p>
            <w:pPr>
              <w:ind w:left="7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12,289</w:t>
            </w:r>
          </w:p>
        </w:tc>
        <w:tc>
          <w:tcPr>
            <w:tcW w:w="12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4,864</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(28,209)</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11,640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1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35,685</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12,340</w:t>
            </w:r>
          </w:p>
        </w:tc>
        <w:tc>
          <w:tcPr>
            <w:tcW w:w="1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7,476</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35,685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paid (refunded) during the year for: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620"/>
              <w:spacing w:after="0"/>
              <w:rPr>
                <w:sz w:val="20"/>
                <w:szCs w:val="20"/>
                <w:color w:val="auto"/>
              </w:rPr>
            </w:pPr>
            <w:r>
              <w:rPr>
                <w:rFonts w:ascii="Arial" w:cs="Arial" w:eastAsia="Arial" w:hAnsi="Arial"/>
                <w:sz w:val="18"/>
                <w:szCs w:val="18"/>
                <w:color w:val="auto"/>
              </w:rPr>
              <w:t>Interest</w:t>
            </w:r>
          </w:p>
        </w:tc>
        <w:tc>
          <w:tcPr>
            <w:tcW w:w="3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620"/>
              <w:spacing w:after="0"/>
              <w:rPr>
                <w:sz w:val="20"/>
                <w:szCs w:val="20"/>
                <w:color w:val="auto"/>
              </w:rPr>
            </w:pPr>
            <w:r>
              <w:rPr>
                <w:rFonts w:ascii="Arial" w:cs="Arial" w:eastAsia="Arial" w:hAnsi="Arial"/>
                <w:sz w:val="18"/>
                <w:szCs w:val="18"/>
                <w:color w:val="auto"/>
              </w:rPr>
              <w:t>Income taxes, net of refunds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 2012, and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2013</w:t>
      </w:r>
    </w:p>
    <w:p>
      <w:pPr>
        <w:spacing w:after="0" w:line="225" w:lineRule="exact"/>
        <w:rPr>
          <w:sz w:val="20"/>
          <w:szCs w:val="20"/>
          <w:color w:val="auto"/>
        </w:rPr>
      </w:pPr>
    </w:p>
    <w:p>
      <w:pPr>
        <w:jc w:val="both"/>
        <w:ind w:left="34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3 thousand shares for $7 in exercise costs and withholding 321 thousand shares for $712 in statutory minimum payroll taxes; we issued 505 thousand shares of common stock.</w:t>
      </w:r>
    </w:p>
    <w:p>
      <w:pPr>
        <w:jc w:val="both"/>
        <w:ind w:left="340" w:hanging="332"/>
        <w:spacing w:after="0" w:line="250" w:lineRule="auto"/>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Options to purchase 24 thousand shares of common stock were exercised utilizing various cashless exercise features of the stock option plan and after withholding 17 thousand shares for $32 in exercise costs and withholding 1 thousand shares for $4 in statutory minimum payroll taxes, we issued 6 thousand shares of common stock.</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a debt issuance of $10 million, we issued the lender 298 thousand warrants with an exercise price of $1.595. The fair value of these warrants of $400 was recorded as a debt discount and will be amortized as interest expense over the term of this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2012</w:t>
      </w:r>
    </w:p>
    <w:p>
      <w:pPr>
        <w:spacing w:after="0" w:line="225" w:lineRule="exact"/>
        <w:rPr>
          <w:sz w:val="20"/>
          <w:szCs w:val="20"/>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2 thousand shares for $7 in exercise costs and withholding 296 thousand shares for $1.0 million in statutory minimum payroll taxes; we issued 531 thousand shares of common stock.</w:t>
      </w:r>
    </w:p>
    <w:p>
      <w:pPr>
        <w:jc w:val="both"/>
        <w:ind w:left="340" w:hanging="332"/>
        <w:spacing w:after="0" w:line="255"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to purchase 24 thousand shares of common stock were exercised utilizing various cashless exercise features of the stock option plan and after withholding 10 thousand shares for $31 in exercise costs and withholding 5 thousand shares for $15 in statutory minimum payroll taxes, we issued 9 thousand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2011</w:t>
      </w:r>
    </w:p>
    <w:p>
      <w:pPr>
        <w:spacing w:after="0" w:line="225" w:lineRule="exact"/>
        <w:rPr>
          <w:sz w:val="20"/>
          <w:szCs w:val="20"/>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1 thousand shares for $3 in exercise costs and withholding 288 thousand shares for $948 in statutory minimum payroll taxes; we issued 540 thousand shares of common stock.</w:t>
      </w:r>
    </w:p>
    <w:p>
      <w:pPr>
        <w:jc w:val="both"/>
        <w:ind w:left="340" w:hanging="332"/>
        <w:spacing w:after="0" w:line="255" w:lineRule="auto"/>
        <w:tabs>
          <w:tab w:leader="none" w:pos="3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to purchase 935 thousand shares of common stock were exercised utilizing various cashless exercise features of the stock option plan and after withholding 324 thousand shares for $1.3 million in exercise costs and withholding 228 thousand shares for $886 in statutory minimum payroll taxes, we issued 383 thousand shares of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a license agreement we have with a subsidiary of Pfizer. We have also developed our Impede® Technology which is a combination of inactive ingredients that prevent the extraction of pseudoephedrine from tablets and disrupt the direct conversion of pseudoephedrine from tablets into methamphetamine. In mid-December 2012 we launched in the United States Nexafed® (pseudoephedrine HC1) tablets formulated with our Impede® Technology.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(“GAAP”). The consolidated financial statements include the accounts of our wholly-owned subsidiary, Acura Pharmaceutical Technologies Inc., after elimination of intercompany accounts and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required to make certain estimates and assumptions in order to prepare consolidated financial statements in conformity with GAAP. Such estimates and assumptions affect the reported amounts of assets, liabilities, revenues and expenses and disclosure of contingent assets and liabilities in the consolidated financial statements and accompanying notes.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considers cash and cash equivalents to include cash in banks, U.S. Treasury Bills and money market funds. The Company considers all highly liquid investments with an original maturity of three months or less to be cash equivalents. Our cash and cash equivalents are governed by our investment policy as approved by our Board of Directors. The carrying amount of cash and cash equivalents approximates its fair value due to its short-term nature.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consist primarily of cash and cash equivalents, marketable securities, accounts and other receivables, trade accounts payable and our notes payable. The carrying amounts of these financial instruments, other than marketable securities and our promissory notes, are representative of their respective fair values due to their relatively short maturities. We estimate the fair value of our notes payable to be its carrying value due to its recent funding. As discussed below, marketable securities are recorded at fair value.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marketable securities primarily consist of corporate bonds and other instruments that invest in U.S. Treasury, U.S. agency securities and agency mortgage-backed securities. Our marketable securities are governed by our investment policy as approved by our Board of Directors. The Company’s marketable securities are classified as available-for-sale and are recorded at fair value, based upon quoted market prices or net asset value. Unrealized temporary adjustments to fair value are included in a separate component of stockholders’ equity as unrealized gains and losses and reported as a component of accumulated other comprehensive income (loss). No gains or losses on marketable securities are realized until shares are sold or a decline in fair value is determined to be other-than-temporary. If a decline in fair value is determined to be other-than-temporary, an impairment charge is recorded and a new cost basis in the investment is established.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invest our excess cash in accordance with the investment policy approved by our Board of Directors that seeks a combination of both liquidity and safety of principal, such as investments in instruments issued by the United States government and investment grade corporate bonds.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accounts receivable arise from our product sales of Nexafed® and represents amounts due from wholesalers in the health care and pharmaceuticals industries and from chain drug stores. The Company has performed a credit evaluation of its customers and may maintain an allowance for potentially uncollectable accounts. We have not experienced any losses on uncollectable accounts.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Sales to certain of our customers accounted for 10% or more of our annual net revenues, whether recognized or deferred, during 2013 as illustrated below:</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Customer</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Rite Aid Corporation</w:t>
            </w:r>
          </w:p>
        </w:tc>
        <w:tc>
          <w:tcPr>
            <w:tcW w:w="100" w:type="dxa"/>
            <w:vAlign w:val="bottom"/>
            <w:tcBorders>
              <w:top w:val="single" w:sz="8" w:color="CCFFCC"/>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Cardinal Health, Inc.</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consist of finished goods held for sale and distribution on our Nexafed® product. Inventories are stated at the lower of cost (first-in, first-out method) or market (net realizable value). The Company writes down inventories to net realizable value based on forecasted demand and market conditions, which may differ from actual results. Our gross inventory is valued at $0.5 million and $0.2 million at December 31, 2013 and 2012, respectively. We have recorded inventory reserves of $0.25 million which results in a net reported inventory value of $0.25 million at December 31, 2013. We did not have an inventory reserve at December 31, 2012.</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related cost of sales on deferred revenue of $0.3 million from Nexafed® shipments is excluded from the value of the December 31, 2013 inventory and is reported in our Balance Sheet in the other current deferred assets account. We will recognize the revenue and cost of sales on these Nexafed® shipments once the right of return no longer exists or adequate history and information becomes available to estimate product returns.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purchases of active pharmaceutical ingredients and raw materials required for our development and clinical trial manufacture of product candidates utilizing our Aversion® or Impede® Technologies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plant and equipment are stated at cost, less accumulated depreciation.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is recorded on a straight-line basis over the estimated useful lives of the related assets. The estimated useful lives of the major classification of depreciable assets 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ind w:left="2860"/>
              <w:spacing w:after="0"/>
              <w:rPr>
                <w:sz w:val="20"/>
                <w:szCs w:val="20"/>
                <w:color w:val="auto"/>
              </w:rPr>
            </w:pPr>
            <w:r>
              <w:rPr>
                <w:rFonts w:ascii="Arial" w:cs="Arial" w:eastAsia="Arial" w:hAnsi="Arial"/>
                <w:sz w:val="18"/>
                <w:szCs w:val="18"/>
                <w:color w:val="auto"/>
              </w:rPr>
              <w:t>Building and improvements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c>
          <w:tcPr>
            <w:tcW w:w="3720" w:type="dxa"/>
            <w:vAlign w:val="bottom"/>
          </w:tcPr>
          <w:p>
            <w:pPr>
              <w:ind w:left="40"/>
              <w:spacing w:after="0"/>
              <w:rPr>
                <w:sz w:val="20"/>
                <w:szCs w:val="20"/>
                <w:color w:val="auto"/>
              </w:rPr>
            </w:pPr>
            <w:r>
              <w:rPr>
                <w:rFonts w:ascii="Arial" w:cs="Arial" w:eastAsia="Arial" w:hAnsi="Arial"/>
                <w:sz w:val="18"/>
                <w:szCs w:val="18"/>
                <w:color w:val="auto"/>
              </w:rPr>
              <w:t>- 40 years</w:t>
            </w:r>
          </w:p>
        </w:tc>
      </w:tr>
      <w:tr>
        <w:trPr>
          <w:trHeight w:val="216"/>
        </w:trPr>
        <w:tc>
          <w:tcPr>
            <w:tcW w:w="5440" w:type="dxa"/>
            <w:vAlign w:val="bottom"/>
          </w:tcPr>
          <w:p>
            <w:pPr>
              <w:ind w:left="2860"/>
              <w:spacing w:after="0"/>
              <w:rPr>
                <w:sz w:val="20"/>
                <w:szCs w:val="20"/>
                <w:color w:val="auto"/>
              </w:rPr>
            </w:pPr>
            <w:r>
              <w:rPr>
                <w:rFonts w:ascii="Arial" w:cs="Arial" w:eastAsia="Arial" w:hAnsi="Arial"/>
                <w:sz w:val="18"/>
                <w:szCs w:val="18"/>
                <w:color w:val="auto"/>
              </w:rPr>
              <w:t>Land improvements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20</w:t>
            </w:r>
          </w:p>
        </w:tc>
        <w:tc>
          <w:tcPr>
            <w:tcW w:w="3720" w:type="dxa"/>
            <w:vAlign w:val="bottom"/>
          </w:tcPr>
          <w:p>
            <w:pPr>
              <w:ind w:left="40"/>
              <w:spacing w:after="0"/>
              <w:rPr>
                <w:sz w:val="20"/>
                <w:szCs w:val="20"/>
                <w:color w:val="auto"/>
              </w:rPr>
            </w:pPr>
            <w:r>
              <w:rPr>
                <w:rFonts w:ascii="Arial" w:cs="Arial" w:eastAsia="Arial" w:hAnsi="Arial"/>
                <w:sz w:val="18"/>
                <w:szCs w:val="18"/>
                <w:color w:val="auto"/>
              </w:rPr>
              <w:t>- 40 years</w:t>
            </w:r>
          </w:p>
        </w:tc>
      </w:tr>
      <w:tr>
        <w:trPr>
          <w:trHeight w:val="216"/>
        </w:trPr>
        <w:tc>
          <w:tcPr>
            <w:tcW w:w="5440" w:type="dxa"/>
            <w:vAlign w:val="bottom"/>
          </w:tcPr>
          <w:p>
            <w:pPr>
              <w:ind w:left="2860"/>
              <w:spacing w:after="0"/>
              <w:rPr>
                <w:sz w:val="20"/>
                <w:szCs w:val="20"/>
                <w:color w:val="auto"/>
              </w:rPr>
            </w:pPr>
            <w:r>
              <w:rPr>
                <w:rFonts w:ascii="Arial" w:cs="Arial" w:eastAsia="Arial" w:hAnsi="Arial"/>
                <w:sz w:val="18"/>
                <w:szCs w:val="18"/>
                <w:color w:val="auto"/>
              </w:rPr>
              <w:t>Machinery and equipment</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c>
          <w:tcPr>
            <w:tcW w:w="3720" w:type="dxa"/>
            <w:vAlign w:val="bottom"/>
          </w:tcPr>
          <w:p>
            <w:pPr>
              <w:ind w:left="40"/>
              <w:spacing w:after="0"/>
              <w:rPr>
                <w:sz w:val="20"/>
                <w:szCs w:val="20"/>
                <w:color w:val="auto"/>
              </w:rPr>
            </w:pPr>
            <w:r>
              <w:rPr>
                <w:rFonts w:ascii="Arial" w:cs="Arial" w:eastAsia="Arial" w:hAnsi="Arial"/>
                <w:sz w:val="18"/>
                <w:szCs w:val="18"/>
                <w:color w:val="auto"/>
              </w:rPr>
              <w:t>- 10 years</w:t>
            </w:r>
          </w:p>
        </w:tc>
      </w:tr>
      <w:tr>
        <w:trPr>
          <w:trHeight w:val="216"/>
        </w:trPr>
        <w:tc>
          <w:tcPr>
            <w:tcW w:w="5440" w:type="dxa"/>
            <w:vAlign w:val="bottom"/>
          </w:tcPr>
          <w:p>
            <w:pPr>
              <w:ind w:left="2860"/>
              <w:spacing w:after="0"/>
              <w:rPr>
                <w:sz w:val="20"/>
                <w:szCs w:val="20"/>
                <w:color w:val="auto"/>
              </w:rPr>
            </w:pPr>
            <w:r>
              <w:rPr>
                <w:rFonts w:ascii="Arial" w:cs="Arial" w:eastAsia="Arial" w:hAnsi="Arial"/>
                <w:sz w:val="18"/>
                <w:szCs w:val="18"/>
                <w:color w:val="auto"/>
              </w:rPr>
              <w:t>Scientific equipment</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c>
          <w:tcPr>
            <w:tcW w:w="3720" w:type="dxa"/>
            <w:vAlign w:val="bottom"/>
          </w:tcPr>
          <w:p>
            <w:pPr>
              <w:ind w:left="40"/>
              <w:spacing w:after="0"/>
              <w:rPr>
                <w:sz w:val="20"/>
                <w:szCs w:val="20"/>
                <w:color w:val="auto"/>
              </w:rPr>
            </w:pPr>
            <w:r>
              <w:rPr>
                <w:rFonts w:ascii="Arial" w:cs="Arial" w:eastAsia="Arial" w:hAnsi="Arial"/>
                <w:sz w:val="18"/>
                <w:szCs w:val="18"/>
                <w:color w:val="auto"/>
              </w:rPr>
              <w:t>- 10 years</w:t>
            </w:r>
          </w:p>
        </w:tc>
      </w:tr>
      <w:tr>
        <w:trPr>
          <w:trHeight w:val="216"/>
        </w:trPr>
        <w:tc>
          <w:tcPr>
            <w:tcW w:w="5440" w:type="dxa"/>
            <w:vAlign w:val="bottom"/>
          </w:tcPr>
          <w:p>
            <w:pPr>
              <w:ind w:left="2860"/>
              <w:spacing w:after="0"/>
              <w:rPr>
                <w:sz w:val="20"/>
                <w:szCs w:val="20"/>
                <w:color w:val="auto"/>
              </w:rPr>
            </w:pPr>
            <w:r>
              <w:rPr>
                <w:rFonts w:ascii="Arial" w:cs="Arial" w:eastAsia="Arial" w:hAnsi="Arial"/>
                <w:sz w:val="18"/>
                <w:szCs w:val="18"/>
                <w:color w:val="auto"/>
                <w:w w:val="95"/>
              </w:rPr>
              <w:t>Computer hardware and software</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c>
          <w:tcPr>
            <w:tcW w:w="3720" w:type="dxa"/>
            <w:vAlign w:val="bottom"/>
          </w:tcPr>
          <w:p>
            <w:pPr>
              <w:ind w:left="40"/>
              <w:spacing w:after="0"/>
              <w:rPr>
                <w:sz w:val="20"/>
                <w:szCs w:val="20"/>
                <w:color w:val="auto"/>
              </w:rPr>
            </w:pPr>
            <w:r>
              <w:rPr>
                <w:rFonts w:ascii="Arial" w:cs="Arial" w:eastAsia="Arial" w:hAnsi="Arial"/>
                <w:sz w:val="18"/>
                <w:szCs w:val="18"/>
                <w:color w:val="auto"/>
              </w:rPr>
              <w:t>- 10 years</w:t>
            </w:r>
          </w:p>
        </w:tc>
      </w:tr>
      <w:tr>
        <w:trPr>
          <w:trHeight w:val="230"/>
        </w:trPr>
        <w:tc>
          <w:tcPr>
            <w:tcW w:w="5440" w:type="dxa"/>
            <w:vAlign w:val="bottom"/>
          </w:tcPr>
          <w:p>
            <w:pPr>
              <w:ind w:left="2860"/>
              <w:spacing w:after="0"/>
              <w:rPr>
                <w:sz w:val="20"/>
                <w:szCs w:val="20"/>
                <w:color w:val="auto"/>
              </w:rPr>
            </w:pPr>
            <w:r>
              <w:rPr>
                <w:rFonts w:ascii="Arial" w:cs="Arial" w:eastAsia="Arial" w:hAnsi="Arial"/>
                <w:sz w:val="18"/>
                <w:szCs w:val="18"/>
                <w:color w:val="auto"/>
              </w:rPr>
              <w:t>Office equipment</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c>
          <w:tcPr>
            <w:tcW w:w="3720" w:type="dxa"/>
            <w:vAlign w:val="bottom"/>
          </w:tcPr>
          <w:p>
            <w:pPr>
              <w:ind w:left="40"/>
              <w:spacing w:after="0"/>
              <w:rPr>
                <w:sz w:val="20"/>
                <w:szCs w:val="20"/>
                <w:color w:val="auto"/>
              </w:rPr>
            </w:pPr>
            <w:r>
              <w:rPr>
                <w:rFonts w:ascii="Arial" w:cs="Arial" w:eastAsia="Arial" w:hAnsi="Arial"/>
                <w:sz w:val="18"/>
                <w:szCs w:val="18"/>
                <w:color w:val="auto"/>
              </w:rPr>
              <w:t>- 10 years</w:t>
            </w:r>
          </w:p>
        </w:tc>
      </w:tr>
      <w:tr>
        <w:trPr>
          <w:trHeight w:val="689"/>
        </w:trPr>
        <w:tc>
          <w:tcPr>
            <w:tcW w:w="5440" w:type="dxa"/>
            <w:vAlign w:val="bottom"/>
          </w:tcPr>
          <w:p>
            <w:pPr>
              <w:spacing w:after="0"/>
              <w:rPr>
                <w:sz w:val="24"/>
                <w:szCs w:val="24"/>
                <w:color w:val="auto"/>
              </w:rPr>
            </w:pPr>
          </w:p>
        </w:tc>
        <w:tc>
          <w:tcPr>
            <w:tcW w:w="2260" w:type="dxa"/>
            <w:vAlign w:val="bottom"/>
          </w:tcPr>
          <w:p>
            <w:pPr>
              <w:jc w:val="right"/>
              <w:ind w:right="1770"/>
              <w:spacing w:after="0"/>
              <w:rPr>
                <w:sz w:val="20"/>
                <w:szCs w:val="20"/>
                <w:color w:val="auto"/>
              </w:rPr>
            </w:pPr>
            <w:r>
              <w:rPr>
                <w:rFonts w:ascii="Arial" w:cs="Arial" w:eastAsia="Arial" w:hAnsi="Arial"/>
                <w:sz w:val="18"/>
                <w:szCs w:val="18"/>
                <w:color w:val="auto"/>
              </w:rPr>
              <w:t>F-9</w:t>
            </w:r>
          </w:p>
        </w:tc>
        <w:tc>
          <w:tcPr>
            <w:tcW w:w="3720" w:type="dxa"/>
            <w:vAlign w:val="bottom"/>
          </w:tcPr>
          <w:p>
            <w:pPr>
              <w:spacing w:after="0"/>
              <w:rPr>
                <w:sz w:val="24"/>
                <w:szCs w:val="24"/>
                <w:color w:val="auto"/>
              </w:rPr>
            </w:pPr>
          </w:p>
        </w:tc>
      </w:tr>
      <w:tr>
        <w:trPr>
          <w:trHeight w:val="338"/>
        </w:trPr>
        <w:tc>
          <w:tcPr>
            <w:tcW w:w="54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debt issuance costs include costs of debt financing undertaken by the Company, including legal fees, placement fees and other direct costs of the financing. Debt discount is the value attributable to warrants issued in conjunction with the financing. Debt issuance costs and debt discount are amortized into interest expense over the term of the related debt using the effective interest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sales when the price is fixed and determinable at the date of sale, title and risk of ownership have been transferred to the customer, and returns can be reasonably estimated.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was launched in mid-December 2012. The Company sells Nexafed® in the United States to wholesale pharmaceutical distributors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the Company currently cannot reliably estimate expected returns of the product at the time of shipment to certain customers. Accordingly, the Company has deferred the recognition of revenue on $0.3 million of Nexafed® shipments to these customers until the right of return no longer exists or adequate history and information becomes available to estimate product returns.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License, Development, and Commercialization Agreement dated October 30, 2007 with King Pharmaceuticals Research and Development, Inc., now a subsidiary of Pfizer Inc. (the “Pfizer Agreement”), we recognize program fee revenue, collaboration revenue and milestone revenue. Commencing in February 2013, we began earning royalties based on net sales of Oxecta® by Pfizer. Such royalties are paid to us within 45 days after the end of each calendar quarter. We have recorded royalties of approximately $10 thousand for the year ended December 31, 2013 on net sales of Oxecta® by Pfizer of approximately $0.2 million.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Program fee revenue is derived from amortized upfront payments, such as the $30.0 million upfront payment from Pfizer received in December 2007, and license fees, such as the $3.0 million option exercise fee paid by Pfizer to us in each of May 2008 and December 2008 upon the exercise of its option to license a third and fourth opioid analgesic product candidate under the Pfizer Agreement. We assigned an equal portion of Pfizer’s $30.0 million upfront payment to each of three product candidates identified in the Pfizer Agreement and recognize the upfront payment as program fee revenue ratably over our estimate of the development period for each identified product candidate. We recognized no program fee revenue in either 2013 or 2012, and recognized $0.5 million of program fee revenue in 2011.</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is derived from reimbursement of development expenses, which are invoiced quarterly in arrears, and are recognized when costs are incurred pursuant to the Pfizer Agreement. The research and development services provided to Pfizer under the collaboration are priced at fair value based upon the reimbursement of expenses incurred pursuant to the collaboration with Pfizer. There are no ongoing research and development services being provided to Pfizer and we had no collaboration revenue in 2013, 2012 or 2011.</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Milestone revenue is contingent upon the achievement of certain pre-defined events in the development of Oxecta® Tablets and other product candidates licensed to Pfizer under the Pfizer Agreement. Milestone payments from Pfizer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the Pfizer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In June 2011, Pfizer paid us a $20.0 million milestone relating to the receipt of FDA approval of the NDA for Oxecta®.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shipping and handling costs in selling expenses. The amounts recorded from the sales of Nexafed® were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did not have any accrued CRO costs and clinical trial study expenses at either December 31, 2013 or 2012. At December 31, 2013 we had $0.36 million in prepaid CRO costs and clinical trial study expenses. We had no prepaid CRO costs and clinical trial study expenses at December 31, 2012.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have three share-based compensation plans covering stock options and RSUs for our employees and directors, which are described more fully in Note 10.</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share-based compensation expense recognized in the Company’s results of operations comprised the following:</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6"/>
          </w:tcPr>
          <w:p>
            <w:pPr>
              <w:jc w:val="center"/>
              <w:ind w:left="750"/>
              <w:spacing w:after="0"/>
              <w:rPr>
                <w:sz w:val="20"/>
                <w:szCs w:val="20"/>
                <w:color w:val="auto"/>
              </w:rPr>
            </w:pPr>
            <w:r>
              <w:rPr>
                <w:rFonts w:ascii="Arial" w:cs="Arial" w:eastAsia="Arial" w:hAnsi="Arial"/>
                <w:sz w:val="18"/>
                <w:szCs w:val="18"/>
                <w:color w:val="auto"/>
                <w:w w:val="88"/>
              </w:rPr>
              <w:t>Year Ended December 31,</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FFCC"/>
            </w:tcBorders>
          </w:tcPr>
          <w:p>
            <w:pPr>
              <w:spacing w:after="0"/>
              <w:rPr>
                <w:sz w:val="18"/>
                <w:szCs w:val="18"/>
                <w:color w:val="auto"/>
              </w:rPr>
            </w:pPr>
          </w:p>
        </w:tc>
        <w:tc>
          <w:tcPr>
            <w:tcW w:w="9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(in thousands)</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Stock option awards</w:t>
            </w:r>
          </w:p>
        </w:tc>
        <w:tc>
          <w:tcPr>
            <w:tcW w:w="12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375</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RSU awards</w:t>
            </w:r>
          </w:p>
        </w:tc>
        <w:tc>
          <w:tcPr>
            <w:tcW w:w="9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FFCC"/>
            </w:tcBorders>
          </w:tcPr>
          <w:p>
            <w:pPr>
              <w:spacing w:after="0"/>
              <w:rPr>
                <w:sz w:val="18"/>
                <w:szCs w:val="18"/>
                <w:color w:val="auto"/>
              </w:rPr>
            </w:pPr>
          </w:p>
        </w:tc>
        <w:tc>
          <w:tcPr>
            <w:tcW w:w="9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Stock option awards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RSU awards</w:t>
            </w:r>
          </w:p>
        </w:tc>
        <w:tc>
          <w:tcPr>
            <w:tcW w:w="9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FFCC"/>
            </w:tcBorders>
          </w:tcPr>
          <w:p>
            <w:pPr>
              <w:spacing w:after="0"/>
              <w:rPr>
                <w:sz w:val="18"/>
                <w:szCs w:val="18"/>
                <w:color w:val="auto"/>
              </w:rPr>
            </w:pPr>
          </w:p>
        </w:tc>
        <w:tc>
          <w:tcPr>
            <w:tcW w:w="9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Comprehensive income (loss) includes all changes in equity during a period except those that resulted from investments by or distributions to the Company’s stockholders. Other comprehensive income (loss) refers to revenues, expenses, gains and losses that, under GAAP, are included in comprehensive income (loss), but excluded from net income (loss) as these amounts are recorded directly as an adjustment to stockholders’ equity. Acura’s other comprehensive income (loss) is composed of unrealized gains (losses) on certain holdings of marketable securities, net of any realized gains (losses) included in net income (loss).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December 31, 2013 and 2012,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EPS is computed by dividing net income or loss by the weighted average common shares outstanding during a period, including shares weighted related to vested Restricted Stock Units (“RSUs”) (See Note 10).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either 2013 or 2012 as the Company reported a net loss for the years and including the effects of common stock equivalents in the diluted EPS calculation would have been antidilutive. In 2011, stock awards to purchase 2.8 million common shares were outstanding but not included in the computation of diluted EPS as the awards were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gridSpan w:val="6"/>
          </w:tcPr>
          <w:p>
            <w:pPr>
              <w:jc w:val="center"/>
              <w:ind w:left="570"/>
              <w:spacing w:after="0"/>
              <w:rPr>
                <w:sz w:val="20"/>
                <w:szCs w:val="20"/>
                <w:color w:val="auto"/>
              </w:rPr>
            </w:pPr>
            <w:r>
              <w:rPr>
                <w:rFonts w:ascii="Arial" w:cs="Arial" w:eastAsia="Arial" w:hAnsi="Arial"/>
                <w:sz w:val="18"/>
                <w:szCs w:val="18"/>
                <w:color w:val="auto"/>
                <w:w w:val="87"/>
              </w:rPr>
              <w:t>Years ended December 31,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4"/>
              </w:rPr>
              <w:t>2011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4360" w:type="dxa"/>
            <w:vAlign w:val="bottom"/>
            <w:tcBorders>
              <w:bottom w:val="single" w:sz="8" w:color="CCFFCC"/>
            </w:tcBorders>
          </w:tcPr>
          <w:p>
            <w:pPr>
              <w:spacing w:after="0"/>
              <w:rPr>
                <w:sz w:val="24"/>
                <w:szCs w:val="24"/>
                <w:color w:val="auto"/>
              </w:rPr>
            </w:pPr>
          </w:p>
        </w:tc>
        <w:tc>
          <w:tcPr>
            <w:tcW w:w="1140" w:type="dxa"/>
            <w:vAlign w:val="bottom"/>
            <w:tcBorders>
              <w:bottom w:val="single" w:sz="8" w:color="CCFFC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color w:val="auto"/>
                <w:w w:val="88"/>
              </w:rPr>
              <w:t>(in thousands except per share data)</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EPS - basic</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Numerator: net income (loss)</w:t>
            </w:r>
          </w:p>
        </w:tc>
        <w:tc>
          <w:tcPr>
            <w:tcW w:w="1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(13,901)</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(9,668)</w:t>
            </w:r>
          </w:p>
        </w:tc>
        <w:tc>
          <w:tcPr>
            <w:tcW w:w="62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10,385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Denominator:</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Arial" w:cs="Arial" w:eastAsia="Arial" w:hAnsi="Arial"/>
                <w:sz w:val="18"/>
                <w:szCs w:val="18"/>
                <w:color w:val="auto"/>
              </w:rPr>
              <w:t>Common shares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45,016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Vested RSUs</w:t>
            </w:r>
          </w:p>
        </w:tc>
        <w:tc>
          <w:tcPr>
            <w:tcW w:w="114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2,489</w:t>
            </w: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tcBorders>
              <w:bottom w:val="single" w:sz="8" w:color="CCFFCC"/>
            </w:tcBorders>
          </w:tcPr>
          <w:p>
            <w:pPr>
              <w:ind w:left="520"/>
              <w:spacing w:after="0"/>
              <w:rPr>
                <w:sz w:val="20"/>
                <w:szCs w:val="20"/>
                <w:color w:val="auto"/>
              </w:rPr>
            </w:pPr>
            <w:r>
              <w:rPr>
                <w:rFonts w:ascii="Arial" w:cs="Arial" w:eastAsia="Arial" w:hAnsi="Arial"/>
                <w:sz w:val="18"/>
                <w:szCs w:val="18"/>
                <w:color w:val="auto"/>
              </w:rPr>
              <w:t>Basic weighted average shares outstanding</w:t>
            </w:r>
          </w:p>
        </w:tc>
        <w:tc>
          <w:tcPr>
            <w:tcW w:w="114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47,764</w:t>
            </w:r>
          </w:p>
        </w:tc>
        <w:tc>
          <w:tcPr>
            <w:tcW w:w="1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47,521</w:t>
            </w:r>
          </w:p>
        </w:tc>
        <w:tc>
          <w:tcPr>
            <w:tcW w:w="100" w:type="dxa"/>
            <w:vAlign w:val="bottom"/>
            <w:tcBorders>
              <w:bottom w:val="single" w:sz="8" w:color="CCFFC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47,505</w:t>
            </w:r>
          </w:p>
        </w:tc>
        <w:tc>
          <w:tcPr>
            <w:tcW w:w="120" w:type="dxa"/>
            <w:vAlign w:val="bottom"/>
            <w:tcBorders>
              <w:bottom w:val="single" w:sz="8" w:color="CCFFC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EPS - basic</w:t>
            </w:r>
          </w:p>
        </w:tc>
        <w:tc>
          <w:tcPr>
            <w:tcW w:w="114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EPS – assuming dilution</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Numerator: net income (loss)</w:t>
            </w:r>
          </w:p>
        </w:tc>
        <w:tc>
          <w:tcPr>
            <w:tcW w:w="1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(13,901)</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(9,668)</w:t>
            </w:r>
          </w:p>
        </w:tc>
        <w:tc>
          <w:tcPr>
            <w:tcW w:w="62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10,385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Denominator:</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Arial" w:cs="Arial" w:eastAsia="Arial" w:hAnsi="Arial"/>
                <w:sz w:val="18"/>
                <w:szCs w:val="18"/>
                <w:color w:val="auto"/>
              </w:rPr>
              <w:t>Common shares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45,016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Vested RSUs</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2,489</w:t>
            </w: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Common stock warrants</w:t>
            </w:r>
          </w:p>
        </w:tc>
        <w:tc>
          <w:tcPr>
            <w:tcW w:w="114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tcBorders>
              <w:bottom w:val="single" w:sz="8" w:color="CCFFCC"/>
            </w:tcBorders>
          </w:tcPr>
          <w:p>
            <w:pPr>
              <w:ind w:left="520"/>
              <w:spacing w:after="0"/>
              <w:rPr>
                <w:sz w:val="20"/>
                <w:szCs w:val="20"/>
                <w:color w:val="auto"/>
              </w:rPr>
            </w:pPr>
            <w:r>
              <w:rPr>
                <w:rFonts w:ascii="Arial" w:cs="Arial" w:eastAsia="Arial" w:hAnsi="Arial"/>
                <w:sz w:val="18"/>
                <w:szCs w:val="18"/>
                <w:color w:val="auto"/>
              </w:rPr>
              <w:t>Diluted weighted average shares outstanding</w:t>
            </w:r>
          </w:p>
        </w:tc>
        <w:tc>
          <w:tcPr>
            <w:tcW w:w="114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47,764</w:t>
            </w:r>
          </w:p>
        </w:tc>
        <w:tc>
          <w:tcPr>
            <w:tcW w:w="1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47,521</w:t>
            </w:r>
          </w:p>
        </w:tc>
        <w:tc>
          <w:tcPr>
            <w:tcW w:w="100" w:type="dxa"/>
            <w:vAlign w:val="bottom"/>
            <w:tcBorders>
              <w:bottom w:val="single" w:sz="8" w:color="CCFFC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48,007</w:t>
            </w:r>
          </w:p>
        </w:tc>
        <w:tc>
          <w:tcPr>
            <w:tcW w:w="120" w:type="dxa"/>
            <w:vAlign w:val="bottom"/>
            <w:tcBorders>
              <w:bottom w:val="single" w:sz="8" w:color="CCFFC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EPS - diluted</w:t>
            </w:r>
          </w:p>
        </w:tc>
        <w:tc>
          <w:tcPr>
            <w:tcW w:w="114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Excluded dilutive securities:</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Common stock issuable: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Stock options</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2,805</w:t>
            </w: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Common stock warrants</w:t>
            </w:r>
          </w:p>
        </w:tc>
        <w:tc>
          <w:tcPr>
            <w:tcW w:w="114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FFC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CFFCC"/>
          </w:tcPr>
          <w:p>
            <w:pPr>
              <w:ind w:left="520"/>
              <w:spacing w:after="0"/>
              <w:rPr>
                <w:sz w:val="20"/>
                <w:szCs w:val="20"/>
                <w:color w:val="auto"/>
              </w:rPr>
            </w:pPr>
            <w:r>
              <w:rPr>
                <w:rFonts w:ascii="Arial" w:cs="Arial" w:eastAsia="Arial" w:hAnsi="Arial"/>
                <w:sz w:val="18"/>
                <w:szCs w:val="18"/>
                <w:color w:val="auto"/>
              </w:rPr>
              <w:t>Total excluded potentially dilutive shares</w:t>
            </w:r>
          </w:p>
        </w:tc>
        <w:tc>
          <w:tcPr>
            <w:tcW w:w="114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5,892</w:t>
            </w:r>
          </w:p>
        </w:tc>
        <w:tc>
          <w:tcPr>
            <w:tcW w:w="1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2,805</w:t>
            </w: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40" w:type="dxa"/>
            <w:vAlign w:val="bottom"/>
            <w:gridSpan w:val="2"/>
          </w:tcPr>
          <w:p>
            <w:pPr>
              <w:jc w:val="right"/>
              <w:ind w:right="405"/>
              <w:spacing w:after="0"/>
              <w:rPr>
                <w:sz w:val="20"/>
                <w:szCs w:val="20"/>
                <w:color w:val="auto"/>
              </w:rPr>
            </w:pPr>
            <w:r>
              <w:rPr>
                <w:rFonts w:ascii="Arial" w:cs="Arial" w:eastAsia="Arial" w:hAnsi="Arial"/>
                <w:sz w:val="18"/>
                <w:szCs w:val="18"/>
                <w:color w:val="auto"/>
              </w:rPr>
              <w:t>F-12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3 – LICENSE, DEVELOPMENT, AND COMMERCIALIZATION AGREEMENT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2007, we entered into a License, Development and Commercialization Agreement, or the Pfizer Agreement, with King Pharmaceuticals Research and Development, Inc., now a subsidiary of Pfizer, covering the United States, Canada and Mexico. Under the Pfizer Agreement, Pfizer will manufacture and commercialize Oxecta® in the United States. As of December 31, 2013, we had received an aggregate of $78.5 million in payments from Pfizer in the form of a $30.0 million upfront cash payment, milestone payments, option fees and reimbursement for research and development expenses, including a $20.0 million milestone fee relating to the receipt of FDA approval of the NDA for Oxecta®. In addition, as of December 31, 2013, we have received $9 thousand of royalties from Pfizer, which royalty payments were calculated using a 5% royalty rate based on the current annual Oxecta® net sales levels.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Pfizer Agreement, we and Pfizer formed a joint steering committee to oversee development and commercialization strategies for Oxecta®. Pfizer is responsible, at its own expense, for all regulatory, manufacturing and commercialization activities for Oxecta®. Subject to the Pfizer Agreement, Pfizer will have final decision making authority with respect to all regulatory and commercialization activities for Oxecta®.</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Pfizer’s royalty payment obligations for Oxecta® expire on a country-by-country basis upon the later of (i) the expiration of the last valid patent claim covering Oxecta® in such country, or (ii) 15 years from the first commercial sale of Oxecta® in such country. No minimum annual fees are payable by either party under the Pfizer Agreement. If Pfizer, after consultation with us, enters into a license agreement with a third party to avoid or settle such third party’s allegations or claims regarding freedom to operate against Oxecta®, Pfizer may deduct 50% of any royalties or other license payments it pays to such third party under such license, provided that the royalties payable to us are no less than 80% of the royalties otherwise due to us under the Pfizer Agreement.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Pfizer Agreement expires upon the expiration of Pfizer’s royalty payment and other payment obligations under the Pfizer Agreement. Pfizer may terminate the Pfizer Agreement in its entirety at any time by written notice to us. We may terminate the Pfizer Agreement in its entirety if Pfizer commences any interference or opposition proceeding challenging the validity or enforceability of any of our patent rights licensed to Pfizer under the Pfizer Agreement. Either party has the right to terminate the Pfizer Agreement on a country-by-country basis if the other party is in material breach of its obligations under the Pfizer Agreement relating to such country, and to terminate the Agreement in its entirety in the event the other party makes an assignment for the benefit of creditors, files a petition in bankruptcy or otherwise seeks relief under applicable bankruptcy laws, in each case subject to applicable cure periods.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both"/>
        <w:spacing w:after="0" w:line="276" w:lineRule="auto"/>
        <w:rPr>
          <w:sz w:val="20"/>
          <w:szCs w:val="20"/>
          <w:color w:val="auto"/>
        </w:rPr>
      </w:pPr>
      <w:r>
        <w:rPr>
          <w:rFonts w:ascii="Arial" w:cs="Arial" w:eastAsia="Arial" w:hAnsi="Arial"/>
          <w:sz w:val="17"/>
          <w:szCs w:val="17"/>
          <w:color w:val="auto"/>
        </w:rPr>
        <w:t>In the event of termination, no payments are due except those royalties and milestones that have accrued prior to termination under the Pfizer Agreement and all licenses under the Pfizer Agreement are terminated. For all Acura terminations and termination by Pfizer where we are not in breach, the Pfizer Agreement provides for the transition of development and marketing of the licensed products from Pfizer to us, including the conveyance by Pfizer to us of the trademarks and all regulatory filings and approvals solely used in connection with the commercialization of such licensed products and, in certain cases, for Pfizer’s supply of such licensed products for a transitional period at Pfizer’s cost plus a mark-up.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or about September 17, 2012, we believe the FDA internally changed the status of Oxecta® to be considered a Reference Listed Drug, or RLD. An RLD is the standard to which all generic versions must be shown to be bioequivalent and a drug company seeking approval to market a generic equivalent must refer to the RLD. By designating Oxecta® as an RLD, the FDA was allowed to accept ANDAs referencing Oxecta®.</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September 20, 2012, we announced that we had received a Paragraph IV Certification Notice under 21 U.S.C. 355(j) (a Paragraph IV Notice) from a generic sponsor of an ANDA for a generic drug listing Oxecta® as the reference listed drug. Since such date, we have received similar Paragraph IV Notices from three other generic pharmaceutical companies that have filed ANDAs listing Oxecta® as the reference drug. The Paragraph IV Notices refer to our U.S. Patent Numbers 7,201,920, 7,510,726 and 7,981,439, which cover our Aversion® Technology and Oxecta®. The Paragraph IV Notices state that each generic sponsor believes that such patents are invalid, unenforceable or not infringed. On October 31, 2012, we initiated suit against each of Watson Laboratories, Inc.</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Oxecta® product for which each of Par and Impax is separately seeking approval to market in the United States pursuant to an ANDA filing with the FDA infringes a U.S. patent owned by us. Par is the first filer of an ANDA for a generic Oxecta® product and is entitled to the 180-day first filer exclusivity under applicable law and FDA regulations.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Oxecta®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Oxecta®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Oxecta® product in the U.S., through the grant of a non-exclusive, royalty-free license from us that would trigger 180 days following the first sale of a generic Oxecta® product in the U.S. by an entity that is entitled to the 180 day first-filer exclusivity under applicable law and FDA regulations (or if no entity is entitled to such 180 day exclusivity period, the date on which a generic Oxecta®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Settlement Agreements with Par and Impax do not affect the status of our separate Oxecta® patent litigations against Sandoz Inc. and Ranbaxy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pending in the United States District Court for the District of Delaware.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Litigation is inherently uncertain and we cannot predict the outcome of these infringement actions. If Sandoz and/or Ranbaxy prevails in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these infringement actions that our patents covering our Aversion® Technology and Oxecta® are invalid or unenforceable, in whole or in part, or that the products covered by generic sponsors’ ANDAs do not infringe our patents could have a material adverse affect on our operations and financial condition.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NOTE 4 – INVESTMENTS IN MARKETABLE SECURITIES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920" w:type="dxa"/>
            <w:vAlign w:val="bottom"/>
            <w:gridSpan w:val="2"/>
          </w:tcPr>
          <w:p>
            <w:pPr>
              <w:spacing w:after="0"/>
              <w:rPr>
                <w:sz w:val="20"/>
                <w:szCs w:val="20"/>
                <w:color w:val="auto"/>
              </w:rPr>
            </w:pPr>
            <w:r>
              <w:rPr>
                <w:rFonts w:ascii="Arial" w:cs="Arial" w:eastAsia="Arial" w:hAnsi="Arial"/>
                <w:sz w:val="18"/>
                <w:szCs w:val="18"/>
                <w:color w:val="auto"/>
              </w:rPr>
              <w:t>Investments in marketable securities consisted of the following:</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December 31, 2013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December 31, 2012</w:t>
            </w:r>
          </w:p>
        </w:tc>
      </w:tr>
      <w:tr>
        <w:trPr>
          <w:trHeight w:val="210"/>
        </w:trPr>
        <w:tc>
          <w:tcPr>
            <w:tcW w:w="580" w:type="dxa"/>
            <w:vAlign w:val="bottom"/>
          </w:tcPr>
          <w:p>
            <w:pPr>
              <w:spacing w:after="0"/>
              <w:rPr>
                <w:sz w:val="18"/>
                <w:szCs w:val="18"/>
                <w:color w:val="auto"/>
              </w:rPr>
            </w:pPr>
          </w:p>
        </w:tc>
        <w:tc>
          <w:tcPr>
            <w:tcW w:w="5340" w:type="dxa"/>
            <w:vAlign w:val="bottom"/>
            <w:tcBorders>
              <w:bottom w:val="single" w:sz="8" w:color="CCFFCC"/>
            </w:tcBorders>
          </w:tcPr>
          <w:p>
            <w:pPr>
              <w:spacing w:after="0"/>
              <w:rPr>
                <w:sz w:val="18"/>
                <w:szCs w:val="18"/>
                <w:color w:val="auto"/>
              </w:rPr>
            </w:pPr>
          </w:p>
        </w:tc>
        <w:tc>
          <w:tcPr>
            <w:tcW w:w="106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(in millions)</w:t>
            </w:r>
          </w:p>
        </w:tc>
        <w:tc>
          <w:tcPr>
            <w:tcW w:w="8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(in millions)</w:t>
            </w:r>
          </w:p>
        </w:tc>
        <w:tc>
          <w:tcPr>
            <w:tcW w:w="120" w:type="dxa"/>
            <w:vAlign w:val="bottom"/>
            <w:tcBorders>
              <w:bottom w:val="single" w:sz="8" w:color="CCFFCC"/>
            </w:tcBorders>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Marketable securities:</w:t>
            </w: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Corporate bonds — maturing within 1 year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Corporate bonds — maturing after 1 through 4 years</w:t>
            </w: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Pooled investment fund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Exchange-traded funds</w:t>
            </w:r>
          </w:p>
        </w:tc>
        <w:tc>
          <w:tcPr>
            <w:tcW w:w="106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FFC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Total marketable securities</w:t>
            </w:r>
          </w:p>
        </w:tc>
        <w:tc>
          <w:tcPr>
            <w:tcW w:w="10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 as they may be sold within one year </w:t>
      </w:r>
      <w:r>
        <w:rPr>
          <w:rFonts w:ascii="Arial" w:cs="Arial" w:eastAsia="Arial" w:hAnsi="Arial"/>
          <w:sz w:val="18"/>
          <w:szCs w:val="18"/>
          <w:color w:val="111111"/>
        </w:rPr>
        <w:t>in response to changes in market prices or interest rates, to realign our investment concentrations or to meet our working capital</w:t>
      </w:r>
      <w:r>
        <w:rPr>
          <w:rFonts w:ascii="Arial" w:cs="Arial" w:eastAsia="Arial" w:hAnsi="Arial"/>
          <w:sz w:val="18"/>
          <w:szCs w:val="18"/>
          <w:color w:val="auto"/>
        </w:rPr>
        <w:t xml:space="preserve"> </w:t>
      </w:r>
      <w:r>
        <w:rPr>
          <w:rFonts w:ascii="Arial" w:cs="Arial" w:eastAsia="Arial" w:hAnsi="Arial"/>
          <w:sz w:val="18"/>
          <w:szCs w:val="18"/>
          <w:color w:val="111111"/>
        </w:rPr>
        <w:t>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summary of the fair value and unrealized gains (losses) related to the Company’s available-for-sale securities (in millions):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center"/>
              <w:ind w:left="312"/>
              <w:spacing w:after="0"/>
              <w:rPr>
                <w:sz w:val="20"/>
                <w:szCs w:val="20"/>
                <w:color w:val="auto"/>
              </w:rPr>
            </w:pPr>
            <w:r>
              <w:rPr>
                <w:rFonts w:ascii="Arial" w:cs="Arial" w:eastAsia="Arial" w:hAnsi="Arial"/>
                <w:sz w:val="18"/>
                <w:szCs w:val="18"/>
                <w:color w:val="auto"/>
                <w:w w:val="89"/>
              </w:rPr>
              <w:t>December 31, 2013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center"/>
              <w:ind w:left="312"/>
              <w:spacing w:after="0"/>
              <w:rPr>
                <w:sz w:val="20"/>
                <w:szCs w:val="20"/>
                <w:color w:val="auto"/>
              </w:rPr>
            </w:pPr>
            <w:r>
              <w:rPr>
                <w:rFonts w:ascii="Arial" w:cs="Arial" w:eastAsia="Arial" w:hAnsi="Arial"/>
                <w:sz w:val="18"/>
                <w:szCs w:val="18"/>
                <w:color w:val="auto"/>
                <w:w w:val="98"/>
              </w:rPr>
              <w:t>(in millions)</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left="152"/>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274"/>
              <w:spacing w:after="0" w:line="195" w:lineRule="exact"/>
              <w:rPr>
                <w:sz w:val="20"/>
                <w:szCs w:val="20"/>
                <w:color w:val="auto"/>
              </w:rPr>
            </w:pPr>
            <w:r>
              <w:rPr>
                <w:rFonts w:ascii="Arial" w:cs="Arial" w:eastAsia="Arial" w:hAnsi="Arial"/>
                <w:sz w:val="18"/>
                <w:szCs w:val="18"/>
                <w:color w:val="auto"/>
                <w:w w:val="87"/>
              </w:rPr>
              <w:t>Gross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left="132"/>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left="254"/>
              <w:spacing w:after="0"/>
              <w:rPr>
                <w:sz w:val="20"/>
                <w:szCs w:val="20"/>
                <w:color w:val="auto"/>
              </w:rPr>
            </w:pPr>
            <w:r>
              <w:rPr>
                <w:rFonts w:ascii="Arial" w:cs="Arial" w:eastAsia="Arial" w:hAnsi="Arial"/>
                <w:sz w:val="18"/>
                <w:szCs w:val="18"/>
                <w:color w:val="auto"/>
                <w:w w:val="92"/>
              </w:rPr>
              <w:t>Unrealized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Fair</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Cost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left="152"/>
              <w:spacing w:after="0"/>
              <w:rPr>
                <w:sz w:val="20"/>
                <w:szCs w:val="20"/>
                <w:color w:val="auto"/>
              </w:rPr>
            </w:pPr>
            <w:r>
              <w:rPr>
                <w:rFonts w:ascii="Arial" w:cs="Arial" w:eastAsia="Arial" w:hAnsi="Arial"/>
                <w:sz w:val="18"/>
                <w:szCs w:val="18"/>
                <w:color w:val="auto"/>
                <w:w w:val="89"/>
              </w:rPr>
              <w:t>Gains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left="254"/>
              <w:spacing w:after="0"/>
              <w:rPr>
                <w:sz w:val="20"/>
                <w:szCs w:val="20"/>
                <w:color w:val="auto"/>
              </w:rPr>
            </w:pPr>
            <w:r>
              <w:rPr>
                <w:rFonts w:ascii="Arial" w:cs="Arial" w:eastAsia="Arial" w:hAnsi="Arial"/>
                <w:sz w:val="18"/>
                <w:szCs w:val="18"/>
                <w:color w:val="auto"/>
                <w:w w:val="84"/>
              </w:rPr>
              <w:t>Losses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Value</w:t>
            </w:r>
          </w:p>
        </w:tc>
      </w:tr>
      <w:tr>
        <w:trPr>
          <w:trHeight w:val="210"/>
        </w:trPr>
        <w:tc>
          <w:tcPr>
            <w:tcW w:w="20" w:type="dxa"/>
            <w:vAlign w:val="bottom"/>
          </w:tcPr>
          <w:p>
            <w:pPr>
              <w:spacing w:after="0"/>
              <w:rPr>
                <w:sz w:val="18"/>
                <w:szCs w:val="18"/>
                <w:color w:val="auto"/>
              </w:rPr>
            </w:pPr>
          </w:p>
        </w:tc>
        <w:tc>
          <w:tcPr>
            <w:tcW w:w="2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Available-for-sale:</w:t>
            </w:r>
          </w:p>
        </w:tc>
        <w:tc>
          <w:tcPr>
            <w:tcW w:w="68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500" w:type="dxa"/>
            <w:vAlign w:val="bottom"/>
            <w:gridSpan w:val="2"/>
          </w:tcPr>
          <w:p>
            <w:pPr>
              <w:jc w:val="right"/>
              <w:ind w:right="65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109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974"/>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Exchange-traded funds</w:t>
            </w:r>
          </w:p>
        </w:tc>
        <w:tc>
          <w:tcPr>
            <w:tcW w:w="680" w:type="dxa"/>
            <w:vAlign w:val="bottom"/>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spacing w:after="0"/>
              <w:rPr>
                <w:sz w:val="18"/>
                <w:szCs w:val="18"/>
                <w:color w:val="auto"/>
              </w:rPr>
            </w:pPr>
          </w:p>
        </w:tc>
        <w:tc>
          <w:tcPr>
            <w:tcW w:w="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Total - Current</w:t>
            </w:r>
          </w:p>
        </w:tc>
        <w:tc>
          <w:tcPr>
            <w:tcW w:w="680" w:type="dxa"/>
            <w:vAlign w:val="bottom"/>
          </w:tcPr>
          <w:p>
            <w:pPr>
              <w:spacing w:after="0"/>
              <w:rPr>
                <w:sz w:val="18"/>
                <w:szCs w:val="18"/>
                <w:color w:val="auto"/>
              </w:rPr>
            </w:pPr>
          </w:p>
        </w:tc>
        <w:tc>
          <w:tcPr>
            <w:tcW w:w="820" w:type="dxa"/>
            <w:vAlign w:val="bottom"/>
            <w:tcBorders>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13.7</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092"/>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74"/>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312"/>
              <w:spacing w:after="0"/>
              <w:rPr>
                <w:sz w:val="20"/>
                <w:szCs w:val="20"/>
                <w:color w:val="auto"/>
              </w:rPr>
            </w:pPr>
            <w:r>
              <w:rPr>
                <w:rFonts w:ascii="Arial" w:cs="Arial" w:eastAsia="Arial" w:hAnsi="Arial"/>
                <w:sz w:val="18"/>
                <w:szCs w:val="18"/>
                <w:color w:val="auto"/>
                <w:w w:val="89"/>
              </w:rPr>
              <w:t>December 31, 2012</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center"/>
              <w:ind w:left="312"/>
              <w:spacing w:after="0"/>
              <w:rPr>
                <w:sz w:val="20"/>
                <w:szCs w:val="20"/>
                <w:color w:val="auto"/>
              </w:rPr>
            </w:pPr>
            <w:r>
              <w:rPr>
                <w:rFonts w:ascii="Arial" w:cs="Arial" w:eastAsia="Arial" w:hAnsi="Arial"/>
                <w:sz w:val="18"/>
                <w:szCs w:val="18"/>
                <w:color w:val="auto"/>
                <w:w w:val="98"/>
              </w:rPr>
              <w:t>(in millions)</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left="152"/>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274"/>
              <w:spacing w:after="0" w:line="195" w:lineRule="exact"/>
              <w:rPr>
                <w:sz w:val="20"/>
                <w:szCs w:val="20"/>
                <w:color w:val="auto"/>
              </w:rPr>
            </w:pPr>
            <w:r>
              <w:rPr>
                <w:rFonts w:ascii="Arial" w:cs="Arial" w:eastAsia="Arial" w:hAnsi="Arial"/>
                <w:sz w:val="18"/>
                <w:szCs w:val="18"/>
                <w:color w:val="auto"/>
                <w:w w:val="87"/>
              </w:rPr>
              <w:t>Gross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left="132"/>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left="254"/>
              <w:spacing w:after="0"/>
              <w:rPr>
                <w:sz w:val="20"/>
                <w:szCs w:val="20"/>
                <w:color w:val="auto"/>
              </w:rPr>
            </w:pPr>
            <w:r>
              <w:rPr>
                <w:rFonts w:ascii="Arial" w:cs="Arial" w:eastAsia="Arial" w:hAnsi="Arial"/>
                <w:sz w:val="18"/>
                <w:szCs w:val="18"/>
                <w:color w:val="auto"/>
                <w:w w:val="92"/>
              </w:rPr>
              <w:t>Unrealized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Fair</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Cost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left="152"/>
              <w:spacing w:after="0"/>
              <w:rPr>
                <w:sz w:val="20"/>
                <w:szCs w:val="20"/>
                <w:color w:val="auto"/>
              </w:rPr>
            </w:pPr>
            <w:r>
              <w:rPr>
                <w:rFonts w:ascii="Arial" w:cs="Arial" w:eastAsia="Arial" w:hAnsi="Arial"/>
                <w:sz w:val="18"/>
                <w:szCs w:val="18"/>
                <w:color w:val="auto"/>
                <w:w w:val="89"/>
              </w:rPr>
              <w:t>Gains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left="254"/>
              <w:spacing w:after="0"/>
              <w:rPr>
                <w:sz w:val="20"/>
                <w:szCs w:val="20"/>
                <w:color w:val="auto"/>
              </w:rPr>
            </w:pPr>
            <w:r>
              <w:rPr>
                <w:rFonts w:ascii="Arial" w:cs="Arial" w:eastAsia="Arial" w:hAnsi="Arial"/>
                <w:sz w:val="18"/>
                <w:szCs w:val="18"/>
                <w:color w:val="auto"/>
                <w:w w:val="84"/>
              </w:rPr>
              <w:t>Losses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Value</w:t>
            </w:r>
          </w:p>
        </w:tc>
      </w:tr>
      <w:tr>
        <w:trPr>
          <w:trHeight w:val="210"/>
        </w:trPr>
        <w:tc>
          <w:tcPr>
            <w:tcW w:w="20" w:type="dxa"/>
            <w:vAlign w:val="bottom"/>
          </w:tcPr>
          <w:p>
            <w:pPr>
              <w:spacing w:after="0"/>
              <w:rPr>
                <w:sz w:val="18"/>
                <w:szCs w:val="18"/>
                <w:color w:val="auto"/>
              </w:rPr>
            </w:pPr>
          </w:p>
        </w:tc>
        <w:tc>
          <w:tcPr>
            <w:tcW w:w="2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Available-for-sale:</w:t>
            </w:r>
          </w:p>
        </w:tc>
        <w:tc>
          <w:tcPr>
            <w:tcW w:w="68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500" w:type="dxa"/>
            <w:vAlign w:val="bottom"/>
            <w:gridSpan w:val="2"/>
          </w:tcPr>
          <w:p>
            <w:pPr>
              <w:jc w:val="right"/>
              <w:ind w:right="65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1360" w:type="dxa"/>
            <w:vAlign w:val="bottom"/>
            <w:gridSpan w:val="2"/>
          </w:tcPr>
          <w:p>
            <w:pPr>
              <w:jc w:val="right"/>
              <w:ind w:right="109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974"/>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Pooled investment fund</w:t>
            </w:r>
          </w:p>
        </w:tc>
        <w:tc>
          <w:tcPr>
            <w:tcW w:w="6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Borders>
              <w:bottom w:val="single" w:sz="8" w:color="CCFFCC"/>
            </w:tcBorders>
          </w:tcPr>
          <w:p>
            <w:pPr>
              <w:ind w:left="100"/>
              <w:spacing w:after="0"/>
              <w:rPr>
                <w:sz w:val="20"/>
                <w:szCs w:val="20"/>
                <w:color w:val="auto"/>
              </w:rPr>
            </w:pPr>
            <w:r>
              <w:rPr>
                <w:rFonts w:ascii="Arial" w:cs="Arial" w:eastAsia="Arial" w:hAnsi="Arial"/>
                <w:sz w:val="18"/>
                <w:szCs w:val="18"/>
                <w:color w:val="auto"/>
              </w:rPr>
              <w:t>Exchange-traded funds</w:t>
            </w:r>
          </w:p>
        </w:tc>
        <w:tc>
          <w:tcPr>
            <w:tcW w:w="680" w:type="dxa"/>
            <w:vAlign w:val="bottom"/>
            <w:tcBorders>
              <w:bottom w:val="single" w:sz="8" w:color="CCFFC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 Current</w:t>
            </w:r>
          </w:p>
        </w:tc>
        <w:tc>
          <w:tcPr>
            <w:tcW w:w="680" w:type="dxa"/>
            <w:vAlign w:val="bottom"/>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6"/>
              </w:rPr>
              <w:t>20.0</w:t>
            </w:r>
          </w:p>
        </w:tc>
        <w:tc>
          <w:tcPr>
            <w:tcW w:w="10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ind w:right="1092"/>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ind w:right="974"/>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 We had no liabilities at December 31, 2013 meeting fair value measurement.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Our assets measured at fair value or disclosed at fair value on a recurring basis as at December 31, 2013 and 2012 consisted of the following (in millions):</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31, 2013</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gridSpan w:val="7"/>
          </w:tcPr>
          <w:p>
            <w:pPr>
              <w:jc w:val="right"/>
              <w:ind w:right="860"/>
              <w:spacing w:after="0"/>
              <w:rPr>
                <w:sz w:val="20"/>
                <w:szCs w:val="20"/>
                <w:color w:val="auto"/>
              </w:rPr>
            </w:pPr>
            <w:r>
              <w:rPr>
                <w:rFonts w:ascii="Arial" w:cs="Arial" w:eastAsia="Arial" w:hAnsi="Arial"/>
                <w:sz w:val="18"/>
                <w:szCs w:val="18"/>
                <w:color w:val="auto"/>
              </w:rPr>
              <w:t>(in millions)</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44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Level 1</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Level 2</w:t>
            </w:r>
          </w:p>
        </w:tc>
        <w:tc>
          <w:tcPr>
            <w:tcW w:w="8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00" w:type="dxa"/>
            <w:vAlign w:val="bottom"/>
            <w:tcBorders>
              <w:bottom w:val="single" w:sz="8" w:color="CCFFCC"/>
            </w:tcBorders>
          </w:tcPr>
          <w:p>
            <w:pPr>
              <w:spacing w:after="0"/>
              <w:rPr>
                <w:sz w:val="18"/>
                <w:szCs w:val="18"/>
                <w:color w:val="auto"/>
              </w:rPr>
            </w:pPr>
          </w:p>
        </w:tc>
      </w:tr>
      <w:tr>
        <w:trPr>
          <w:trHeight w:val="210"/>
        </w:trPr>
        <w:tc>
          <w:tcPr>
            <w:tcW w:w="244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4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Exchange-traded funds</w:t>
            </w:r>
          </w:p>
        </w:tc>
        <w:tc>
          <w:tcPr>
            <w:tcW w:w="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0"/>
        </w:trPr>
        <w:tc>
          <w:tcPr>
            <w:tcW w:w="2440" w:type="dxa"/>
            <w:vAlign w:val="bottom"/>
          </w:tcPr>
          <w:p>
            <w:pPr>
              <w:ind w:left="2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26"/>
        </w:trPr>
        <w:tc>
          <w:tcPr>
            <w:tcW w:w="24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8"/>
                <w:szCs w:val="18"/>
                <w:color w:val="auto"/>
              </w:rPr>
              <w:t>December 31, 2012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4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8"/>
                <w:szCs w:val="18"/>
                <w:color w:val="auto"/>
              </w:rPr>
              <w:t>(in millions)</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Level 3</w:t>
            </w:r>
          </w:p>
        </w:tc>
        <w:tc>
          <w:tcPr>
            <w:tcW w:w="160" w:type="dxa"/>
            <w:vAlign w:val="bottom"/>
            <w:gridSpan w:val="2"/>
          </w:tcPr>
          <w:p>
            <w:pPr>
              <w:spacing w:after="0"/>
              <w:rPr>
                <w:sz w:val="18"/>
                <w:szCs w:val="18"/>
                <w:color w:val="auto"/>
              </w:rPr>
            </w:pPr>
          </w:p>
        </w:tc>
      </w:tr>
      <w:tr>
        <w:trPr>
          <w:trHeight w:val="210"/>
        </w:trPr>
        <w:tc>
          <w:tcPr>
            <w:tcW w:w="2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Assets:</w:t>
            </w:r>
          </w:p>
        </w:tc>
        <w:tc>
          <w:tcPr>
            <w:tcW w:w="4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Pooled investment fund</w:t>
            </w: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440" w:type="dxa"/>
            <w:vAlign w:val="bottom"/>
            <w:tcBorders>
              <w:bottom w:val="single" w:sz="8" w:color="CCFFCC"/>
            </w:tcBorders>
          </w:tcPr>
          <w:p>
            <w:pPr>
              <w:ind w:left="140"/>
              <w:spacing w:after="0"/>
              <w:rPr>
                <w:sz w:val="20"/>
                <w:szCs w:val="20"/>
                <w:color w:val="auto"/>
              </w:rPr>
            </w:pPr>
            <w:r>
              <w:rPr>
                <w:rFonts w:ascii="Arial" w:cs="Arial" w:eastAsia="Arial" w:hAnsi="Arial"/>
                <w:sz w:val="18"/>
                <w:szCs w:val="18"/>
                <w:color w:val="auto"/>
              </w:rPr>
              <w:t>Exchange-traded funds</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2440" w:type="dxa"/>
            <w:vAlign w:val="bottom"/>
            <w:shd w:val="clear" w:color="auto" w:fill="CCFFCC"/>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gridSpan w:val="2"/>
            <w:shd w:val="clear" w:color="auto" w:fill="CCFFCC"/>
          </w:tcPr>
          <w:p>
            <w:pPr>
              <w:jc w:val="right"/>
              <w:ind w:right="11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bottom w:val="single" w:sz="8" w:color="auto"/>
            </w:tcBorders>
            <w:gridSpan w:val="2"/>
            <w:shd w:val="clear" w:color="auto" w:fill="CCFFCC"/>
          </w:tcPr>
          <w:p>
            <w:pPr>
              <w:jc w:val="right"/>
              <w:ind w:right="65"/>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40" w:type="dxa"/>
            <w:vAlign w:val="bottom"/>
            <w:tcBorders>
              <w:bottom w:val="single" w:sz="8" w:color="auto"/>
            </w:tcBorders>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tcBorders>
              <w:bottom w:val="single" w:sz="8" w:color="auto"/>
            </w:tcBorders>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at December 31, 2013 consisted of unrealized gains on securities of $19 thousand. Accumulated other comprehensive income (loss) at December 31, 2012 consisted of unrealized losses on securities of $40 thousand.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NOTE 5 – PROPERTY, PLANT AND EQUIPMENT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Property, plant and equipment are summarized as follows:</w:t>
            </w:r>
          </w:p>
        </w:tc>
        <w:tc>
          <w:tcPr>
            <w:tcW w:w="340" w:type="dxa"/>
            <w:vAlign w:val="bottom"/>
          </w:tcPr>
          <w:p>
            <w:pPr>
              <w:spacing w:after="0"/>
              <w:rPr>
                <w:sz w:val="24"/>
                <w:szCs w:val="24"/>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8"/>
                <w:szCs w:val="18"/>
                <w:color w:val="auto"/>
              </w:rPr>
              <w:t>December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4"/>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78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Building and improvements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FFCC"/>
          </w:tcPr>
          <w:p>
            <w:pPr>
              <w:spacing w:after="0"/>
              <w:rPr>
                <w:sz w:val="18"/>
                <w:szCs w:val="18"/>
                <w:color w:val="auto"/>
              </w:rPr>
            </w:pPr>
          </w:p>
        </w:tc>
        <w:tc>
          <w:tcPr>
            <w:tcW w:w="54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Scientific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Computer hardware and software</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Land and improvements</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Office equipment</w:t>
            </w:r>
          </w:p>
        </w:tc>
        <w:tc>
          <w:tcPr>
            <w:tcW w:w="340" w:type="dxa"/>
            <w:vAlign w:val="bottom"/>
            <w:tcBorders>
              <w:bottom w:val="single" w:sz="8" w:color="auto"/>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(1,676)</w:t>
            </w:r>
          </w:p>
        </w:tc>
        <w:tc>
          <w:tcPr>
            <w:tcW w:w="5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approximately $0.1 million for each of the years ended December 31, 2013, 2012, and 2011.</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NOTE 6 – ACCRUED EXPENSES</w:t>
            </w: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2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gridSpan w:val="4"/>
          </w:tcPr>
          <w:p>
            <w:pPr>
              <w:jc w:val="right"/>
              <w:ind w:right="370"/>
              <w:spacing w:after="0"/>
              <w:rPr>
                <w:sz w:val="20"/>
                <w:szCs w:val="20"/>
                <w:color w:val="auto"/>
              </w:rPr>
            </w:pPr>
            <w:r>
              <w:rPr>
                <w:rFonts w:ascii="Arial" w:cs="Arial" w:eastAsia="Arial" w:hAnsi="Arial"/>
                <w:sz w:val="18"/>
                <w:szCs w:val="18"/>
                <w:color w:val="auto"/>
                <w:w w:val="88"/>
              </w:rPr>
              <w:t>December 31,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2012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3260" w:type="dxa"/>
            <w:vAlign w:val="bottom"/>
            <w:tcBorders>
              <w:bottom w:val="single" w:sz="8" w:color="CCFFCC"/>
            </w:tcBorders>
          </w:tcPr>
          <w:p>
            <w:pPr>
              <w:spacing w:after="0"/>
              <w:rPr>
                <w:sz w:val="18"/>
                <w:szCs w:val="18"/>
                <w:color w:val="auto"/>
              </w:rPr>
            </w:pPr>
          </w:p>
        </w:tc>
        <w:tc>
          <w:tcPr>
            <w:tcW w:w="800" w:type="dxa"/>
            <w:vAlign w:val="bottom"/>
            <w:tcBorders>
              <w:bottom w:val="single" w:sz="8" w:color="CCFFCC"/>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w w:val="87"/>
              </w:rPr>
              <w:t>(in thousands)</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Professional services</w:t>
            </w:r>
          </w:p>
        </w:tc>
        <w:tc>
          <w:tcPr>
            <w:tcW w:w="8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75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216</w:t>
            </w:r>
          </w:p>
        </w:tc>
        <w:tc>
          <w:tcPr>
            <w:tcW w:w="12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Payroll, payroll taxes and benefits</w:t>
            </w:r>
          </w:p>
        </w:tc>
        <w:tc>
          <w:tcPr>
            <w:tcW w:w="8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Clinical and regulatory services</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Contract manufacture services</w:t>
            </w:r>
          </w:p>
        </w:tc>
        <w:tc>
          <w:tcPr>
            <w:tcW w:w="8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Property taxes</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Franchise taxes</w:t>
            </w:r>
          </w:p>
        </w:tc>
        <w:tc>
          <w:tcPr>
            <w:tcW w:w="800" w:type="dxa"/>
            <w:vAlign w:val="bottom"/>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FFCC"/>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413</w:t>
            </w:r>
          </w:p>
        </w:tc>
        <w:tc>
          <w:tcPr>
            <w:tcW w:w="1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27, 2013, we entered into a Loan and Security Agreement (the “Loan Agreement”) with Oxford Finance LLC (“Oxford” or the “Lender”), for a term loan to the Company in the principal amount of $10.0 million (the “Term Loan”). The full principal amount of the Term Loan was funded on December 27, 2013. The Company may use the proceeds of the Loan Agreement for general working capital and to fund its business requirements. The Term Loan accrues interest at a fixed rate of 8.35% per annum (with a default rate of 13.35% per annum). The Company is required to make monthly interest-only payments until the Amortization Date and starting on the Amortization Date, the Company is required to make payments of principal and accrued interest in equal monthly installments sufficient to amortize the Term Loan through the maturity date of December 1, 2018. The “Amortization Date” is April 1, 2015, but shall automatically become April 1, 2016 if the Company achieves 75% of its projected Nexafed® cash receipts and 75% of its projected Oxecta® cash receipts for the fiscal year ending December 31, 2014 (collectively, the “First Revenue Event”). The Amortization Date will be further deferred until April 1, 2017 if the First Revenue Event occurs and in addition the Company achieves 75% of its projected Nexafed® cash receipts and 75% of its projected Oxecta® cash receipts for the fiscal year ending December 31, 2015 (collectively, the “Second Revenue Event”). All unpaid principal and accrued and unpaid interest with respect to the Term Loan is due and payable in full on December 1, 2018. As security for its obligations under the Loan Agreement, the Company granted Lender a security interest in substantially all of its existing and after-acquired assets, exclusive of its intellectual property assets. Pursuant to the Loan Agreement, the Company is not allowed to pledge its intellectual property assets to others.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may voluntarily prepay the Term Loan in full, but not in part, and any prepayment is subject to a prepayment premium equal to 3% of the principal prepaid if prepaid on or prior to December 27, 2014, 2% of the principal prepaid, if prepaid after December 27, 2014 but on or prior to December 27, 2015, and 1% of the principal prepaid if prepaid after December 27, 2015. In addition, at the maturity, termination or upon voluntary or mandatory prepayment of the Term Loan the Company must pay the Lender an additional one-time interest payment of (A) $795 thousand if the First Revenue Event does not occur, (B) $895 thousand if the First Revenue Event occurs but the Second Revenue Event does not occur, or (C) $995 thousand if both the First Revenue Event and the Second Revenue Event occur. We will incur and accrue additional monthly interest expense over the term of the loan for this additional one-time interest payment using the loan’s effective cash interest rate.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will amortize those costs into operating expense over the term of the loan using the loan’s effective interest rate.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We issued to the Lender warrants to purchase an aggregate of up to 298 thousand shares of our common stock at an exercise price equal to $1.595 per share (the “Warrants”). We recorded $400 thousand as debt discount associated with the fair value of the Warrants and will amortize it to non-operating expense over the term of the loan using the loan’s effective interest rate. The Warrants are immediately exercisable for cash or by net exercise and will expire December 27, 2020. The fair value of the warrants was determined using the Black-Scholes option-pricing model. Significant assumptions used in the Black-Scholes model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annual principal payments of the Long-term debt at December 31, 2013 are as follows:</w:t>
      </w:r>
    </w:p>
    <w:p>
      <w:pPr>
        <w:spacing w:after="0" w:line="225" w:lineRule="exact"/>
        <w:rPr>
          <w:sz w:val="20"/>
          <w:szCs w:val="20"/>
          <w:color w:val="auto"/>
        </w:rPr>
      </w:pPr>
    </w:p>
    <w:tbl>
      <w:tblPr>
        <w:tblLayout w:type="fixed"/>
        <w:tblInd w:w="326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Annual</w:t>
            </w:r>
          </w:p>
        </w:tc>
      </w:tr>
      <w:tr>
        <w:trPr>
          <w:trHeight w:val="230"/>
        </w:trPr>
        <w:tc>
          <w:tcPr>
            <w:tcW w:w="2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Principal Payments</w:t>
            </w:r>
          </w:p>
        </w:tc>
      </w:tr>
      <w:tr>
        <w:trPr>
          <w:trHeight w:val="210"/>
        </w:trPr>
        <w:tc>
          <w:tcPr>
            <w:tcW w:w="2360" w:type="dxa"/>
            <w:vAlign w:val="bottom"/>
            <w:tcBorders>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CCFFCC"/>
            </w:tcBorders>
          </w:tcPr>
          <w:p>
            <w:pPr>
              <w:spacing w:after="0"/>
              <w:rPr>
                <w:sz w:val="18"/>
                <w:szCs w:val="18"/>
                <w:color w:val="auto"/>
              </w:rPr>
            </w:pPr>
          </w:p>
        </w:tc>
      </w:tr>
      <w:tr>
        <w:trPr>
          <w:trHeight w:val="210"/>
        </w:trPr>
        <w:tc>
          <w:tcPr>
            <w:tcW w:w="236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2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8"/>
                <w:szCs w:val="18"/>
                <w:color w:val="auto"/>
              </w:rPr>
            </w:pPr>
          </w:p>
        </w:tc>
      </w:tr>
      <w:tr>
        <w:trPr>
          <w:trHeight w:val="216"/>
        </w:trPr>
        <w:tc>
          <w:tcPr>
            <w:tcW w:w="236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FFCC"/>
          </w:tcPr>
          <w:p>
            <w:pPr>
              <w:spacing w:after="0"/>
              <w:rPr>
                <w:sz w:val="18"/>
                <w:szCs w:val="18"/>
                <w:color w:val="auto"/>
              </w:rPr>
            </w:pPr>
          </w:p>
        </w:tc>
        <w:tc>
          <w:tcPr>
            <w:tcW w:w="2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2,522</w:t>
            </w:r>
          </w:p>
        </w:tc>
        <w:tc>
          <w:tcPr>
            <w:tcW w:w="120" w:type="dxa"/>
            <w:vAlign w:val="bottom"/>
            <w:shd w:val="clear" w:color="auto" w:fill="CCFFCC"/>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8"/>
                <w:szCs w:val="18"/>
                <w:color w:val="auto"/>
              </w:rPr>
            </w:pPr>
          </w:p>
        </w:tc>
      </w:tr>
      <w:tr>
        <w:trPr>
          <w:trHeight w:val="216"/>
        </w:trPr>
        <w:tc>
          <w:tcPr>
            <w:tcW w:w="2360" w:type="dxa"/>
            <w:vAlign w:val="bottom"/>
            <w:shd w:val="clear" w:color="auto" w:fill="CCFFCC"/>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FFCC"/>
          </w:tcPr>
          <w:p>
            <w:pPr>
              <w:spacing w:after="0"/>
              <w:rPr>
                <w:sz w:val="18"/>
                <w:szCs w:val="18"/>
                <w:color w:val="auto"/>
              </w:rPr>
            </w:pPr>
          </w:p>
        </w:tc>
        <w:tc>
          <w:tcPr>
            <w:tcW w:w="2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CFFCC"/>
          </w:tcPr>
          <w:p>
            <w:pPr>
              <w:spacing w:after="0"/>
              <w:rPr>
                <w:sz w:val="18"/>
                <w:szCs w:val="18"/>
                <w:color w:val="auto"/>
              </w:rPr>
            </w:pPr>
          </w:p>
        </w:tc>
      </w:tr>
      <w:tr>
        <w:trPr>
          <w:trHeight w:val="216"/>
        </w:trPr>
        <w:tc>
          <w:tcPr>
            <w:tcW w:w="23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2019 and subsequent</w:t>
            </w: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tcPr>
          <w:p>
            <w:pPr>
              <w:spacing w:after="0"/>
              <w:rPr>
                <w:sz w:val="18"/>
                <w:szCs w:val="18"/>
                <w:color w:val="auto"/>
              </w:rPr>
            </w:pPr>
          </w:p>
        </w:tc>
      </w:tr>
      <w:tr>
        <w:trPr>
          <w:trHeight w:val="210"/>
        </w:trPr>
        <w:tc>
          <w:tcPr>
            <w:tcW w:w="23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FFC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EQUITY FINANCING</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universal shelf registration statement on Form S-3 was declared effective by the Securities and Exchange Commission (“SEC”) on March 15, 2013. On April 18, 2013, we filed a prospectus supplement with the SEC pursuant to which we may sell shares of our common stock from time to time in “at the market” offerings and certain other transactions, having sales proceeds of up to $13 million. During the year ended December 31, 2013, we sold approximately 1.94 million shares of our common stock under a Sales Agreement with MLV &amp; Co., our sales agent, through an “at the market” offering, for gross proceeds of approximately $3.3 million. Transaction costs were approximately $0.1 million. The net proceeds of these transactions for year ended ending December 31, 2013 were approximately $3.2 million and will be used for general corporate purposes, which may include working capital, capital expenditures, research, development and marketing expenditures and clinical trial expenditures.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had outstanding common stock purchase warrants at December 31, 2012 exercisable for 1.9 million shares of our common stock at an exercise price of $3.40 per share and an expiration date in August 2014. In connection with the issuance of the $10.0 million secured promissory notes in December 2013, we issued common stock purchase warrants to acquire approximately 298 thousand shares of our common stock at an exercise price of $1.595 per share with an expiration date of December 2020. The Company has outstanding common stock purchase warrants at December 31, 2013 exercisable for 2.2 million shares of our common stock at a weighted average exercise price of $3.15 per share. All of our outstanding common stock purchase warrants contain a cashless exercise feature.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and Profit-Sharing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401(k) and Profit-Sharing Plan (the “Plan”) for our employees. Employees may elect to make a basic contribution of up to 80% of their annual earnings subject to certain regulatory restrictions on their total contribution. The Plan provides that the Company can make discretionary matching contributions along with a discretionary profit-sharing contribution. We did not contribute matching or profit sharing contributions for the Plan in years 2013, 2012, and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plans as of December 31, 2013, 2012, and 2011 and for the years then ended consisted of the following:</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Years Ended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2013</w:t>
            </w: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2012</w:t>
            </w: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89"/>
              </w:rPr>
              <w:t>(in thousands except price data)</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92"/>
              </w:rPr>
              <w:t>Weighted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Weighted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of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r>
      <w:tr>
        <w:trPr>
          <w:trHeight w:val="210"/>
        </w:trPr>
        <w:tc>
          <w:tcPr>
            <w:tcW w:w="20" w:type="dxa"/>
            <w:vAlign w:val="bottom"/>
          </w:tcPr>
          <w:p>
            <w:pPr>
              <w:spacing w:after="0"/>
              <w:rPr>
                <w:sz w:val="18"/>
                <w:szCs w:val="18"/>
                <w:color w:val="auto"/>
              </w:rPr>
            </w:pPr>
          </w:p>
        </w:tc>
        <w:tc>
          <w:tcPr>
            <w:tcW w:w="21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top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Forfeited or expired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FFCC"/>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Outstanding, ending</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3,296</w:t>
            </w:r>
          </w:p>
        </w:tc>
        <w:tc>
          <w:tcPr>
            <w:tcW w:w="12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Options exercisable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nonvested stock options outstanding at December 31, 2013:</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380" w:type="dxa"/>
            <w:vAlign w:val="bottom"/>
          </w:tcPr>
          <w:p>
            <w:pPr>
              <w:jc w:val="center"/>
              <w:ind w:left="350"/>
              <w:spacing w:after="0"/>
              <w:rPr>
                <w:sz w:val="20"/>
                <w:szCs w:val="20"/>
                <w:color w:val="auto"/>
              </w:rPr>
            </w:pPr>
            <w:r>
              <w:rPr>
                <w:rFonts w:ascii="Arial" w:cs="Arial" w:eastAsia="Arial" w:hAnsi="Arial"/>
                <w:sz w:val="18"/>
                <w:szCs w:val="18"/>
                <w:color w:val="auto"/>
                <w:w w:val="92"/>
              </w:rPr>
              <w:t>Number of</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center"/>
              <w:ind w:left="373"/>
              <w:spacing w:after="0"/>
              <w:rPr>
                <w:sz w:val="20"/>
                <w:szCs w:val="20"/>
                <w:color w:val="auto"/>
              </w:rPr>
            </w:pPr>
            <w:r>
              <w:rPr>
                <w:rFonts w:ascii="Arial" w:cs="Arial" w:eastAsia="Arial" w:hAnsi="Arial"/>
                <w:sz w:val="18"/>
                <w:szCs w:val="18"/>
                <w:color w:val="auto"/>
                <w:w w:val="89"/>
              </w:rPr>
              <w:t>Weighted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1380" w:type="dxa"/>
            <w:vAlign w:val="bottom"/>
          </w:tcPr>
          <w:p>
            <w:pPr>
              <w:jc w:val="center"/>
              <w:ind w:left="350"/>
              <w:spacing w:after="0"/>
              <w:rPr>
                <w:sz w:val="20"/>
                <w:szCs w:val="20"/>
                <w:color w:val="auto"/>
              </w:rPr>
            </w:pPr>
            <w:r>
              <w:rPr>
                <w:rFonts w:ascii="Arial" w:cs="Arial" w:eastAsia="Arial" w:hAnsi="Arial"/>
                <w:sz w:val="18"/>
                <w:szCs w:val="18"/>
                <w:color w:val="auto"/>
                <w:w w:val="93"/>
              </w:rPr>
              <w:t>Options</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center"/>
              <w:ind w:left="373"/>
              <w:spacing w:after="0"/>
              <w:rPr>
                <w:sz w:val="20"/>
                <w:szCs w:val="20"/>
                <w:color w:val="auto"/>
              </w:rPr>
            </w:pPr>
            <w:r>
              <w:rPr>
                <w:rFonts w:ascii="Arial" w:cs="Arial" w:eastAsia="Arial" w:hAnsi="Arial"/>
                <w:sz w:val="18"/>
                <w:szCs w:val="18"/>
                <w:color w:val="auto"/>
                <w:w w:val="89"/>
              </w:rPr>
              <w:t>Average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1380" w:type="dxa"/>
            <w:vAlign w:val="bottom"/>
          </w:tcPr>
          <w:p>
            <w:pPr>
              <w:jc w:val="center"/>
              <w:ind w:left="350"/>
              <w:spacing w:after="0"/>
              <w:rPr>
                <w:sz w:val="20"/>
                <w:szCs w:val="20"/>
                <w:color w:val="auto"/>
              </w:rPr>
            </w:pPr>
            <w:r>
              <w:rPr>
                <w:rFonts w:ascii="Arial" w:cs="Arial" w:eastAsia="Arial" w:hAnsi="Arial"/>
                <w:sz w:val="18"/>
                <w:szCs w:val="18"/>
                <w:color w:val="auto"/>
                <w:w w:val="92"/>
              </w:rPr>
              <w:t>Not</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center"/>
              <w:ind w:left="373"/>
              <w:spacing w:after="0"/>
              <w:rPr>
                <w:sz w:val="20"/>
                <w:szCs w:val="20"/>
                <w:color w:val="auto"/>
              </w:rPr>
            </w:pPr>
            <w:r>
              <w:rPr>
                <w:rFonts w:ascii="Arial" w:cs="Arial" w:eastAsia="Arial" w:hAnsi="Arial"/>
                <w:sz w:val="18"/>
                <w:szCs w:val="18"/>
                <w:color w:val="auto"/>
                <w:w w:val="90"/>
              </w:rPr>
              <w:t>Fair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p>
        </w:tc>
        <w:tc>
          <w:tcPr>
            <w:tcW w:w="13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0"/>
              </w:rPr>
              <w:t>Exercisable</w:t>
            </w: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373"/>
              <w:spacing w:after="0"/>
              <w:rPr>
                <w:sz w:val="20"/>
                <w:szCs w:val="20"/>
                <w:color w:val="auto"/>
              </w:rPr>
            </w:pPr>
            <w:r>
              <w:rPr>
                <w:rFonts w:ascii="Arial" w:cs="Arial" w:eastAsia="Arial" w:hAnsi="Arial"/>
                <w:sz w:val="18"/>
                <w:szCs w:val="18"/>
                <w:color w:val="auto"/>
                <w:w w:val="86"/>
              </w:rPr>
              <w:t>Value</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100" w:type="dxa"/>
            <w:vAlign w:val="bottom"/>
          </w:tcPr>
          <w:p>
            <w:pPr>
              <w:spacing w:after="0"/>
              <w:rPr>
                <w:sz w:val="16"/>
                <w:szCs w:val="16"/>
                <w:color w:val="auto"/>
              </w:rPr>
            </w:pPr>
          </w:p>
        </w:tc>
        <w:tc>
          <w:tcPr>
            <w:tcW w:w="3300" w:type="dxa"/>
            <w:vAlign w:val="bottom"/>
            <w:gridSpan w:val="5"/>
          </w:tcPr>
          <w:p>
            <w:pPr>
              <w:jc w:val="right"/>
              <w:ind w:right="433"/>
              <w:spacing w:after="0" w:line="195" w:lineRule="exact"/>
              <w:rPr>
                <w:sz w:val="20"/>
                <w:szCs w:val="20"/>
                <w:color w:val="auto"/>
              </w:rPr>
            </w:pPr>
            <w:r>
              <w:rPr>
                <w:rFonts w:ascii="Arial" w:cs="Arial" w:eastAsia="Arial" w:hAnsi="Arial"/>
                <w:sz w:val="18"/>
                <w:szCs w:val="18"/>
                <w:color w:val="auto"/>
              </w:rPr>
              <w:t>(in thousands except per</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10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8"/>
                <w:szCs w:val="18"/>
                <w:color w:val="auto"/>
              </w:rPr>
              <w:t>price data)</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r>
      <w:tr>
        <w:trPr>
          <w:trHeight w:val="210"/>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38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FFCC"/>
          </w:tcPr>
          <w:p>
            <w:pPr>
              <w:spacing w:after="0"/>
              <w:rPr>
                <w:sz w:val="18"/>
                <w:szCs w:val="18"/>
                <w:color w:val="auto"/>
              </w:rPr>
            </w:pPr>
          </w:p>
        </w:tc>
      </w:tr>
      <w:tr>
        <w:trPr>
          <w:trHeight w:val="210"/>
        </w:trPr>
        <w:tc>
          <w:tcPr>
            <w:tcW w:w="41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r>
      <w:tr>
        <w:trPr>
          <w:trHeight w:val="216"/>
        </w:trPr>
        <w:tc>
          <w:tcPr>
            <w:tcW w:w="548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Vested</w:t>
            </w: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(443)</w:t>
            </w:r>
          </w:p>
        </w:tc>
        <w:tc>
          <w:tcPr>
            <w:tcW w:w="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FFCC"/>
          </w:tcPr>
          <w:p>
            <w:pPr>
              <w:spacing w:after="0"/>
              <w:rPr>
                <w:sz w:val="18"/>
                <w:szCs w:val="18"/>
                <w:color w:val="auto"/>
              </w:rPr>
            </w:pPr>
          </w:p>
        </w:tc>
      </w:tr>
      <w:tr>
        <w:trPr>
          <w:trHeight w:val="216"/>
        </w:trPr>
        <w:tc>
          <w:tcPr>
            <w:tcW w:w="548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r>
      <w:tr>
        <w:trPr>
          <w:trHeight w:val="210"/>
        </w:trPr>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2013</w:t>
            </w:r>
          </w:p>
        </w:tc>
        <w:tc>
          <w:tcPr>
            <w:tcW w:w="1380" w:type="dxa"/>
            <w:vAlign w:val="bottom"/>
            <w:tcBorders>
              <w:top w:val="single" w:sz="8" w:color="auto"/>
              <w:bottom w:val="single" w:sz="8" w:color="auto"/>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623</w:t>
            </w: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auto"/>
              <w:bottom w:val="single" w:sz="8" w:color="auto"/>
            </w:tcBorders>
            <w:shd w:val="clear" w:color="auto" w:fill="CCFFCC"/>
          </w:tcPr>
          <w:p>
            <w:pPr>
              <w:jc w:val="right"/>
              <w:ind w:right="121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 The assumptions used in the Black-Scholes model to determine fair value for the 2013, 2012 and 2011 stock option grants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120" w:type="dxa"/>
            <w:vAlign w:val="bottom"/>
            <w:tcBorders>
              <w:bottom w:val="single" w:sz="8" w:color="CCFFCC"/>
            </w:tcBorders>
          </w:tcPr>
          <w:p>
            <w:pPr>
              <w:spacing w:after="0"/>
              <w:rPr>
                <w:sz w:val="20"/>
                <w:szCs w:val="20"/>
                <w:color w:val="auto"/>
              </w:rPr>
            </w:pPr>
          </w:p>
        </w:tc>
        <w:tc>
          <w:tcPr>
            <w:tcW w:w="18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FFCC"/>
            </w:tcBorders>
          </w:tcPr>
          <w:p>
            <w:pPr>
              <w:spacing w:after="0"/>
              <w:rPr>
                <w:sz w:val="20"/>
                <w:szCs w:val="20"/>
                <w:color w:val="auto"/>
              </w:rPr>
            </w:pPr>
          </w:p>
        </w:tc>
        <w:tc>
          <w:tcPr>
            <w:tcW w:w="1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FFCC"/>
            </w:tcBorders>
          </w:tcPr>
          <w:p>
            <w:pPr>
              <w:spacing w:after="0"/>
              <w:rPr>
                <w:sz w:val="20"/>
                <w:szCs w:val="20"/>
                <w:color w:val="auto"/>
              </w:rPr>
            </w:pPr>
          </w:p>
        </w:tc>
        <w:tc>
          <w:tcPr>
            <w:tcW w:w="1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2011</w:t>
            </w:r>
          </w:p>
        </w:tc>
        <w:tc>
          <w:tcPr>
            <w:tcW w:w="220" w:type="dxa"/>
            <w:vAlign w:val="bottom"/>
            <w:tcBorders>
              <w:bottom w:val="single" w:sz="8" w:color="CCFFCC"/>
            </w:tcBorders>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Expected dividend yield</w:t>
            </w:r>
          </w:p>
        </w:tc>
        <w:tc>
          <w:tcPr>
            <w:tcW w:w="18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0.0%</w:t>
            </w:r>
          </w:p>
        </w:tc>
        <w:tc>
          <w:tcPr>
            <w:tcW w:w="200" w:type="dxa"/>
            <w:vAlign w:val="bottom"/>
            <w:shd w:val="clear" w:color="auto" w:fill="CCFFCC"/>
          </w:tcPr>
          <w:p>
            <w:pPr>
              <w:spacing w:after="0"/>
              <w:rPr>
                <w:sz w:val="18"/>
                <w:szCs w:val="18"/>
                <w:color w:val="auto"/>
              </w:rPr>
            </w:pPr>
          </w:p>
        </w:tc>
        <w:tc>
          <w:tcPr>
            <w:tcW w:w="18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0.0%</w:t>
            </w:r>
          </w:p>
        </w:tc>
        <w:tc>
          <w:tcPr>
            <w:tcW w:w="200" w:type="dxa"/>
            <w:vAlign w:val="bottom"/>
            <w:shd w:val="clear" w:color="auto" w:fill="CCFFCC"/>
          </w:tcPr>
          <w:p>
            <w:pPr>
              <w:spacing w:after="0"/>
              <w:rPr>
                <w:sz w:val="18"/>
                <w:szCs w:val="18"/>
                <w:color w:val="auto"/>
              </w:rPr>
            </w:pPr>
          </w:p>
        </w:tc>
        <w:tc>
          <w:tcPr>
            <w:tcW w:w="18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7"/>
              </w:rPr>
              <w:t>0.0%</w:t>
            </w:r>
          </w:p>
        </w:tc>
        <w:tc>
          <w:tcPr>
            <w:tcW w:w="2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2020" w:type="dxa"/>
            <w:vAlign w:val="bottom"/>
            <w:gridSpan w:val="2"/>
          </w:tcPr>
          <w:p>
            <w:pPr>
              <w:ind w:left="460"/>
              <w:spacing w:after="0"/>
              <w:rPr>
                <w:sz w:val="20"/>
                <w:szCs w:val="20"/>
                <w:color w:val="auto"/>
              </w:rPr>
            </w:pPr>
            <w:r>
              <w:rPr>
                <w:rFonts w:ascii="Arial" w:cs="Arial" w:eastAsia="Arial" w:hAnsi="Arial"/>
                <w:sz w:val="18"/>
                <w:szCs w:val="18"/>
                <w:color w:val="auto"/>
              </w:rPr>
              <w:t>1.9% to 2.9%</w:t>
            </w:r>
          </w:p>
        </w:tc>
        <w:tc>
          <w:tcPr>
            <w:tcW w:w="2060" w:type="dxa"/>
            <w:vAlign w:val="bottom"/>
            <w:gridSpan w:val="2"/>
          </w:tcPr>
          <w:p>
            <w:pPr>
              <w:ind w:left="480"/>
              <w:spacing w:after="0"/>
              <w:rPr>
                <w:sz w:val="20"/>
                <w:szCs w:val="20"/>
                <w:color w:val="auto"/>
              </w:rPr>
            </w:pPr>
            <w:r>
              <w:rPr>
                <w:rFonts w:ascii="Arial" w:cs="Arial" w:eastAsia="Arial" w:hAnsi="Arial"/>
                <w:sz w:val="18"/>
                <w:szCs w:val="18"/>
                <w:color w:val="auto"/>
              </w:rPr>
              <w:t>1.7% to 2.0%</w:t>
            </w:r>
          </w:p>
        </w:tc>
        <w:tc>
          <w:tcPr>
            <w:tcW w:w="2080" w:type="dxa"/>
            <w:vAlign w:val="bottom"/>
            <w:gridSpan w:val="2"/>
          </w:tcPr>
          <w:p>
            <w:pPr>
              <w:ind w:left="480"/>
              <w:spacing w:after="0"/>
              <w:rPr>
                <w:sz w:val="20"/>
                <w:szCs w:val="20"/>
                <w:color w:val="auto"/>
              </w:rPr>
            </w:pPr>
            <w:r>
              <w:rPr>
                <w:rFonts w:ascii="Arial" w:cs="Arial" w:eastAsia="Arial" w:hAnsi="Arial"/>
                <w:sz w:val="18"/>
                <w:szCs w:val="18"/>
                <w:color w:val="auto"/>
              </w:rPr>
              <w:t>1.9% to 3.4%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Average expected volatility</w:t>
            </w:r>
          </w:p>
        </w:tc>
        <w:tc>
          <w:tcPr>
            <w:tcW w:w="18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6"/>
              </w:rPr>
              <w:t>111%</w:t>
            </w:r>
          </w:p>
        </w:tc>
        <w:tc>
          <w:tcPr>
            <w:tcW w:w="200" w:type="dxa"/>
            <w:vAlign w:val="bottom"/>
            <w:shd w:val="clear" w:color="auto" w:fill="CCFFCC"/>
          </w:tcPr>
          <w:p>
            <w:pPr>
              <w:spacing w:after="0"/>
              <w:rPr>
                <w:sz w:val="18"/>
                <w:szCs w:val="18"/>
                <w:color w:val="auto"/>
              </w:rPr>
            </w:pPr>
          </w:p>
        </w:tc>
        <w:tc>
          <w:tcPr>
            <w:tcW w:w="18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114%</w:t>
            </w:r>
          </w:p>
        </w:tc>
        <w:tc>
          <w:tcPr>
            <w:tcW w:w="200" w:type="dxa"/>
            <w:vAlign w:val="bottom"/>
            <w:shd w:val="clear" w:color="auto" w:fill="CCFFCC"/>
          </w:tcPr>
          <w:p>
            <w:pPr>
              <w:spacing w:after="0"/>
              <w:rPr>
                <w:sz w:val="18"/>
                <w:szCs w:val="18"/>
                <w:color w:val="auto"/>
              </w:rPr>
            </w:pPr>
          </w:p>
        </w:tc>
        <w:tc>
          <w:tcPr>
            <w:tcW w:w="18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6"/>
              </w:rPr>
              <w:t>114%</w:t>
            </w:r>
          </w:p>
        </w:tc>
        <w:tc>
          <w:tcPr>
            <w:tcW w:w="2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Expected term (years)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grant date fair value</w:t>
            </w:r>
          </w:p>
        </w:tc>
        <w:tc>
          <w:tcPr>
            <w:tcW w:w="18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$ 1.54</w:t>
            </w:r>
          </w:p>
        </w:tc>
        <w:tc>
          <w:tcPr>
            <w:tcW w:w="200" w:type="dxa"/>
            <w:vAlign w:val="bottom"/>
            <w:shd w:val="clear" w:color="auto" w:fill="CCFFCC"/>
          </w:tcPr>
          <w:p>
            <w:pPr>
              <w:spacing w:after="0"/>
              <w:rPr>
                <w:sz w:val="18"/>
                <w:szCs w:val="18"/>
                <w:color w:val="auto"/>
              </w:rPr>
            </w:pPr>
          </w:p>
        </w:tc>
        <w:tc>
          <w:tcPr>
            <w:tcW w:w="18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$ 2.60</w:t>
            </w:r>
          </w:p>
        </w:tc>
        <w:tc>
          <w:tcPr>
            <w:tcW w:w="200" w:type="dxa"/>
            <w:vAlign w:val="bottom"/>
            <w:shd w:val="clear" w:color="auto" w:fill="CCFFCC"/>
          </w:tcPr>
          <w:p>
            <w:pPr>
              <w:spacing w:after="0"/>
              <w:rPr>
                <w:sz w:val="18"/>
                <w:szCs w:val="18"/>
                <w:color w:val="auto"/>
              </w:rPr>
            </w:pPr>
          </w:p>
        </w:tc>
        <w:tc>
          <w:tcPr>
            <w:tcW w:w="18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7"/>
              </w:rPr>
              <w:t>$ 3.39</w:t>
            </w:r>
          </w:p>
        </w:tc>
        <w:tc>
          <w:tcPr>
            <w:tcW w:w="2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689"/>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20" w:type="dxa"/>
            <w:vAlign w:val="bottom"/>
            <w:gridSpan w:val="2"/>
          </w:tcPr>
          <w:p>
            <w:pPr>
              <w:ind w:left="860"/>
              <w:spacing w:after="0"/>
              <w:rPr>
                <w:sz w:val="20"/>
                <w:szCs w:val="20"/>
                <w:color w:val="auto"/>
              </w:rPr>
            </w:pPr>
            <w:r>
              <w:rPr>
                <w:rFonts w:ascii="Arial" w:cs="Arial" w:eastAsia="Arial" w:hAnsi="Arial"/>
                <w:sz w:val="18"/>
                <w:szCs w:val="18"/>
                <w:color w:val="auto"/>
              </w:rPr>
              <w:t>F-19</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8"/>
        </w:trPr>
        <w:tc>
          <w:tcPr>
            <w:tcW w:w="5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8"/>
          <w:szCs w:val="18"/>
          <w:color w:val="auto"/>
        </w:rPr>
        <w:t>As of December 31, 2013, 2012 and 2011 the aggregate intrinsic value of the option awards which were vested and outstanding was $13 thousand, $0.1 million, and $0.3 million, respectively. In addition, the aggregate intrinsic value of option awards exercised during the year ended December 31, 2013, 2012 and 2011 was $28 thousand, $0.1 million and $2.7 million, respectively. The total remaining unrecognized compensation cost on unvested option awards outstanding at December 31, 2013 was $1.1 million and is expected to be recognized in operating expense in varying amounts over the twenty-three months remaining in the requisite service period.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2013, options to purchase 24 thousand shares of common stock were exercised utilizing various cashless exercise features of our stock option plan and after withholding 17 thousand shares for $32 in exercise costs and withholding 1 thousand shares for $4 in statutory minimum withholding payroll taxes, we issued 6 thousand shares of common stock. During 2012, options to purchase 24 thousand shares of common stock were exercised utilizing various cashless exercise features of the stock option plan and after withholding 10 thousand shares for $31 in exercise costs and withholding 5 thousand shares for $15 in statutory minimum payroll taxes, we issued 9 thousand shares of common stock. During 2011 options to purchase 935 thousand shares of common stock were exercised utilizing various cashless exercise features of the stock option plan and after withholding 324 thousand shares for $1.3 million in exercise costs and withholding 228 thousand shares for $886 in statutory minimum payroll taxes, we issued 383 thousand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Restricted Stock Unit Award Plan (“2005 RSU Plan”) for our employees and non-employee directors. Vesting of an RSU entitles the holder to receive a share of common stock of the Company on a distribution date. A summary of the RSU Plan as of December 31, 2013, 2012, and 2011, and for the years then ended consisted of the following:</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2013</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89"/>
              </w:rPr>
              <w:t>(in thousands)</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3"/>
              </w:rPr>
              <w:t>Number</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2"/>
              </w:rPr>
              <w:t>Number of</w:t>
            </w:r>
          </w:p>
        </w:tc>
        <w:tc>
          <w:tcPr>
            <w:tcW w:w="1360" w:type="dxa"/>
            <w:vAlign w:val="bottom"/>
            <w:gridSpan w:val="3"/>
          </w:tcPr>
          <w:p>
            <w:pPr>
              <w:jc w:val="center"/>
              <w:ind w:right="340"/>
              <w:spacing w:after="0" w:line="195" w:lineRule="exact"/>
              <w:rPr>
                <w:sz w:val="20"/>
                <w:szCs w:val="20"/>
                <w:color w:val="auto"/>
              </w:rPr>
            </w:pPr>
            <w:r>
              <w:rPr>
                <w:rFonts w:ascii="Arial" w:cs="Arial" w:eastAsia="Arial" w:hAnsi="Arial"/>
                <w:sz w:val="18"/>
                <w:szCs w:val="18"/>
                <w:color w:val="auto"/>
                <w:w w:val="90"/>
              </w:rPr>
              <w:t>Number</w:t>
            </w:r>
          </w:p>
        </w:tc>
        <w:tc>
          <w:tcPr>
            <w:tcW w:w="9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rPr>
              <w:t>Number</w:t>
            </w: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of Vested</w:t>
            </w:r>
          </w:p>
        </w:tc>
        <w:tc>
          <w:tcPr>
            <w:tcW w:w="1140" w:type="dxa"/>
            <w:vAlign w:val="bottom"/>
            <w:gridSpan w:val="2"/>
          </w:tcPr>
          <w:p>
            <w:pPr>
              <w:ind w:left="220"/>
              <w:spacing w:after="0"/>
              <w:rPr>
                <w:sz w:val="20"/>
                <w:szCs w:val="20"/>
                <w:color w:val="auto"/>
              </w:rPr>
            </w:pPr>
            <w:r>
              <w:rPr>
                <w:rFonts w:ascii="Arial" w:cs="Arial" w:eastAsia="Arial" w:hAnsi="Arial"/>
                <w:sz w:val="18"/>
                <w:szCs w:val="18"/>
                <w:color w:val="auto"/>
              </w:rPr>
              <w:t>Number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Vested</w:t>
            </w: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of</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of Vested</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40" w:type="dxa"/>
            <w:vAlign w:val="bottom"/>
            <w:gridSpan w:val="3"/>
          </w:tcPr>
          <w:p>
            <w:pPr>
              <w:ind w:left="180"/>
              <w:spacing w:after="0"/>
              <w:rPr>
                <w:sz w:val="20"/>
                <w:szCs w:val="20"/>
                <w:color w:val="auto"/>
              </w:rPr>
            </w:pPr>
            <w:r>
              <w:rPr>
                <w:rFonts w:ascii="Arial" w:cs="Arial" w:eastAsia="Arial" w:hAnsi="Arial"/>
                <w:sz w:val="18"/>
                <w:szCs w:val="18"/>
                <w:color w:val="auto"/>
              </w:rPr>
              <w:t>of RSUs</w:t>
            </w: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RSUs</w:t>
            </w: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of RSUs</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RSUs</w:t>
            </w: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RSUs</w:t>
            </w: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RSUs</w:t>
            </w:r>
          </w:p>
        </w:tc>
      </w:tr>
      <w:tr>
        <w:trPr>
          <w:trHeight w:val="210"/>
        </w:trPr>
        <w:tc>
          <w:tcPr>
            <w:tcW w:w="20" w:type="dxa"/>
            <w:vAlign w:val="bottom"/>
          </w:tcPr>
          <w:p>
            <w:pPr>
              <w:spacing w:after="0"/>
              <w:rPr>
                <w:sz w:val="18"/>
                <w:szCs w:val="18"/>
                <w:color w:val="auto"/>
              </w:rPr>
            </w:pPr>
          </w:p>
        </w:tc>
        <w:tc>
          <w:tcPr>
            <w:tcW w:w="2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Borders>
              <w:top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Distributed</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Forfeited or expired</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Outstanding, ending</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share-based compensation cost to be incurred on a granted RSU is the RSU’s fair value, which is the market price of the Company’s common stock on the date of grant, less its exercise cost. The compensation cost is amortized to expense over the vesting period of the RSU award.</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2005 RSU Plan provides that upon a change in control of the Company or upon termination of an employee’s employment with the Company without cause, vesting will accelerate and the RSUs will fully vest. If a change in control occurs, the vested shares underlying the RSU award will be distributed at or about the time of the change in control. Absent a change of control, one-fourth of vested shares of common stock underlying an RSU award will be distributed (after payment of $0.01 par value per share) on January 1 of each of 2011 thru 2014. The distribution dates of January 1, 2011 thru 2014 each consisting of 0.83 million shares and occurred as follows:</w:t>
      </w:r>
    </w:p>
    <w:p>
      <w:pPr>
        <w:spacing w:after="0" w:line="4" w:lineRule="exact"/>
        <w:rPr>
          <w:sz w:val="20"/>
          <w:szCs w:val="20"/>
          <w:color w:val="auto"/>
        </w:rPr>
      </w:pPr>
    </w:p>
    <w:p>
      <w:pPr>
        <w:ind w:left="1180" w:right="20" w:hanging="713"/>
        <w:spacing w:after="0" w:line="250" w:lineRule="auto"/>
        <w:tabs>
          <w:tab w:leader="none" w:pos="9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January 1, 2011, 0.54 million shares were distributed to the holders while 0.29 million shares were withheld by the Company upon elections made to exchange RSUs in satisfaction of $1.0 million withholding tax obligations;</w:t>
      </w:r>
    </w:p>
    <w:p>
      <w:pPr>
        <w:ind w:left="1180" w:hanging="713"/>
        <w:spacing w:after="0" w:line="261" w:lineRule="auto"/>
        <w:tabs>
          <w:tab w:leader="none" w:pos="9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January 1, 2012, 0.53 million shares were distributed to the holders while 0.30 million shares were withheld by the Company upon elections made to exchange RSUs in satisfaction of $1.0 million withholding tax obligations;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ind w:left="1180" w:hanging="713"/>
        <w:spacing w:after="0" w:line="258" w:lineRule="auto"/>
        <w:tabs>
          <w:tab w:leader="none" w:pos="9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January 1, 2013, 0.50 million shares were distributed to the holders while 0.33 million shares were withheld by the Company upon elections made to exchange RSUs in satisfaction of $0.7 million withholding tax obligations; and</w:t>
      </w:r>
    </w:p>
    <w:p>
      <w:pPr>
        <w:spacing w:after="0" w:line="1" w:lineRule="exact"/>
        <w:rPr>
          <w:rFonts w:ascii="Arial" w:cs="Arial" w:eastAsia="Arial" w:hAnsi="Arial"/>
          <w:sz w:val="18"/>
          <w:szCs w:val="18"/>
          <w:color w:val="auto"/>
        </w:rPr>
      </w:pPr>
    </w:p>
    <w:p>
      <w:pPr>
        <w:ind w:left="1180" w:hanging="713"/>
        <w:spacing w:after="0" w:line="261" w:lineRule="auto"/>
        <w:tabs>
          <w:tab w:leader="none" w:pos="9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January 1, 2014, 0.50 million shares were distributed to the holders while 0.33 million shares were withheld by the Company upon elections made to exchange RSUs in satisfaction of $0.5 million withholding tax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between our provision for income taxes and the amounts computed by multiplying our income (loss) before taxes by the U.S. statutory tax rate is as follows: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r>
      <w:tr>
        <w:trPr>
          <w:trHeight w:val="426"/>
        </w:trPr>
        <w:tc>
          <w:tcPr>
            <w:tcW w:w="20" w:type="dxa"/>
            <w:vAlign w:val="bottom"/>
          </w:tcPr>
          <w:p>
            <w:pPr>
              <w:spacing w:after="0"/>
              <w:rPr>
                <w:sz w:val="24"/>
                <w:szCs w:val="24"/>
                <w:color w:val="auto"/>
              </w:rPr>
            </w:pPr>
          </w:p>
        </w:tc>
        <w:tc>
          <w:tcPr>
            <w:tcW w:w="512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(in thousands)</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Tax (benefit) at U.S. statutory 34% tax rate</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(4,690)</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(3,287)</w:t>
            </w:r>
          </w:p>
        </w:tc>
        <w:tc>
          <w:tcPr>
            <w:tcW w:w="3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3,510</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State taxes (benefit), net of federal effect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tax credits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8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w:t>
            </w:r>
          </w:p>
        </w:tc>
      </w:tr>
      <w:tr>
        <w:trPr>
          <w:trHeight w:val="210"/>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tax expense 2011 is federal alternative minimum taxes (“AMT”) and current 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$46.8 million federal income tax benefits at December 31, 2013 derived from $137.6 million Federal NOLs at the U.S. statutory tax rate of 34% and $2.8 million state NOLs, available to offset future taxable income, some of which have limitations for use as prescribed under IRC Section 382. Our NOLs will expire in varying amounts between 2014 and 2033 if not used, and those expirations will cause fluctuations in our valuation allowances. In 2013 we adjusted the estimated future value of NOLs under IRC Section 382 resulting in increasing those NOLs by $15.5 million with an equally offsetting valuation allowance. The net change in the valuation allowance in 2013, 2012, and 2011 was approximately $18.0 million, $2.8 million, and $2.8 million, respectively.</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2013 we had federal research and development tax credits of approximately $1.1 million, which expire in the years 2024 through 2033; and we had approximately $0.4 million of Indiana state research and development tax credits, which expire in the years 2014 through 2017. The components of our deferred tax assets are as follows:</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5"/>
          </w:tcPr>
          <w:p>
            <w:pPr>
              <w:ind w:left="540"/>
              <w:spacing w:after="0"/>
              <w:rPr>
                <w:sz w:val="20"/>
                <w:szCs w:val="20"/>
                <w:color w:val="auto"/>
              </w:rPr>
            </w:pPr>
            <w:r>
              <w:rPr>
                <w:rFonts w:ascii="Arial" w:cs="Arial" w:eastAsia="Arial" w:hAnsi="Arial"/>
                <w:sz w:val="18"/>
                <w:szCs w:val="18"/>
                <w:color w:val="auto"/>
              </w:rPr>
              <w:t>December 31,</w:t>
            </w:r>
          </w:p>
        </w:tc>
      </w:tr>
      <w:tr>
        <w:trPr>
          <w:trHeight w:val="230"/>
        </w:trPr>
        <w:tc>
          <w:tcPr>
            <w:tcW w:w="5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426"/>
        </w:trPr>
        <w:tc>
          <w:tcPr>
            <w:tcW w:w="5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5"/>
          </w:tcPr>
          <w:p>
            <w:pPr>
              <w:ind w:left="540"/>
              <w:spacing w:after="0"/>
              <w:rPr>
                <w:sz w:val="20"/>
                <w:szCs w:val="20"/>
                <w:color w:val="auto"/>
              </w:rPr>
            </w:pPr>
            <w:r>
              <w:rPr>
                <w:rFonts w:ascii="Arial" w:cs="Arial" w:eastAsia="Arial" w:hAnsi="Arial"/>
                <w:sz w:val="18"/>
                <w:szCs w:val="18"/>
                <w:color w:val="auto"/>
              </w:rPr>
              <w:t>(in thousands)</w:t>
            </w:r>
          </w:p>
        </w:tc>
      </w:tr>
      <w:tr>
        <w:trPr>
          <w:trHeight w:val="210"/>
        </w:trPr>
        <w:tc>
          <w:tcPr>
            <w:tcW w:w="5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220" w:type="dxa"/>
            <w:vAlign w:val="bottom"/>
          </w:tcPr>
          <w:p>
            <w:pPr>
              <w:ind w:left="160"/>
              <w:spacing w:after="0"/>
              <w:rPr>
                <w:sz w:val="20"/>
                <w:szCs w:val="20"/>
                <w:color w:val="auto"/>
              </w:rPr>
            </w:pPr>
            <w:r>
              <w:rPr>
                <w:rFonts w:ascii="Arial" w:cs="Arial" w:eastAsia="Arial" w:hAnsi="Arial"/>
                <w:sz w:val="18"/>
                <w:szCs w:val="18"/>
                <w:color w:val="auto"/>
              </w:rPr>
              <w:t>Estimated future value of NOLs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 Federal</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46,830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26,674</w:t>
            </w:r>
          </w:p>
        </w:tc>
        <w:tc>
          <w:tcPr>
            <w:tcW w:w="100" w:type="dxa"/>
            <w:vAlign w:val="bottom"/>
            <w:shd w:val="clear" w:color="auto" w:fill="CCFFCC"/>
          </w:tcPr>
          <w:p>
            <w:pPr>
              <w:spacing w:after="0"/>
              <w:rPr>
                <w:sz w:val="18"/>
                <w:szCs w:val="18"/>
                <w:color w:val="auto"/>
              </w:rPr>
            </w:pPr>
          </w:p>
        </w:tc>
      </w:tr>
      <w:tr>
        <w:trPr>
          <w:trHeight w:val="216"/>
        </w:trPr>
        <w:tc>
          <w:tcPr>
            <w:tcW w:w="5220" w:type="dxa"/>
            <w:vAlign w:val="bottom"/>
          </w:tcPr>
          <w:p>
            <w:pPr>
              <w:ind w:left="160"/>
              <w:spacing w:after="0"/>
              <w:rPr>
                <w:sz w:val="20"/>
                <w:szCs w:val="20"/>
                <w:color w:val="auto"/>
              </w:rPr>
            </w:pPr>
            <w:r>
              <w:rPr>
                <w:rFonts w:ascii="Arial" w:cs="Arial" w:eastAsia="Arial" w:hAnsi="Arial"/>
                <w:sz w:val="18"/>
                <w:szCs w:val="18"/>
                <w:color w:val="auto"/>
              </w:rPr>
              <w:t>- State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18"/>
                <w:szCs w:val="18"/>
                <w:color w:val="auto"/>
              </w:rPr>
            </w:pPr>
          </w:p>
        </w:tc>
      </w:tr>
      <w:tr>
        <w:trPr>
          <w:trHeight w:val="216"/>
        </w:trPr>
        <w:tc>
          <w:tcPr>
            <w:tcW w:w="5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 tax credits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FFCC"/>
          </w:tcPr>
          <w:p>
            <w:pPr>
              <w:spacing w:after="0"/>
              <w:rPr>
                <w:sz w:val="18"/>
                <w:szCs w:val="18"/>
                <w:color w:val="auto"/>
              </w:rPr>
            </w:pPr>
          </w:p>
        </w:tc>
      </w:tr>
      <w:tr>
        <w:trPr>
          <w:trHeight w:val="216"/>
        </w:trPr>
        <w:tc>
          <w:tcPr>
            <w:tcW w:w="522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18"/>
                <w:szCs w:val="18"/>
                <w:color w:val="auto"/>
              </w:rPr>
            </w:pPr>
          </w:p>
        </w:tc>
      </w:tr>
      <w:tr>
        <w:trPr>
          <w:trHeight w:val="216"/>
        </w:trPr>
        <w:tc>
          <w:tcPr>
            <w:tcW w:w="5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w:t>
            </w:r>
          </w:p>
        </w:tc>
      </w:tr>
      <w:tr>
        <w:trPr>
          <w:trHeight w:val="210"/>
        </w:trPr>
        <w:tc>
          <w:tcPr>
            <w:tcW w:w="5220" w:type="dxa"/>
            <w:vAlign w:val="bottom"/>
          </w:tcPr>
          <w:p>
            <w:pPr>
              <w:ind w:left="280"/>
              <w:spacing w:after="0"/>
              <w:rPr>
                <w:sz w:val="20"/>
                <w:szCs w:val="20"/>
                <w:color w:val="auto"/>
              </w:rPr>
            </w:pPr>
            <w:r>
              <w:rPr>
                <w:rFonts w:ascii="Arial" w:cs="Arial" w:eastAsia="Arial" w:hAnsi="Arial"/>
                <w:sz w:val="18"/>
                <w:szCs w:val="18"/>
                <w:color w:val="auto"/>
              </w:rPr>
              <w:t>Total deferred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53,486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35,461</w:t>
            </w:r>
          </w:p>
        </w:tc>
        <w:tc>
          <w:tcPr>
            <w:tcW w:w="100" w:type="dxa"/>
            <w:vAlign w:val="bottom"/>
          </w:tcPr>
          <w:p>
            <w:pPr>
              <w:spacing w:after="0"/>
              <w:rPr>
                <w:sz w:val="18"/>
                <w:szCs w:val="18"/>
                <w:color w:val="auto"/>
              </w:rPr>
            </w:pPr>
          </w:p>
        </w:tc>
      </w:tr>
      <w:tr>
        <w:trPr>
          <w:trHeight w:val="216"/>
        </w:trPr>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(53,486)</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(35,461)</w:t>
            </w:r>
          </w:p>
        </w:tc>
      </w:tr>
      <w:tr>
        <w:trPr>
          <w:trHeight w:val="210"/>
        </w:trPr>
        <w:tc>
          <w:tcPr>
            <w:tcW w:w="5220" w:type="dxa"/>
            <w:vAlign w:val="bottom"/>
          </w:tcPr>
          <w:p>
            <w:pPr>
              <w:ind w:left="28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Realization of deferred tax assets is dependent upon future earnings, if any, and the timing and amount of which may be uncertain. Valuation allowances are placed on deferred tax assets when uncertainty exists on their near term utilization. We make periodic reviews of our valuation allowances and fluctuations can occur. Those fluctuations may be reflected as income tax expenses or benefits in the period they occur. We continue to maintain full valuation allowance against all of our deferred tax assets at December 31, 2013 due to uncertainties with respect to future utilization of net operating loss carryforwards. If in the future it is determined that amounts of our deferred tax assets would likely be realized, the valuation allowance would be reduced in the period in which such determination is made and a benefit from income taxes in such period would be recognized.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Uncertainty in Income Taxes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FASB’s statement regarding accounting for uncertainty in income taxes which defined the threshold for recognizing the benefits of tax-return positions in the financial statements as "more-likely-than-not" to be sustained by the taxing authorities. Our adoption of the standard did not result in establishing a contingent tax liability reserve or a corresponding charge to retained earnings. At each of December 31, 2013, 2012 and 2011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files federal and state income tax returns and in the normal course of business the Company is subject to examination by these taxing authorities. As of December 31, 2013, the Company’s tax years 2010, 2011 and 2012 are subject to examination by the taxing authorities. With few exceptions, we believe the Company is no longer subject to U.S. federal, state and local examinations by taxing authorities for years before 2010. As of December 31, 2012 the Company’s tax year of 2009 was included in the tax years subject to 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2015 for approximately $25 thousand annually.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In this product liability litigation against numerous pharmaceutical product manufacturers and distributors, including us, plaintiffs claim injuries from their use of the Reglan brand of metoclopramide and generic metoclopramide.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 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Acura with prejudice.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In Philadelphia,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18, 2011, the Philadelphia trial court denied Generic Defendants’ dispositive motion. In December 2011, the Generic Defendants appealed this ruling. On April 13, 2012, all trial court proceedings were stayed pending decisions by the Pennsylvania appellate courts. An adverse decision by the Pennsylvania Superior Court was issued in July 2013. Further appeal proceedings are pending. This appeal process eventually could result in dismissal of all of the Philadelphia cases against all generic defendants including Acura, although there can be no assurance in this regard. Legal fees related to this matter are currently covered by our insurance carrier.</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California, the trial court entered a May 25, 2012 Order denying Generic Defendants’ dispositive preemption motions. The Generics Defendants’ appeals from this order were denied by the California appellate courts. Therefore, subject to further developments, plaintiffs may be permitted to proceed with these lawsuits including state law claims based on (1) failing to communicate warnings to physicians through “Dear Doctor” letters; and (2) failure to update labeling to adopt brand labeling changes. California trial court also has acknowledged the preemptive effect of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so that any claim “that would render the generic defendants in violation of federal law if they are found responsible under a state law cause of action, would not be permissible.” Nonetheless, plaintiffs have not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Nebraska, the litigation against Acura has been stayed and will be dismissed if plaintiffs present no evidence of ingestion of generic metoclopramide manufactured by us. Legal fees related to this matter are currently covered by our insurance carrier.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December 31, 2013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Advisor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August 2007 Unit Offering, we are obligated to pay a fee to our then financial advisor upon each exercise of the warrants issued in the Unit Offering, in proportion to the number of warrants exercised. The amount of the fee assuming 100% exercise of the remaining 1.9 million warrants is $0.38 million. The expiration date of these warrants is in August 2014. We have not reflected this obligation as a liability in our consolidated financial statements as the payment is contingent upon the timing and exercise of the warrants by each of the warrant holders. Such fee, if any, will be paid to the financial advisor and be offset against the equity proceeds as the warrants are exercised.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48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w w:val="99"/>
              </w:rPr>
              <w:t>SUPPLEMENTARY DATA (UNAUDITED)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10"/>
          </w:tcPr>
          <w:p>
            <w:pPr>
              <w:jc w:val="right"/>
              <w:ind w:right="45"/>
              <w:spacing w:after="0"/>
              <w:rPr>
                <w:sz w:val="20"/>
                <w:szCs w:val="20"/>
                <w:color w:val="auto"/>
              </w:rPr>
            </w:pPr>
            <w:r>
              <w:rPr>
                <w:rFonts w:ascii="Arial" w:cs="Arial" w:eastAsia="Arial" w:hAnsi="Arial"/>
                <w:sz w:val="18"/>
                <w:szCs w:val="18"/>
                <w:color w:val="auto"/>
                <w:w w:val="89"/>
              </w:rPr>
              <w:t>Selected unaudited quarterly consolidated financial data is shown below (in thousands except per share data):</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1"/>
              </w:rPr>
              <w:t>For Three Month Periods Ended</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0"/>
              </w:rPr>
              <w:t>Mar.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Sept. 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Dec. 31,</w:t>
            </w:r>
          </w:p>
        </w:tc>
        <w:tc>
          <w:tcPr>
            <w:tcW w:w="9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340" w:type="dxa"/>
            <w:vAlign w:val="bottom"/>
            <w:tcBorders>
              <w:bottom w:val="single" w:sz="8" w:color="CCFFCC"/>
            </w:tcBorders>
          </w:tcPr>
          <w:p>
            <w:pPr>
              <w:spacing w:after="0"/>
              <w:rPr>
                <w:sz w:val="20"/>
                <w:szCs w:val="20"/>
                <w:color w:val="auto"/>
              </w:rPr>
            </w:pPr>
          </w:p>
        </w:tc>
        <w:tc>
          <w:tcPr>
            <w:tcW w:w="188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FFCC"/>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340" w:type="dxa"/>
            <w:vAlign w:val="bottom"/>
            <w:shd w:val="clear" w:color="auto" w:fill="CCFFCC"/>
          </w:tcPr>
          <w:p>
            <w:pPr>
              <w:spacing w:after="0"/>
              <w:rPr>
                <w:sz w:val="20"/>
                <w:szCs w:val="20"/>
                <w:color w:val="auto"/>
              </w:rPr>
            </w:pPr>
            <w:r>
              <w:rPr>
                <w:rFonts w:ascii="Arial" w:cs="Arial" w:eastAsia="Arial" w:hAnsi="Arial"/>
                <w:sz w:val="18"/>
                <w:szCs w:val="18"/>
                <w:color w:val="auto"/>
              </w:rPr>
              <w:t>Revenues (i)</w:t>
            </w:r>
          </w:p>
        </w:tc>
        <w:tc>
          <w:tcPr>
            <w:tcW w:w="188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208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(4,218)</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(3,076)</w:t>
            </w:r>
          </w:p>
        </w:tc>
        <w:tc>
          <w:tcPr>
            <w:tcW w:w="30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(3,190)</w:t>
            </w:r>
          </w:p>
        </w:tc>
        <w:tc>
          <w:tcPr>
            <w:tcW w:w="30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(3,417)</w:t>
            </w:r>
          </w:p>
        </w:tc>
        <w:tc>
          <w:tcPr>
            <w:tcW w:w="12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340" w:type="dxa"/>
            <w:vAlign w:val="bottom"/>
            <w:shd w:val="clear" w:color="auto" w:fill="CCFFCC"/>
          </w:tcPr>
          <w:p>
            <w:pPr>
              <w:spacing w:after="0"/>
              <w:rPr>
                <w:sz w:val="20"/>
                <w:szCs w:val="20"/>
                <w:color w:val="auto"/>
              </w:rPr>
            </w:pPr>
            <w:r>
              <w:rPr>
                <w:rFonts w:ascii="Arial" w:cs="Arial" w:eastAsia="Arial" w:hAnsi="Arial"/>
                <w:sz w:val="18"/>
                <w:szCs w:val="18"/>
                <w:color w:val="auto"/>
              </w:rPr>
              <w:t>Basic loss per share</w:t>
            </w:r>
          </w:p>
        </w:tc>
        <w:tc>
          <w:tcPr>
            <w:tcW w:w="208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(0.09)</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0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1"/>
              </w:rPr>
              <w:t>F-23</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9"/>
              </w:rPr>
              <w:t>For Three Month Periods Ended</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Mar.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Sept. 30,</w:t>
            </w:r>
          </w:p>
        </w:tc>
        <w:tc>
          <w:tcPr>
            <w:tcW w:w="180" w:type="dxa"/>
            <w:vAlign w:val="bottom"/>
          </w:tcPr>
          <w:p>
            <w:pPr>
              <w:spacing w:after="0"/>
              <w:rPr>
                <w:sz w:val="16"/>
                <w:szCs w:val="16"/>
                <w:color w:val="auto"/>
              </w:rPr>
            </w:pPr>
          </w:p>
        </w:tc>
        <w:tc>
          <w:tcPr>
            <w:tcW w:w="106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Dec.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Borders>
              <w:bottom w:val="single" w:sz="8" w:color="CCFFCC"/>
            </w:tcBorders>
          </w:tcPr>
          <w:p>
            <w:pPr>
              <w:spacing w:after="0"/>
              <w:rPr>
                <w:sz w:val="20"/>
                <w:szCs w:val="20"/>
                <w:color w:val="auto"/>
              </w:rPr>
            </w:pPr>
          </w:p>
        </w:tc>
        <w:tc>
          <w:tcPr>
            <w:tcW w:w="134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Revenues (i)</w:t>
            </w: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(2,333)</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(2,179)</w:t>
            </w:r>
          </w:p>
        </w:tc>
        <w:tc>
          <w:tcPr>
            <w:tcW w:w="30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(3,016)</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Basic loss per share</w:t>
            </w:r>
          </w:p>
        </w:tc>
        <w:tc>
          <w:tcPr>
            <w:tcW w:w="154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(0.05)</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5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See Note 2 for revenue recognition.</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229235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00"/>
          </w:cols>
          <w:pgMar w:left="1100" w:top="341" w:right="10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720"/>
              <w:spacing w:after="0"/>
              <w:rPr>
                <w:sz w:val="20"/>
                <w:szCs w:val="20"/>
                <w:color w:val="auto"/>
              </w:rPr>
            </w:pPr>
            <w:r>
              <w:rPr>
                <w:rFonts w:ascii="Arial" w:cs="Arial" w:eastAsia="Arial" w:hAnsi="Arial"/>
                <w:sz w:val="18"/>
                <w:szCs w:val="18"/>
                <w:b w:val="1"/>
                <w:bCs w:val="1"/>
                <w:color w:val="auto"/>
              </w:rPr>
              <w:t>ACURA PHARMACEUTICALS, INC.</w:t>
            </w: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4"/>
          </w:tcPr>
          <w:p>
            <w:pPr>
              <w:spacing w:after="0"/>
              <w:rPr>
                <w:sz w:val="20"/>
                <w:szCs w:val="20"/>
                <w:color w:val="auto"/>
              </w:rPr>
            </w:pPr>
            <w:r>
              <w:rPr>
                <w:rFonts w:ascii="Arial" w:cs="Arial" w:eastAsia="Arial" w:hAnsi="Arial"/>
                <w:sz w:val="18"/>
                <w:szCs w:val="18"/>
                <w:color w:val="auto"/>
              </w:rPr>
              <w:t>The following exhibits are included as a part of this Annual Report on Form 10-K or incorporated herein by reference.</w:t>
            </w:r>
          </w:p>
        </w:tc>
      </w:tr>
      <w:tr>
        <w:trPr>
          <w:trHeight w:val="414"/>
        </w:trPr>
        <w:tc>
          <w:tcPr>
            <w:tcW w:w="20" w:type="dxa"/>
            <w:vAlign w:val="bottom"/>
          </w:tcPr>
          <w:p>
            <w:pPr>
              <w:spacing w:after="0"/>
              <w:rPr>
                <w:sz w:val="24"/>
                <w:szCs w:val="2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98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9800" w:type="dxa"/>
            <w:vAlign w:val="bottom"/>
          </w:tcPr>
          <w:p>
            <w:pPr>
              <w:ind w:left="414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6"/>
                <w:szCs w:val="16"/>
                <w:color w:val="auto"/>
              </w:rPr>
            </w:pPr>
          </w:p>
        </w:tc>
        <w:tc>
          <w:tcPr>
            <w:tcW w:w="9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At Market Issuance Sales Agreement dated April 18, 2013 between Acura Pharmaceuticals, Inc. and MLV &amp; Co. LLC (incorporated by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reference to Exhibit 1.1 to the Registrant’s Form 8-K filed on April 18, 2013)</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Restated Certificate of Incorporation of the Registrant (incorporated by reference to Exhibit 3.1 to the Registrant’s Form 8-K filed on</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June 25, 2009).</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7"/>
              </w:rPr>
              <w:t>Certificate of Amendment Reverse Splitting Common Stock and restating but not changing text of part of Article III of Restated</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Certificate of Incorporation (incorporated by Reference to Exhibit 3.1 to the Form 8-K filed December 4, 2007).</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Restated Bylaws of the Registrant (incorporated by reference to Exhibit 3.1 to the Form 8-K filed on March 3, 2009).</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License, Development and Commercialization Agreement dated October 30, 2007 by and between the Registrant and King</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Pharmaceuticals Research and Development, Inc. (incorporated by reference to Exhibit 10.1 of the Form 8-K filed on November 2,</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2007)</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Letter Agreement dated as of September 24, 2012 by and between the Registrant and King Pharmaceuticals Research and</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Development, Inc. (incorporated by reference to Exhibit 10.1 of the Form 8-K filed on September 26, 2012) (confidential treatment has</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been granted for portions of this Exhibit).</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Manufacturing Services Agreement dated as of July 19, 2011 between the Registrant and Patheon Pharmaceuticals Inc. (incorporated</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by reference to Exhibit 10.1 to our Form 8-K filed July 27, 2011) (confidential treatment has been granted for portions of this Exhibit)</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Securities Purchase Agreement dated as of August 20, 2007 (“PIPE SPA”) among the Registrant, Vivo Ventures Fund VI, L.P., Vivo</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Ventures VI Affiliates Fund, L.P., GCE Holdings LLC, and certain other signatories thereto (incorporated by reference to Exhibit 10.1</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to the Form 8-K filed on August 21, 2007).</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Form of Warrant dated as of August 20, 2007 issued pursuant to the PIPE SPA (incorporated by reference to Exhibit 4.1 to the Form 8-</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K filed on August 21, 2007).</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Loan and Security Agreement dated as of December 27, 2013 between Acura Pharmaceuticals, Inc. Acura Pharmaceutical</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Technologies, Inc. and Oxford Finance LLC</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Warrant issued to Oxford Finance LLC dated December 27, 2013</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Mortgage dated December 27, 2013</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Amended and Restated Voting Agreement dated as of February 6, 2004 among the Registrant, Care Capital Investments II, LP, Essex</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Woodlands Health Ventures V, L.P., Galen Partners III, L.P.,  and others (incorporated by reference to Exhibit 10.5 of the Form 8-K</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filed on February 10, 2004 (the “February 2004 Form 8-K”)).</w:t>
            </w:r>
          </w:p>
        </w:tc>
      </w:tr>
      <w:tr>
        <w:trPr>
          <w:trHeight w:val="68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4020"/>
              <w:spacing w:after="0"/>
              <w:rPr>
                <w:sz w:val="20"/>
                <w:szCs w:val="20"/>
                <w:color w:val="auto"/>
              </w:rPr>
            </w:pPr>
            <w:r>
              <w:rPr>
                <w:rFonts w:ascii="Arial" w:cs="Arial" w:eastAsia="Arial" w:hAnsi="Arial"/>
                <w:sz w:val="18"/>
                <w:szCs w:val="18"/>
                <w:color w:val="auto"/>
              </w:rPr>
              <w:t>58</w:t>
            </w:r>
          </w:p>
        </w:tc>
      </w:tr>
      <w:tr>
        <w:trPr>
          <w:trHeight w:val="358"/>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98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9800" w:type="dxa"/>
            <w:vAlign w:val="bottom"/>
          </w:tcPr>
          <w:p>
            <w:pPr>
              <w:ind w:left="414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10.10</w:t>
            </w:r>
          </w:p>
        </w:tc>
        <w:tc>
          <w:tcPr>
            <w:tcW w:w="240" w:type="dxa"/>
            <w:vAlign w:val="bottom"/>
          </w:tcPr>
          <w:p>
            <w:pPr>
              <w:spacing w:after="0"/>
              <w:rPr>
                <w:sz w:val="16"/>
                <w:szCs w:val="16"/>
                <w:color w:val="auto"/>
              </w:rPr>
            </w:pPr>
          </w:p>
        </w:tc>
        <w:tc>
          <w:tcPr>
            <w:tcW w:w="9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Joinder and Amendment to Amended and Restated Voting Agreement dated November 9, 2005 between the Registrant, GCE Holdings,</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Essex Woodlands Health Ventures V, L.P., Care Capital Investments II, LP, Galen Partners III, L.P. and others (incorporated by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reference to Exhibit 10.1 to the Form 8-K filed November 10, 2005).</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Second Amendment to Amended and Restated Voting Agreement dated as of January 24, 2008 between the Registrant and GCE</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Holdings, LLC (incorporated by reference to Exhibit 10.1 to the Form 8-K filed January 28, 2008).</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Third Amendment to Amended and Restated Voting Agreement dated as of October 1, 2012 between the Registrant, Care Capital</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Investments II, LP, Essex Woodlands Health Ventures V, L.P., Galen Partners III, L.P., and others (incorporated by reference to Exhibit</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10.1 of the Form 8-K filed on October 3, 2012).</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†10.13</w:t>
            </w:r>
          </w:p>
        </w:tc>
        <w:tc>
          <w:tcPr>
            <w:tcW w:w="9800" w:type="dxa"/>
            <w:vAlign w:val="bottom"/>
          </w:tcPr>
          <w:p>
            <w:pPr>
              <w:spacing w:after="0"/>
              <w:rPr>
                <w:sz w:val="20"/>
                <w:szCs w:val="20"/>
                <w:color w:val="auto"/>
              </w:rPr>
            </w:pPr>
            <w:r>
              <w:rPr>
                <w:rFonts w:ascii="Arial" w:cs="Arial" w:eastAsia="Arial" w:hAnsi="Arial"/>
                <w:sz w:val="18"/>
                <w:szCs w:val="18"/>
                <w:color w:val="auto"/>
                <w:w w:val="96"/>
              </w:rPr>
              <w:t>Registrant’s 1995 Stock Option and Restricted Stock Purchase Plan (incorporated by reference to Exhibit 4.1 to the Registrant's</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Registration Statement on Form S-8, File No. 33-98396).</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†10.14</w:t>
            </w:r>
          </w:p>
        </w:tc>
        <w:tc>
          <w:tcPr>
            <w:tcW w:w="9800" w:type="dxa"/>
            <w:vAlign w:val="bottom"/>
          </w:tcPr>
          <w:p>
            <w:pPr>
              <w:spacing w:after="0"/>
              <w:rPr>
                <w:sz w:val="20"/>
                <w:szCs w:val="20"/>
                <w:color w:val="auto"/>
              </w:rPr>
            </w:pPr>
            <w:r>
              <w:rPr>
                <w:rFonts w:ascii="Arial" w:cs="Arial" w:eastAsia="Arial" w:hAnsi="Arial"/>
                <w:sz w:val="18"/>
                <w:szCs w:val="18"/>
                <w:color w:val="auto"/>
                <w:w w:val="92"/>
              </w:rPr>
              <w:t>Registrant’s 1998 Stock Option Plan, as amended (incorporated by reference to Appendix C to the Registrant’s Proxy Statement filed</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on May 12, 2009).</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†10.15</w:t>
            </w:r>
          </w:p>
        </w:tc>
        <w:tc>
          <w:tcPr>
            <w:tcW w:w="9800" w:type="dxa"/>
            <w:vAlign w:val="bottom"/>
          </w:tcPr>
          <w:p>
            <w:pPr>
              <w:spacing w:after="0"/>
              <w:rPr>
                <w:sz w:val="20"/>
                <w:szCs w:val="20"/>
                <w:color w:val="auto"/>
              </w:rPr>
            </w:pPr>
            <w:r>
              <w:rPr>
                <w:rFonts w:ascii="Arial" w:cs="Arial" w:eastAsia="Arial" w:hAnsi="Arial"/>
                <w:sz w:val="18"/>
                <w:szCs w:val="18"/>
                <w:color w:val="auto"/>
                <w:w w:val="92"/>
              </w:rPr>
              <w:t>Registrant’s 2005 Restricted Stock Unit Award Plan, as amended (incorporated by reference to Appendix B to the Registrant’s Proxy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Statement filed on April 2, 2008).</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†10.16</w:t>
            </w:r>
          </w:p>
        </w:tc>
        <w:tc>
          <w:tcPr>
            <w:tcW w:w="9800" w:type="dxa"/>
            <w:vAlign w:val="bottom"/>
          </w:tcPr>
          <w:p>
            <w:pPr>
              <w:spacing w:after="0"/>
              <w:rPr>
                <w:sz w:val="20"/>
                <w:szCs w:val="20"/>
                <w:color w:val="auto"/>
              </w:rPr>
            </w:pPr>
            <w:r>
              <w:rPr>
                <w:rFonts w:ascii="Arial" w:cs="Arial" w:eastAsia="Arial" w:hAnsi="Arial"/>
                <w:sz w:val="18"/>
                <w:szCs w:val="18"/>
                <w:color w:val="auto"/>
                <w:w w:val="91"/>
              </w:rPr>
              <w:t>Registrant’s 2008 Stock Option Plan, as amended on June 25, 2009 (incorporated by reference to Appendix B to our Proxy Statement</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filed on May 12, 2009).</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†10.17</w:t>
            </w:r>
          </w:p>
        </w:tc>
        <w:tc>
          <w:tcPr>
            <w:tcW w:w="9800" w:type="dxa"/>
            <w:vAlign w:val="bottom"/>
          </w:tcPr>
          <w:p>
            <w:pPr>
              <w:spacing w:after="0"/>
              <w:rPr>
                <w:sz w:val="20"/>
                <w:szCs w:val="20"/>
                <w:color w:val="auto"/>
              </w:rPr>
            </w:pPr>
            <w:r>
              <w:rPr>
                <w:rFonts w:ascii="Arial" w:cs="Arial" w:eastAsia="Arial" w:hAnsi="Arial"/>
                <w:sz w:val="18"/>
                <w:szCs w:val="18"/>
                <w:color w:val="auto"/>
                <w:w w:val="90"/>
              </w:rPr>
              <w:t>Employment Agreement dated as of March 10, 1998 between the Registrant and Peter Clemens (“Clemens”) (incorporated by reference</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to Exhibit 10.44 to the Form 10-K for the period ending December 31, 2007, filed on April 15, 1998).</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†10.18</w:t>
            </w:r>
          </w:p>
        </w:tc>
        <w:tc>
          <w:tcPr>
            <w:tcW w:w="9800" w:type="dxa"/>
            <w:vAlign w:val="bottom"/>
          </w:tcPr>
          <w:p>
            <w:pPr>
              <w:spacing w:after="0"/>
              <w:rPr>
                <w:sz w:val="20"/>
                <w:szCs w:val="20"/>
                <w:color w:val="auto"/>
              </w:rPr>
            </w:pPr>
            <w:r>
              <w:rPr>
                <w:rFonts w:ascii="Arial" w:cs="Arial" w:eastAsia="Arial" w:hAnsi="Arial"/>
                <w:sz w:val="18"/>
                <w:szCs w:val="18"/>
                <w:color w:val="auto"/>
                <w:w w:val="90"/>
              </w:rPr>
              <w:t>First Amendment to Employment Agreement made as of June 28, 2000 between the Registrant and Clemens (incorporated by reference</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to Exhibit 10.44A to the Registrant’s 2005 Form 10-K).</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†10.19</w:t>
            </w:r>
          </w:p>
        </w:tc>
        <w:tc>
          <w:tcPr>
            <w:tcW w:w="9800" w:type="dxa"/>
            <w:vAlign w:val="bottom"/>
          </w:tcPr>
          <w:p>
            <w:pPr>
              <w:spacing w:after="0"/>
              <w:rPr>
                <w:sz w:val="20"/>
                <w:szCs w:val="20"/>
                <w:color w:val="auto"/>
              </w:rPr>
            </w:pPr>
            <w:r>
              <w:rPr>
                <w:rFonts w:ascii="Arial" w:cs="Arial" w:eastAsia="Arial" w:hAnsi="Arial"/>
                <w:sz w:val="18"/>
                <w:szCs w:val="18"/>
                <w:color w:val="auto"/>
                <w:w w:val="90"/>
              </w:rPr>
              <w:t>Second Amendment to Executive Employment Agreement between Registrant and Clemens, dated as of January 5, 2005 (incorporated</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by reference to Exhibit 99.1 to the Registrant's Form 8-K filed January 31, 2005).</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†10.20</w:t>
            </w:r>
          </w:p>
        </w:tc>
        <w:tc>
          <w:tcPr>
            <w:tcW w:w="9800" w:type="dxa"/>
            <w:vAlign w:val="bottom"/>
          </w:tcPr>
          <w:p>
            <w:pPr>
              <w:spacing w:after="0"/>
              <w:rPr>
                <w:sz w:val="20"/>
                <w:szCs w:val="20"/>
                <w:color w:val="auto"/>
              </w:rPr>
            </w:pPr>
            <w:r>
              <w:rPr>
                <w:rFonts w:ascii="Arial" w:cs="Arial" w:eastAsia="Arial" w:hAnsi="Arial"/>
                <w:sz w:val="18"/>
                <w:szCs w:val="18"/>
                <w:color w:val="auto"/>
                <w:w w:val="91"/>
              </w:rPr>
              <w:t>Third Amendment to Executive Employment Agreement dated December 22, 2005 between Registrant and Clemens (incorporated by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reference to Exhibit 10.3 to the December 2005 Form 8-K).</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†10.21</w:t>
            </w:r>
          </w:p>
        </w:tc>
        <w:tc>
          <w:tcPr>
            <w:tcW w:w="9800" w:type="dxa"/>
            <w:vAlign w:val="bottom"/>
          </w:tcPr>
          <w:p>
            <w:pPr>
              <w:spacing w:after="0"/>
              <w:rPr>
                <w:sz w:val="20"/>
                <w:szCs w:val="20"/>
                <w:color w:val="auto"/>
              </w:rPr>
            </w:pPr>
            <w:r>
              <w:rPr>
                <w:rFonts w:ascii="Arial" w:cs="Arial" w:eastAsia="Arial" w:hAnsi="Arial"/>
                <w:sz w:val="18"/>
                <w:szCs w:val="18"/>
                <w:color w:val="auto"/>
                <w:w w:val="91"/>
              </w:rPr>
              <w:t>Fourth Amendment to Executive Employment Agreement dated December 16, 2007 between Registrant and Clemens (incorporated by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reference to Exhibit 10.28 to the Form 10-K for the year ending December 31, 2007, filed on March 5, 2008).</w:t>
            </w:r>
          </w:p>
        </w:tc>
      </w:tr>
      <w:tr>
        <w:trPr>
          <w:trHeight w:val="68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4020"/>
              <w:spacing w:after="0"/>
              <w:rPr>
                <w:sz w:val="20"/>
                <w:szCs w:val="20"/>
                <w:color w:val="auto"/>
              </w:rPr>
            </w:pPr>
            <w:r>
              <w:rPr>
                <w:rFonts w:ascii="Arial" w:cs="Arial" w:eastAsia="Arial" w:hAnsi="Arial"/>
                <w:sz w:val="18"/>
                <w:szCs w:val="18"/>
                <w:color w:val="auto"/>
              </w:rPr>
              <w:t>59</w:t>
            </w:r>
          </w:p>
        </w:tc>
      </w:tr>
      <w:tr>
        <w:trPr>
          <w:trHeight w:val="358"/>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98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9800" w:type="dxa"/>
            <w:vAlign w:val="bottom"/>
          </w:tcPr>
          <w:p>
            <w:pPr>
              <w:ind w:left="414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†10.22</w:t>
            </w:r>
          </w:p>
        </w:tc>
        <w:tc>
          <w:tcPr>
            <w:tcW w:w="240" w:type="dxa"/>
            <w:vAlign w:val="bottom"/>
          </w:tcPr>
          <w:p>
            <w:pPr>
              <w:spacing w:after="0"/>
              <w:rPr>
                <w:sz w:val="16"/>
                <w:szCs w:val="16"/>
                <w:color w:val="auto"/>
              </w:rPr>
            </w:pPr>
          </w:p>
        </w:tc>
        <w:tc>
          <w:tcPr>
            <w:tcW w:w="9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Fifth Amendment to Executive Employment Agreement executed July 9, 2008 between Registrant and Clemens (incorporated by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reference to Exhibit 10.4 to our Form 8-K filed on July 10, 2008).</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†10.23</w:t>
            </w:r>
          </w:p>
        </w:tc>
        <w:tc>
          <w:tcPr>
            <w:tcW w:w="9800" w:type="dxa"/>
            <w:vAlign w:val="bottom"/>
          </w:tcPr>
          <w:p>
            <w:pPr>
              <w:spacing w:after="0"/>
              <w:rPr>
                <w:sz w:val="20"/>
                <w:szCs w:val="20"/>
                <w:color w:val="auto"/>
              </w:rPr>
            </w:pPr>
            <w:r>
              <w:rPr>
                <w:rFonts w:ascii="Arial" w:cs="Arial" w:eastAsia="Arial" w:hAnsi="Arial"/>
                <w:sz w:val="18"/>
                <w:szCs w:val="18"/>
                <w:color w:val="auto"/>
                <w:w w:val="99"/>
              </w:rPr>
              <w:t>Sixth Amendment to Executive Employment Agreement executed December 14, 2012 between the Registrant and Clemens</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(incorporated by reference to Exhibit 10.2 to our Form 8-K filed on December 17, 2012).</w:t>
            </w:r>
          </w:p>
        </w:tc>
      </w:tr>
      <w:tr>
        <w:trPr>
          <w:trHeight w:val="432"/>
        </w:trPr>
        <w:tc>
          <w:tcPr>
            <w:tcW w:w="1620" w:type="dxa"/>
            <w:vAlign w:val="bottom"/>
            <w:gridSpan w:val="3"/>
          </w:tcPr>
          <w:p>
            <w:pPr>
              <w:spacing w:after="0"/>
              <w:rPr>
                <w:sz w:val="20"/>
                <w:szCs w:val="20"/>
                <w:color w:val="auto"/>
              </w:rPr>
            </w:pPr>
            <w:r>
              <w:rPr>
                <w:rFonts w:ascii="Arial" w:cs="Arial" w:eastAsia="Arial" w:hAnsi="Arial"/>
                <w:sz w:val="18"/>
                <w:szCs w:val="18"/>
                <w:color w:val="auto"/>
              </w:rPr>
              <w:t>*†10.24</w:t>
            </w:r>
          </w:p>
        </w:tc>
        <w:tc>
          <w:tcPr>
            <w:tcW w:w="9800" w:type="dxa"/>
            <w:vAlign w:val="bottom"/>
          </w:tcPr>
          <w:p>
            <w:pPr>
              <w:spacing w:after="0"/>
              <w:rPr>
                <w:sz w:val="20"/>
                <w:szCs w:val="20"/>
                <w:color w:val="auto"/>
              </w:rPr>
            </w:pPr>
            <w:r>
              <w:rPr>
                <w:rFonts w:ascii="Arial" w:cs="Arial" w:eastAsia="Arial" w:hAnsi="Arial"/>
                <w:sz w:val="18"/>
                <w:szCs w:val="18"/>
                <w:color w:val="auto"/>
                <w:w w:val="96"/>
              </w:rPr>
              <w:t>Seventh Amendment to Executive Employment Agreement executed December 12, 2013 between the Registrant and Clemens.</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†10.25</w:t>
            </w:r>
          </w:p>
        </w:tc>
        <w:tc>
          <w:tcPr>
            <w:tcW w:w="9800" w:type="dxa"/>
            <w:vAlign w:val="bottom"/>
          </w:tcPr>
          <w:p>
            <w:pPr>
              <w:spacing w:after="0"/>
              <w:rPr>
                <w:sz w:val="20"/>
                <w:szCs w:val="20"/>
                <w:color w:val="auto"/>
              </w:rPr>
            </w:pPr>
            <w:r>
              <w:rPr>
                <w:rFonts w:ascii="Arial" w:cs="Arial" w:eastAsia="Arial" w:hAnsi="Arial"/>
                <w:sz w:val="18"/>
                <w:szCs w:val="18"/>
                <w:color w:val="auto"/>
                <w:w w:val="91"/>
              </w:rPr>
              <w:t>Employment Agreement dated as of March 18, 2008 between the Registrant and Robert B. Jones (incorporated by reference to Exhibit</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10.1 to our Form 8-K filed on March 24, 2008).</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†10.26</w:t>
            </w:r>
          </w:p>
        </w:tc>
        <w:tc>
          <w:tcPr>
            <w:tcW w:w="9800" w:type="dxa"/>
            <w:vAlign w:val="bottom"/>
          </w:tcPr>
          <w:p>
            <w:pPr>
              <w:spacing w:after="0"/>
              <w:rPr>
                <w:sz w:val="20"/>
                <w:szCs w:val="20"/>
                <w:color w:val="auto"/>
              </w:rPr>
            </w:pPr>
            <w:r>
              <w:rPr>
                <w:rFonts w:ascii="Arial" w:cs="Arial" w:eastAsia="Arial" w:hAnsi="Arial"/>
                <w:sz w:val="18"/>
                <w:szCs w:val="18"/>
                <w:color w:val="auto"/>
                <w:w w:val="90"/>
              </w:rPr>
              <w:t>Amendment to Executive Employment Agreement dated as of April 28, 2011 between the Registrant and Robert B. Jones (incorporated</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by reference to Exhibit 10.1 to our Form 10-Q filed July 28, 2011)</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†10.27</w:t>
            </w:r>
          </w:p>
        </w:tc>
        <w:tc>
          <w:tcPr>
            <w:tcW w:w="9800" w:type="dxa"/>
            <w:vAlign w:val="bottom"/>
          </w:tcPr>
          <w:p>
            <w:pPr>
              <w:spacing w:after="0"/>
              <w:rPr>
                <w:sz w:val="20"/>
                <w:szCs w:val="20"/>
                <w:color w:val="auto"/>
              </w:rPr>
            </w:pPr>
            <w:r>
              <w:rPr>
                <w:rFonts w:ascii="Arial" w:cs="Arial" w:eastAsia="Arial" w:hAnsi="Arial"/>
                <w:sz w:val="18"/>
                <w:szCs w:val="18"/>
                <w:color w:val="auto"/>
                <w:w w:val="94"/>
              </w:rPr>
              <w:t>Second Amendment to Executive Employment Agreement between Registrant and Robert B. Jones executed December 14, 2012</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(incorporated by reference to Exhibit 10.1 to our Form 8-K filed December 17, 2012).</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†10.28</w:t>
            </w:r>
          </w:p>
        </w:tc>
        <w:tc>
          <w:tcPr>
            <w:tcW w:w="9800" w:type="dxa"/>
            <w:vAlign w:val="bottom"/>
          </w:tcPr>
          <w:p>
            <w:pPr>
              <w:spacing w:after="0"/>
              <w:rPr>
                <w:sz w:val="20"/>
                <w:szCs w:val="20"/>
                <w:color w:val="auto"/>
              </w:rPr>
            </w:pPr>
            <w:r>
              <w:rPr>
                <w:rFonts w:ascii="Arial" w:cs="Arial" w:eastAsia="Arial" w:hAnsi="Arial"/>
                <w:sz w:val="18"/>
                <w:szCs w:val="18"/>
                <w:color w:val="auto"/>
                <w:w w:val="91"/>
              </w:rPr>
              <w:t>Strategic Transaction Bonus Grant Agreement dated February 28, 2013 between the Registrant and Robert B. Jones (incorporated by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reference to Exhibit 10.1 of our Form 10-Q for the quarter ending March 31, 2013, filed May 2, 2013)</w:t>
            </w: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color w:val="auto"/>
              </w:rPr>
              <w:t>†10.29</w:t>
            </w:r>
          </w:p>
        </w:tc>
        <w:tc>
          <w:tcPr>
            <w:tcW w:w="9800" w:type="dxa"/>
            <w:vAlign w:val="bottom"/>
          </w:tcPr>
          <w:p>
            <w:pPr>
              <w:spacing w:after="0"/>
              <w:rPr>
                <w:sz w:val="20"/>
                <w:szCs w:val="20"/>
                <w:color w:val="auto"/>
              </w:rPr>
            </w:pPr>
            <w:r>
              <w:rPr>
                <w:rFonts w:ascii="Arial" w:cs="Arial" w:eastAsia="Arial" w:hAnsi="Arial"/>
                <w:sz w:val="18"/>
                <w:szCs w:val="18"/>
                <w:color w:val="auto"/>
                <w:w w:val="90"/>
              </w:rPr>
              <w:t>Strategic Transaction Bonus Grant Agreement dated February 28, 2013 between the Registrant and Peter A. Clemens (incorporated by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reference to Exhibit 10.2 of our Form 10-Q filed for the quarter ending March 31, 2013, filed May 2, 2013).</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Stipulation of Settlement dated October 31, 2011 re: Class Action Litigation (incorporated by reference to Exhibit 10.1 to our Form 8-</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K filed November 4, 2011)</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Code of Ethics (incorporated by reference to Exhibit 14.1 of the Form 8-K filed on December 10, 2007).</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Subsidiaries of the Registrant (incorporated by reference to Exhibit 21 to the Form 10-K for the fiscal year ended December 31, 2006</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filed on March 15, 2007).</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BDO USA, LLP, Independent Registered Public Accounting Firm.</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Certification of Periodic Report by Chief Executive Officer pursuant to Rule 13a-14 and 15d-14 of the Securities Exchange Act of</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1934.</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Certification of Periodic Report by Chief Financial Officer pursuant to Rule 13a-14 and 15d-14 of the Securities Exchange Act of 1934.</w:t>
            </w:r>
          </w:p>
        </w:tc>
      </w:tr>
      <w:tr>
        <w:trPr>
          <w:trHeight w:val="68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4020"/>
              <w:spacing w:after="0"/>
              <w:rPr>
                <w:sz w:val="20"/>
                <w:szCs w:val="20"/>
                <w:color w:val="auto"/>
              </w:rPr>
            </w:pPr>
            <w:r>
              <w:rPr>
                <w:rFonts w:ascii="Arial" w:cs="Arial" w:eastAsia="Arial" w:hAnsi="Arial"/>
                <w:sz w:val="18"/>
                <w:szCs w:val="18"/>
                <w:color w:val="auto"/>
              </w:rPr>
              <w:t>60</w:t>
            </w:r>
          </w:p>
        </w:tc>
      </w:tr>
      <w:tr>
        <w:trPr>
          <w:trHeight w:val="358"/>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98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9800" w:type="dxa"/>
            <w:vAlign w:val="bottom"/>
          </w:tcPr>
          <w:p>
            <w:pPr>
              <w:ind w:left="4140"/>
              <w:spacing w:after="0"/>
              <w:rPr>
                <w:sz w:val="20"/>
                <w:szCs w:val="20"/>
                <w:color w:val="auto"/>
              </w:rPr>
            </w:pPr>
            <w:r>
              <w:rPr>
                <w:rFonts w:ascii="Arial" w:cs="Arial" w:eastAsia="Arial" w:hAnsi="Arial"/>
                <w:sz w:val="18"/>
                <w:szCs w:val="18"/>
                <w:b w:val="1"/>
                <w:bCs w:val="1"/>
                <w:color w:val="auto"/>
              </w:rPr>
              <w:t>Exhibit Description</w:t>
            </w:r>
          </w:p>
        </w:tc>
      </w:tr>
      <w:tr>
        <w:trPr>
          <w:trHeight w:val="196"/>
        </w:trPr>
        <w:tc>
          <w:tcPr>
            <w:tcW w:w="20" w:type="dxa"/>
            <w:vAlign w:val="bottom"/>
          </w:tcPr>
          <w:p>
            <w:pPr>
              <w:spacing w:after="0"/>
              <w:rPr>
                <w:sz w:val="17"/>
                <w:szCs w:val="17"/>
                <w:color w:val="auto"/>
              </w:rPr>
            </w:pPr>
          </w:p>
        </w:tc>
        <w:tc>
          <w:tcPr>
            <w:tcW w:w="1360" w:type="dxa"/>
            <w:vAlign w:val="bottom"/>
            <w:tcBorders>
              <w:top w:val="single" w:sz="8" w:color="auto"/>
            </w:tcBorders>
          </w:tcPr>
          <w:p>
            <w:pPr>
              <w:spacing w:after="0" w:line="197"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4"/>
                <w:szCs w:val="14"/>
                <w:color w:val="auto"/>
              </w:rPr>
              <w:t>32</w:t>
            </w:r>
          </w:p>
        </w:tc>
        <w:tc>
          <w:tcPr>
            <w:tcW w:w="240" w:type="dxa"/>
            <w:vAlign w:val="bottom"/>
          </w:tcPr>
          <w:p>
            <w:pPr>
              <w:spacing w:after="0"/>
              <w:rPr>
                <w:sz w:val="17"/>
                <w:szCs w:val="17"/>
                <w:color w:val="auto"/>
              </w:rPr>
            </w:pPr>
          </w:p>
        </w:tc>
        <w:tc>
          <w:tcPr>
            <w:tcW w:w="98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 Section</w:t>
            </w:r>
          </w:p>
        </w:tc>
      </w:tr>
      <w:tr>
        <w:trPr>
          <w:trHeight w:val="215"/>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8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800" w:type="dxa"/>
            <w:vAlign w:val="bottom"/>
          </w:tcPr>
          <w:p>
            <w:pPr>
              <w:spacing w:after="0"/>
              <w:rPr>
                <w:sz w:val="20"/>
                <w:szCs w:val="20"/>
                <w:color w:val="auto"/>
              </w:rPr>
            </w:pPr>
            <w:r>
              <w:rPr>
                <w:rFonts w:ascii="Arial" w:cs="Arial" w:eastAsia="Arial" w:hAnsi="Arial"/>
                <w:sz w:val="18"/>
                <w:szCs w:val="18"/>
                <w:color w:val="auto"/>
              </w:rPr>
              <w:t>XBRL Extension Calculation Linkbase</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800" w:type="dxa"/>
            <w:vAlign w:val="bottom"/>
          </w:tcPr>
          <w:p>
            <w:pPr>
              <w:spacing w:after="0"/>
              <w:rPr>
                <w:sz w:val="20"/>
                <w:szCs w:val="20"/>
                <w:color w:val="auto"/>
              </w:rPr>
            </w:pPr>
            <w:r>
              <w:rPr>
                <w:rFonts w:ascii="Arial" w:cs="Arial" w:eastAsia="Arial" w:hAnsi="Arial"/>
                <w:sz w:val="18"/>
                <w:szCs w:val="18"/>
                <w:color w:val="auto"/>
              </w:rPr>
              <w:t>XBRL Extension Label Linkbase</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800" w:type="dxa"/>
            <w:vAlign w:val="bottom"/>
          </w:tcPr>
          <w:p>
            <w:pPr>
              <w:spacing w:after="0"/>
              <w:rPr>
                <w:sz w:val="20"/>
                <w:szCs w:val="20"/>
                <w:color w:val="auto"/>
              </w:rPr>
            </w:pPr>
            <w:r>
              <w:rPr>
                <w:rFonts w:ascii="Arial" w:cs="Arial" w:eastAsia="Arial" w:hAnsi="Arial"/>
                <w:sz w:val="18"/>
                <w:szCs w:val="18"/>
                <w:color w:val="auto"/>
              </w:rPr>
              <w:t>XBRL Extension Presentation Linkbase</w:t>
            </w:r>
          </w:p>
        </w:tc>
      </w:tr>
      <w:tr>
        <w:trPr>
          <w:trHeight w:val="230"/>
        </w:trPr>
        <w:tc>
          <w:tcPr>
            <w:tcW w:w="16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or furnished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from time to time be amended, modified, supplemented or restated,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dated as of December 27, 2013 (the “</w:t>
      </w:r>
      <w:r>
        <w:rPr>
          <w:rFonts w:ascii="Arial" w:cs="Arial" w:eastAsia="Arial" w:hAnsi="Arial"/>
          <w:sz w:val="18"/>
          <w:szCs w:val="18"/>
          <w:b w:val="1"/>
          <w:bCs w:val="1"/>
          <w:color w:val="auto"/>
        </w:rPr>
        <w:t>Effective Date</w:t>
      </w:r>
      <w:r>
        <w:rPr>
          <w:rFonts w:ascii="Arial" w:cs="Arial" w:eastAsia="Arial" w:hAnsi="Arial"/>
          <w:sz w:val="18"/>
          <w:szCs w:val="18"/>
          <w:color w:val="auto"/>
        </w:rPr>
        <w:t>”) among OXFORD FINANCE LLC, a Delaware limited liability company with an office located at 133 North Fairfax Street, Alexandria, Virginia 22314 (“</w:t>
      </w:r>
      <w:r>
        <w:rPr>
          <w:rFonts w:ascii="Arial" w:cs="Arial" w:eastAsia="Arial" w:hAnsi="Arial"/>
          <w:sz w:val="18"/>
          <w:szCs w:val="18"/>
          <w:b w:val="1"/>
          <w:bCs w:val="1"/>
          <w:color w:val="auto"/>
        </w:rPr>
        <w:t>Oxford</w:t>
      </w:r>
      <w:r>
        <w:rPr>
          <w:rFonts w:ascii="Arial" w:cs="Arial" w:eastAsia="Arial" w:hAnsi="Arial"/>
          <w:sz w:val="18"/>
          <w:szCs w:val="18"/>
          <w:color w:val="auto"/>
        </w:rPr>
        <w:t>”), as collateral agent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the Lenders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hereof or otherwise a party hereto from time to time including Oxford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ACURA PHARMACEUTICALS, INC., a New York corporation with offices located at 616 N. North Court, Suite 120, Palatine, Illinois (“</w:t>
      </w:r>
      <w:r>
        <w:rPr>
          <w:rFonts w:ascii="Arial" w:cs="Arial" w:eastAsia="Arial" w:hAnsi="Arial"/>
          <w:sz w:val="18"/>
          <w:szCs w:val="18"/>
          <w:b w:val="1"/>
          <w:bCs w:val="1"/>
          <w:color w:val="auto"/>
        </w:rPr>
        <w:t>Parent</w:t>
      </w:r>
      <w:r>
        <w:rPr>
          <w:rFonts w:ascii="Arial" w:cs="Arial" w:eastAsia="Arial" w:hAnsi="Arial"/>
          <w:sz w:val="18"/>
          <w:szCs w:val="18"/>
          <w:color w:val="auto"/>
        </w:rPr>
        <w:t>”) and ACURA PHARMACEUTICAL TECHNOLOGIES, INC., an Indiana corporation with offices locates at 16235 State Road 17, Culver, IN 46511 (“APT”, and individually and collectively,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the Lenders shall lend to Borrower and Borrower shall repay the Lenders. The parties agree as follows:</w:t>
      </w:r>
    </w:p>
    <w:p>
      <w:pPr>
        <w:spacing w:after="0" w:line="18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Accounting terms not defined in this Agreement shall be construed in accordance with GAAP. Calculations and determinations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are United States Dollars, unless otherwise noted.</w:t>
      </w:r>
    </w:p>
    <w:p>
      <w:pPr>
        <w:spacing w:after="0" w:line="18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each Lender, the outstanding principal amount of all Term Loans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to Borrower by such Lender and accrued and unpaid interest thereon and any other amounts due hereunder as and when due in accordance with this Agreement.</w:t>
      </w:r>
    </w:p>
    <w:p>
      <w:pPr>
        <w:spacing w:after="0" w:line="17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 Loan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201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(i) Subject to the terms and conditions of this Agreement, the Lenders agree, severally and not jointly, to make term loans to Borrower on the Effective Date in an aggregate amount of Ten Million Dollars ($10,000,000) according to each Lender’s Term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Loans</w:t>
      </w:r>
      <w:r>
        <w:rPr>
          <w:rFonts w:ascii="Arial" w:cs="Arial" w:eastAsia="Arial" w:hAnsi="Arial"/>
          <w:sz w:val="18"/>
          <w:szCs w:val="18"/>
          <w:color w:val="auto"/>
        </w:rPr>
        <w:t>”). After repayment, no Term Loan may be re-borrowed.</w:t>
      </w:r>
    </w:p>
    <w:p>
      <w:pPr>
        <w:spacing w:after="0" w:line="190" w:lineRule="exact"/>
        <w:rPr>
          <w:rFonts w:ascii="Arial" w:cs="Arial" w:eastAsia="Arial" w:hAnsi="Arial"/>
          <w:sz w:val="18"/>
          <w:szCs w:val="18"/>
          <w:color w:val="auto"/>
        </w:rPr>
      </w:pPr>
    </w:p>
    <w:p>
      <w:pPr>
        <w:jc w:val="both"/>
        <w:ind w:firstLine="1305"/>
        <w:spacing w:after="0" w:line="274" w:lineRule="auto"/>
        <w:tabs>
          <w:tab w:leader="none" w:pos="2064"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monthly payments of interest only commencing on the first (1</w:t>
      </w:r>
      <w:r>
        <w:rPr>
          <w:rFonts w:ascii="Arial" w:cs="Arial" w:eastAsia="Arial" w:hAnsi="Arial"/>
          <w:sz w:val="26"/>
          <w:szCs w:val="26"/>
          <w:color w:val="auto"/>
          <w:vertAlign w:val="superscript"/>
        </w:rPr>
        <w:t>st</w:t>
      </w:r>
      <w:r>
        <w:rPr>
          <w:rFonts w:ascii="Arial" w:cs="Arial" w:eastAsia="Arial" w:hAnsi="Arial"/>
          <w:sz w:val="16"/>
          <w:szCs w:val="16"/>
          <w:color w:val="auto"/>
        </w:rPr>
        <w:t>) Payment Date following the Funding Date of the Term Loan, and continuing on the Payment Date of each successive month thereafter through and including the Payment Date immediately preceding the Amortization Date. Borrower agrees to pay, on the Funding Date of the Term Loan, any initial partial monthly interest payment otherwise due for the period between the Funding Date of the Term Loan and the first Payment Date thereof. 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(A) forty-five (45) months if the First Revenue Event does not occur, (B) thirty-three (33) months if the First Revenue Event occurs but the Second Revenue Event does not occur and (C) twenty-one (21) months if both the First Revenue Event and the Second Revenue Event occur. All unpaid principal and accrued and unpaid interest with respect to the Term Loan is due and payable in full on the Maturity Date. The Term Loan may only be prepaid in accordance with Sections 2.2(c) and 2.2(d).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both"/>
        <w:ind w:firstLine="1305"/>
        <w:spacing w:after="0" w:line="255" w:lineRule="auto"/>
        <w:tabs>
          <w:tab w:leader="none" w:pos="213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 (iv)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89" w:lineRule="exact"/>
        <w:rPr>
          <w:rFonts w:ascii="Arial" w:cs="Arial" w:eastAsia="Arial" w:hAnsi="Arial"/>
          <w:sz w:val="18"/>
          <w:szCs w:val="18"/>
          <w:color w:val="auto"/>
        </w:rPr>
      </w:pPr>
    </w:p>
    <w:p>
      <w:pPr>
        <w:jc w:val="both"/>
        <w:ind w:firstLine="1305"/>
        <w:spacing w:after="0" w:line="255" w:lineRule="auto"/>
        <w:tabs>
          <w:tab w:leader="none" w:pos="21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Permitted Prepayment of Term Loans</w:t>
      </w:r>
      <w:r>
        <w:rPr>
          <w:rFonts w:ascii="Arial" w:cs="Arial" w:eastAsia="Arial" w:hAnsi="Arial"/>
          <w:sz w:val="18"/>
          <w:szCs w:val="18"/>
          <w:color w:val="auto"/>
        </w:rPr>
        <w:t>. Borrower shall have the option to prepay all, but not less than all, of the Term Loans advanced by the Lenders under this Agreement, provided Borrower (i) provides written notice to Collateral Agent of its election to prepay the Term Loans at least thirty (30)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Payment of Interest on the Credit Extensions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302" w:lineRule="auto"/>
        <w:tabs>
          <w:tab w:leader="none" w:pos="197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xml:space="preserve"> Subject to Section 2.3(b), the principal amount outstanding under the Term Loans shall accrue interest at a fixed per annum rate (which rate shall be fixed for the duration of the applicable Term Loan) equal to the Basic Rate,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54" w:lineRule="exact"/>
        <w:rPr>
          <w:rFonts w:ascii="Arial" w:cs="Arial" w:eastAsia="Arial" w:hAnsi="Arial"/>
          <w:sz w:val="16"/>
          <w:szCs w:val="16"/>
          <w:color w:val="auto"/>
        </w:rPr>
      </w:pPr>
    </w:p>
    <w:p>
      <w:pPr>
        <w:jc w:val="both"/>
        <w:ind w:firstLine="1305"/>
        <w:spacing w:after="0" w:line="259" w:lineRule="auto"/>
        <w:tabs>
          <w:tab w:leader="none" w:pos="2159"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accrue interest at a fixed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360-Day Year</w:t>
      </w:r>
      <w:r>
        <w:rPr>
          <w:rFonts w:ascii="Arial" w:cs="Arial" w:eastAsia="Arial" w:hAnsi="Arial"/>
          <w:sz w:val="16"/>
          <w:szCs w:val="16"/>
          <w:color w:val="auto"/>
        </w:rPr>
        <w:t>. Interest shall be computed on the basis of a three hundred sixty (360) day year consisting of twelve (12) months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thirty (30) days.</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95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set-off.</w:t>
      </w:r>
    </w:p>
    <w:p>
      <w:pPr>
        <w:spacing w:after="0" w:line="181" w:lineRule="exact"/>
        <w:rPr>
          <w:rFonts w:ascii="Arial" w:cs="Arial" w:eastAsia="Arial" w:hAnsi="Arial"/>
          <w:sz w:val="18"/>
          <w:szCs w:val="18"/>
          <w:color w:val="auto"/>
        </w:rPr>
      </w:pPr>
    </w:p>
    <w:p>
      <w:pPr>
        <w:jc w:val="both"/>
        <w:ind w:firstLine="1305"/>
        <w:spacing w:after="0" w:line="291" w:lineRule="auto"/>
        <w:tabs>
          <w:tab w:leader="none" w:pos="198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2.4 Secured Promissory Notes. </w:t>
      </w:r>
      <w:r>
        <w:rPr>
          <w:rFonts w:ascii="Arial" w:cs="Arial" w:eastAsia="Arial" w:hAnsi="Arial"/>
          <w:sz w:val="17"/>
          <w:szCs w:val="17"/>
          <w:color w:val="auto"/>
        </w:rPr>
        <w:t>The Term Loans shall be evidenced by a Secured Promissory Note or Notes in the form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b w:val="1"/>
          <w:bCs w:val="1"/>
          <w:color w:val="auto"/>
        </w:rPr>
        <w:t xml:space="preserve"> </w:t>
      </w:r>
      <w:r>
        <w:rPr>
          <w:rFonts w:ascii="Arial" w:cs="Arial" w:eastAsia="Arial" w:hAnsi="Arial"/>
          <w:sz w:val="17"/>
          <w:szCs w:val="17"/>
          <w:color w:val="auto"/>
        </w:rPr>
        <w:t>hereto (each a “</w:t>
      </w:r>
      <w:r>
        <w:rPr>
          <w:rFonts w:ascii="Arial" w:cs="Arial" w:eastAsia="Arial" w:hAnsi="Arial"/>
          <w:sz w:val="17"/>
          <w:szCs w:val="17"/>
          <w:b w:val="1"/>
          <w:bCs w:val="1"/>
          <w:color w:val="auto"/>
        </w:rPr>
        <w:t>Secured Promissory Note</w:t>
      </w:r>
      <w:r>
        <w:rPr>
          <w:rFonts w:ascii="Arial" w:cs="Arial" w:eastAsia="Arial" w:hAnsi="Arial"/>
          <w:sz w:val="17"/>
          <w:szCs w:val="17"/>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w:t>
      </w:r>
      <w:r>
        <w:rPr>
          <w:rFonts w:ascii="Arial" w:cs="Arial" w:eastAsia="Arial" w:hAnsi="Arial"/>
          <w:sz w:val="17"/>
          <w:szCs w:val="17"/>
          <w:b w:val="1"/>
          <w:bCs w:val="1"/>
          <w:color w:val="auto"/>
        </w:rPr>
        <w:t>,</w:t>
      </w:r>
      <w:r>
        <w:rPr>
          <w:rFonts w:ascii="Arial" w:cs="Arial" w:eastAsia="Arial" w:hAnsi="Arial"/>
          <w:sz w:val="17"/>
          <w:szCs w:val="17"/>
          <w:color w:val="auto"/>
        </w:rPr>
        <w:t xml:space="preserve"> Borrower shall issue, in lieu thereof, a replacement Secured Promissory Note in the same principal amount thereof and of like tenor.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89" w:name="page90"/>
    <w:bookmarkEnd w:id="89"/>
    <w:p>
      <w:pPr>
        <w:ind w:left="660"/>
        <w:spacing w:after="0"/>
        <w:tabs>
          <w:tab w:leader="none" w:pos="13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 shall pay to Collateral Agent:</w:t>
      </w:r>
    </w:p>
    <w:p>
      <w:pPr>
        <w:spacing w:after="0" w:line="229" w:lineRule="exact"/>
        <w:rPr>
          <w:sz w:val="20"/>
          <w:szCs w:val="20"/>
          <w:color w:val="auto"/>
        </w:rPr>
      </w:pPr>
    </w:p>
    <w:p>
      <w:pPr>
        <w:ind w:firstLine="1305"/>
        <w:spacing w:after="0" w:line="342" w:lineRule="auto"/>
        <w:tabs>
          <w:tab w:leader="none" w:pos="2068"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Facility Fee</w:t>
      </w:r>
      <w:r>
        <w:rPr>
          <w:rFonts w:ascii="Arial" w:cs="Arial" w:eastAsia="Arial" w:hAnsi="Arial"/>
          <w:sz w:val="16"/>
          <w:szCs w:val="16"/>
          <w:color w:val="auto"/>
        </w:rPr>
        <w:t>. A fully earned, non-refundable facility fee of Fifty Thousand Dollars ($50,000) to be shared between the Lenders pursuant to their respective Commitment Percentages payable, the entire amount of which has already been paid on or about November 15, 2013;</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Final Payment</w:t>
      </w:r>
      <w:r>
        <w:rPr>
          <w:rFonts w:ascii="Arial" w:cs="Arial" w:eastAsia="Arial" w:hAnsi="Arial"/>
          <w:sz w:val="16"/>
          <w:szCs w:val="16"/>
          <w:color w:val="auto"/>
        </w:rPr>
        <w:t>. The Final Payment, when due hereunder, to be shared between the Lenders in accordance with their respective Pro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Rata Shares;</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between the Lenders in accordance with their respective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 Rata Shares; and</w:t>
      </w:r>
    </w:p>
    <w:p>
      <w:pPr>
        <w:spacing w:after="0" w:line="210" w:lineRule="exact"/>
        <w:rPr>
          <w:rFonts w:ascii="Arial" w:cs="Arial" w:eastAsia="Arial" w:hAnsi="Arial"/>
          <w:sz w:val="16"/>
          <w:szCs w:val="16"/>
          <w:color w:val="auto"/>
        </w:rPr>
      </w:pPr>
    </w:p>
    <w:p>
      <w:pPr>
        <w:ind w:right="20" w:firstLine="1305"/>
        <w:spacing w:after="0" w:line="277" w:lineRule="auto"/>
        <w:tabs>
          <w:tab w:leader="none" w:pos="201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for documentation and negotiation of this Agreement) incurred through and after the Effective Date, when due.</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2.6 Withholding. </w:t>
      </w:r>
      <w:r>
        <w:rPr>
          <w:rFonts w:ascii="Arial" w:cs="Arial" w:eastAsia="Arial" w:hAnsi="Arial"/>
          <w:sz w:val="16"/>
          <w:szCs w:val="16"/>
          <w:color w:val="auto"/>
        </w:rPr>
        <w:t>Payments received by the Lenders from Borrower hereunder will be made free and clear of and without deduction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64"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Each Lender’s obligation to make a Term Loan is subject to the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Borrower shall have recorded the Mortgage in Marshall County, Indiana providing for first priority mortgage lien in respect of the Mortgaged Premises in favor of Collateral Agent and such other documents which are customary in commercial mortgage transactions in Indiana, each in form and substance satisfactory to Collateral 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90" w:name="page91"/>
    <w:bookmarkEnd w:id="90"/>
    <w:p>
      <w:pPr>
        <w:ind w:left="2220" w:hanging="915"/>
        <w:spacing w:after="0"/>
        <w:tabs>
          <w:tab w:leader="none" w:pos="22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duly executed original Control Agreements with respect to any Collateral Accounts maintained by Borrower or any of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11" w:lineRule="exact"/>
        <w:rPr>
          <w:sz w:val="20"/>
          <w:szCs w:val="20"/>
          <w:color w:val="auto"/>
        </w:rPr>
      </w:pPr>
    </w:p>
    <w:p>
      <w:pPr>
        <w:ind w:firstLine="1305"/>
        <w:spacing w:after="0" w:line="277" w:lineRule="auto"/>
        <w:tabs>
          <w:tab w:leader="none" w:pos="20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duly executed original Secured Promissory Notes and Warrants, in number, form and content acceptable to each Lender, and in favor of each Lender according to its Term Loan Commitment Percentage;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certificate(s) for the Shares, together with Assignment(s) Separate from Certificate, duly executed in blank;</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Arial" w:cs="Arial" w:eastAsia="Arial" w:hAnsi="Arial"/>
          <w:sz w:val="18"/>
          <w:szCs w:val="18"/>
          <w:b w:val="1"/>
          <w:bCs w:val="1"/>
          <w:color w:val="auto"/>
        </w:rPr>
        <w: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Annual Projections, for the current calendar year;</w:t>
      </w:r>
    </w:p>
    <w:p>
      <w:pPr>
        <w:spacing w:after="0" w:line="225" w:lineRule="exact"/>
        <w:rPr>
          <w:rFonts w:ascii="Arial" w:cs="Arial" w:eastAsia="Arial" w:hAnsi="Arial"/>
          <w:sz w:val="18"/>
          <w:szCs w:val="18"/>
          <w:color w:val="auto"/>
        </w:rPr>
      </w:pPr>
    </w:p>
    <w:p>
      <w:pPr>
        <w:ind w:firstLine="1305"/>
        <w:spacing w:after="0" w:line="277" w:lineRule="auto"/>
        <w:tabs>
          <w:tab w:leader="none" w:pos="20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duly executed original officer’s certificate for Borrower and each Subsidiary that is a party to the Loan Documents, in a form acceptable to Collateral Agent and the Lenders;</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2047" w:val="left"/>
        </w:tabs>
        <w:numPr>
          <w:ilvl w:val="0"/>
          <w:numId w:val="37"/>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landlord’s consent executed in favor of Collateral Agent in respect of all of Borrower’s and each Subsidiaries’ leased locations;</w:t>
      </w:r>
    </w:p>
    <w:p>
      <w:pPr>
        <w:spacing w:after="0" w:line="248" w:lineRule="exact"/>
        <w:rPr>
          <w:rFonts w:ascii="Arial" w:cs="Arial" w:eastAsia="Arial" w:hAnsi="Arial"/>
          <w:sz w:val="16"/>
          <w:szCs w:val="16"/>
          <w:color w:val="auto"/>
        </w:rPr>
      </w:pPr>
    </w:p>
    <w:p>
      <w:pPr>
        <w:ind w:firstLine="1305"/>
        <w:spacing w:after="0" w:line="277" w:lineRule="auto"/>
        <w:tabs>
          <w:tab w:leader="none" w:pos="21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bailee waiver executed in favor of Collateral Agent in respect of each third party bailee where Borrower or any Subsidiary maintains Collateral having a book value in excess of One Hundred Thousand Dollars ($100,000.00);</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3.2 Conditions Precedent to all Credit Extensions. </w:t>
      </w:r>
      <w:r>
        <w:rPr>
          <w:rFonts w:ascii="Arial" w:cs="Arial" w:eastAsia="Arial" w:hAnsi="Arial"/>
          <w:sz w:val="18"/>
          <w:szCs w:val="18"/>
          <w:color w:val="auto"/>
        </w:rPr>
        <w:t>The obligation of each Lender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receipt by Collateral Agent of an executed Disbursement Letter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jc w:val="both"/>
        <w:ind w:firstLine="1305"/>
        <w:spacing w:after="0" w:line="290" w:lineRule="auto"/>
        <w:tabs>
          <w:tab w:leader="none" w:pos="19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representations and warranties in Section 5 hereof shall be true, accurate and complete in all material respects on the date of the Disbursement Letter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ind w:firstLine="1305"/>
        <w:spacing w:after="0" w:line="277" w:lineRule="auto"/>
        <w:tabs>
          <w:tab w:leader="none" w:pos="20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such Lender’s sole discretion, there has not been any Material Adverse Change or any material adverse deviation by Borrower from the Annual Projections of Borrower presented to and accepted by Collateral Agent and each Lender;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0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not delivered at the Effective Date, duly executed original Secured Promissory Notes and Warrants, in number, form and content acceptable to each Lender, and in favor of each Lender according to its Commitment Percentage, with respect to each Credit Extension made by such Lender after the Effective Date;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3.3 Covenant to Deliver. </w:t>
      </w:r>
      <w:r>
        <w:rPr>
          <w:rFonts w:ascii="Arial" w:cs="Arial" w:eastAsia="Arial" w:hAnsi="Arial"/>
          <w:sz w:val="17"/>
          <w:szCs w:val="17"/>
          <w:color w:val="auto"/>
        </w:rPr>
        <w:t>Borrower agrees to deliver to Collateral Agent and the Lenders each item required to be delivered to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Agent 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3.4 Procedures for Borrowing. </w:t>
      </w:r>
      <w:r>
        <w:rPr>
          <w:rFonts w:ascii="Arial" w:cs="Arial" w:eastAsia="Arial" w:hAnsi="Arial"/>
          <w:sz w:val="18"/>
          <w:szCs w:val="18"/>
          <w:color w:val="auto"/>
        </w:rPr>
        <w:t>Subject to the prior satisfaction of all other applicable conditions to the making of a Term Loan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obtain a Term Loan, Borrower shall notify the Lenders (which notice shall be irrevocable) by electronic mail, facsimile, or telephone by 12:00 noon Eastern time three (3) Business Days prior to the date the Term Loan is to be made. Together with any such electronic, facsimile or telephonic notification, Borrower shall deliver to the Lenders by electronic mail or facsimile a completed Disbursement Letter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18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Borrower hereby grants Collateral Agent, for the ratable benefit of the Lenders, to secure the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 to have priority to Collateral Agent’s Lien. If Borrower shall acquire a commercial tort claim (as defined in the Code),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4.2 Authorization to File Financing Statements. </w:t>
      </w:r>
      <w:r>
        <w:rPr>
          <w:rFonts w:ascii="Arial" w:cs="Arial" w:eastAsia="Arial" w:hAnsi="Arial"/>
          <w:sz w:val="17"/>
          <w:szCs w:val="17"/>
          <w:color w:val="auto"/>
        </w:rPr>
        <w:t>Borrower hereby authorizes Collateral Agent to file financing statements or take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action 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4.3 Pledge of Collateral. </w:t>
      </w:r>
      <w:r>
        <w:rPr>
          <w:rFonts w:ascii="Arial" w:cs="Arial" w:eastAsia="Arial" w:hAnsi="Arial"/>
          <w:sz w:val="17"/>
          <w:szCs w:val="17"/>
          <w:color w:val="auto"/>
        </w:rPr>
        <w:t>Borrower hereby pledges, assigns and grants to Collateral Agent, for the ratable benefit of the Lenders, a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ten (10) days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183"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and each of its Subsidiaries is duly existing and in good standing as</w:t>
      </w:r>
      <w:r>
        <w:rPr>
          <w:rFonts w:ascii="Arial" w:cs="Arial" w:eastAsia="Arial" w:hAnsi="Arial"/>
          <w:sz w:val="17"/>
          <w:szCs w:val="17"/>
          <w:b w:val="1"/>
          <w:bCs w:val="1"/>
          <w:color w:val="auto"/>
        </w:rPr>
        <w:t xml:space="preserve"> </w:t>
      </w:r>
      <w:r>
        <w:rPr>
          <w:rFonts w:ascii="Arial" w:cs="Arial" w:eastAsia="Arial" w:hAnsi="Arial"/>
          <w:sz w:val="17"/>
          <w:szCs w:val="17"/>
          <w:color w:val="auto"/>
        </w:rPr>
        <w:t>a 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Arial" w:cs="Arial" w:eastAsia="Arial" w:hAnsi="Arial"/>
          <w:sz w:val="17"/>
          <w:szCs w:val="17"/>
          <w:b w:val="1"/>
          <w:bCs w:val="1"/>
          <w:color w:val="auto"/>
        </w:rPr>
        <w:t>Perfection</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Borrower represents and warrants that (a) Borrower and each of its Subsidiaries’ exact legal</w:t>
      </w:r>
      <w:r>
        <w:rPr>
          <w:rFonts w:ascii="Arial" w:cs="Arial" w:eastAsia="Arial" w:hAnsi="Arial"/>
          <w:sz w:val="17"/>
          <w:szCs w:val="17"/>
          <w:b w:val="1"/>
          <w:bCs w:val="1"/>
          <w:color w:val="auto"/>
        </w:rPr>
        <w:t xml:space="preserve"> </w:t>
      </w:r>
      <w:r>
        <w:rPr>
          <w:rFonts w:ascii="Arial" w:cs="Arial" w:eastAsia="Arial" w:hAnsi="Arial"/>
          <w:sz w:val="17"/>
          <w:szCs w:val="17"/>
          <w:color w:val="auto"/>
        </w:rPr>
        <w:t>name is that which is indicated on its respective Perfection Certificate and on the signature page of each Loan Document to which it is 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 and each of its Subsidiaries’ mailing address (if different than its chief executive office); (e) 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(it being understood and agreed that Borrower and each of its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3" w:name="page94"/>
    <w:bookmarkEnd w:id="93"/>
    <w:p>
      <w:pPr>
        <w:jc w:val="both"/>
        <w:ind w:firstLine="648"/>
        <w:spacing w:after="0" w:line="274" w:lineRule="auto"/>
        <w:rPr>
          <w:sz w:val="20"/>
          <w:szCs w:val="20"/>
          <w:color w:val="auto"/>
        </w:rPr>
      </w:pPr>
      <w:r>
        <w:rPr>
          <w:rFonts w:ascii="Arial" w:cs="Arial" w:eastAsia="Arial" w:hAnsi="Arial"/>
          <w:sz w:val="17"/>
          <w:szCs w:val="17"/>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w:t>
      </w:r>
    </w:p>
    <w:p>
      <w:pPr>
        <w:jc w:val="both"/>
        <w:ind w:firstLine="8"/>
        <w:spacing w:after="0" w:line="269" w:lineRule="auto"/>
        <w:tabs>
          <w:tab w:leader="none" w:pos="266"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Collateral.</w:t>
      </w:r>
    </w:p>
    <w:p>
      <w:pPr>
        <w:spacing w:after="0" w:line="229" w:lineRule="exact"/>
        <w:rPr>
          <w:sz w:val="20"/>
          <w:szCs w:val="20"/>
          <w:color w:val="auto"/>
        </w:rPr>
      </w:pPr>
    </w:p>
    <w:p>
      <w:pPr>
        <w:jc w:val="both"/>
        <w:ind w:firstLine="1305"/>
        <w:spacing w:after="0" w:line="273" w:lineRule="auto"/>
        <w:tabs>
          <w:tab w:leader="none" w:pos="20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Borrower and each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Subsidiary has given Collateral Agent notice and taken such actions as are necessary to give Collateral Agent a perfected security interest therein. The Accounts are bona fide, existing obligations of the Account Debtors.</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2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(such as a warehouse) and (ii) no such third party bailee possesses components of the Collateral in excess of One Hundred Thousand Dollars ($100,000.00). None of the components of the Collateral shall be maintained at locations other than as disclosed in the Perfection Certificates on the Effective Date or as permitted pursuant to Section 6.11.</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rFonts w:ascii="Arial" w:cs="Arial" w:eastAsia="Arial" w:hAnsi="Arial"/>
          <w:sz w:val="18"/>
          <w:szCs w:val="18"/>
          <w:color w:val="auto"/>
        </w:rPr>
      </w:pPr>
    </w:p>
    <w:p>
      <w:pPr>
        <w:jc w:val="both"/>
        <w:ind w:firstLine="1305"/>
        <w:spacing w:after="0" w:line="254" w:lineRule="auto"/>
        <w:tabs>
          <w:tab w:leader="none" w:pos="20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license or agreement with respect to which Borrower or any Subsidiary is the licensee (other than over-the-counter software that is commercially available to the public).</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(i) on the Perfection Certificates, or (ii) in accordance with Section 6.9 hereof,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the Responsible Officers, threatened in writing by or against Borrower or any of its Subsidiaries involving more than One Hundred Thousand Dollars ($100,000.00).</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5.4 No Material Deterioration in Financial Condition; Financial Statements. </w:t>
      </w:r>
      <w:r>
        <w:rPr>
          <w:rFonts w:ascii="Arial" w:cs="Arial" w:eastAsia="Arial" w:hAnsi="Arial"/>
          <w:sz w:val="16"/>
          <w:szCs w:val="16"/>
          <w:color w:val="auto"/>
        </w:rPr>
        <w:t>All consolidated financial statements for Borrower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delivered to Collateral Agent fairly present, in conformity with GAAP, in all material respects the consolidated financial condition of Borrower and its Subsidiaries, and the consolidated results of operations of Borrower and its Subsidiaries. There has not been any material deterioration in the consolidated financial condition of Borrower and its Subsidiaries since the date of the most recent financial statements submitted to any Lender.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4" w:name="page95"/>
    <w:bookmarkEnd w:id="94"/>
    <w:p>
      <w:pPr>
        <w:ind w:left="660"/>
        <w:spacing w:after="0"/>
        <w:tabs>
          <w:tab w:leader="none" w:pos="13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 xml:space="preserve">Solvency. </w:t>
      </w:r>
      <w:r>
        <w:rPr>
          <w:rFonts w:ascii="Arial" w:cs="Arial" w:eastAsia="Arial" w:hAnsi="Arial"/>
          <w:sz w:val="16"/>
          <w:szCs w:val="16"/>
          <w:color w:val="auto"/>
        </w:rPr>
        <w:t>Borrower and each of its Subsidiaries is Solvent.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5.6 Regulatory Compliance. </w:t>
      </w:r>
      <w:r>
        <w:rPr>
          <w:rFonts w:ascii="Arial" w:cs="Arial" w:eastAsia="Arial" w:hAnsi="Arial"/>
          <w:sz w:val="18"/>
          <w:szCs w:val="18"/>
          <w:color w:val="auto"/>
        </w:rPr>
        <w:t>Neither Borrower nor any of its Subsidiaries is an “investment company” or a company “controlled”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5.7 Investments. </w:t>
      </w:r>
      <w:r>
        <w:rPr>
          <w:rFonts w:ascii="Arial" w:cs="Arial" w:eastAsia="Arial" w:hAnsi="Arial"/>
          <w:sz w:val="18"/>
          <w:szCs w:val="18"/>
          <w:color w:val="auto"/>
        </w:rPr>
        <w:t>Neither Borrower nor any of its Subsidiaries owns any stock, shares, partnership interests or other equity securities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Permitted Investments.</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5.8 Tax Returns and Payments; Pension Contributions. </w:t>
      </w:r>
      <w:r>
        <w:rPr>
          <w:rFonts w:ascii="Arial" w:cs="Arial" w:eastAsia="Arial" w:hAnsi="Arial"/>
          <w:sz w:val="17"/>
          <w:szCs w:val="17"/>
          <w:color w:val="auto"/>
        </w:rPr>
        <w:t>Borrower and each of its Subsidiaries has timely filed all required tax returns and</w:t>
      </w:r>
      <w:r>
        <w:rPr>
          <w:rFonts w:ascii="Arial" w:cs="Arial" w:eastAsia="Arial" w:hAnsi="Arial"/>
          <w:sz w:val="17"/>
          <w:szCs w:val="17"/>
          <w:b w:val="1"/>
          <w:bCs w:val="1"/>
          <w:color w:val="auto"/>
        </w:rPr>
        <w:t xml:space="preserve"> </w:t>
      </w:r>
      <w:r>
        <w:rPr>
          <w:rFonts w:ascii="Arial" w:cs="Arial" w:eastAsia="Arial" w:hAnsi="Arial"/>
          <w:sz w:val="17"/>
          <w:szCs w:val="17"/>
          <w:color w:val="auto"/>
        </w:rPr>
        <w:t>reports, and Borrower and each of its Subsidiaries, has timely paid all foreign, federal, state, and local taxes, assessments, deposits and contributions owed by Borrower and such Subsidiaries, in all jurisdictions in which Borrower or any such Subsidiary is subject to taxes, including the United States, unless such taxes are being contested in accordance with the following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Arial" w:cs="Arial" w:eastAsia="Arial" w:hAnsi="Arial"/>
          <w:sz w:val="17"/>
          <w:szCs w:val="17"/>
          <w:b w:val="1"/>
          <w:bCs w:val="1"/>
          <w:color w:val="auto"/>
        </w:rPr>
        <w:t>Permitted Lien</w:t>
      </w:r>
      <w:r>
        <w:rPr>
          <w:rFonts w:ascii="Arial" w:cs="Arial" w:eastAsia="Arial" w:hAnsi="Arial"/>
          <w:sz w:val="17"/>
          <w:szCs w:val="17"/>
          <w:color w:val="auto"/>
        </w:rPr>
        <w:t>.” Neither Borrower nor any of its Subsidiaries is aware of any claims or adjustments proposed for any of Borrower’s or such Subsidiaries’, prior tax years which could result in additional taxes (in an aggregate amount exceeding $25,000)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5.9 Use of Proceeds. </w:t>
      </w:r>
      <w:r>
        <w:rPr>
          <w:rFonts w:ascii="Arial" w:cs="Arial" w:eastAsia="Arial" w:hAnsi="Arial"/>
          <w:sz w:val="18"/>
          <w:szCs w:val="18"/>
          <w:color w:val="auto"/>
        </w:rPr>
        <w:t>Borrower shall use the proceeds of the Credit Extensions solely as working capital and to fund its general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in accordance with the provisions of this Agreement, and not for personal, family, household or agricultural purposes.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95" w:name="page96"/>
    <w:bookmarkEnd w:id="95"/>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5.10 Shares. </w:t>
      </w:r>
      <w:r>
        <w:rPr>
          <w:rFonts w:ascii="Arial" w:cs="Arial" w:eastAsia="Arial" w:hAnsi="Arial"/>
          <w:sz w:val="16"/>
          <w:szCs w:val="16"/>
          <w:color w:val="auto"/>
        </w:rPr>
        <w:t>Borrower has full power and authority to create a first lien on the Shares and no disability or contractual obligation exists that</w:t>
      </w:r>
      <w:r>
        <w:rPr>
          <w:rFonts w:ascii="Arial" w:cs="Arial" w:eastAsia="Arial" w:hAnsi="Arial"/>
          <w:sz w:val="16"/>
          <w:szCs w:val="16"/>
          <w:b w:val="1"/>
          <w:bCs w:val="1"/>
          <w:color w:val="auto"/>
        </w:rPr>
        <w:t xml:space="preserve"> </w:t>
      </w:r>
      <w:r>
        <w:rPr>
          <w:rFonts w:ascii="Arial" w:cs="Arial" w:eastAsia="Arial" w:hAnsi="Arial"/>
          <w:sz w:val="16"/>
          <w:szCs w:val="16"/>
          <w:color w:val="auto"/>
        </w:rPr>
        <w:t>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15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5.11 Full Disclosure. </w:t>
      </w:r>
      <w:r>
        <w:rPr>
          <w:rFonts w:ascii="Arial" w:cs="Arial" w:eastAsia="Arial" w:hAnsi="Arial"/>
          <w:sz w:val="17"/>
          <w:szCs w:val="17"/>
          <w:color w:val="auto"/>
        </w:rPr>
        <w:t>No written representation, warranty or other statement of Borrower or any of its Subsidiaries in any certificate 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5.12 Definition of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For purposes of the Loan Documents, whenever a representation or warranty is made to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or awareness, to the “best of” Borrower’s knowledge, or with a similar qualification, knowledge or awareness means the actual knowledge, after reasonable investigation, of the Responsible Officers.</w:t>
      </w:r>
    </w:p>
    <w:p>
      <w:pPr>
        <w:spacing w:after="0" w:line="176"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6"/>
          <w:szCs w:val="16"/>
          <w:b w:val="1"/>
          <w:bCs w:val="1"/>
          <w:color w:val="auto"/>
        </w:rPr>
        <w:t>Government Compliance.</w:t>
      </w:r>
    </w:p>
    <w:p>
      <w:pPr>
        <w:spacing w:after="0" w:line="229" w:lineRule="exact"/>
        <w:rPr>
          <w:rFonts w:ascii="Arial" w:cs="Arial" w:eastAsia="Arial" w:hAnsi="Arial"/>
          <w:sz w:val="18"/>
          <w:szCs w:val="18"/>
          <w:b w:val="1"/>
          <w:bCs w:val="1"/>
          <w:color w:val="auto"/>
        </w:rPr>
      </w:pPr>
    </w:p>
    <w:p>
      <w:pPr>
        <w:jc w:val="both"/>
        <w:ind w:firstLine="1305"/>
        <w:spacing w:after="0" w:line="259" w:lineRule="auto"/>
        <w:tabs>
          <w:tab w:leader="none" w:pos="19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6" w:lineRule="exact"/>
        <w:rPr>
          <w:rFonts w:ascii="Arial" w:cs="Arial" w:eastAsia="Arial" w:hAnsi="Arial"/>
          <w:sz w:val="18"/>
          <w:szCs w:val="18"/>
          <w:color w:val="auto"/>
        </w:rPr>
      </w:pPr>
    </w:p>
    <w:p>
      <w:pPr>
        <w:jc w:val="both"/>
        <w:ind w:firstLine="1305"/>
        <w:spacing w:after="0" w:line="254" w:lineRule="auto"/>
        <w:tabs>
          <w:tab w:leader="none" w:pos="2026" w:val="left"/>
        </w:tabs>
        <w:numPr>
          <w:ilvl w:val="1"/>
          <w:numId w:val="44"/>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 provided, however, that if such Governmental Approval necessarily includes a filing with a Governmental Authority of an Investigational New Drug Application or New Drug Application (or similar filing with the U.S. Food and Drug Administration or foreign equivalent), Borrower shall provide Collateral Agent with written notice within five (5) days after such filing and promptly make available to Collateral Agent electronically a copy of such New Drug Application (or similar filing with the U.S. Food and Drug Administration or foreign equivalent) upon Collateral Agent’s request.</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w:t>
      </w:r>
    </w:p>
    <w:p>
      <w:pPr>
        <w:spacing w:after="0" w:line="229" w:lineRule="exact"/>
        <w:rPr>
          <w:sz w:val="20"/>
          <w:szCs w:val="20"/>
          <w:color w:val="auto"/>
        </w:rPr>
      </w:pPr>
    </w:p>
    <w:p>
      <w:pPr>
        <w:ind w:left="1960" w:hanging="655"/>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Deliver to each Lender:</w:t>
      </w:r>
    </w:p>
    <w:p>
      <w:pPr>
        <w:spacing w:after="0" w:line="225" w:lineRule="exact"/>
        <w:rPr>
          <w:rFonts w:ascii="Arial" w:cs="Arial" w:eastAsia="Arial" w:hAnsi="Arial"/>
          <w:sz w:val="18"/>
          <w:szCs w:val="18"/>
          <w:color w:val="auto"/>
        </w:rPr>
      </w:pPr>
    </w:p>
    <w:p>
      <w:pPr>
        <w:jc w:val="both"/>
        <w:ind w:firstLine="1953"/>
        <w:spacing w:after="0" w:line="286" w:lineRule="auto"/>
        <w:tabs>
          <w:tab w:leader="none" w:pos="2624" w:val="left"/>
        </w:tabs>
        <w:numPr>
          <w:ilvl w:val="1"/>
          <w:numId w:val="45"/>
        </w:numPr>
        <w:rPr>
          <w:rFonts w:ascii="Arial" w:cs="Arial" w:eastAsia="Arial" w:hAnsi="Arial"/>
          <w:sz w:val="17"/>
          <w:szCs w:val="17"/>
          <w:color w:val="auto"/>
        </w:rPr>
      </w:pPr>
      <w:r>
        <w:rPr>
          <w:rFonts w:ascii="Arial" w:cs="Arial" w:eastAsia="Arial" w:hAnsi="Arial"/>
          <w:sz w:val="17"/>
          <w:szCs w:val="17"/>
          <w:color w:val="auto"/>
        </w:rPr>
        <w:t>as soon as available, but no later than forty five (45) days after the last day of each calendar month, a company prepared consolidated and consolidating balance sheet, income statement and cash flow statement covering the consolidated operations of Borrower and its Subsidiaries for such month certified by a Responsible Officer and in a form reasonably acceptable to Collateral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6" w:name="page97"/>
    <w:bookmarkEnd w:id="96"/>
    <w:p>
      <w:pPr>
        <w:jc w:val="both"/>
        <w:ind w:firstLine="1953"/>
        <w:spacing w:after="0" w:line="312" w:lineRule="auto"/>
        <w:tabs>
          <w:tab w:leader="none" w:pos="259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soon as available, but no later than one hundred twenty (120) days after the last day of Borrower’s fiscal year or within five (5) days of filing with the SEC, audited consolidated financial statements prepared under GAAP, consistently applied, together with an unqualified opinion on the financial statements from an independent certified public accounting firm acceptable to Collateral Agent in its reasonable discretion</w:t>
      </w:r>
      <w:r>
        <w:rPr>
          <w:rFonts w:ascii="Arial" w:cs="Arial" w:eastAsia="Arial" w:hAnsi="Arial"/>
          <w:sz w:val="16"/>
          <w:szCs w:val="16"/>
          <w:b w:val="1"/>
          <w:bCs w:val="1"/>
          <w:color w:val="auto"/>
        </w:rPr>
        <w:t>;</w:t>
      </w:r>
    </w:p>
    <w:p>
      <w:pPr>
        <w:spacing w:after="0" w:line="146" w:lineRule="exact"/>
        <w:rPr>
          <w:rFonts w:ascii="Arial" w:cs="Arial" w:eastAsia="Arial" w:hAnsi="Arial"/>
          <w:sz w:val="16"/>
          <w:szCs w:val="16"/>
          <w:color w:val="auto"/>
        </w:rPr>
      </w:pPr>
    </w:p>
    <w:p>
      <w:pPr>
        <w:jc w:val="both"/>
        <w:ind w:firstLine="1953"/>
        <w:spacing w:after="0" w:line="255" w:lineRule="auto"/>
        <w:tabs>
          <w:tab w:leader="none" w:pos="26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soon as available after approval thereof by Borrower’s Board of Directors, but not less than annually and no later than ten (10) days after approval thereof by Borrower’s Board of Directors, Borrower’s annual financial projections for the entire current fiscal year as approved by Borrower’s Board of Directors, which such annual financial projections shall be set forth in a month-by-month format (such annual financial projections as originally delivered to Collateral Agent and the Lenders are referred to herein as the “</w:t>
      </w:r>
      <w:r>
        <w:rPr>
          <w:rFonts w:ascii="Arial" w:cs="Arial" w:eastAsia="Arial" w:hAnsi="Arial"/>
          <w:sz w:val="18"/>
          <w:szCs w:val="18"/>
          <w:b w:val="1"/>
          <w:bCs w:val="1"/>
          <w:color w:val="auto"/>
        </w:rPr>
        <w:t>Annual Projections</w:t>
      </w:r>
      <w:r>
        <w:rPr>
          <w:rFonts w:ascii="Arial" w:cs="Arial" w:eastAsia="Arial" w:hAnsi="Arial"/>
          <w:sz w:val="18"/>
          <w:szCs w:val="18"/>
          <w:color w:val="auto"/>
        </w:rPr>
        <w:t>”; provided that, any revisions of the Annual Projections approved by Borrower’s Board of Directors shall be delivered to Collateral Agent and the Lenders no later than seven (7) days after such approval);</w:t>
      </w:r>
    </w:p>
    <w:p>
      <w:pPr>
        <w:spacing w:after="0" w:line="193" w:lineRule="exact"/>
        <w:rPr>
          <w:rFonts w:ascii="Arial" w:cs="Arial" w:eastAsia="Arial" w:hAnsi="Arial"/>
          <w:sz w:val="18"/>
          <w:szCs w:val="18"/>
          <w:color w:val="auto"/>
        </w:rPr>
      </w:pPr>
    </w:p>
    <w:p>
      <w:pPr>
        <w:ind w:left="2580" w:hanging="627"/>
        <w:spacing w:after="0"/>
        <w:tabs>
          <w:tab w:leader="none" w:pos="2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within five (5) days of delivery, copies of all statements, reports and notices made available to Borrower’s security holders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holders of Subordinated Debt;</w:t>
      </w:r>
    </w:p>
    <w:p>
      <w:pPr>
        <w:spacing w:after="0" w:line="210" w:lineRule="exact"/>
        <w:rPr>
          <w:rFonts w:ascii="Arial" w:cs="Arial" w:eastAsia="Arial" w:hAnsi="Arial"/>
          <w:sz w:val="16"/>
          <w:szCs w:val="16"/>
          <w:color w:val="auto"/>
        </w:rPr>
      </w:pPr>
    </w:p>
    <w:p>
      <w:pPr>
        <w:ind w:firstLine="1953"/>
        <w:spacing w:after="0" w:line="277" w:lineRule="auto"/>
        <w:tabs>
          <w:tab w:leader="none" w:pos="26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70" w:lineRule="exact"/>
        <w:rPr>
          <w:rFonts w:ascii="Arial" w:cs="Arial" w:eastAsia="Arial" w:hAnsi="Arial"/>
          <w:sz w:val="18"/>
          <w:szCs w:val="18"/>
          <w:color w:val="auto"/>
        </w:rPr>
      </w:pPr>
    </w:p>
    <w:p>
      <w:pPr>
        <w:ind w:firstLine="1953"/>
        <w:spacing w:after="0" w:line="308" w:lineRule="auto"/>
        <w:tabs>
          <w:tab w:leader="none" w:pos="2764"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prompt notice of any amendments of or other changes to the capitalization table of Borrower and to the Operating Documents of Borrower or any of its Subsidiaries, together with any copies reflecting such amendments or changes with respect thereto;</w:t>
      </w:r>
    </w:p>
    <w:p>
      <w:pPr>
        <w:spacing w:after="0" w:line="146" w:lineRule="exact"/>
        <w:rPr>
          <w:rFonts w:ascii="Arial" w:cs="Arial" w:eastAsia="Arial" w:hAnsi="Arial"/>
          <w:sz w:val="17"/>
          <w:szCs w:val="17"/>
          <w:color w:val="auto"/>
        </w:rPr>
      </w:pPr>
    </w:p>
    <w:p>
      <w:pPr>
        <w:jc w:val="both"/>
        <w:ind w:firstLine="1953"/>
        <w:spacing w:after="0" w:line="312" w:lineRule="auto"/>
        <w:tabs>
          <w:tab w:leader="none" w:pos="2584"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prompt notice of (A) any material change in the composition of the Intellectual Property, (B) the registration in the United States of any copyright, including any subsequent ownership right of Borrower or any of its Subsidiaries in or to any copyright, patent or trademark, including a copy of any such registration, and (C) any event that could reasonably be expected to materially and adversely affect the value of the Intellectual Property;</w:t>
      </w:r>
    </w:p>
    <w:p>
      <w:pPr>
        <w:spacing w:after="0" w:line="146" w:lineRule="exact"/>
        <w:rPr>
          <w:rFonts w:ascii="Arial" w:cs="Arial" w:eastAsia="Arial" w:hAnsi="Arial"/>
          <w:sz w:val="16"/>
          <w:szCs w:val="16"/>
          <w:color w:val="auto"/>
        </w:rPr>
      </w:pPr>
    </w:p>
    <w:p>
      <w:pPr>
        <w:jc w:val="both"/>
        <w:ind w:firstLine="1953"/>
        <w:spacing w:after="0" w:line="264" w:lineRule="auto"/>
        <w:tabs>
          <w:tab w:leader="none" w:pos="26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 and</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66" w:lineRule="exact"/>
        <w:rPr>
          <w:sz w:val="20"/>
          <w:szCs w:val="20"/>
          <w:color w:val="auto"/>
        </w:rPr>
      </w:pPr>
    </w:p>
    <w:p>
      <w:pPr>
        <w:ind w:right="20" w:firstLine="1305"/>
        <w:spacing w:after="0" w:line="277" w:lineRule="auto"/>
        <w:tabs>
          <w:tab w:leader="none" w:pos="20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 (30) days after the last day of each month, deliver to each Lender, a duly completed Compliance Certificate signed by a Responsible Officer.</w:t>
      </w:r>
    </w:p>
    <w:p>
      <w:pPr>
        <w:spacing w:after="0" w:line="170" w:lineRule="exact"/>
        <w:rPr>
          <w:rFonts w:ascii="Arial" w:cs="Arial" w:eastAsia="Arial" w:hAnsi="Arial"/>
          <w:sz w:val="18"/>
          <w:szCs w:val="18"/>
          <w:color w:val="auto"/>
        </w:rPr>
      </w:pPr>
    </w:p>
    <w:p>
      <w:pPr>
        <w:jc w:val="both"/>
        <w:ind w:firstLine="1305"/>
        <w:spacing w:after="0" w:line="273" w:lineRule="auto"/>
        <w:tabs>
          <w:tab w:leader="none" w:pos="1986" w:val="left"/>
        </w:tabs>
        <w:numPr>
          <w:ilvl w:val="0"/>
          <w:numId w:val="47"/>
        </w:numPr>
        <w:rPr>
          <w:rFonts w:ascii="Arial" w:cs="Arial" w:eastAsia="Arial" w:hAnsi="Arial"/>
          <w:sz w:val="17"/>
          <w:szCs w:val="17"/>
          <w:color w:val="auto"/>
        </w:rPr>
      </w:pPr>
      <w:r>
        <w:rPr>
          <w:rFonts w:ascii="Arial" w:cs="Arial" w:eastAsia="Arial" w:hAnsi="Arial"/>
          <w:sz w:val="17"/>
          <w:szCs w:val="17"/>
          <w:color w:val="auto"/>
        </w:rPr>
        <w:t>Keep proper books of record and account in accordance with GAAP in all material respects,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7" w:name="page98"/>
    <w:bookmarkEnd w:id="97"/>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6.3 Inventory; Returns. </w:t>
      </w:r>
      <w:r>
        <w:rPr>
          <w:rFonts w:ascii="Arial" w:cs="Arial" w:eastAsia="Arial" w:hAnsi="Arial"/>
          <w:sz w:val="18"/>
          <w:szCs w:val="18"/>
          <w:color w:val="auto"/>
        </w:rPr>
        <w:t>Keep all Inventory in good and marketable condition, free from material defects. Returns and allowances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and their respective Account Debtors shall follow Borrower’s, or such Subsidiary’s, customary practices. Borrower must promptly notify Collateral Agent and the Lenders of all returns, recoveries, disputes and claims that involve more than One Hundred Thousand Dollars ($100,000.00) individually or more than $250,000 in the aggregate in any calendar year.</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6.4 Taxes; Pensions. </w:t>
      </w:r>
      <w:r>
        <w:rPr>
          <w:rFonts w:ascii="Arial" w:cs="Arial" w:eastAsia="Arial" w:hAnsi="Arial"/>
          <w:sz w:val="18"/>
          <w:szCs w:val="18"/>
          <w:color w:val="auto"/>
        </w:rPr>
        <w:t>Timely file and require each of its Subsidiaries to timely file, all required tax returns and reports and timely pay,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each of its Subsidiaries to timely file, all foreign, federal, state, and local taxes, assessments, deposits and contributions owed by Borrower or its Subsidiaries, except for deferred payment of any taxes contested pursuant to the terms of Section 5.8 hereof, and shall deliver to Lenders, promptly on demand, appropriate certificates attesting to such payments, and pay all amounts necessary to fund all present pension, profit sharing and deferred compensation plans in accordance with the terms of such plans.</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6.5 Insurance. </w:t>
      </w:r>
      <w:r>
        <w:rPr>
          <w:rFonts w:ascii="Arial" w:cs="Arial" w:eastAsia="Arial" w:hAnsi="Arial"/>
          <w:sz w:val="16"/>
          <w:szCs w:val="16"/>
          <w:color w:val="auto"/>
        </w:rPr>
        <w:t>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(other than Directors and Officers Insurance, Fiduciary Liability, Employment Practices Liability, Workers Compensation and Automobile insurance) shall show, or have endorsements showing, Collateral Agent, as additional insured. The Collateral Agent shall be named as lender loss payee and/or additional insured with respect to any such insurance providing coverage in respect of any Collateral, and each provider or responsible broker of any such insurance shall agree, by endorsement upon the policy or policies issued by it or by independent instruments furnished to the Collateral Agent, that it will give the Collateral Agent thirty (30) days (10 days for non-payment) prior written notice before any such policy or policies are canceled and in the case of the aforementioned liability policies if policy limits are reduced. Lender will receive a certificate and applicable endorsements of any renewal of any such liability policy.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One Hundred Thousand Dollars ($100,000.00) with respect to any loss, but not exceeding Two Hundred Fifty Thousand Dollars ($250,000.00), in the aggregate for all losses under all casualty policies in any one year, toward the replacement or repair of destroyed or damaged property; provided that any such replaced or repaired property</w:t>
      </w:r>
    </w:p>
    <w:p>
      <w:pPr>
        <w:spacing w:after="0" w:line="5" w:lineRule="exact"/>
        <w:rPr>
          <w:sz w:val="20"/>
          <w:szCs w:val="20"/>
          <w:color w:val="auto"/>
        </w:rPr>
      </w:pPr>
    </w:p>
    <w:p>
      <w:pPr>
        <w:jc w:val="both"/>
        <w:ind w:firstLine="8"/>
        <w:spacing w:after="0" w:line="270" w:lineRule="auto"/>
        <w:tabs>
          <w:tab w:leader="none" w:pos="223" w:val="left"/>
        </w:tabs>
        <w:numPr>
          <w:ilvl w:val="0"/>
          <w:numId w:val="48"/>
        </w:numPr>
        <w:rPr>
          <w:rFonts w:ascii="Arial" w:cs="Arial" w:eastAsia="Arial" w:hAnsi="Arial"/>
          <w:sz w:val="17"/>
          <w:szCs w:val="17"/>
          <w:color w:val="auto"/>
        </w:rPr>
      </w:pPr>
      <w:r>
        <w:rPr>
          <w:rFonts w:ascii="Arial" w:cs="Arial" w:eastAsia="Arial" w:hAnsi="Arial"/>
          <w:sz w:val="17"/>
          <w:szCs w:val="17"/>
          <w:color w:val="auto"/>
        </w:rPr>
        <w:t>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17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229" w:lineRule="exact"/>
        <w:rPr>
          <w:sz w:val="20"/>
          <w:szCs w:val="20"/>
          <w:color w:val="auto"/>
        </w:rPr>
      </w:pPr>
    </w:p>
    <w:p>
      <w:pPr>
        <w:ind w:firstLine="1305"/>
        <w:spacing w:after="0" w:line="277" w:lineRule="auto"/>
        <w:tabs>
          <w:tab w:leader="none" w:pos="19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the provisions of subsection (d) below, maintain all of Borrower’s and its Subsidiaries’ Collateral Accounts with one or more banking institutions in accounts that are subject to Control Agreement(s) in favor of Collateral Agent.</w:t>
      </w:r>
    </w:p>
    <w:p>
      <w:pPr>
        <w:spacing w:after="0" w:line="170" w:lineRule="exact"/>
        <w:rPr>
          <w:rFonts w:ascii="Arial" w:cs="Arial" w:eastAsia="Arial" w:hAnsi="Arial"/>
          <w:sz w:val="18"/>
          <w:szCs w:val="18"/>
          <w:color w:val="auto"/>
        </w:rPr>
      </w:pPr>
    </w:p>
    <w:p>
      <w:pPr>
        <w:jc w:val="both"/>
        <w:ind w:firstLine="1305"/>
        <w:spacing w:after="0" w:line="289" w:lineRule="auto"/>
        <w:tabs>
          <w:tab w:leader="none" w:pos="202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Borrower shall provide Collateral Agent five (5) days’ prior written notice before Borrower or any of its Subsidiaries establishes any Collateral Account at or with any Person other than with a bank or financial institution with which one or more Control Agreement(s) in favor of Collateral Agent that are satisfactory to Collateral Agent are then in place (it being understood Bank of America is not such a bank).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8" w:name="page99"/>
    <w:bookmarkEnd w:id="98"/>
    <w:p>
      <w:pPr>
        <w:ind w:firstLine="1305"/>
        <w:spacing w:after="0" w:line="277" w:lineRule="auto"/>
        <w:tabs>
          <w:tab w:leader="none" w:pos="20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Sections 6.6(a) and (b).</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the provisions of subsections (a) - (c) above,</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808" w:val="left"/>
        </w:tabs>
        <w:numPr>
          <w:ilvl w:val="1"/>
          <w:numId w:val="50"/>
        </w:numPr>
        <w:rPr>
          <w:rFonts w:ascii="Arial" w:cs="Arial" w:eastAsia="Arial" w:hAnsi="Arial"/>
          <w:sz w:val="18"/>
          <w:szCs w:val="18"/>
          <w:color w:val="auto"/>
        </w:rPr>
      </w:pPr>
      <w:r>
        <w:rPr>
          <w:rFonts w:ascii="Arial" w:cs="Arial" w:eastAsia="Arial" w:hAnsi="Arial"/>
          <w:sz w:val="18"/>
          <w:szCs w:val="18"/>
          <w:color w:val="auto"/>
        </w:rPr>
        <w:t>Borrower may continue to maintain Collateral Accounts with Charles Schwab (that are identified in the Perfection Certificate delivered to the Collateral Agent) for a period of up to ninety (90) days from the Effective Date, by the end of which period, Borrower must either deliver evidence of closure of all such Collateral Accounts to the Collateral Agent in form and substance satisfactory to the Collateral Agent or the Collateral Agent must have entered into Control Agreement(s) with respect to such Collateral Accounts with Borrower and Charles Schwab in form and substance satisfactory to the Collateral Agent.</w:t>
      </w:r>
    </w:p>
    <w:p>
      <w:pPr>
        <w:spacing w:after="0" w:line="188" w:lineRule="exact"/>
        <w:rPr>
          <w:rFonts w:ascii="Arial" w:cs="Arial" w:eastAsia="Arial" w:hAnsi="Arial"/>
          <w:sz w:val="18"/>
          <w:szCs w:val="18"/>
          <w:color w:val="auto"/>
        </w:rPr>
      </w:pPr>
    </w:p>
    <w:p>
      <w:pPr>
        <w:jc w:val="both"/>
        <w:ind w:firstLine="1953"/>
        <w:spacing w:after="0" w:line="279" w:lineRule="auto"/>
        <w:tabs>
          <w:tab w:leader="none" w:pos="2691" w:val="left"/>
        </w:tabs>
        <w:numPr>
          <w:ilvl w:val="1"/>
          <w:numId w:val="50"/>
        </w:numPr>
        <w:rPr>
          <w:rFonts w:ascii="Arial" w:cs="Arial" w:eastAsia="Arial" w:hAnsi="Arial"/>
          <w:sz w:val="17"/>
          <w:szCs w:val="17"/>
          <w:color w:val="auto"/>
        </w:rPr>
      </w:pPr>
      <w:r>
        <w:rPr>
          <w:rFonts w:ascii="Arial" w:cs="Arial" w:eastAsia="Arial" w:hAnsi="Arial"/>
          <w:sz w:val="17"/>
          <w:szCs w:val="17"/>
          <w:color w:val="auto"/>
        </w:rPr>
        <w:t>Borrower must, within ninety (90) days from the Effective Date, (A) deliver evidence of closure of all such Collateral Accounts maintained by Borrower at Bank of America (that are identified in the Perfection Certificate delivered to the Collateral Agent), and (B) establish Collateral Account(s) at a bank or financial institution which Collateral Account(s) shall be subject to one or more Control Agreement(s) between the Borrower, Collateral Agent and such bank or financial institution in form and substance satisfactory to Collateral Agent.</w:t>
      </w:r>
    </w:p>
    <w:p>
      <w:pPr>
        <w:spacing w:after="0" w:line="171" w:lineRule="exact"/>
        <w:rPr>
          <w:rFonts w:ascii="Arial" w:cs="Arial" w:eastAsia="Arial" w:hAnsi="Arial"/>
          <w:sz w:val="17"/>
          <w:szCs w:val="17"/>
          <w:color w:val="auto"/>
        </w:rPr>
      </w:pPr>
    </w:p>
    <w:p>
      <w:pPr>
        <w:jc w:val="both"/>
        <w:ind w:firstLine="1953"/>
        <w:spacing w:after="0" w:line="259" w:lineRule="auto"/>
        <w:tabs>
          <w:tab w:leader="none" w:pos="26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Prior to the fulfillment of Borrower’s covenants set forth in Section 6.6(d)(ii) above, the aggregate cash balance (which shall not be deemed to include the value of any securities but shall include “cash equivalents”) in the Collateral Accounts maintained at Merrill Lynch, Pierce, Fenner &amp; Smith Incorporated (that are subject to Control Agreement(s) in favor of the Collateral Agent) shall at all times be not less than the aggregate amount of the Term Loans made under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6.7 Protection of Intellectual Property Rights. </w:t>
      </w:r>
      <w:r>
        <w:rPr>
          <w:rFonts w:ascii="Arial" w:cs="Arial" w:eastAsia="Arial" w:hAnsi="Arial"/>
          <w:sz w:val="18"/>
          <w:szCs w:val="18"/>
          <w:color w:val="auto"/>
        </w:rPr>
        <w:t>Borrower and each of its Subsidiaries shall: (a) use commercially reasonable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protect, defend and maintain the validity and enforceability of its Intellectual Property that is material to Borrower’s business; (b) promptly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6.8 Litigation Cooperation. </w:t>
      </w:r>
      <w:r>
        <w:rPr>
          <w:rFonts w:ascii="Arial" w:cs="Arial" w:eastAsia="Arial" w:hAnsi="Arial"/>
          <w:sz w:val="17"/>
          <w:szCs w:val="17"/>
          <w:color w:val="auto"/>
        </w:rPr>
        <w:t>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6.9 Notices of Litigation and Default. </w:t>
      </w:r>
      <w:r>
        <w:rPr>
          <w:rFonts w:ascii="Arial" w:cs="Arial" w:eastAsia="Arial" w:hAnsi="Arial"/>
          <w:sz w:val="18"/>
          <w:szCs w:val="18"/>
          <w:color w:val="auto"/>
        </w:rPr>
        <w:t>Borrower will give prompt written notice to Collateral Agent and the Lenders of any litigation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proceedings pending or threatened (in writing) against Borrower or any of its Subsidiaries, which could reasonably be expected to result in damages or costs to Borrower or any of its Subsidiaries of Two Hundred Fifty Thousand Dollars ($250,000.00)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8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Intentionally Omitted.</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6.11 Landlord Waivers; Bailee Waivers. </w:t>
      </w:r>
      <w:r>
        <w:rPr>
          <w:rFonts w:ascii="Arial" w:cs="Arial" w:eastAsia="Arial" w:hAnsi="Arial"/>
          <w:sz w:val="16"/>
          <w:szCs w:val="16"/>
          <w:color w:val="auto"/>
        </w:rPr>
        <w:t>In the event that Borrower or any of its Subsidiaries, after the Effective Date, intends to add any new</w:t>
      </w:r>
      <w:r>
        <w:rPr>
          <w:rFonts w:ascii="Arial" w:cs="Arial" w:eastAsia="Arial" w:hAnsi="Arial"/>
          <w:sz w:val="16"/>
          <w:szCs w:val="16"/>
          <w:b w:val="1"/>
          <w:bCs w:val="1"/>
          <w:color w:val="auto"/>
        </w:rPr>
        <w:t xml:space="preserve"> </w:t>
      </w:r>
      <w:r>
        <w:rPr>
          <w:rFonts w:ascii="Arial" w:cs="Arial" w:eastAsia="Arial" w:hAnsi="Arial"/>
          <w:sz w:val="16"/>
          <w:szCs w:val="16"/>
          <w:color w:val="auto"/>
        </w:rPr>
        <w:t>offices or business locations, including warehouses, or otherwise store any portion of the Collateral with, or deliver any portion of the Collateral to, a bailee, in each case pursuant to Section 7.2, then Borrower or such Subsidiary will first provide thirty (30) days’ prior written notice to Collateral Agent and, in the event that the Collateral at any new location is valued in excess of One Hundred Thousand ($100,000.00) in the aggregate,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9" w:name="page100"/>
    <w:bookmarkEnd w:id="99"/>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6.12 Creation/Acquisition of Subsidiaries. </w:t>
      </w:r>
      <w:r>
        <w:rPr>
          <w:rFonts w:ascii="Arial" w:cs="Arial" w:eastAsia="Arial" w:hAnsi="Arial"/>
          <w:sz w:val="17"/>
          <w:szCs w:val="17"/>
          <w:color w:val="auto"/>
        </w:rPr>
        <w:t>In the event Borrower, or any of its Subsidiaries creates or acquires any Subsidiary, Borrower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 Obligations of Borrower under the Loan Documents and, in each case, grant a continuing pledge and security interest in and to the assets of such Subsidiary (substantially as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Borrower (or its Subsidiary, as applicable) shall grant and pledge to Collateral Agent, for the ratable benefit of the Lenders, a perfected security interest in the stock, units or other evidence of ownership of each such newly created Subsidiary.</w:t>
      </w:r>
    </w:p>
    <w:p>
      <w:pPr>
        <w:spacing w:after="0" w:line="17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color w:val="auto"/>
        </w:rPr>
        <w:t>Further Assurances.</w:t>
      </w:r>
    </w:p>
    <w:p>
      <w:pPr>
        <w:spacing w:after="0" w:line="229" w:lineRule="exact"/>
        <w:rPr>
          <w:sz w:val="20"/>
          <w:szCs w:val="20"/>
          <w:color w:val="auto"/>
        </w:rPr>
      </w:pPr>
    </w:p>
    <w:p>
      <w:pPr>
        <w:ind w:right="20" w:firstLine="1305"/>
        <w:spacing w:after="0" w:line="277" w:lineRule="auto"/>
        <w:tabs>
          <w:tab w:leader="none" w:pos="2163"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2272"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 provided, however, that if such filing with a Governmental Authority is an Investigational New Drug Application or New Drug Application (or similar filing with the U.S. Food and Drug Administration or foreign equivalent), Borrower shall provide Collateral Agent with written notice within five (5) days after such filing and promptly make available to Collateral Agent electronically a copy of such New Drug Application (or similar filing with the U.S. Food and Drug Administration or foreign equivalent) upon Collateral Agent’s request.</w:t>
      </w:r>
    </w:p>
    <w:p>
      <w:pPr>
        <w:spacing w:after="0" w:line="185" w:lineRule="exact"/>
        <w:rPr>
          <w:rFonts w:ascii="Arial" w:cs="Arial" w:eastAsia="Arial" w:hAnsi="Arial"/>
          <w:sz w:val="18"/>
          <w:szCs w:val="18"/>
          <w:color w:val="auto"/>
        </w:rPr>
      </w:pPr>
    </w:p>
    <w:p>
      <w:pPr>
        <w:ind w:left="600" w:hanging="592"/>
        <w:spacing w:after="0"/>
        <w:tabs>
          <w:tab w:leader="none" w:pos="6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Borrower shall not, and shall not permit any of its Subsidiaries to, do any of the following without the prior written consent of the Required Lenders:</w:t>
      </w:r>
    </w:p>
    <w:p>
      <w:pPr>
        <w:spacing w:after="0" w:line="2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assign, or otherwise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all or any part of its business or property (excluding any equity securities of Parent or instruments or securities convertible into equity securities of Parent, so long as such securities are not debt securities and so long as transfer, assignment, conveyance, sale or other disposition thereof is not used to effect a merger or consolidation in violation of the provisions of Section 7.3 or other provisions of this Agreement), except for Transfers (a) of Inventory in the ordinary course of business; (b) of worn out or obsolete Equipment; and (c) in connection with Permitted Liens, Permitted Investments and Permitted Licenses.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0" w:name="page101"/>
    <w:bookmarkEnd w:id="100"/>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7.2 Changes in Business, Management, Ownership, or Business Locations. </w:t>
      </w:r>
      <w:r>
        <w:rPr>
          <w:rFonts w:ascii="Arial" w:cs="Arial" w:eastAsia="Arial" w:hAnsi="Arial"/>
          <w:sz w:val="17"/>
          <w:szCs w:val="17"/>
          <w:color w:val="auto"/>
        </w:rPr>
        <w:t>(a) Engage in or permit any of its Subsidiaries to engage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within 5 days of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venture capital investors so long as Borrower identifies to Collateral Agent the venture capital investors prior to the closing of the transaction). Borrower shall not, without at least thirty (30) days’ prior written notice to Collateral Agent: (A) add any new offices or business locations, including warehouses (unless such new offices or business locations contain less than One Hundred Thousand Dollars ($100,000.00) in assets or property of Borrower or any of its Subsidiaries); (B) change its jurisdiction of organization, (C) change its organizational structure or type, (D) change its legal name, or (E) change any organizational number (if any) assigned by its jurisdiction of organization.</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7.3 Mergers or Acquisitions. </w:t>
      </w:r>
      <w:r>
        <w:rPr>
          <w:rFonts w:ascii="Arial" w:cs="Arial" w:eastAsia="Arial" w:hAnsi="Arial"/>
          <w:sz w:val="16"/>
          <w:szCs w:val="16"/>
          <w:color w:val="auto"/>
        </w:rPr>
        <w:t>Merge or consolidate, or permit any of its Subsidiaries to merge or consolidate, with any other Person, or</w:t>
      </w:r>
      <w:r>
        <w:rPr>
          <w:rFonts w:ascii="Arial" w:cs="Arial" w:eastAsia="Arial" w:hAnsi="Arial"/>
          <w:sz w:val="16"/>
          <w:szCs w:val="16"/>
          <w:b w:val="1"/>
          <w:bCs w:val="1"/>
          <w:color w:val="auto"/>
        </w:rPr>
        <w:t xml:space="preserve"> </w:t>
      </w:r>
      <w:r>
        <w:rPr>
          <w:rFonts w:ascii="Arial" w:cs="Arial" w:eastAsia="Arial" w:hAnsi="Arial"/>
          <w:sz w:val="16"/>
          <w:szCs w:val="16"/>
          <w:color w:val="auto"/>
        </w:rPr>
        <w:t>acquire, or permit any of its Subsidiaries to acquire, all or substantially all of the capital stock, shares or property of another Person.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 Without limiting the foregoing, Borrower shall not, without Collateral Agent’s prior written consent, enter into any binding contractual arrangement with any Person to attempt to facilitate a merger or acquisition of Borrower, unless (i) no Event of Default exists when such agreement is entered into by Borrower, and (ii) such agreement does not give such Person the right to claim any fees, payments or damages from Borrower in excess of Two Hundred Fifty Thousand Dollars ($250,000), and (iii) Borrower notifies Collateral Agent in advance of entering into such an agreement.</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7.4 Indebtedness. </w:t>
      </w:r>
      <w:r>
        <w:rPr>
          <w:rFonts w:ascii="Arial" w:cs="Arial" w:eastAsia="Arial" w:hAnsi="Arial"/>
          <w:sz w:val="18"/>
          <w:szCs w:val="18"/>
          <w:color w:val="auto"/>
        </w:rPr>
        <w:t>Create, incur, assume, or be liable for any Indebtedness, or permit any Subsidiary to do so, other than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assign or convey any right to receive income,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sale of 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7"/>
          <w:szCs w:val="17"/>
          <w:b w:val="1"/>
          <w:bCs w:val="1"/>
          <w:color w:val="auto"/>
        </w:rPr>
        <w:t>Permitted Liens</w:t>
      </w:r>
      <w:r>
        <w:rPr>
          <w:rFonts w:ascii="Arial" w:cs="Arial" w:eastAsia="Arial" w:hAnsi="Arial"/>
          <w:sz w:val="17"/>
          <w:szCs w:val="17"/>
          <w:color w:val="auto"/>
        </w:rPr>
        <w:t>” herein.</w:t>
      </w:r>
    </w:p>
    <w:p>
      <w:pPr>
        <w:spacing w:after="0" w:line="17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Maintenance of Collateral Accounts. </w:t>
      </w:r>
      <w:r>
        <w:rPr>
          <w:rFonts w:ascii="Arial" w:cs="Arial" w:eastAsia="Arial" w:hAnsi="Arial"/>
          <w:sz w:val="16"/>
          <w:szCs w:val="16"/>
          <w:color w:val="auto"/>
        </w:rPr>
        <w:t>Maintain any Collateral Account except pursuant to the terms of Section 6.6 hereof.</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7.7 Distributions; Investments. </w:t>
      </w:r>
      <w:r>
        <w:rPr>
          <w:rFonts w:ascii="Arial" w:cs="Arial" w:eastAsia="Arial" w:hAnsi="Arial"/>
          <w:sz w:val="18"/>
          <w:szCs w:val="18"/>
          <w:color w:val="auto"/>
        </w:rPr>
        <w:t>(a) Pay any dividends (other than dividends payable solely in capital stock or dividends payable to Parent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APT) or make any distribution or payment in respect of or redeem, retire or purchase any capital stock (other than repurchases pursuant to the terms of employee stock purchase plans, employee restricted stock agreements, stockholder rights plans, director or consultant stock option plans, or restricted stock unit plans or similar plans, provided such repurchases do not exceed, in the aggregate, One Million Dollars ($1 million) for the fiscal year 2014 and Three Hundred Fifty Thousand Dollars ($350,000) for any other fiscal year during the term of this Agreement), or (b) directly or indirectly make any Investment other than Permitted Investments, or permit any of its Subsidiaries to do so.</w:t>
      </w:r>
    </w:p>
    <w:p>
      <w:pPr>
        <w:spacing w:after="0" w:line="18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7.8 Transactions with Affiliates. </w:t>
      </w:r>
      <w:r>
        <w:rPr>
          <w:rFonts w:ascii="Arial" w:cs="Arial" w:eastAsia="Arial" w:hAnsi="Arial"/>
          <w:sz w:val="17"/>
          <w:szCs w:val="17"/>
          <w:color w:val="auto"/>
        </w:rPr>
        <w:t>Directly or indirectly enter into or permit to exist any material transaction with any Affiliate of Borrower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(b) Subordinated Debt or equity investments by Borrower’s investors in Borrower or its Subsidiaries and (c) the Voting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1" w:name="page102"/>
    <w:bookmarkEnd w:id="101"/>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(a) Make or permit any payment on any Subordinated Debt, except under the terms of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or 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7.10 Compliance. </w:t>
      </w:r>
      <w:r>
        <w:rPr>
          <w:rFonts w:ascii="Arial" w:cs="Arial" w:eastAsia="Arial" w:hAnsi="Arial"/>
          <w:sz w:val="18"/>
          <w:szCs w:val="18"/>
          <w:color w:val="auto"/>
        </w:rPr>
        <w:t>Become an “investment company” or a company controlled by an “investment company”, under the Investment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7.11 Compliance with Anti-Terrorism Laws. </w:t>
      </w:r>
      <w:r>
        <w:rPr>
          <w:rFonts w:ascii="Arial" w:cs="Arial" w:eastAsia="Arial" w:hAnsi="Arial"/>
          <w:sz w:val="17"/>
          <w:szCs w:val="17"/>
          <w:color w:val="auto"/>
        </w:rPr>
        <w:t>Collateral Agent hereby notifies Borrower and each of its Subsidiaries that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(c) is indicted on, or (d) is arraigned and held over on charges 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85" w:lineRule="exact"/>
        <w:rPr>
          <w:sz w:val="20"/>
          <w:szCs w:val="20"/>
          <w:color w:val="auto"/>
        </w:rPr>
      </w:pPr>
    </w:p>
    <w:p>
      <w:pPr>
        <w:ind w:left="600" w:hanging="592"/>
        <w:spacing w:after="0"/>
        <w:tabs>
          <w:tab w:leader="none" w:pos="6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8.1 Payment Default. </w:t>
      </w:r>
      <w:r>
        <w:rPr>
          <w:rFonts w:ascii="Arial" w:cs="Arial" w:eastAsia="Arial" w:hAnsi="Arial"/>
          <w:sz w:val="18"/>
          <w:szCs w:val="18"/>
          <w:color w:val="auto"/>
        </w:rPr>
        <w:t>Borrower fails to (a) make any payment of principal or interest on any Credit Extension on its due date, or (b)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29" w:lineRule="exact"/>
        <w:rPr>
          <w:sz w:val="20"/>
          <w:szCs w:val="20"/>
          <w:color w:val="auto"/>
        </w:rPr>
      </w:pPr>
    </w:p>
    <w:p>
      <w:pPr>
        <w:jc w:val="both"/>
        <w:ind w:firstLine="1305"/>
        <w:spacing w:after="0" w:line="259" w:lineRule="auto"/>
        <w:tabs>
          <w:tab w:leader="none" w:pos="21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6.11 (Landlord Waivers; Bailee Waivers), 6.12 (Creation/Acquisition of Subsidiaries) or 6.13 (Further Assurances) or Borrower violates any covenant in Section 7;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02" w:name="page103"/>
    <w:bookmarkEnd w:id="102"/>
    <w:p>
      <w:pPr>
        <w:jc w:val="both"/>
        <w:ind w:firstLine="1305"/>
        <w:spacing w:after="0" w:line="286" w:lineRule="auto"/>
        <w:tabs>
          <w:tab w:leader="none" w:pos="1956" w:val="left"/>
        </w:tabs>
        <w:numPr>
          <w:ilvl w:val="1"/>
          <w:numId w:val="55"/>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w:t>
      </w:r>
    </w:p>
    <w:p>
      <w:pPr>
        <w:spacing w:after="0" w:line="1" w:lineRule="exact"/>
        <w:rPr>
          <w:rFonts w:ascii="Arial" w:cs="Arial" w:eastAsia="Arial" w:hAnsi="Arial"/>
          <w:sz w:val="16"/>
          <w:szCs w:val="16"/>
          <w:color w:val="auto"/>
        </w:rPr>
      </w:pPr>
    </w:p>
    <w:p>
      <w:pPr>
        <w:jc w:val="both"/>
        <w:ind w:firstLine="8"/>
        <w:spacing w:after="0" w:line="254" w:lineRule="auto"/>
        <w:tabs>
          <w:tab w:leader="none" w:pos="3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18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A Material Adverse Change occurs;</w:t>
      </w:r>
    </w:p>
    <w:p>
      <w:pPr>
        <w:spacing w:after="0" w:line="22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229" w:lineRule="exact"/>
        <w:rPr>
          <w:sz w:val="20"/>
          <w:szCs w:val="20"/>
          <w:color w:val="auto"/>
        </w:rPr>
      </w:pPr>
    </w:p>
    <w:p>
      <w:pPr>
        <w:jc w:val="both"/>
        <w:ind w:firstLine="1305"/>
        <w:spacing w:after="0" w:line="255" w:lineRule="auto"/>
        <w:tabs>
          <w:tab w:leader="none" w:pos="19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ten (10) days after the occurrence thereof, discharged or stayed (whether through the posting of a bond or otherwise); provided, however, no Credit Extensions shall be made during any ten (10) day cure period; and</w:t>
      </w:r>
    </w:p>
    <w:p>
      <w:pPr>
        <w:spacing w:after="0" w:line="193" w:lineRule="exact"/>
        <w:rPr>
          <w:rFonts w:ascii="Arial" w:cs="Arial" w:eastAsia="Arial" w:hAnsi="Arial"/>
          <w:sz w:val="18"/>
          <w:szCs w:val="18"/>
          <w:color w:val="auto"/>
        </w:rPr>
      </w:pPr>
    </w:p>
    <w:p>
      <w:pPr>
        <w:ind w:firstLine="1305"/>
        <w:spacing w:after="0" w:line="342" w:lineRule="auto"/>
        <w:tabs>
          <w:tab w:leader="none" w:pos="1973"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8.5 Insolvency. </w:t>
      </w:r>
      <w:r>
        <w:rPr>
          <w:rFonts w:ascii="Arial" w:cs="Arial" w:eastAsia="Arial" w:hAnsi="Arial"/>
          <w:sz w:val="17"/>
          <w:szCs w:val="17"/>
          <w:color w:val="auto"/>
        </w:rPr>
        <w:t>(a)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8.6 Other Agreements. </w:t>
      </w:r>
      <w:r>
        <w:rPr>
          <w:rFonts w:ascii="Arial" w:cs="Arial" w:eastAsia="Arial" w:hAnsi="Arial"/>
          <w:sz w:val="18"/>
          <w:szCs w:val="18"/>
          <w:color w:val="auto"/>
        </w:rPr>
        <w:t>There is a default in any agreement to which Borrower or any of its Subsidiaries is a party with a third party or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right by such third party or parties, whether or not exercised, to accelerate the maturity of any Indebtedness in an amount in excess of One Hundred Thousand Dollars ($100,000.00) or that could reasonably be expected to have a Material Adverse Change;</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8.7 Judgments. </w:t>
      </w:r>
      <w:r>
        <w:rPr>
          <w:rFonts w:ascii="Arial" w:cs="Arial" w:eastAsia="Arial" w:hAnsi="Arial"/>
          <w:sz w:val="17"/>
          <w:szCs w:val="17"/>
          <w:color w:val="auto"/>
        </w:rPr>
        <w:t>One or more judgments, orders, or decrees for the payment of money in an amount, individually or in the aggregate, of at least</w:t>
      </w:r>
      <w:r>
        <w:rPr>
          <w:rFonts w:ascii="Arial" w:cs="Arial" w:eastAsia="Arial" w:hAnsi="Arial"/>
          <w:sz w:val="17"/>
          <w:szCs w:val="17"/>
          <w:b w:val="1"/>
          <w:bCs w:val="1"/>
          <w:color w:val="auto"/>
        </w:rPr>
        <w:t xml:space="preserve"> </w:t>
      </w:r>
      <w:r>
        <w:rPr>
          <w:rFonts w:ascii="Arial" w:cs="Arial" w:eastAsia="Arial" w:hAnsi="Arial"/>
          <w:sz w:val="17"/>
          <w:szCs w:val="17"/>
          <w:color w:val="auto"/>
        </w:rPr>
        <w:t>Two Hundred Fifty Thousand Dollars ($250,000.00) (not covered by independent third-party insurance as to which liability has been accepted by such insurance carrier) shall be rendered against Borrower or any of its Subsidiaries and shall remain unsatisfied, unvacated, or unstayed for a period of ten (10) days after the entry thereof (provided that no Credit Extensions will be made prior to the satisfaction, vacation, or stay of such judgment, order or decree), including but not limited to any judgment, order, decree, or arbitration award relating to any litigation, arbitration, or other dispute disclosed by Borrower to Collateral Agent prior to the Effective Date and set forth on the Perfection Certificate delivered as of the Effective Date;</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of its Subsidiaries or any Person acting for Borrower or any of its Subsidiaries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8.9 Subordinated Debt. </w:t>
      </w:r>
      <w:r>
        <w:rPr>
          <w:rFonts w:ascii="Arial" w:cs="Arial" w:eastAsia="Arial" w:hAnsi="Arial"/>
          <w:sz w:val="18"/>
          <w:szCs w:val="18"/>
          <w:color w:val="auto"/>
        </w:rPr>
        <w:t>A default or breach occurs under any agreement between Borrower or any of its Subsidiaries and any creditor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 xml:space="preserve">Mortgage. </w:t>
      </w:r>
      <w:r>
        <w:rPr>
          <w:rFonts w:ascii="Arial" w:cs="Arial" w:eastAsia="Arial" w:hAnsi="Arial"/>
          <w:sz w:val="16"/>
          <w:szCs w:val="16"/>
          <w:color w:val="auto"/>
        </w:rPr>
        <w:t>An event of default occurs under the Mortgage;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not 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non-renewal has resulted in or could reasonably be expected to result in a Material Adverse Change;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8.12 Lien Priority</w:t>
      </w:r>
      <w:r>
        <w:rPr>
          <w:rFonts w:ascii="Arial" w:cs="Arial" w:eastAsia="Arial" w:hAnsi="Arial"/>
          <w:sz w:val="18"/>
          <w:szCs w:val="18"/>
          <w:color w:val="auto"/>
        </w:rPr>
        <w:t>. Any Lien created hereunder or by any other Loan Document shall at any time fail to constitute a valid and perfected Lien</w:t>
      </w:r>
      <w:r>
        <w:rPr>
          <w:rFonts w:ascii="Arial" w:cs="Arial" w:eastAsia="Arial" w:hAnsi="Arial"/>
          <w:sz w:val="18"/>
          <w:szCs w:val="18"/>
          <w:b w:val="1"/>
          <w:bCs w:val="1"/>
          <w:color w:val="auto"/>
        </w:rPr>
        <w:t xml:space="preserve"> </w:t>
      </w:r>
      <w:r>
        <w:rPr>
          <w:rFonts w:ascii="Arial" w:cs="Arial" w:eastAsia="Arial" w:hAnsi="Arial"/>
          <w:sz w:val="18"/>
          <w:szCs w:val="18"/>
          <w:color w:val="auto"/>
        </w:rPr>
        <w:t>on any of the Collateral purported to be secured thereby, subject to no prior or equal Lien, other than Permitted Liens which are permitted to have priority in accordance with the terms of this Agreement; or</w:t>
      </w:r>
    </w:p>
    <w:p>
      <w:pPr>
        <w:spacing w:after="0" w:line="176" w:lineRule="exact"/>
        <w:rPr>
          <w:sz w:val="20"/>
          <w:szCs w:val="20"/>
          <w:color w:val="auto"/>
        </w:rPr>
      </w:pPr>
    </w:p>
    <w:p>
      <w:pPr>
        <w:ind w:left="600" w:hanging="592"/>
        <w:spacing w:after="0"/>
        <w:tabs>
          <w:tab w:leader="none" w:pos="6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REMEDIES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color w:val="auto"/>
        </w:rPr>
        <w:t>Rights and Remedies.</w:t>
      </w:r>
    </w:p>
    <w:p>
      <w:pPr>
        <w:spacing w:after="0" w:line="229" w:lineRule="exact"/>
        <w:rPr>
          <w:sz w:val="20"/>
          <w:szCs w:val="20"/>
          <w:color w:val="auto"/>
        </w:rPr>
      </w:pPr>
    </w:p>
    <w:p>
      <w:pPr>
        <w:jc w:val="both"/>
        <w:ind w:firstLine="1305"/>
        <w:spacing w:after="0" w:line="271" w:lineRule="auto"/>
        <w:tabs>
          <w:tab w:leader="none" w:pos="2099" w:val="left"/>
        </w:tabs>
        <w:numPr>
          <w:ilvl w:val="0"/>
          <w:numId w:val="59"/>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201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Without limiting the rights of Collateral Agent and the Lenders set forth in Section 9.1(a) above, upon the occurrence and during the continuance of an Event of Default, Collateral Agent shall have the right at the written direction of the Required Lenders</w:t>
      </w:r>
      <w:r>
        <w:rPr>
          <w:rFonts w:ascii="Arial" w:cs="Arial" w:eastAsia="Arial" w:hAnsi="Arial"/>
          <w:sz w:val="18"/>
          <w:szCs w:val="18"/>
          <w:b w:val="1"/>
          <w:bCs w:val="1"/>
          <w:color w:val="auto"/>
        </w:rPr>
        <w:t>,</w:t>
      </w:r>
      <w:r>
        <w:rPr>
          <w:rFonts w:ascii="Arial" w:cs="Arial" w:eastAsia="Arial" w:hAnsi="Arial"/>
          <w:sz w:val="18"/>
          <w:szCs w:val="18"/>
          <w:color w:val="auto"/>
        </w:rPr>
        <w:t xml:space="preserve"> without notice or demand, to do any or all of the following:</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firstLine="1953"/>
        <w:spacing w:after="0" w:line="277" w:lineRule="auto"/>
        <w:tabs>
          <w:tab w:leader="none" w:pos="26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commence and prosecute an Insolvency Proceeding or consent to Borrower commencing any Insolvency Proceeding.</w:t>
      </w:r>
    </w:p>
    <w:p>
      <w:pPr>
        <w:spacing w:after="0" w:line="248" w:lineRule="exact"/>
        <w:rPr>
          <w:rFonts w:ascii="Arial" w:cs="Arial" w:eastAsia="Arial" w:hAnsi="Arial"/>
          <w:sz w:val="16"/>
          <w:szCs w:val="16"/>
          <w:color w:val="auto"/>
        </w:rPr>
      </w:pPr>
    </w:p>
    <w:p>
      <w:pPr>
        <w:ind w:firstLine="1305"/>
        <w:spacing w:after="0" w:line="308" w:lineRule="auto"/>
        <w:tabs>
          <w:tab w:leader="none" w:pos="1969"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4" w:name="page105"/>
    <w:bookmarkEnd w:id="104"/>
    <w:p>
      <w:pPr>
        <w:jc w:val="both"/>
        <w:ind w:firstLine="1953"/>
        <w:spacing w:after="0" w:line="264" w:lineRule="auto"/>
        <w:tabs>
          <w:tab w:leader="none" w:pos="26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81" w:lineRule="exact"/>
        <w:rPr>
          <w:rFonts w:ascii="Arial" w:cs="Arial" w:eastAsia="Arial" w:hAnsi="Arial"/>
          <w:sz w:val="18"/>
          <w:szCs w:val="18"/>
          <w:color w:val="auto"/>
        </w:rPr>
      </w:pPr>
    </w:p>
    <w:p>
      <w:pPr>
        <w:jc w:val="both"/>
        <w:ind w:firstLine="1953"/>
        <w:spacing w:after="0" w:line="297" w:lineRule="auto"/>
        <w:tabs>
          <w:tab w:leader="none" w:pos="275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58" w:lineRule="exact"/>
        <w:rPr>
          <w:rFonts w:ascii="Arial" w:cs="Arial" w:eastAsia="Arial" w:hAnsi="Arial"/>
          <w:sz w:val="16"/>
          <w:szCs w:val="16"/>
          <w:color w:val="auto"/>
        </w:rPr>
      </w:pPr>
    </w:p>
    <w:p>
      <w:pPr>
        <w:jc w:val="both"/>
        <w:ind w:firstLine="1953"/>
        <w:spacing w:after="0" w:line="255" w:lineRule="auto"/>
        <w:tabs>
          <w:tab w:leader="none" w:pos="26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3" w:lineRule="exact"/>
        <w:rPr>
          <w:rFonts w:ascii="Arial" w:cs="Arial" w:eastAsia="Arial" w:hAnsi="Arial"/>
          <w:sz w:val="18"/>
          <w:szCs w:val="18"/>
          <w:color w:val="auto"/>
        </w:rPr>
      </w:pPr>
    </w:p>
    <w:p>
      <w:pPr>
        <w:jc w:val="both"/>
        <w:ind w:firstLine="1953"/>
        <w:spacing w:after="0" w:line="264" w:lineRule="auto"/>
        <w:tabs>
          <w:tab w:leader="none" w:pos="27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81" w:lineRule="exact"/>
        <w:rPr>
          <w:rFonts w:ascii="Arial" w:cs="Arial" w:eastAsia="Arial" w:hAnsi="Arial"/>
          <w:sz w:val="18"/>
          <w:szCs w:val="18"/>
          <w:color w:val="auto"/>
        </w:rPr>
      </w:pPr>
    </w:p>
    <w:p>
      <w:pPr>
        <w:ind w:left="2560" w:hanging="607"/>
        <w:spacing w:after="0"/>
        <w:tabs>
          <w:tab w:leader="none" w:pos="2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6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81" w:lineRule="exact"/>
        <w:rPr>
          <w:rFonts w:ascii="Arial" w:cs="Arial" w:eastAsia="Arial" w:hAnsi="Arial"/>
          <w:sz w:val="18"/>
          <w:szCs w:val="18"/>
          <w:color w:val="auto"/>
        </w:rPr>
      </w:pPr>
    </w:p>
    <w:p>
      <w:pPr>
        <w:ind w:right="20" w:firstLine="1953"/>
        <w:spacing w:after="0" w:line="342" w:lineRule="auto"/>
        <w:tabs>
          <w:tab w:leader="none" w:pos="2599"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Arial" w:cs="Arial" w:eastAsia="Arial" w:hAnsi="Arial"/>
          <w:sz w:val="18"/>
          <w:szCs w:val="18"/>
          <w:b w:val="1"/>
          <w:bCs w:val="1"/>
          <w:color w:val="auto"/>
        </w:rPr>
        <w:t>Exigent Circumstance</w:t>
      </w:r>
      <w:r>
        <w:rPr>
          <w:rFonts w:ascii="Arial" w:cs="Arial" w:eastAsia="Arial" w:hAnsi="Arial"/>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Borrower hereby irrevocably appoints Collateral Agent as its lawful attorney-in-fact, exercisable upon the occurrence</w:t>
      </w:r>
      <w:r>
        <w:rPr>
          <w:rFonts w:ascii="Arial" w:cs="Arial" w:eastAsia="Arial" w:hAnsi="Arial"/>
          <w:sz w:val="17"/>
          <w:szCs w:val="17"/>
          <w:b w:val="1"/>
          <w:bCs w:val="1"/>
          <w:color w:val="auto"/>
        </w:rPr>
        <w:t xml:space="preserve"> </w:t>
      </w:r>
      <w:r>
        <w:rPr>
          <w:rFonts w:ascii="Arial" w:cs="Arial" w:eastAsia="Arial" w:hAnsi="Arial"/>
          <w:sz w:val="17"/>
          <w:szCs w:val="17"/>
          <w:color w:val="auto"/>
        </w:rPr>
        <w:t>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Credit Extensions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Credit Extensions terminates.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5" w:name="page106"/>
    <w:bookmarkEnd w:id="105"/>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9.3 Protective Payments. </w:t>
      </w:r>
      <w:r>
        <w:rPr>
          <w:rFonts w:ascii="Arial" w:cs="Arial" w:eastAsia="Arial" w:hAnsi="Arial"/>
          <w:sz w:val="18"/>
          <w:szCs w:val="18"/>
          <w:color w:val="auto"/>
        </w:rPr>
        <w:t>If Borrower or any of its Subsidiaries fail to obtain the insurance called for by Section 6.5 or fails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8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9.4 Application of Payments and Proceeds. </w:t>
      </w:r>
      <w:r>
        <w:rPr>
          <w:rFonts w:ascii="Arial" w:cs="Arial" w:eastAsia="Arial" w:hAnsi="Arial"/>
          <w:sz w:val="16"/>
          <w:szCs w:val="16"/>
          <w:color w:val="auto"/>
        </w:rPr>
        <w:t>Notwithstanding anything to the contrary contained in this Agreement, upon the occurrence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6" w:name="page107"/>
    <w:bookmarkEnd w:id="106"/>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9.5 Liability for Collateral. </w:t>
      </w:r>
      <w:r>
        <w:rPr>
          <w:rFonts w:ascii="Arial" w:cs="Arial" w:eastAsia="Arial" w:hAnsi="Arial"/>
          <w:sz w:val="16"/>
          <w:szCs w:val="16"/>
          <w:color w:val="auto"/>
        </w:rPr>
        <w:t>So long as Collateral Agent and the Lenders comply with reasonable and customary banking practices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w:t>
      </w:r>
    </w:p>
    <w:p>
      <w:pPr>
        <w:spacing w:after="0" w:line="2" w:lineRule="exact"/>
        <w:rPr>
          <w:sz w:val="20"/>
          <w:szCs w:val="20"/>
          <w:color w:val="auto"/>
        </w:rPr>
      </w:pPr>
    </w:p>
    <w:p>
      <w:pPr>
        <w:jc w:val="both"/>
        <w:ind w:firstLine="8"/>
        <w:spacing w:after="0" w:line="302" w:lineRule="auto"/>
        <w:tabs>
          <w:tab w:leader="none" w:pos="2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act or default of any carrier, warehouseman, bailee, or other Person. Except to the extent of any loss, damage or destruction of the Collateral caused by Collateral Agent’s or the Lenders’ failure to comply with reasonable and customary banking practices regarding the safekeeping of the Collateral in the possession or control of the Collateral Agent or the Lenders, as applicable, Borrower bears all risk of loss, damage or destruction of the Collateral.</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9.6 No Waiver; Remedies Cumulative. </w:t>
      </w:r>
      <w:r>
        <w:rPr>
          <w:rFonts w:ascii="Arial" w:cs="Arial" w:eastAsia="Arial" w:hAnsi="Arial"/>
          <w:sz w:val="18"/>
          <w:szCs w:val="18"/>
          <w:color w:val="auto"/>
        </w:rPr>
        <w:t>Failure by Collateral Agent or any Lender, at any time or times, to require strict performance by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9.7 Demand Waiver. </w:t>
      </w:r>
      <w:r>
        <w:rPr>
          <w:rFonts w:ascii="Arial" w:cs="Arial" w:eastAsia="Arial" w:hAnsi="Arial"/>
          <w:sz w:val="18"/>
          <w:szCs w:val="18"/>
          <w:color w:val="auto"/>
        </w:rPr>
        <w:t>Borrower waives, to the fullest extent permitted by law, demand, notice of default or dishonor, notice of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76"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w:t>
      </w:r>
    </w:p>
    <w:p>
      <w:pPr>
        <w:spacing w:after="0" w:line="3" w:lineRule="exact"/>
        <w:rPr>
          <w:sz w:val="20"/>
          <w:szCs w:val="20"/>
          <w:color w:val="auto"/>
        </w:rPr>
      </w:pPr>
    </w:p>
    <w:p>
      <w:pPr>
        <w:jc w:val="both"/>
        <w:ind w:firstLine="8"/>
        <w:spacing w:after="0" w:line="255" w:lineRule="auto"/>
        <w:tabs>
          <w:tab w:leader="none" w:pos="2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1140"/>
              <w:spacing w:after="0"/>
              <w:rPr>
                <w:sz w:val="20"/>
                <w:szCs w:val="20"/>
                <w:color w:val="auto"/>
              </w:rPr>
            </w:pPr>
            <w:r>
              <w:rPr>
                <w:rFonts w:ascii="Arial" w:cs="Arial" w:eastAsia="Arial" w:hAnsi="Arial"/>
                <w:sz w:val="18"/>
                <w:szCs w:val="18"/>
                <w:color w:val="auto"/>
              </w:rPr>
              <w:t>If to Borrower:</w:t>
            </w: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ACURA PHARMACEUTICALS, INC.</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616 N. North Court, Suite 120</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Palatine, Illinois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Attn: Peter A. Clemens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Fax: (847) 705-5399</w:t>
            </w:r>
          </w:p>
        </w:tc>
      </w:tr>
      <w:tr>
        <w:trPr>
          <w:trHeight w:val="190"/>
        </w:trPr>
        <w:tc>
          <w:tcPr>
            <w:tcW w:w="3160" w:type="dxa"/>
            <w:vAlign w:val="bottom"/>
          </w:tcPr>
          <w:p>
            <w:pPr>
              <w:spacing w:after="0"/>
              <w:rPr>
                <w:sz w:val="16"/>
                <w:szCs w:val="16"/>
                <w:color w:val="auto"/>
              </w:rPr>
            </w:pPr>
          </w:p>
        </w:tc>
        <w:tc>
          <w:tcPr>
            <w:tcW w:w="8260" w:type="dxa"/>
            <w:vAlign w:val="bottom"/>
            <w:gridSpan w:val="3"/>
          </w:tcPr>
          <w:p>
            <w:pPr>
              <w:ind w:left="920"/>
              <w:spacing w:after="0" w:line="190" w:lineRule="exact"/>
              <w:rPr>
                <w:sz w:val="20"/>
                <w:szCs w:val="20"/>
                <w:color w:val="auto"/>
              </w:rPr>
            </w:pPr>
            <w:r>
              <w:rPr>
                <w:rFonts w:ascii="Arial" w:cs="Arial" w:eastAsia="Arial" w:hAnsi="Arial"/>
                <w:sz w:val="18"/>
                <w:szCs w:val="18"/>
                <w:color w:val="auto"/>
              </w:rPr>
              <w:t>Email: pclemens@acurapharm.com</w:t>
            </w:r>
          </w:p>
        </w:tc>
      </w:tr>
      <w:tr>
        <w:trPr>
          <w:trHeight w:val="20"/>
        </w:trPr>
        <w:tc>
          <w:tcPr>
            <w:tcW w:w="316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438"/>
        </w:trPr>
        <w:tc>
          <w:tcPr>
            <w:tcW w:w="3160" w:type="dxa"/>
            <w:vAlign w:val="bottom"/>
          </w:tcPr>
          <w:p>
            <w:pPr>
              <w:spacing w:after="0"/>
              <w:rPr>
                <w:sz w:val="24"/>
                <w:szCs w:val="24"/>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ACURA PHARMACEUTICAL</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TECHNOLOGIES, INC.</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c/o Acura Pharmaceuticals, Inc.</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616 N. North Court, Suite 120</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Palatine, Illinois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Attn: Peter A. Clemens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920"/>
              <w:spacing w:after="0"/>
              <w:rPr>
                <w:sz w:val="20"/>
                <w:szCs w:val="20"/>
                <w:color w:val="auto"/>
              </w:rPr>
            </w:pPr>
            <w:r>
              <w:rPr>
                <w:rFonts w:ascii="Arial" w:cs="Arial" w:eastAsia="Arial" w:hAnsi="Arial"/>
                <w:sz w:val="18"/>
                <w:szCs w:val="18"/>
                <w:color w:val="auto"/>
              </w:rPr>
              <w:t>Fax: (847) 705-5399</w:t>
            </w:r>
          </w:p>
        </w:tc>
      </w:tr>
      <w:tr>
        <w:trPr>
          <w:trHeight w:val="190"/>
        </w:trPr>
        <w:tc>
          <w:tcPr>
            <w:tcW w:w="3160" w:type="dxa"/>
            <w:vAlign w:val="bottom"/>
          </w:tcPr>
          <w:p>
            <w:pPr>
              <w:spacing w:after="0"/>
              <w:rPr>
                <w:sz w:val="16"/>
                <w:szCs w:val="16"/>
                <w:color w:val="auto"/>
              </w:rPr>
            </w:pPr>
          </w:p>
        </w:tc>
        <w:tc>
          <w:tcPr>
            <w:tcW w:w="8260" w:type="dxa"/>
            <w:vAlign w:val="bottom"/>
            <w:gridSpan w:val="3"/>
          </w:tcPr>
          <w:p>
            <w:pPr>
              <w:ind w:left="920"/>
              <w:spacing w:after="0" w:line="190" w:lineRule="exact"/>
              <w:rPr>
                <w:sz w:val="20"/>
                <w:szCs w:val="20"/>
                <w:color w:val="auto"/>
              </w:rPr>
            </w:pPr>
            <w:r>
              <w:rPr>
                <w:rFonts w:ascii="Arial" w:cs="Arial" w:eastAsia="Arial" w:hAnsi="Arial"/>
                <w:sz w:val="18"/>
                <w:szCs w:val="18"/>
                <w:color w:val="auto"/>
              </w:rPr>
              <w:t>Email: pclemens@acurapharm.com</w:t>
            </w:r>
          </w:p>
        </w:tc>
      </w:tr>
      <w:tr>
        <w:trPr>
          <w:trHeight w:val="669"/>
        </w:trPr>
        <w:tc>
          <w:tcPr>
            <w:tcW w:w="3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20</w:t>
            </w: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107" w:name="page108"/>
    <w:bookmarkEnd w:id="107"/>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with a copy (which shall not</w:t>
            </w:r>
          </w:p>
        </w:tc>
        <w:tc>
          <w:tcPr>
            <w:tcW w:w="3760" w:type="dxa"/>
            <w:vAlign w:val="bottom"/>
          </w:tcPr>
          <w:p>
            <w:pPr>
              <w:ind w:left="440"/>
              <w:spacing w:after="0"/>
              <w:rPr>
                <w:sz w:val="20"/>
                <w:szCs w:val="20"/>
                <w:color w:val="auto"/>
              </w:rPr>
            </w:pPr>
            <w:r>
              <w:rPr>
                <w:rFonts w:ascii="Arial" w:cs="Arial" w:eastAsia="Arial" w:hAnsi="Arial"/>
                <w:sz w:val="18"/>
                <w:szCs w:val="18"/>
                <w:color w:val="auto"/>
              </w:rPr>
              <w:t>LeClairRyan</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constitute notice) to:</w:t>
            </w:r>
          </w:p>
        </w:tc>
        <w:tc>
          <w:tcPr>
            <w:tcW w:w="3760" w:type="dxa"/>
            <w:vAlign w:val="bottom"/>
            <w:vMerge w:val="restart"/>
          </w:tcPr>
          <w:p>
            <w:pPr>
              <w:ind w:left="440"/>
              <w:spacing w:after="0"/>
              <w:rPr>
                <w:sz w:val="20"/>
                <w:szCs w:val="20"/>
                <w:color w:val="auto"/>
              </w:rPr>
            </w:pPr>
            <w:r>
              <w:rPr>
                <w:rFonts w:ascii="Arial" w:cs="Arial" w:eastAsia="Arial" w:hAnsi="Arial"/>
                <w:sz w:val="18"/>
                <w:szCs w:val="18"/>
                <w:color w:val="auto"/>
              </w:rPr>
              <w:t>One Riverfront Plaza</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1037 Raymond Boulevard</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Sixteenth Floor</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Newark, New Jersey 07102</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Attn: John P. Reilly</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Fax: (973) 491-3511</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Email: John.Reilly@leclairryan.com</w:t>
            </w:r>
          </w:p>
        </w:tc>
        <w:tc>
          <w:tcPr>
            <w:tcW w:w="0" w:type="dxa"/>
            <w:vAlign w:val="bottom"/>
          </w:tcPr>
          <w:p>
            <w:pPr>
              <w:spacing w:after="0"/>
              <w:rPr>
                <w:sz w:val="1"/>
                <w:szCs w:val="1"/>
                <w:color w:val="auto"/>
              </w:rPr>
            </w:pPr>
          </w:p>
        </w:tc>
      </w:tr>
      <w:tr>
        <w:trPr>
          <w:trHeight w:val="418"/>
        </w:trPr>
        <w:tc>
          <w:tcPr>
            <w:tcW w:w="2500" w:type="dxa"/>
            <w:vAlign w:val="bottom"/>
          </w:tcPr>
          <w:p>
            <w:pPr>
              <w:spacing w:after="0"/>
              <w:rPr>
                <w:sz w:val="20"/>
                <w:szCs w:val="20"/>
                <w:color w:val="auto"/>
              </w:rPr>
            </w:pPr>
            <w:r>
              <w:rPr>
                <w:rFonts w:ascii="Arial" w:cs="Arial" w:eastAsia="Arial" w:hAnsi="Arial"/>
                <w:sz w:val="18"/>
                <w:szCs w:val="18"/>
                <w:color w:val="auto"/>
              </w:rPr>
              <w:t>If to Collateral Agent:</w:t>
            </w:r>
          </w:p>
        </w:tc>
        <w:tc>
          <w:tcPr>
            <w:tcW w:w="3760" w:type="dxa"/>
            <w:vAlign w:val="bottom"/>
          </w:tcPr>
          <w:p>
            <w:pPr>
              <w:ind w:left="440"/>
              <w:spacing w:after="0"/>
              <w:rPr>
                <w:sz w:val="20"/>
                <w:szCs w:val="20"/>
                <w:color w:val="auto"/>
              </w:rPr>
            </w:pPr>
            <w:r>
              <w:rPr>
                <w:rFonts w:ascii="Arial" w:cs="Arial" w:eastAsia="Arial" w:hAnsi="Arial"/>
                <w:sz w:val="18"/>
                <w:szCs w:val="18"/>
                <w:color w:val="auto"/>
              </w:rPr>
              <w:t>OXFORD FINANCE LLC</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133 North Fairfax Street</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Alexandria, Virginia 22314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Attention: Legal Department</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Fax: (703) 519-5225</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w w:val="92"/>
              </w:rPr>
              <w:t>Email: LegalDepartment@oxfordfinance.com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line="2" w:lineRule="exact"/>
        <w:rPr>
          <w:sz w:val="20"/>
          <w:szCs w:val="20"/>
          <w:color w:val="auto"/>
        </w:rPr>
      </w:pPr>
    </w:p>
    <w:p>
      <w:pPr>
        <w:ind w:left="1140" w:right="160"/>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Greenberg Traurig, LLP</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One International Place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Jonathan Bell,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(617) 310-6001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bellj@gtlaw.com</w:t>
      </w:r>
    </w:p>
    <w:p>
      <w:pPr>
        <w:spacing w:after="0" w:line="200" w:lineRule="exact"/>
        <w:rPr>
          <w:sz w:val="20"/>
          <w:szCs w:val="20"/>
          <w:color w:val="auto"/>
        </w:rPr>
      </w:pPr>
    </w:p>
    <w:p>
      <w:pPr>
        <w:sectPr>
          <w:pgSz w:w="11900" w:h="16838" w:orient="portrait"/>
          <w:cols w:equalWidth="0" w:num="2">
            <w:col w:w="3360" w:space="720"/>
            <w:col w:w="7340"/>
          </w:cols>
          <w:pgMar w:left="240" w:top="881" w:right="239" w:bottom="1440" w:gutter="0" w:footer="0" w:header="0"/>
          <w:type w:val="continuous"/>
        </w:sectPr>
      </w:pPr>
    </w:p>
    <w:p>
      <w:pPr>
        <w:spacing w:after="0" w:line="18"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New York law governs the Loan Documents without regard to principles of conflicts of law. Borrower, Lenders and Collateral Agent each submit to the exclusive jurisdiction of the State and Federal courts in the City of New York, Borough of Manhattan. NOTWITHSTANDING THE FOREGOING, COLLATERAL AGENT AND THE LENDERS SHALL HAVE THE RIGHT TO BRING ANY ACTION OR PROCEEDING AGAINST BORROWER OR ITS PROPERTY IN THE COURTS OF ANY OTHER JURISDICTION WHICH COLLATERAL AGENT AND THE LENDERS (IN ACCORDANCE WITH THE PROVISIONS OF SECTION 9.1) DEEM NECESSARY OR APPROPRIATE TO REALIZE ON THE COLLATERAL OR TO OTHERWISE ENFORCE COLLATERAL AGENT’S AND THE LENDERS’ RIGHTS AGAINST BORROWER OR ITS PROPERTY.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first class, registered or certified mail return receipt requested, proper postage prepaid.</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COLLATERAL AGENT, AND THE LENDERS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08" w:name="page109"/>
    <w:bookmarkEnd w:id="108"/>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12.1 Successors and Assigns. </w:t>
      </w:r>
      <w:r>
        <w:rPr>
          <w:rFonts w:ascii="Arial" w:cs="Arial" w:eastAsia="Arial" w:hAnsi="Arial"/>
          <w:sz w:val="16"/>
          <w:szCs w:val="16"/>
          <w:color w:val="auto"/>
        </w:rPr>
        <w:t>This Agreement binds and is for the benefit of the successors and permitted assigns of each party. Borrower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Arial" w:cs="Arial" w:eastAsia="Arial" w:hAnsi="Arial"/>
          <w:sz w:val="16"/>
          <w:szCs w:val="16"/>
          <w:b w:val="1"/>
          <w:bCs w:val="1"/>
          <w:color w:val="auto"/>
        </w:rPr>
        <w:t>(any</w:t>
      </w:r>
      <w:r>
        <w:rPr>
          <w:rFonts w:ascii="Arial" w:cs="Arial" w:eastAsia="Arial" w:hAnsi="Arial"/>
          <w:sz w:val="16"/>
          <w:szCs w:val="16"/>
          <w:color w:val="auto"/>
        </w:rPr>
        <w:t xml:space="preserve"> such sale, transfer, assignment, negotiation</w:t>
      </w:r>
      <w:r>
        <w:rPr>
          <w:rFonts w:ascii="Arial" w:cs="Arial" w:eastAsia="Arial" w:hAnsi="Arial"/>
          <w:sz w:val="16"/>
          <w:szCs w:val="16"/>
          <w:b w:val="1"/>
          <w:bCs w:val="1"/>
          <w:color w:val="auto"/>
        </w:rPr>
        <w:t>,</w:t>
      </w:r>
      <w:r>
        <w:rPr>
          <w:rFonts w:ascii="Arial" w:cs="Arial" w:eastAsia="Arial" w:hAnsi="Arial"/>
          <w:sz w:val="16"/>
          <w:szCs w:val="16"/>
          <w:color w:val="auto"/>
        </w:rPr>
        <w:t xml:space="preserve">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12.2 Indemnification. </w:t>
      </w:r>
      <w:r>
        <w:rPr>
          <w:rFonts w:ascii="Arial" w:cs="Arial" w:eastAsia="Arial" w:hAnsi="Arial"/>
          <w:sz w:val="17"/>
          <w:szCs w:val="17"/>
          <w:color w:val="auto"/>
        </w:rPr>
        <w:t>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or any other Person affiliated with or representing Collateral Agent or the Lenders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 xml:space="preserve">Time of Essence. </w:t>
      </w:r>
      <w:r>
        <w:rPr>
          <w:rFonts w:ascii="Arial" w:cs="Arial" w:eastAsia="Arial" w:hAnsi="Arial"/>
          <w:sz w:val="16"/>
          <w:szCs w:val="16"/>
          <w:color w:val="auto"/>
        </w:rPr>
        <w:t>Time is of the essence for the performance of all Obligations in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12.4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12.5 Correction of Loan Documents. </w:t>
      </w:r>
      <w:r>
        <w:rPr>
          <w:rFonts w:ascii="Arial" w:cs="Arial" w:eastAsia="Arial" w:hAnsi="Arial"/>
          <w:sz w:val="18"/>
          <w:szCs w:val="18"/>
          <w:color w:val="auto"/>
        </w:rPr>
        <w:t>Collateral Agent and the Lenders may correct patent errors and fill in any blanks in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Loan Documents consistent with the agreement of the parties</w:t>
      </w:r>
      <w:r>
        <w:rPr>
          <w:rFonts w:ascii="Arial" w:cs="Arial" w:eastAsia="Arial" w:hAnsi="Arial"/>
          <w:sz w:val="18"/>
          <w:szCs w:val="18"/>
          <w:b w:val="1"/>
          <w:bCs w:val="1"/>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09" w:name="page110"/>
    <w:bookmarkEnd w:id="109"/>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12.6 Amendments in Writing; Integration. </w:t>
      </w:r>
      <w:r>
        <w:rPr>
          <w:rFonts w:ascii="Arial" w:cs="Arial" w:eastAsia="Arial" w:hAnsi="Arial"/>
          <w:sz w:val="17"/>
          <w:szCs w:val="17"/>
          <w:color w:val="auto"/>
        </w:rPr>
        <w:t>(a) No amendment, modification, termination or waiver of any provision of this Agreement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2" w:lineRule="exact"/>
        <w:rPr>
          <w:sz w:val="20"/>
          <w:szCs w:val="20"/>
          <w:color w:val="auto"/>
        </w:rPr>
      </w:pPr>
    </w:p>
    <w:p>
      <w:pPr>
        <w:ind w:firstLine="1953"/>
        <w:spacing w:after="0" w:line="277" w:lineRule="auto"/>
        <w:tabs>
          <w:tab w:leader="none" w:pos="2656"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70" w:lineRule="exact"/>
        <w:rPr>
          <w:rFonts w:ascii="Arial" w:cs="Arial" w:eastAsia="Arial" w:hAnsi="Arial"/>
          <w:sz w:val="18"/>
          <w:szCs w:val="18"/>
          <w:color w:val="auto"/>
        </w:rPr>
      </w:pPr>
    </w:p>
    <w:p>
      <w:pPr>
        <w:ind w:firstLine="1953"/>
        <w:spacing w:after="0" w:line="277" w:lineRule="auto"/>
        <w:tabs>
          <w:tab w:leader="none" w:pos="2633"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w:t>
      </w:r>
    </w:p>
    <w:p>
      <w:pPr>
        <w:spacing w:after="0" w:line="170" w:lineRule="exact"/>
        <w:rPr>
          <w:rFonts w:ascii="Arial" w:cs="Arial" w:eastAsia="Arial" w:hAnsi="Arial"/>
          <w:sz w:val="18"/>
          <w:szCs w:val="18"/>
          <w:color w:val="auto"/>
        </w:rPr>
      </w:pPr>
    </w:p>
    <w:p>
      <w:pPr>
        <w:jc w:val="both"/>
        <w:ind w:firstLine="1953"/>
        <w:spacing w:after="0" w:line="285" w:lineRule="auto"/>
        <w:tabs>
          <w:tab w:leader="none" w:pos="2678"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77" w:lineRule="exact"/>
        <w:rPr>
          <w:rFonts w:ascii="Arial" w:cs="Arial" w:eastAsia="Arial" w:hAnsi="Arial"/>
          <w:sz w:val="16"/>
          <w:szCs w:val="16"/>
          <w:color w:val="auto"/>
        </w:rPr>
      </w:pPr>
    </w:p>
    <w:p>
      <w:pPr>
        <w:jc w:val="both"/>
        <w:ind w:firstLine="1953"/>
        <w:spacing w:after="0" w:line="264" w:lineRule="auto"/>
        <w:tabs>
          <w:tab w:leader="none" w:pos="2793"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81" w:lineRule="exact"/>
        <w:rPr>
          <w:rFonts w:ascii="Arial" w:cs="Arial" w:eastAsia="Arial" w:hAnsi="Arial"/>
          <w:sz w:val="18"/>
          <w:szCs w:val="18"/>
          <w:color w:val="auto"/>
        </w:rPr>
      </w:pPr>
    </w:p>
    <w:p>
      <w:pPr>
        <w:ind w:firstLine="1305"/>
        <w:spacing w:after="0" w:line="277" w:lineRule="auto"/>
        <w:tabs>
          <w:tab w:leader="none" w:pos="2019"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12.6(a)(i)-(iii),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12.7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12.8 Survival. </w:t>
      </w:r>
      <w:r>
        <w:rPr>
          <w:rFonts w:ascii="Arial" w:cs="Arial" w:eastAsia="Arial" w:hAnsi="Arial"/>
          <w:sz w:val="16"/>
          <w:szCs w:val="16"/>
          <w:color w:val="auto"/>
        </w:rPr>
        <w:t>All covenants, representations and warranties made in this Agreement continue in full force and effect until this Agreement has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10" w:name="page111"/>
    <w:bookmarkEnd w:id="110"/>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12.9 Confidentiality. </w:t>
      </w:r>
      <w:r>
        <w:rPr>
          <w:rFonts w:ascii="Arial" w:cs="Arial" w:eastAsia="Arial" w:hAnsi="Arial"/>
          <w:sz w:val="17"/>
          <w:szCs w:val="17"/>
          <w:color w:val="auto"/>
        </w:rPr>
        <w:t>In handling any confidential information of Borrower, the Lenders and Collateral Agent shall exercise the same degree of</w:t>
      </w:r>
      <w:r>
        <w:rPr>
          <w:rFonts w:ascii="Arial" w:cs="Arial" w:eastAsia="Arial" w:hAnsi="Arial"/>
          <w:sz w:val="17"/>
          <w:szCs w:val="17"/>
          <w:b w:val="1"/>
          <w:bCs w:val="1"/>
          <w:color w:val="auto"/>
        </w:rPr>
        <w:t xml:space="preserve"> </w:t>
      </w:r>
      <w:r>
        <w:rPr>
          <w:rFonts w:ascii="Arial" w:cs="Arial" w:eastAsia="Arial" w:hAnsi="Arial"/>
          <w:sz w:val="17"/>
          <w:szCs w:val="17"/>
          <w:color w:val="auto"/>
        </w:rPr>
        <w:t>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at least as protective as this Section 12.9); (c) as required by law, regulation, subpoena, or other order, upon reasonable prior written notice to Borrower if providing such notice is practicable and legally feasible;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at least as protective as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related to this Agreement and (to the extent any of the following purposes shall not be deemed to be related to this Agreement) may also: (i) use confidential information for any of their internal record keeping, due diligence, risk analysis, market analysis, maintenance and development of client databases, statistical and reporting purposes; (ii) use Borrower's name and the principal terms of the Loans for customary client reference purposes; and (iii) use masked confidential information for regulatory reporting purposes to the extent required by or advisable under applicable law.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12.10 Right of Set Off. </w:t>
      </w:r>
      <w:r>
        <w:rPr>
          <w:rFonts w:ascii="Arial" w:cs="Arial" w:eastAsia="Arial" w:hAnsi="Arial"/>
          <w:sz w:val="17"/>
          <w:szCs w:val="17"/>
          <w:color w:val="auto"/>
        </w:rPr>
        <w:t>Borrower hereby grants to Collateral Agent and to each Lender, a lien, security interest and right of set off as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for 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12.11 Cooperation of Borrower. </w:t>
      </w:r>
      <w:r>
        <w:rPr>
          <w:rFonts w:ascii="Arial" w:cs="Arial" w:eastAsia="Arial" w:hAnsi="Arial"/>
          <w:sz w:val="16"/>
          <w:szCs w:val="16"/>
          <w:color w:val="auto"/>
        </w:rPr>
        <w:t>If necessary, Borrower agrees to (i) execute any documents (including new Secured Promissory Notes)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required to effectuate and acknowledge each assignment of a Term Loan Commitment or Loan to an assignee in accordance with Section 12.1,</w:t>
      </w:r>
    </w:p>
    <w:p>
      <w:pPr>
        <w:spacing w:after="0" w:line="1" w:lineRule="exact"/>
        <w:rPr>
          <w:sz w:val="20"/>
          <w:szCs w:val="20"/>
          <w:color w:val="auto"/>
        </w:rPr>
      </w:pPr>
    </w:p>
    <w:p>
      <w:pPr>
        <w:jc w:val="both"/>
        <w:ind w:firstLine="8"/>
        <w:spacing w:after="0" w:line="281" w:lineRule="auto"/>
        <w:tabs>
          <w:tab w:leader="none" w:pos="273"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make Borrower’s management available to meet with Collateral Agent and prospective participants and assignees of Term Loan Commitments or Credit Extensions (which meetings shall be conducted no more often than twice every twelve months unless an Event of Default has occurred and is continuing), and</w:t>
      </w:r>
    </w:p>
    <w:p>
      <w:pPr>
        <w:spacing w:after="0" w:line="1" w:lineRule="exact"/>
        <w:rPr>
          <w:rFonts w:ascii="Arial" w:cs="Arial" w:eastAsia="Arial" w:hAnsi="Arial"/>
          <w:sz w:val="16"/>
          <w:szCs w:val="16"/>
          <w:color w:val="auto"/>
        </w:rPr>
      </w:pPr>
    </w:p>
    <w:p>
      <w:pPr>
        <w:jc w:val="both"/>
        <w:ind w:firstLine="8"/>
        <w:spacing w:after="0" w:line="292" w:lineRule="auto"/>
        <w:tabs>
          <w:tab w:leader="none" w:pos="334"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1" w:name="page112"/>
    <w:bookmarkEnd w:id="111"/>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w:t>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this Agreement, the following terms have the following meanings: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Amortization Date</w:t>
      </w:r>
      <w:r>
        <w:rPr>
          <w:rFonts w:ascii="Arial" w:cs="Arial" w:eastAsia="Arial" w:hAnsi="Arial"/>
          <w:sz w:val="17"/>
          <w:szCs w:val="17"/>
          <w:color w:val="auto"/>
        </w:rPr>
        <w:t>” is April 1, 2015, but shall automatically become April 1, 2016 if the First Revenue Event occurs. Furthermore, if after the occurrence of the First Revenue Event, the Second Revenue Event occurs, Amortization Date shall automatically become April 1, 2017.</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Projections</w:t>
      </w:r>
      <w:r>
        <w:rPr>
          <w:rFonts w:ascii="Arial" w:cs="Arial" w:eastAsia="Arial" w:hAnsi="Arial"/>
          <w:sz w:val="18"/>
          <w:szCs w:val="18"/>
          <w:color w:val="auto"/>
        </w:rPr>
        <w:t>” is defined in Section 6.2(a).</w:t>
      </w:r>
    </w:p>
    <w:p>
      <w:pPr>
        <w:spacing w:after="0" w:line="225"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Anti-Terrorism Laws</w:t>
      </w:r>
      <w:r>
        <w:rPr>
          <w:rFonts w:ascii="Arial" w:cs="Arial" w:eastAsia="Arial" w:hAnsi="Arial"/>
          <w:sz w:val="17"/>
          <w:szCs w:val="17"/>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 is defined in Section 12.1.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Rate</w:t>
      </w:r>
      <w:r>
        <w:rPr>
          <w:rFonts w:ascii="Arial" w:cs="Arial" w:eastAsia="Arial" w:hAnsi="Arial"/>
          <w:sz w:val="18"/>
          <w:szCs w:val="18"/>
          <w:color w:val="auto"/>
        </w:rPr>
        <w:t>” is, with respect to a Term Loan, the per annum rate of interest (based on a year of three hundred sixty (360) days) equal to Eight and Thirty-Five Hundredths percent (8.35%).</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2" w:name="page113"/>
    <w:bookmarkEnd w:id="112"/>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Arial" w:cs="Arial" w:eastAsia="Arial" w:hAnsi="Arial"/>
          <w:sz w:val="17"/>
          <w:szCs w:val="17"/>
          <w:b w:val="1"/>
          <w:bCs w:val="1"/>
          <w:color w:val="auto"/>
        </w:rPr>
        <w:t>Auction Rate Security</w:t>
      </w:r>
      <w:r>
        <w:rPr>
          <w:rFonts w:ascii="Arial" w:cs="Arial" w:eastAsia="Arial" w:hAnsi="Arial"/>
          <w:sz w:val="17"/>
          <w:szCs w:val="17"/>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is, Oxford, not in its individual capacity, but solely in its capacity as agent on behalf of and for the benefit of the Lenders.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3" w:name="page114"/>
    <w:bookmarkEnd w:id="113"/>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or any other extension of credit by Collateral Agent or Lenders for Borrower’s benefit.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Deposit Account</w:t>
      </w:r>
      <w:r>
        <w:rPr>
          <w:rFonts w:ascii="Arial" w:cs="Arial" w:eastAsia="Arial" w:hAnsi="Arial"/>
          <w:sz w:val="17"/>
          <w:szCs w:val="17"/>
          <w:color w:val="auto"/>
        </w:rPr>
        <w:t>” is Borrower’s deposit account, account number 5800103177, maintained with Bank of America Merrill Lynch.</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w:t>
      </w:r>
    </w:p>
    <w:p>
      <w:pPr>
        <w:spacing w:after="0" w:line="2" w:lineRule="exact"/>
        <w:rPr>
          <w:sz w:val="20"/>
          <w:szCs w:val="20"/>
          <w:color w:val="auto"/>
        </w:rPr>
      </w:pPr>
    </w:p>
    <w:p>
      <w:pPr>
        <w:jc w:val="both"/>
        <w:ind w:firstLine="8"/>
        <w:spacing w:after="0" w:line="268" w:lineRule="auto"/>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4" w:name="page115"/>
    <w:bookmarkEnd w:id="114"/>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multiplied by the Final Payment Percentage, payable to Lenders in accordance with their respective Pro Rata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(A) Seven and Ninety-Five Hundredths percent (7.95%) if the First Revenue Event does not occur, (B) Eight and Ninety-Five Hundredths percent (8.95%) if the First Revenue Event occurs but the Second Revenue Event does not occur and (C) Nine and Ninety-Five Hundredths percent (9.95%) if both the First Revenue Event and the Second Revenue Event occur.</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Revenue Event</w:t>
      </w:r>
      <w:r>
        <w:rPr>
          <w:rFonts w:ascii="Arial" w:cs="Arial" w:eastAsia="Arial" w:hAnsi="Arial"/>
          <w:sz w:val="18"/>
          <w:szCs w:val="18"/>
          <w:color w:val="auto"/>
        </w:rPr>
        <w:t>” is the achievement by Borrower, for the fiscal year 2014, of (i) seventy-five percent (75%) of its projected net Nexafed cash receipts set forth in the Projected Receipts and (ii) seventy-five percent (75%) of its projected Oxecta royalty receipts set forth in the Projected Receipts, and delivery of evidence of such achievement by Borrower to Collateral Agent, on or before February 15, 2015, in such form and substance as is acceptable to Collateral Agent in its discretion.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territory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5" w:name="page116"/>
    <w:bookmarkEnd w:id="115"/>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Subsidiary’s right, title and interest in and to the following:</w:t>
      </w:r>
    </w:p>
    <w:p>
      <w:pPr>
        <w:spacing w:after="0" w:line="229" w:lineRule="exact"/>
        <w:rPr>
          <w:sz w:val="20"/>
          <w:szCs w:val="20"/>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firstLine="1305"/>
        <w:spacing w:after="0" w:line="308" w:lineRule="auto"/>
        <w:tabs>
          <w:tab w:leader="none" w:pos="1977"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Investigational New Drug Application, New Drug Application, Abbreviated New Drug Application or similar application (or foreign equivalent) filed with the U.S. Food and Drug Administration (or foreign equivalent) or licensed to Borrower or any of its Subsidiaries;</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210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operating manuals, preclinical and clinical studies, abuse liability studies, bioequivalence studies, pseudoephedrine conversion and extraction studies, and the results of such studies;</w:t>
      </w:r>
    </w:p>
    <w:p>
      <w:pPr>
        <w:spacing w:after="0" w:line="181" w:lineRule="exact"/>
        <w:rPr>
          <w:rFonts w:ascii="Arial" w:cs="Arial" w:eastAsia="Arial" w:hAnsi="Arial"/>
          <w:sz w:val="18"/>
          <w:szCs w:val="18"/>
          <w:color w:val="auto"/>
        </w:rPr>
      </w:pPr>
    </w:p>
    <w:p>
      <w:pPr>
        <w:ind w:left="1920" w:hanging="615"/>
        <w:spacing w:after="0"/>
        <w:tabs>
          <w:tab w:leader="none" w:pos="1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firstLine="1305"/>
        <w:spacing w:after="0" w:line="277" w:lineRule="auto"/>
        <w:tabs>
          <w:tab w:leader="none" w:pos="197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product samples,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6" w:name="page117"/>
    <w:bookmarkEnd w:id="116"/>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payment or capital contribution to any Person.</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Person</w:t>
      </w:r>
      <w:r>
        <w:rPr>
          <w:rFonts w:ascii="Arial" w:cs="Arial" w:eastAsia="Arial" w:hAnsi="Arial"/>
          <w:sz w:val="17"/>
          <w:szCs w:val="17"/>
          <w:color w:val="auto"/>
        </w:rPr>
        <w:t>” is each of Borrower’s (i) Chief Executive Officer, who is Robert B. Jones as of the Effective Date, (ii) Chief Financial Officer, who is Peter A. Clemens as of the Effective Date and (iii) Vice President of Technical Affairs, who is Albert W. Brzeczko as of the Effective Date.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Warrants, the Perfection Certificates, each Compliance Certificate, each Disbursement Letter, Mortgage, the Post Closing Letter and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Collateral Agent’s Lien in the Collateral or in the value of such Collateral; (b) a material impairment in the perfection or priority of Collateral Agent’s Lien in the Mortgaged Premises or in the value of the Mortgaged Premises; (c) a material adverse change in the business, operations or condition (financial or otherwise) or prospects of Borrower or any Subsidiary; or (d) a material impairment of the prospect of repayment of any portion of the Obligations.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December 1, 2018.</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is a first lien Mortgage, Assignment, Security Agreement, and Fixture Filing in respect of the Mortgaged Premises in favor of Collateral Agent to secure the Obligations.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Premises</w:t>
      </w:r>
      <w:r>
        <w:rPr>
          <w:rFonts w:ascii="Arial" w:cs="Arial" w:eastAsia="Arial" w:hAnsi="Arial"/>
          <w:sz w:val="18"/>
          <w:szCs w:val="18"/>
          <w:color w:val="auto"/>
        </w:rPr>
        <w:t>” is the real property owned by Borrower located at 16235 State Road 17, Culver, Indiana 46511.</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all of Borrower’s obligations to pay when due any debts, principal, interest, Lenders’ Expenses, the Prepayment Fee, the Final Payment, and other amounts Borrower owes the Lenders now or later, in connection with, related to, following, or arising from, out of or under, this Agreement or, the other Loan Documents (other than the Warrants), or otherwise,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7" w:name="page118"/>
    <w:bookmarkEnd w:id="117"/>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30"/>
          <w:szCs w:val="30"/>
          <w:color w:val="auto"/>
          <w:vertAlign w:val="superscript"/>
        </w:rPr>
        <w:t>st</w:t>
      </w:r>
      <w:r>
        <w:rPr>
          <w:rFonts w:ascii="Arial" w:cs="Arial" w:eastAsia="Arial" w:hAnsi="Arial"/>
          <w:sz w:val="18"/>
          <w:szCs w:val="18"/>
          <w:color w:val="auto"/>
        </w:rPr>
        <w:t>) calendar day of each calendar month, commencing on February 1, 2014.</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 is defined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960" w:hanging="655"/>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jc w:val="both"/>
        <w:ind w:firstLine="1305"/>
        <w:spacing w:after="0" w:line="297" w:lineRule="auto"/>
        <w:tabs>
          <w:tab w:leader="none" w:pos="2024"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Two Hundred Fifty Thousand Dollars ($250,000.00)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58" w:lineRule="exact"/>
        <w:rPr>
          <w:rFonts w:ascii="Arial" w:cs="Arial" w:eastAsia="Arial" w:hAnsi="Arial"/>
          <w:sz w:val="16"/>
          <w:szCs w:val="16"/>
          <w:color w:val="auto"/>
        </w:rPr>
      </w:pPr>
    </w:p>
    <w:p>
      <w:pPr>
        <w:ind w:left="1940" w:hanging="635"/>
        <w:spacing w:after="0"/>
        <w:tabs>
          <w:tab w:leader="none" w:pos="19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Indebtedness incurred as a result of endorsing negotiable instruments received in the ordinary course of Borrower’s business; and</w:t>
      </w:r>
    </w:p>
    <w:p>
      <w:pPr>
        <w:spacing w:after="0" w:line="248" w:lineRule="exact"/>
        <w:rPr>
          <w:rFonts w:ascii="Arial" w:cs="Arial" w:eastAsia="Arial" w:hAnsi="Arial"/>
          <w:sz w:val="16"/>
          <w:szCs w:val="16"/>
          <w:color w:val="auto"/>
        </w:rPr>
      </w:pPr>
    </w:p>
    <w:p>
      <w:pPr>
        <w:ind w:left="1920" w:hanging="615"/>
        <w:spacing w:after="0"/>
        <w:tabs>
          <w:tab w:leader="none" w:pos="19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Indebtedness relating to loans from Parent to APT; and</w:t>
      </w:r>
    </w:p>
    <w:p>
      <w:pPr>
        <w:spacing w:after="0" w:line="225" w:lineRule="exact"/>
        <w:rPr>
          <w:rFonts w:ascii="Arial" w:cs="Arial" w:eastAsia="Arial" w:hAnsi="Arial"/>
          <w:sz w:val="18"/>
          <w:szCs w:val="18"/>
          <w:color w:val="auto"/>
        </w:rPr>
      </w:pPr>
    </w:p>
    <w:p>
      <w:pPr>
        <w:ind w:left="2220" w:hanging="915"/>
        <w:spacing w:after="0"/>
        <w:tabs>
          <w:tab w:leader="none" w:pos="22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extensions, refinancings, modifications, amendments and restatements of any items of Permitted Indebtedness (a) through</w:t>
      </w:r>
    </w:p>
    <w:p>
      <w:pPr>
        <w:spacing w:after="0" w:line="46" w:lineRule="exact"/>
        <w:rPr>
          <w:rFonts w:ascii="Arial" w:cs="Arial" w:eastAsia="Arial" w:hAnsi="Arial"/>
          <w:sz w:val="16"/>
          <w:szCs w:val="16"/>
          <w:color w:val="auto"/>
        </w:rPr>
      </w:pPr>
    </w:p>
    <w:p>
      <w:pPr>
        <w:ind w:firstLine="8"/>
        <w:spacing w:after="0" w:line="261" w:lineRule="auto"/>
        <w:tabs>
          <w:tab w:leader="none" w:pos="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above, provided that the principal amount thereof is not increased or the terms thereof are not modified to impose materially more burdensome terms upon Borrower, or its Subsidiary, as the case may be.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Investments consisting of cash and Cash Equivalents, (ii) any Investments permitted by Borrower’s investment policy as of Effective Date, and (iii) any Investments permitted by Borrower’s investment policy and added by amendment following the Effective Date, provided that such amendment to the investment policy has been approved in writing by Collateral Agent;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Borrower;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8" w:name="page119"/>
    <w:bookmarkEnd w:id="118"/>
    <w:p>
      <w:pPr>
        <w:ind w:left="1960" w:hanging="655"/>
        <w:spacing w:after="0"/>
        <w:tabs>
          <w:tab w:leader="none" w:pos="1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Collateral Agent has a perfected security interest;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22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One Hundred Thousand Dollars ($100,000) in the aggregate for (i) and (ii) in any fiscal year;</w:t>
      </w:r>
    </w:p>
    <w:p>
      <w:pPr>
        <w:spacing w:after="0" w:line="186" w:lineRule="exact"/>
        <w:rPr>
          <w:rFonts w:ascii="Arial" w:cs="Arial" w:eastAsia="Arial" w:hAnsi="Arial"/>
          <w:sz w:val="18"/>
          <w:szCs w:val="18"/>
          <w:color w:val="auto"/>
        </w:rPr>
      </w:pPr>
    </w:p>
    <w:p>
      <w:pPr>
        <w:ind w:firstLine="1305"/>
        <w:spacing w:after="0" w:line="308" w:lineRule="auto"/>
        <w:tabs>
          <w:tab w:leader="none" w:pos="2054"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right="20" w:firstLine="1305"/>
        <w:spacing w:after="0" w:line="308" w:lineRule="auto"/>
        <w:tabs>
          <w:tab w:leader="none" w:pos="19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Investments by Parent in APT; and</w:t>
      </w:r>
    </w:p>
    <w:p>
      <w:pPr>
        <w:spacing w:after="0" w:line="225" w:lineRule="exact"/>
        <w:rPr>
          <w:rFonts w:ascii="Arial" w:cs="Arial" w:eastAsia="Arial" w:hAnsi="Arial"/>
          <w:sz w:val="18"/>
          <w:szCs w:val="18"/>
          <w:color w:val="auto"/>
        </w:rPr>
      </w:pPr>
    </w:p>
    <w:p>
      <w:pPr>
        <w:jc w:val="both"/>
        <w:ind w:firstLine="1305"/>
        <w:spacing w:after="0" w:line="279" w:lineRule="auto"/>
        <w:tabs>
          <w:tab w:leader="none" w:pos="219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non-cash Investments in joint ventures or strategic alliances in the ordinary course of Borrower’s business consisting of the licensing of technology, the development of technology or the providing of technical support, provided that if such license is exclusive, it shall be subject to the prior written consent of Required Lenders and the Required Lenders shall be obligated to respond to Borrower within ten (10) calendar days regarding their decision to grant or withhold such consent after receipt of a request for such consent from Borrower in writing.</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Licenses</w:t>
      </w:r>
      <w:r>
        <w:rPr>
          <w:rFonts w:ascii="Arial" w:cs="Arial" w:eastAsia="Arial" w:hAnsi="Arial"/>
          <w:sz w:val="17"/>
          <w:szCs w:val="17"/>
          <w:color w:val="auto"/>
        </w:rPr>
        <w:t xml:space="preserve">” are (A) licenses of over-the-counter software that is commercially available to the public, and (B) non-exclusive and exclusive licenses for the use of the Intellectual Property of Borrower or any of its Subsidiaries entered into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each such license described in clause (B), (i) no Event of Default has occurred and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as to geographic areas outside the United States, and may be exclusive in the United States (and its territories and possessions) subject to the prior written consent of Required Lenders, and the Required Lenders shall be obligated to respond to Borrower within ten (10) calendar days regarding their decision to grant or withhold such consent after receipt of a request for such consent from Borrower in writing; and (iv) all upfront payments, royalties, milestone payments or other proceeds arising from the licensing agreement that are payable to Borrower or any of its Subsidiaries are paid to a Deposit Account that is governed by a Control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2080" w:hanging="775"/>
        <w:spacing w:after="0"/>
        <w:tabs>
          <w:tab w:leader="none" w:pos="2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Liens existing on the Effective Date and disclosed on the Perfection Certificates or arising under this Agreement and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Documents;</w:t>
      </w:r>
    </w:p>
    <w:p>
      <w:pPr>
        <w:spacing w:after="0" w:line="211" w:lineRule="exact"/>
        <w:rPr>
          <w:sz w:val="20"/>
          <w:szCs w:val="20"/>
          <w:color w:val="auto"/>
        </w:rPr>
      </w:pPr>
    </w:p>
    <w:p>
      <w:pPr>
        <w:jc w:val="both"/>
        <w:ind w:firstLine="1305"/>
        <w:spacing w:after="0" w:line="264" w:lineRule="auto"/>
        <w:tabs>
          <w:tab w:leader="none" w:pos="2039"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9" w:name="page120"/>
    <w:bookmarkEnd w:id="119"/>
    <w:p>
      <w:pPr>
        <w:jc w:val="both"/>
        <w:ind w:firstLine="1305"/>
        <w:spacing w:after="0" w:line="281" w:lineRule="auto"/>
        <w:tabs>
          <w:tab w:leader="none" w:pos="1985" w:val="left"/>
        </w:tabs>
        <w:numPr>
          <w:ilvl w:val="0"/>
          <w:numId w:val="78"/>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w:t>
      </w:r>
      <w:r>
        <w:rPr>
          <w:rFonts w:ascii="Arial" w:cs="Arial" w:eastAsia="Arial" w:hAnsi="Arial"/>
          <w:sz w:val="17"/>
          <w:szCs w:val="17"/>
          <w:b w:val="1"/>
          <w:bCs w:val="1"/>
          <w:color w:val="auto"/>
        </w:rPr>
        <w:t>Permitted Indebtedness</w:t>
      </w:r>
      <w:r>
        <w:rPr>
          <w:rFonts w:ascii="Arial" w:cs="Arial" w:eastAsia="Arial" w:hAnsi="Arial"/>
          <w:sz w:val="17"/>
          <w:szCs w:val="17"/>
          <w:color w:val="auto"/>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68" w:lineRule="exact"/>
        <w:rPr>
          <w:rFonts w:ascii="Arial" w:cs="Arial" w:eastAsia="Arial" w:hAnsi="Arial"/>
          <w:sz w:val="17"/>
          <w:szCs w:val="17"/>
          <w:color w:val="auto"/>
        </w:rPr>
      </w:pPr>
    </w:p>
    <w:p>
      <w:pPr>
        <w:jc w:val="both"/>
        <w:ind w:firstLine="1305"/>
        <w:spacing w:after="0" w:line="259" w:lineRule="auto"/>
        <w:tabs>
          <w:tab w:leader="none" w:pos="1961"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firstLine="1305"/>
        <w:spacing w:after="0" w:line="277" w:lineRule="auto"/>
        <w:tabs>
          <w:tab w:leader="none" w:pos="2184"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987" w:val="left"/>
        </w:tabs>
        <w:numPr>
          <w:ilvl w:val="0"/>
          <w:numId w:val="78"/>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20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spacing w:after="0" w:line="181" w:lineRule="exact"/>
        <w:rPr>
          <w:rFonts w:ascii="Arial" w:cs="Arial" w:eastAsia="Arial" w:hAnsi="Arial"/>
          <w:sz w:val="18"/>
          <w:szCs w:val="18"/>
          <w:color w:val="auto"/>
        </w:rPr>
      </w:pPr>
    </w:p>
    <w:p>
      <w:pPr>
        <w:ind w:left="2040" w:hanging="735"/>
        <w:spacing w:after="0"/>
        <w:tabs>
          <w:tab w:leader="none" w:pos="20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8.7;</w:t>
      </w:r>
    </w:p>
    <w:p>
      <w:pPr>
        <w:spacing w:after="0" w:line="210" w:lineRule="exact"/>
        <w:rPr>
          <w:rFonts w:ascii="Arial" w:cs="Arial" w:eastAsia="Arial" w:hAnsi="Arial"/>
          <w:sz w:val="16"/>
          <w:szCs w:val="16"/>
          <w:color w:val="auto"/>
        </w:rPr>
      </w:pPr>
    </w:p>
    <w:p>
      <w:pPr>
        <w:ind w:right="20" w:firstLine="1305"/>
        <w:spacing w:after="0" w:line="308" w:lineRule="auto"/>
        <w:tabs>
          <w:tab w:leader="none" w:pos="211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easements, reservations, rights-of-way, restrictions, minor defects or irregularities in title and similar charges or encumbrances affecting real property not constituting a material adverse effect on the business or condition (financial or otherwise) of Borrower;</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9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Mortgaged Premises or interfere with the ordinary conduct of business of Borrower;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consisting of Permitted Licenses.</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 Closing Letter</w:t>
      </w:r>
      <w:r>
        <w:rPr>
          <w:rFonts w:ascii="Arial" w:cs="Arial" w:eastAsia="Arial" w:hAnsi="Arial"/>
          <w:sz w:val="16"/>
          <w:szCs w:val="16"/>
          <w:color w:val="auto"/>
        </w:rPr>
        <w:t>” is that certain Post Closing Letter dated as of the Effective Date by and among Collateral Agent, the Lenders and Borrower.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0" w:name="page121"/>
    <w:bookmarkEnd w:id="120"/>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66" w:lineRule="exact"/>
        <w:rPr>
          <w:sz w:val="20"/>
          <w:szCs w:val="20"/>
          <w:color w:val="auto"/>
        </w:rPr>
      </w:pPr>
    </w:p>
    <w:p>
      <w:pPr>
        <w:ind w:right="20" w:firstLine="1953"/>
        <w:spacing w:after="0" w:line="277" w:lineRule="auto"/>
        <w:tabs>
          <w:tab w:leader="none" w:pos="25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a prepayment made on or after the Funding Date of such Term Loan through and including the first anniversary of the Funding Date of such Term Loan, three percent (3.00%) of the principal amount of such Term Loan prepaid;</w:t>
      </w:r>
    </w:p>
    <w:p>
      <w:pPr>
        <w:spacing w:after="0" w:line="170" w:lineRule="exact"/>
        <w:rPr>
          <w:rFonts w:ascii="Arial" w:cs="Arial" w:eastAsia="Arial" w:hAnsi="Arial"/>
          <w:sz w:val="18"/>
          <w:szCs w:val="18"/>
          <w:color w:val="auto"/>
        </w:rPr>
      </w:pPr>
    </w:p>
    <w:p>
      <w:pPr>
        <w:ind w:firstLine="1953"/>
        <w:spacing w:after="0" w:line="342" w:lineRule="auto"/>
        <w:tabs>
          <w:tab w:leader="none" w:pos="26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a prepayment made after the date which is after the first anniversary of the Funding Date of such Term Loan through and including the second anniversary of the Funding Date of such Term Loan, two percent (2.00%) of the principal amount of the Term Loans prepaid; and</w:t>
      </w:r>
    </w:p>
    <w:p>
      <w:pPr>
        <w:spacing w:after="0" w:line="123" w:lineRule="exact"/>
        <w:rPr>
          <w:rFonts w:ascii="Arial" w:cs="Arial" w:eastAsia="Arial" w:hAnsi="Arial"/>
          <w:sz w:val="16"/>
          <w:szCs w:val="16"/>
          <w:color w:val="auto"/>
        </w:rPr>
      </w:pPr>
    </w:p>
    <w:p>
      <w:pPr>
        <w:ind w:right="20" w:firstLine="1953"/>
        <w:spacing w:after="0" w:line="277" w:lineRule="auto"/>
        <w:tabs>
          <w:tab w:leader="none" w:pos="26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a prepayment made after the date which is after the second anniversary of the Funding Date of such Term Loan and before the Maturity Date of such Term Loan, one percent (1.00%) of the principal amount of the Term Loans prepaid.</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Projected Receipts</w:t>
      </w:r>
      <w:r>
        <w:rPr>
          <w:rFonts w:ascii="Arial" w:cs="Arial" w:eastAsia="Arial" w:hAnsi="Arial"/>
          <w:sz w:val="18"/>
          <w:szCs w:val="18"/>
          <w:color w:val="auto"/>
        </w:rPr>
        <w:t>” means the projected net cash receipts and royalty receipts for Nexafed and Oxecta, as provided by Borrower to Collateral Agent and Lenders (and acknowledged thereby) on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(i) for so long as all of the Persons that are Lenders on the Effective Date (each an “</w:t>
      </w:r>
      <w:r>
        <w:rPr>
          <w:rFonts w:ascii="Arial" w:cs="Arial" w:eastAsia="Arial" w:hAnsi="Arial"/>
          <w:sz w:val="18"/>
          <w:szCs w:val="18"/>
          <w:b w:val="1"/>
          <w:bCs w:val="1"/>
          <w:color w:val="auto"/>
        </w:rPr>
        <w:t>Original Lender</w:t>
      </w:r>
      <w:r>
        <w:rPr>
          <w:rFonts w:ascii="Arial" w:cs="Arial" w:eastAsia="Arial" w:hAnsi="Arial"/>
          <w:sz w:val="18"/>
          <w:szCs w:val="18"/>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Revenue Event</w:t>
      </w:r>
      <w:r>
        <w:rPr>
          <w:rFonts w:ascii="Arial" w:cs="Arial" w:eastAsia="Arial" w:hAnsi="Arial"/>
          <w:sz w:val="16"/>
          <w:szCs w:val="16"/>
          <w:color w:val="auto"/>
        </w:rPr>
        <w:t>” is the achievement by Borrower, for the fiscal year 2015, of (i) seventy-five percent (75%) of its projected net Nexafed cash receipts set forth in the Projected Receipts and (ii) seventy-five percent (75%) of its projected Oxecta royalty receipts set forth in the Projected Receipts, and delivery of evidence of such achievement by Borrower to Collateral Agent, on or before February 15, 2016, in such form and substance as is acceptable to Collateral Agent in its discretion. The occurrence of the First Revenue Event is a precondition for the occurrence of the Second Revenue Event.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1" w:name="page122"/>
    <w:bookmarkEnd w:id="12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is one hundred percent (100%) of the issued and outstanding capital stock, membership units or other securities owned or held of record by Borrower or Borrower’s Subsidiary, in any Subsidiary; provided that, in the event Borrower, demonstrates to Collateral Agent’s reasonable satisfaction, that a pledge of more than sixty five percent (65%) of the Shares of such Subsidiary which is a Foreign Subsidiary, creates a present and existing adverse tax consequence to Borrower under the U.S. Internal Revenue Code, “Shares” shall mean sixty-five percent (65%) of the issued and outstanding capital stock, membership units or other securities owned or held of record by Borrower or its Subsidiary in such Foreign Subsidiary.</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2.2(a)(ii)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a Term Loan, up to the principal amount shown on </w:t>
      </w:r>
      <w:r>
        <w:rPr>
          <w:rFonts w:ascii="Arial" w:cs="Arial" w:eastAsia="Arial" w:hAnsi="Arial"/>
          <w:sz w:val="18"/>
          <w:szCs w:val="18"/>
          <w:u w:val="single" w:color="auto"/>
          <w:color w:val="auto"/>
        </w:rPr>
        <w:t>Schedule 1.1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Agreement</w:t>
      </w:r>
      <w:r>
        <w:rPr>
          <w:rFonts w:ascii="Arial" w:cs="Arial" w:eastAsia="Arial" w:hAnsi="Arial"/>
          <w:sz w:val="18"/>
          <w:szCs w:val="18"/>
          <w:color w:val="auto"/>
        </w:rPr>
        <w:t>” means the Voting Agreement dated as of February 6, 2004, as amended to date, between Parent, Galen Partners III, L.P., Galen Partners International III, L.P., Galen Employee Fund III, L.P., Essex Woodlands Health Ventures V, L.P., Care Capital investments II, LP and Care Capital Offshore Investments II, LP.</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are those certain Warrants to Purchase Stock dated as of the Effective Date, or any date thereafter, issued by Parent in favor of each Lender or such Lender’s Affiliates.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Peter A. Clemens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Peter A. Clemens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Sr. V.P. &amp; C.F.O.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Peter A. Clemens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Peter A. Clemens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Sr. V.P. &amp; C.F.O.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Davis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 Secretary &amp; Treasurer</w:t>
      </w:r>
    </w:p>
    <w:p>
      <w:pPr>
        <w:spacing w:after="0" w:line="20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3"/>
          </w:tcPr>
          <w:p>
            <w:pPr>
              <w:ind w:left="200"/>
              <w:spacing w:after="0"/>
              <w:rPr>
                <w:sz w:val="20"/>
                <w:szCs w:val="20"/>
                <w:color w:val="auto"/>
              </w:rPr>
            </w:pPr>
            <w:r>
              <w:rPr>
                <w:rFonts w:ascii="Arial" w:cs="Arial" w:eastAsia="Arial" w:hAnsi="Arial"/>
                <w:sz w:val="18"/>
                <w:szCs w:val="18"/>
                <w:b w:val="1"/>
                <w:bCs w:val="1"/>
                <w:color w:val="auto"/>
              </w:rPr>
              <w:t>SCHEDULE 1.1</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4660" w:type="dxa"/>
            <w:vAlign w:val="bottom"/>
          </w:tcPr>
          <w:p>
            <w:pPr>
              <w:spacing w:after="0"/>
              <w:rPr>
                <w:sz w:val="24"/>
                <w:szCs w:val="24"/>
                <w:color w:val="auto"/>
              </w:rPr>
            </w:pPr>
          </w:p>
        </w:tc>
        <w:tc>
          <w:tcPr>
            <w:tcW w:w="23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Lenders and Commitments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8"/>
        </w:trPr>
        <w:tc>
          <w:tcPr>
            <w:tcW w:w="46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2"/>
              </w:rPr>
              <w:t>Term Loans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66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Lender</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4"/>
          </w:tcPr>
          <w:p>
            <w:pPr>
              <w:ind w:left="520"/>
              <w:spacing w:after="0"/>
              <w:rPr>
                <w:sz w:val="20"/>
                <w:szCs w:val="20"/>
                <w:color w:val="auto"/>
              </w:rPr>
            </w:pPr>
            <w:r>
              <w:rPr>
                <w:rFonts w:ascii="Arial" w:cs="Arial" w:eastAsia="Arial" w:hAnsi="Arial"/>
                <w:sz w:val="18"/>
                <w:szCs w:val="18"/>
                <w:b w:val="1"/>
                <w:bCs w:val="1"/>
                <w:color w:val="auto"/>
              </w:rPr>
              <w:t>Term Loan Commitment</w:t>
            </w:r>
          </w:p>
        </w:tc>
        <w:tc>
          <w:tcPr>
            <w:tcW w:w="3140" w:type="dxa"/>
            <w:vAlign w:val="bottom"/>
            <w:gridSpan w:val="3"/>
          </w:tcPr>
          <w:p>
            <w:pPr>
              <w:ind w:left="520"/>
              <w:spacing w:after="0"/>
              <w:rPr>
                <w:sz w:val="20"/>
                <w:szCs w:val="20"/>
                <w:color w:val="auto"/>
              </w:rPr>
            </w:pPr>
            <w:r>
              <w:rPr>
                <w:rFonts w:ascii="Arial" w:cs="Arial" w:eastAsia="Arial" w:hAnsi="Arial"/>
                <w:sz w:val="18"/>
                <w:szCs w:val="18"/>
                <w:b w:val="1"/>
                <w:bCs w:val="1"/>
                <w:color w:val="auto"/>
              </w:rPr>
              <w:t>Commitment Percentage</w:t>
            </w:r>
          </w:p>
        </w:tc>
      </w:tr>
      <w:tr>
        <w:trPr>
          <w:trHeight w:val="223"/>
        </w:trPr>
        <w:tc>
          <w:tcPr>
            <w:tcW w:w="4660" w:type="dxa"/>
            <w:vAlign w:val="bottom"/>
            <w:tcBorders>
              <w:top w:val="single" w:sz="8" w:color="auto"/>
            </w:tcBorders>
            <w:shd w:val="clear" w:color="auto" w:fill="CCFFCC"/>
          </w:tcPr>
          <w:p>
            <w:pPr>
              <w:jc w:val="center"/>
              <w:ind w:left="150"/>
              <w:spacing w:after="0"/>
              <w:rPr>
                <w:sz w:val="20"/>
                <w:szCs w:val="20"/>
                <w:color w:val="auto"/>
              </w:rPr>
            </w:pPr>
            <w:r>
              <w:rPr>
                <w:rFonts w:ascii="Arial" w:cs="Arial" w:eastAsia="Arial" w:hAnsi="Arial"/>
                <w:sz w:val="18"/>
                <w:szCs w:val="18"/>
                <w:color w:val="auto"/>
                <w:w w:val="97"/>
              </w:rPr>
              <w:t>OXFORD FINANCE LLC</w:t>
            </w:r>
          </w:p>
        </w:tc>
        <w:tc>
          <w:tcPr>
            <w:tcW w:w="220" w:type="dxa"/>
            <w:vAlign w:val="bottom"/>
            <w:tcBorders>
              <w:top w:val="single" w:sz="8" w:color="auto"/>
            </w:tcBorders>
            <w:shd w:val="clear" w:color="auto" w:fill="CCFFCC"/>
          </w:tcPr>
          <w:p>
            <w:pPr>
              <w:spacing w:after="0"/>
              <w:rPr>
                <w:sz w:val="19"/>
                <w:szCs w:val="19"/>
                <w:color w:val="auto"/>
              </w:rPr>
            </w:pPr>
          </w:p>
        </w:tc>
        <w:tc>
          <w:tcPr>
            <w:tcW w:w="220" w:type="dxa"/>
            <w:vAlign w:val="bottom"/>
            <w:tcBorders>
              <w:top w:val="single" w:sz="8" w:color="CCFFCC"/>
            </w:tcBorders>
            <w:shd w:val="clear" w:color="auto" w:fill="CCFFCC"/>
          </w:tcPr>
          <w:p>
            <w:pPr>
              <w:spacing w:after="0"/>
              <w:rPr>
                <w:sz w:val="19"/>
                <w:szCs w:val="19"/>
                <w:color w:val="auto"/>
              </w:rPr>
            </w:pPr>
          </w:p>
        </w:tc>
        <w:tc>
          <w:tcPr>
            <w:tcW w:w="166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10,000,000</w:t>
            </w:r>
          </w:p>
        </w:tc>
        <w:tc>
          <w:tcPr>
            <w:tcW w:w="220" w:type="dxa"/>
            <w:vAlign w:val="bottom"/>
            <w:tcBorders>
              <w:top w:val="single" w:sz="8" w:color="CCFFCC"/>
            </w:tcBorders>
            <w:shd w:val="clear" w:color="auto" w:fill="CCFFCC"/>
          </w:tcPr>
          <w:p>
            <w:pPr>
              <w:spacing w:after="0"/>
              <w:rPr>
                <w:sz w:val="19"/>
                <w:szCs w:val="19"/>
                <w:color w:val="auto"/>
              </w:rPr>
            </w:pPr>
          </w:p>
        </w:tc>
        <w:tc>
          <w:tcPr>
            <w:tcW w:w="2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w w:val="99"/>
              </w:rPr>
              <w:t>%</w:t>
            </w:r>
          </w:p>
        </w:tc>
      </w:tr>
      <w:tr>
        <w:trPr>
          <w:trHeight w:val="210"/>
        </w:trPr>
        <w:tc>
          <w:tcPr>
            <w:tcW w:w="4660" w:type="dxa"/>
            <w:vAlign w:val="bottom"/>
          </w:tcPr>
          <w:p>
            <w:pPr>
              <w:jc w:val="center"/>
              <w:ind w:left="1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10,000,000</w:t>
            </w:r>
          </w:p>
        </w:tc>
        <w:tc>
          <w:tcPr>
            <w:tcW w:w="22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r>
      <w:tr>
        <w:trPr>
          <w:trHeight w:val="642"/>
        </w:trPr>
        <w:tc>
          <w:tcPr>
            <w:tcW w:w="4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Notwithstanding the foregoing, the Collateral does not include (i)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and (ii)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 (excluding Permitted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DISBURSEMENT LETTER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tabs>
          <w:tab w:leader="none" w:pos="6640" w:val="left"/>
        </w:tabs>
        <w:rPr>
          <w:sz w:val="20"/>
          <w:szCs w:val="20"/>
          <w:color w:val="auto"/>
        </w:rPr>
      </w:pPr>
      <w:r>
        <w:rPr>
          <w:rFonts w:ascii="Arial" w:cs="Arial" w:eastAsia="Arial" w:hAnsi="Arial"/>
          <w:sz w:val="18"/>
          <w:szCs w:val="18"/>
          <w:color w:val="auto"/>
        </w:rPr>
        <w:t>The undersigned, being the duly elected and acting _________________ of</w:t>
      </w:r>
      <w:r>
        <w:rPr>
          <w:sz w:val="20"/>
          <w:szCs w:val="20"/>
          <w:color w:val="auto"/>
        </w:rPr>
        <w:tab/>
      </w:r>
      <w:r>
        <w:rPr>
          <w:rFonts w:ascii="Arial" w:cs="Arial" w:eastAsia="Arial" w:hAnsi="Arial"/>
          <w:sz w:val="17"/>
          <w:szCs w:val="17"/>
          <w:color w:val="auto"/>
        </w:rPr>
        <w:t>ACURA PHARMACEUTICALS, INC., a New York corporation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offices located at 616 N. North Court, Suite 120, Palatine, Illinois for and on behalf of each Borrower under the Loan Agreement (as defined below) (collectively,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does hereby certify to </w:t>
      </w:r>
      <w:r>
        <w:rPr>
          <w:rFonts w:ascii="Arial" w:cs="Arial" w:eastAsia="Arial" w:hAnsi="Arial"/>
          <w:sz w:val="18"/>
          <w:szCs w:val="18"/>
          <w:b w:val="1"/>
          <w:bCs w:val="1"/>
          <w:color w:val="auto"/>
        </w:rPr>
        <w:t>OXFORD FINANCE LLC</w:t>
      </w:r>
      <w:r>
        <w:rPr>
          <w:rFonts w:ascii="Arial" w:cs="Arial" w:eastAsia="Arial" w:hAnsi="Arial"/>
          <w:sz w:val="18"/>
          <w:szCs w:val="18"/>
          <w:color w:val="auto"/>
        </w:rPr>
        <w:t xml:space="preserve"> (“</w:t>
      </w:r>
      <w:r>
        <w:rPr>
          <w:rFonts w:ascii="Arial" w:cs="Arial" w:eastAsia="Arial" w:hAnsi="Arial"/>
          <w:sz w:val="18"/>
          <w:szCs w:val="18"/>
          <w:b w:val="1"/>
          <w:bCs w:val="1"/>
          <w:color w:val="auto"/>
        </w:rPr>
        <w:t>Oxford</w:t>
      </w:r>
      <w:r>
        <w:rPr>
          <w:rFonts w:ascii="Arial" w:cs="Arial" w:eastAsia="Arial" w:hAnsi="Arial"/>
          <w:sz w:val="18"/>
          <w:szCs w:val="18"/>
          <w:color w:val="auto"/>
        </w:rPr>
        <w:t>” and “</w:t>
      </w:r>
      <w:r>
        <w:rPr>
          <w:rFonts w:ascii="Arial" w:cs="Arial" w:eastAsia="Arial" w:hAnsi="Arial"/>
          <w:sz w:val="18"/>
          <w:szCs w:val="18"/>
          <w:b w:val="1"/>
          <w:bCs w:val="1"/>
          <w:color w:val="auto"/>
        </w:rPr>
        <w:t>Lender</w:t>
      </w:r>
      <w:r>
        <w:rPr>
          <w:rFonts w:ascii="Arial" w:cs="Arial" w:eastAsia="Arial" w:hAnsi="Arial"/>
          <w:sz w:val="18"/>
          <w:szCs w:val="18"/>
          <w:color w:val="auto"/>
        </w:rPr>
        <w:t>”),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in connection with that certain Loan and Security Agreement dated as of December [_], 2013,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191" w:lineRule="exact"/>
        <w:rPr>
          <w:sz w:val="20"/>
          <w:szCs w:val="20"/>
          <w:color w:val="auto"/>
        </w:rPr>
      </w:pPr>
    </w:p>
    <w:p>
      <w:pPr>
        <w:ind w:firstLine="656"/>
        <w:spacing w:after="0" w:line="277" w:lineRule="auto"/>
        <w:tabs>
          <w:tab w:leader="none" w:pos="13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1240" w:hanging="584"/>
        <w:spacing w:after="0"/>
        <w:tabs>
          <w:tab w:leader="none" w:pos="1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firstLine="656"/>
        <w:spacing w:after="0" w:line="277" w:lineRule="auto"/>
        <w:tabs>
          <w:tab w:leader="none" w:pos="12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the Loan to be made on or about the date hereof have been satisfied or waived by Collateral Agent.</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undersigned is a Responsible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7" w:name="page128"/>
    <w:bookmarkEnd w:id="127"/>
    <w:tbl>
      <w:tblPr>
        <w:tblLayout w:type="fixed"/>
        <w:tblInd w:w="660" w:type="dxa"/>
        <w:tblCellMar>
          <w:top w:w="0" w:type="dxa"/>
          <w:left w:w="0" w:type="dxa"/>
          <w:bottom w:w="0" w:type="dxa"/>
          <w:right w:w="0" w:type="dxa"/>
        </w:tblCellMar>
      </w:tblPr>
      <w:tr>
        <w:trPr>
          <w:trHeight w:val="23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6520" w:type="dxa"/>
            <w:vAlign w:val="bottom"/>
            <w:gridSpan w:val="2"/>
          </w:tcPr>
          <w:p>
            <w:pPr>
              <w:ind w:left="220"/>
              <w:spacing w:after="0"/>
              <w:rPr>
                <w:sz w:val="20"/>
                <w:szCs w:val="20"/>
                <w:color w:val="auto"/>
              </w:rPr>
            </w:pPr>
            <w:r>
              <w:rPr>
                <w:rFonts w:ascii="Arial" w:cs="Arial" w:eastAsia="Arial" w:hAnsi="Arial"/>
                <w:sz w:val="18"/>
                <w:szCs w:val="18"/>
                <w:color w:val="auto"/>
              </w:rPr>
              <w:t>The proceeds of the Term Loan shall be disbursed as follows:</w:t>
            </w:r>
          </w:p>
        </w:tc>
        <w:tc>
          <w:tcPr>
            <w:tcW w:w="18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Disbursement from Oxford:</w:t>
            </w:r>
          </w:p>
        </w:tc>
        <w:tc>
          <w:tcPr>
            <w:tcW w:w="186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Loan Amount</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_______________</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shd w:val="clear" w:color="auto" w:fill="CCFFCC"/>
          </w:tcPr>
          <w:p>
            <w:pPr>
              <w:ind w:left="440"/>
              <w:spacing w:after="0"/>
              <w:rPr>
                <w:sz w:val="20"/>
                <w:szCs w:val="20"/>
                <w:color w:val="auto"/>
              </w:rPr>
            </w:pPr>
            <w:r>
              <w:rPr>
                <w:rFonts w:ascii="Arial" w:cs="Arial" w:eastAsia="Arial" w:hAnsi="Arial"/>
                <w:sz w:val="18"/>
                <w:szCs w:val="18"/>
                <w:color w:val="auto"/>
              </w:rPr>
              <w:t>Plus:</w:t>
            </w:r>
          </w:p>
        </w:tc>
        <w:tc>
          <w:tcPr>
            <w:tcW w:w="186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—Deposit Received</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50,000</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Less:</w:t>
            </w:r>
          </w:p>
        </w:tc>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shd w:val="clear" w:color="auto" w:fill="CCFFCC"/>
          </w:tcPr>
          <w:p>
            <w:pPr>
              <w:ind w:left="440"/>
              <w:spacing w:after="0"/>
              <w:rPr>
                <w:sz w:val="20"/>
                <w:szCs w:val="20"/>
                <w:color w:val="auto"/>
              </w:rPr>
            </w:pPr>
            <w:r>
              <w:rPr>
                <w:rFonts w:ascii="Arial" w:cs="Arial" w:eastAsia="Arial" w:hAnsi="Arial"/>
                <w:sz w:val="18"/>
                <w:szCs w:val="18"/>
                <w:color w:val="auto"/>
              </w:rPr>
              <w:t>—Facility Fee</w:t>
            </w:r>
          </w:p>
        </w:tc>
        <w:tc>
          <w:tcPr>
            <w:tcW w:w="18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(50,000)</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[—Interim Interest</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ind w:left="680"/>
              <w:spacing w:after="0"/>
              <w:rPr>
                <w:sz w:val="20"/>
                <w:szCs w:val="20"/>
                <w:color w:val="auto"/>
              </w:rPr>
            </w:pPr>
            <w:r>
              <w:rPr>
                <w:rFonts w:ascii="Arial" w:cs="Arial" w:eastAsia="Arial" w:hAnsi="Arial"/>
                <w:sz w:val="18"/>
                <w:szCs w:val="18"/>
                <w:color w:val="auto"/>
                <w:w w:val="93"/>
              </w:rPr>
              <w:t>(_________)]</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shd w:val="clear" w:color="auto" w:fill="CCFFCC"/>
          </w:tcPr>
          <w:p>
            <w:pPr>
              <w:ind w:left="440"/>
              <w:spacing w:after="0"/>
              <w:rPr>
                <w:sz w:val="20"/>
                <w:szCs w:val="20"/>
                <w:color w:val="auto"/>
              </w:rPr>
            </w:pPr>
            <w:r>
              <w:rPr>
                <w:rFonts w:ascii="Arial" w:cs="Arial" w:eastAsia="Arial" w:hAnsi="Arial"/>
                <w:sz w:val="18"/>
                <w:szCs w:val="18"/>
                <w:color w:val="auto"/>
              </w:rPr>
              <w:t>—Lender’s Legal Fees</w:t>
            </w:r>
          </w:p>
        </w:tc>
        <w:tc>
          <w:tcPr>
            <w:tcW w:w="18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FFCC"/>
          </w:tcPr>
          <w:p>
            <w:pPr>
              <w:ind w:left="680"/>
              <w:spacing w:after="0"/>
              <w:rPr>
                <w:sz w:val="20"/>
                <w:szCs w:val="20"/>
                <w:color w:val="auto"/>
              </w:rPr>
            </w:pPr>
            <w:r>
              <w:rPr>
                <w:rFonts w:ascii="Arial" w:cs="Arial" w:eastAsia="Arial" w:hAnsi="Arial"/>
                <w:sz w:val="18"/>
                <w:szCs w:val="18"/>
                <w:color w:val="auto"/>
                <w:w w:val="91"/>
              </w:rPr>
              <w:t>(_________)*</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Proceeds due from Oxford:</w:t>
            </w:r>
          </w:p>
        </w:tc>
        <w:tc>
          <w:tcPr>
            <w:tcW w:w="1860" w:type="dxa"/>
            <w:vAlign w:val="bottom"/>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w:t>
            </w:r>
          </w:p>
        </w:tc>
        <w:tc>
          <w:tcPr>
            <w:tcW w:w="1700" w:type="dxa"/>
            <w:vAlign w:val="bottom"/>
            <w:shd w:val="clear" w:color="auto" w:fill="CCFFCC"/>
          </w:tcPr>
          <w:p>
            <w:pPr>
              <w:jc w:val="right"/>
              <w:ind w:right="70"/>
              <w:spacing w:after="0"/>
              <w:rPr>
                <w:sz w:val="20"/>
                <w:szCs w:val="20"/>
                <w:color w:val="auto"/>
              </w:rPr>
            </w:pPr>
            <w:r>
              <w:rPr>
                <w:rFonts w:ascii="Arial" w:cs="Arial" w:eastAsia="Arial" w:hAnsi="Arial"/>
                <w:sz w:val="18"/>
                <w:szCs w:val="18"/>
                <w:b w:val="1"/>
                <w:bCs w:val="1"/>
                <w:color w:val="auto"/>
              </w:rPr>
              <w:t>_______________</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TERM LOAN NET PROCEEDS FROM LENDERS</w:t>
            </w:r>
          </w:p>
        </w:tc>
        <w:tc>
          <w:tcPr>
            <w:tcW w:w="1860" w:type="dxa"/>
            <w:vAlign w:val="bottom"/>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w:t>
            </w:r>
          </w:p>
        </w:tc>
        <w:tc>
          <w:tcPr>
            <w:tcW w:w="1700" w:type="dxa"/>
            <w:vAlign w:val="bottom"/>
            <w:shd w:val="clear" w:color="auto" w:fill="CCFFCC"/>
          </w:tcPr>
          <w:p>
            <w:pPr>
              <w:jc w:val="right"/>
              <w:ind w:right="70"/>
              <w:spacing w:after="0"/>
              <w:rPr>
                <w:sz w:val="20"/>
                <w:szCs w:val="20"/>
                <w:color w:val="auto"/>
              </w:rPr>
            </w:pPr>
            <w:r>
              <w:rPr>
                <w:rFonts w:ascii="Arial" w:cs="Arial" w:eastAsia="Arial" w:hAnsi="Arial"/>
                <w:sz w:val="18"/>
                <w:szCs w:val="18"/>
                <w:b w:val="1"/>
                <w:bCs w:val="1"/>
                <w:color w:val="auto"/>
              </w:rPr>
              <w:t>_______________</w:t>
            </w:r>
          </w:p>
        </w:tc>
      </w:tr>
    </w:tbl>
    <w:p>
      <w:pPr>
        <w:spacing w:after="0" w:line="202" w:lineRule="exact"/>
        <w:rPr>
          <w:sz w:val="20"/>
          <w:szCs w:val="20"/>
          <w:color w:val="auto"/>
        </w:rPr>
      </w:pPr>
    </w:p>
    <w:p>
      <w:pPr>
        <w:ind w:left="1240" w:hanging="584"/>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Term Loan shall amortize in accordance with the Amortization Table attached hereto.</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net proceeds of the Term Loans shall be transferred to the Designated Deposit Account as follows:</w:t>
      </w:r>
    </w:p>
    <w:p>
      <w:pPr>
        <w:sectPr>
          <w:pgSz w:w="11900" w:h="16838" w:orient="portrait"/>
          <w:cols w:equalWidth="0" w:num="1">
            <w:col w:w="11360"/>
          </w:cols>
          <w:pgMar w:left="240" w:top="881" w:right="29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Account Number:</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ABA Number: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135 S. LaSalle Street, Chicago, IL 60603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5800103177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0260-0959-3</w:t>
      </w:r>
    </w:p>
    <w:p>
      <w:pPr>
        <w:spacing w:after="0" w:line="200" w:lineRule="exact"/>
        <w:rPr>
          <w:sz w:val="20"/>
          <w:szCs w:val="20"/>
          <w:color w:val="auto"/>
        </w:rPr>
      </w:pPr>
    </w:p>
    <w:p>
      <w:pPr>
        <w:sectPr>
          <w:pgSz w:w="11900" w:h="16838" w:orient="portrait"/>
          <w:cols w:equalWidth="0" w:num="2">
            <w:col w:w="3520" w:space="720"/>
            <w:col w:w="7120"/>
          </w:cols>
          <w:pgMar w:left="240" w:top="881" w:right="299" w:bottom="1440" w:gutter="0" w:footer="0" w:header="0"/>
          <w:type w:val="continuous"/>
        </w:sectPr>
      </w:pP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8097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 Legal fees and costs are through the Effective Date. Post-closing legal fees and costs, payable after the Effective Date, to be invoiced and paid post-closing.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color w:val="auto"/>
        </w:rPr>
        <w:t>Dated as of the date first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itself and on behalf of all Borrowers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22860</wp:posOffset>
            </wp:positionV>
            <wp:extent cx="31902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-121920</wp:posOffset>
            </wp:positionV>
            <wp:extent cx="31902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22860</wp:posOffset>
            </wp:positionV>
            <wp:extent cx="31902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-121920</wp:posOffset>
            </wp:positionV>
            <wp:extent cx="31902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27" w:lineRule="exact"/>
        <w:rPr>
          <w:sz w:val="20"/>
          <w:szCs w:val="20"/>
          <w:color w:val="auto"/>
        </w:rPr>
      </w:pPr>
    </w:p>
    <w:p>
      <w:pPr>
        <w:jc w:val="right"/>
        <w:ind w:right="29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Disbursement Letter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AMORTIZATION TABLE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Loan)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5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rPr>
              <w:t>EXHIBIT C</w:t>
            </w:r>
          </w:p>
        </w:tc>
      </w:tr>
      <w:tr>
        <w:trPr>
          <w:trHeight w:val="392"/>
        </w:trPr>
        <w:tc>
          <w:tcPr>
            <w:tcW w:w="10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5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Compliance Certificate</w:t>
            </w:r>
          </w:p>
        </w:tc>
      </w:tr>
      <w:tr>
        <w:trPr>
          <w:trHeight w:val="20"/>
        </w:trPr>
        <w:tc>
          <w:tcPr>
            <w:tcW w:w="10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669"/>
        </w:trPr>
        <w:tc>
          <w:tcPr>
            <w:tcW w:w="1040" w:type="dxa"/>
            <w:vAlign w:val="bottom"/>
          </w:tcPr>
          <w:p>
            <w:pPr>
              <w:spacing w:after="0"/>
              <w:rPr>
                <w:sz w:val="20"/>
                <w:szCs w:val="20"/>
                <w:color w:val="auto"/>
              </w:rPr>
            </w:pPr>
            <w:r>
              <w:rPr>
                <w:rFonts w:ascii="Arial" w:cs="Arial" w:eastAsia="Arial" w:hAnsi="Arial"/>
                <w:sz w:val="18"/>
                <w:szCs w:val="18"/>
                <w:color w:val="auto"/>
              </w:rPr>
              <w:t>TO:</w:t>
            </w:r>
          </w:p>
        </w:tc>
        <w:tc>
          <w:tcPr>
            <w:tcW w:w="6280" w:type="dxa"/>
            <w:vAlign w:val="bottom"/>
            <w:gridSpan w:val="3"/>
          </w:tcPr>
          <w:p>
            <w:pPr>
              <w:ind w:left="460"/>
              <w:spacing w:after="0"/>
              <w:rPr>
                <w:sz w:val="20"/>
                <w:szCs w:val="20"/>
                <w:color w:val="auto"/>
              </w:rPr>
            </w:pPr>
            <w:r>
              <w:rPr>
                <w:rFonts w:ascii="Arial" w:cs="Arial" w:eastAsia="Arial" w:hAnsi="Arial"/>
                <w:sz w:val="18"/>
                <w:szCs w:val="18"/>
                <w:color w:val="auto"/>
              </w:rPr>
              <w:t>OXFORD FINANCE LLC, as Collateral Agent and Lender</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FROM:</w:t>
            </w:r>
          </w:p>
        </w:tc>
        <w:tc>
          <w:tcPr>
            <w:tcW w:w="6280" w:type="dxa"/>
            <w:vAlign w:val="bottom"/>
            <w:gridSpan w:val="3"/>
          </w:tcPr>
          <w:p>
            <w:pPr>
              <w:ind w:left="460"/>
              <w:spacing w:after="0"/>
              <w:rPr>
                <w:sz w:val="20"/>
                <w:szCs w:val="20"/>
                <w:color w:val="auto"/>
              </w:rPr>
            </w:pPr>
            <w:r>
              <w:rPr>
                <w:rFonts w:ascii="Arial" w:cs="Arial" w:eastAsia="Arial" w:hAnsi="Arial"/>
                <w:sz w:val="18"/>
                <w:szCs w:val="18"/>
                <w:color w:val="auto"/>
                <w:w w:val="95"/>
              </w:rPr>
              <w:t>ACURA PHARMACEUTICALS, INC., for itself and on behalf of all Borrowers</w:t>
            </w:r>
          </w:p>
        </w:tc>
      </w:tr>
    </w:tbl>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authorized officer (“</w:t>
      </w:r>
      <w:r>
        <w:rPr>
          <w:rFonts w:ascii="Arial" w:cs="Arial" w:eastAsia="Arial" w:hAnsi="Arial"/>
          <w:sz w:val="18"/>
          <w:szCs w:val="18"/>
          <w:b w:val="1"/>
          <w:bCs w:val="1"/>
          <w:color w:val="auto"/>
        </w:rPr>
        <w:t>Officer</w:t>
      </w:r>
      <w:r>
        <w:rPr>
          <w:rFonts w:ascii="Arial" w:cs="Arial" w:eastAsia="Arial" w:hAnsi="Arial"/>
          <w:sz w:val="18"/>
          <w:szCs w:val="18"/>
          <w:color w:val="auto"/>
        </w:rPr>
        <w:t>”) of ACURA PHARMACEUTICALS, INC., a New York corporation with offices located at 616 N. North Court, Suite 120, Palatine, Illinois for and on behalf of each Borrower under the Loan Agreement (as defined below) (collectively, “</w:t>
      </w:r>
      <w:r>
        <w:rPr>
          <w:rFonts w:ascii="Arial" w:cs="Arial" w:eastAsia="Arial" w:hAnsi="Arial"/>
          <w:sz w:val="18"/>
          <w:szCs w:val="18"/>
          <w:b w:val="1"/>
          <w:bCs w:val="1"/>
          <w:color w:val="auto"/>
        </w:rPr>
        <w:t>Borrower</w:t>
      </w:r>
      <w:r>
        <w:rPr>
          <w:rFonts w:ascii="Arial" w:cs="Arial" w:eastAsia="Arial" w:hAnsi="Arial"/>
          <w:sz w:val="18"/>
          <w:szCs w:val="18"/>
          <w:color w:val="auto"/>
        </w:rPr>
        <w:t>”), hereby certifies that in accordance with the terms and conditions of the Loan and Security Agreement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capitalized terms used but not otherwise defined herein shall have the meanings given them in the Loan Agreement),</w:t>
      </w:r>
    </w:p>
    <w:p>
      <w:pPr>
        <w:spacing w:after="0" w:line="188"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Borrower is in complete compliance for the period ending _______________ with all required covenants except as noted below;</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4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4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1" w:lineRule="exact"/>
        <w:rPr>
          <w:rFonts w:ascii="Arial" w:cs="Arial" w:eastAsia="Arial" w:hAnsi="Arial"/>
          <w:sz w:val="18"/>
          <w:szCs w:val="18"/>
          <w:color w:val="auto"/>
        </w:rPr>
      </w:pPr>
    </w:p>
    <w:p>
      <w:pPr>
        <w:ind w:firstLine="656"/>
        <w:spacing w:after="0" w:line="277" w:lineRule="auto"/>
        <w:tabs>
          <w:tab w:leader="none" w:pos="1391"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440" w:type="dxa"/>
            <w:vAlign w:val="bottom"/>
          </w:tcPr>
          <w:p>
            <w:pPr>
              <w:ind w:left="1540"/>
              <w:spacing w:after="0"/>
              <w:rPr>
                <w:sz w:val="20"/>
                <w:szCs w:val="20"/>
                <w:color w:val="auto"/>
              </w:rPr>
            </w:pPr>
            <w:r>
              <w:rPr>
                <w:rFonts w:ascii="Arial" w:cs="Arial" w:eastAsia="Arial" w:hAnsi="Arial"/>
                <w:sz w:val="18"/>
                <w:szCs w:val="18"/>
                <w:b w:val="1"/>
                <w:bCs w:val="1"/>
                <w:color w:val="auto"/>
              </w:rPr>
              <w:t>Reporting Covenant</w:t>
            </w:r>
          </w:p>
        </w:tc>
        <w:tc>
          <w:tcPr>
            <w:tcW w:w="3020" w:type="dxa"/>
            <w:vAlign w:val="bottom"/>
          </w:tcPr>
          <w:p>
            <w:pPr>
              <w:ind w:left="1160"/>
              <w:spacing w:after="0"/>
              <w:rPr>
                <w:sz w:val="20"/>
                <w:szCs w:val="20"/>
                <w:color w:val="auto"/>
              </w:rPr>
            </w:pPr>
            <w:r>
              <w:rPr>
                <w:rFonts w:ascii="Arial" w:cs="Arial" w:eastAsia="Arial" w:hAnsi="Arial"/>
                <w:sz w:val="18"/>
                <w:szCs w:val="18"/>
                <w:b w:val="1"/>
                <w:bCs w:val="1"/>
                <w:color w:val="auto"/>
              </w:rPr>
              <w:t>Requirement</w:t>
            </w: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Actual</w:t>
            </w:r>
          </w:p>
        </w:tc>
        <w:tc>
          <w:tcPr>
            <w:tcW w:w="6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Complies</w:t>
            </w:r>
          </w:p>
        </w:tc>
        <w:tc>
          <w:tcPr>
            <w:tcW w:w="400" w:type="dxa"/>
            <w:vAlign w:val="bottom"/>
          </w:tcPr>
          <w:p>
            <w:pPr>
              <w:spacing w:after="0"/>
              <w:rPr>
                <w:sz w:val="20"/>
                <w:szCs w:val="20"/>
                <w:color w:val="auto"/>
              </w:rPr>
            </w:pPr>
          </w:p>
        </w:tc>
      </w:tr>
      <w:tr>
        <w:trPr>
          <w:trHeight w:val="432"/>
        </w:trPr>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1)</w:t>
            </w:r>
          </w:p>
        </w:tc>
        <w:tc>
          <w:tcPr>
            <w:tcW w:w="444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3020" w:type="dxa"/>
            <w:vAlign w:val="bottom"/>
          </w:tcPr>
          <w:p>
            <w:pPr>
              <w:ind w:left="80"/>
              <w:spacing w:after="0"/>
              <w:rPr>
                <w:sz w:val="20"/>
                <w:szCs w:val="20"/>
                <w:color w:val="auto"/>
              </w:rPr>
            </w:pPr>
            <w:r>
              <w:rPr>
                <w:rFonts w:ascii="Arial" w:cs="Arial" w:eastAsia="Arial" w:hAnsi="Arial"/>
                <w:sz w:val="18"/>
                <w:szCs w:val="18"/>
                <w:color w:val="auto"/>
              </w:rPr>
              <w:t>Monthly within 45 days</w:t>
            </w:r>
          </w:p>
        </w:tc>
        <w:tc>
          <w:tcPr>
            <w:tcW w:w="14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Yes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432"/>
        </w:trPr>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2)</w:t>
            </w:r>
          </w:p>
        </w:tc>
        <w:tc>
          <w:tcPr>
            <w:tcW w:w="4440" w:type="dxa"/>
            <w:vAlign w:val="bottom"/>
          </w:tcPr>
          <w:p>
            <w:pPr>
              <w:ind w:left="280"/>
              <w:spacing w:after="0"/>
              <w:rPr>
                <w:sz w:val="20"/>
                <w:szCs w:val="20"/>
                <w:color w:val="auto"/>
              </w:rPr>
            </w:pPr>
            <w:r>
              <w:rPr>
                <w:rFonts w:ascii="Arial" w:cs="Arial" w:eastAsia="Arial" w:hAnsi="Arial"/>
                <w:sz w:val="18"/>
                <w:szCs w:val="18"/>
                <w:color w:val="auto"/>
              </w:rPr>
              <w:t>Annual (CPA Audited) statements</w:t>
            </w:r>
          </w:p>
        </w:tc>
        <w:tc>
          <w:tcPr>
            <w:tcW w:w="3020" w:type="dxa"/>
            <w:vAlign w:val="bottom"/>
          </w:tcPr>
          <w:p>
            <w:pPr>
              <w:ind w:left="80"/>
              <w:spacing w:after="0"/>
              <w:rPr>
                <w:sz w:val="20"/>
                <w:szCs w:val="20"/>
                <w:color w:val="auto"/>
              </w:rPr>
            </w:pPr>
            <w:r>
              <w:rPr>
                <w:rFonts w:ascii="Arial" w:cs="Arial" w:eastAsia="Arial" w:hAnsi="Arial"/>
                <w:sz w:val="18"/>
                <w:szCs w:val="18"/>
                <w:color w:val="auto"/>
              </w:rPr>
              <w:t>Within 120 days after FYE</w:t>
            </w:r>
          </w:p>
        </w:tc>
        <w:tc>
          <w:tcPr>
            <w:tcW w:w="14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Yes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418"/>
        </w:trPr>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3)</w:t>
            </w:r>
          </w:p>
        </w:tc>
        <w:tc>
          <w:tcPr>
            <w:tcW w:w="4440" w:type="dxa"/>
            <w:vAlign w:val="bottom"/>
          </w:tcPr>
          <w:p>
            <w:pPr>
              <w:ind w:left="280"/>
              <w:spacing w:after="0"/>
              <w:rPr>
                <w:sz w:val="20"/>
                <w:szCs w:val="20"/>
                <w:color w:val="auto"/>
              </w:rPr>
            </w:pPr>
            <w:r>
              <w:rPr>
                <w:rFonts w:ascii="Arial" w:cs="Arial" w:eastAsia="Arial" w:hAnsi="Arial"/>
                <w:sz w:val="18"/>
                <w:szCs w:val="18"/>
                <w:color w:val="auto"/>
              </w:rPr>
              <w:t>Annual Financial Projections/Budget (prepared on a</w:t>
            </w:r>
          </w:p>
        </w:tc>
        <w:tc>
          <w:tcPr>
            <w:tcW w:w="3020" w:type="dxa"/>
            <w:vAlign w:val="bottom"/>
          </w:tcPr>
          <w:p>
            <w:pPr>
              <w:ind w:left="80"/>
              <w:spacing w:after="0"/>
              <w:rPr>
                <w:sz w:val="20"/>
                <w:szCs w:val="20"/>
                <w:color w:val="auto"/>
              </w:rPr>
            </w:pPr>
            <w:r>
              <w:rPr>
                <w:rFonts w:ascii="Arial" w:cs="Arial" w:eastAsia="Arial" w:hAnsi="Arial"/>
                <w:sz w:val="18"/>
                <w:szCs w:val="18"/>
                <w:color w:val="auto"/>
              </w:rPr>
              <w:t>Annually (within 10 days of Board</w:t>
            </w:r>
          </w:p>
        </w:tc>
        <w:tc>
          <w:tcPr>
            <w:tcW w:w="14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Yes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230"/>
        </w:trPr>
        <w:tc>
          <w:tcPr>
            <w:tcW w:w="440" w:type="dxa"/>
            <w:vAlign w:val="bottom"/>
          </w:tcPr>
          <w:p>
            <w:pPr>
              <w:spacing w:after="0"/>
              <w:rPr>
                <w:sz w:val="20"/>
                <w:szCs w:val="20"/>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monthly basis)</w:t>
            </w:r>
          </w:p>
        </w:tc>
        <w:tc>
          <w:tcPr>
            <w:tcW w:w="3020" w:type="dxa"/>
            <w:vAlign w:val="bottom"/>
          </w:tcPr>
          <w:p>
            <w:pPr>
              <w:ind w:left="80"/>
              <w:spacing w:after="0"/>
              <w:rPr>
                <w:sz w:val="20"/>
                <w:szCs w:val="20"/>
                <w:color w:val="auto"/>
              </w:rPr>
            </w:pPr>
            <w:r>
              <w:rPr>
                <w:rFonts w:ascii="Arial" w:cs="Arial" w:eastAsia="Arial" w:hAnsi="Arial"/>
                <w:sz w:val="18"/>
                <w:szCs w:val="18"/>
                <w:color w:val="auto"/>
              </w:rPr>
              <w:t>Approval), and when revised</w:t>
            </w: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4)</w:t>
            </w:r>
          </w:p>
        </w:tc>
        <w:tc>
          <w:tcPr>
            <w:tcW w:w="4440" w:type="dxa"/>
            <w:vAlign w:val="bottom"/>
          </w:tcPr>
          <w:p>
            <w:pPr>
              <w:ind w:left="280"/>
              <w:spacing w:after="0"/>
              <w:rPr>
                <w:sz w:val="20"/>
                <w:szCs w:val="20"/>
                <w:color w:val="auto"/>
              </w:rPr>
            </w:pPr>
            <w:r>
              <w:rPr>
                <w:rFonts w:ascii="Arial" w:cs="Arial" w:eastAsia="Arial" w:hAnsi="Arial"/>
                <w:sz w:val="18"/>
                <w:szCs w:val="18"/>
                <w:color w:val="auto"/>
              </w:rPr>
              <w:t>A/R &amp; A/P agings</w:t>
            </w:r>
          </w:p>
        </w:tc>
        <w:tc>
          <w:tcPr>
            <w:tcW w:w="3020" w:type="dxa"/>
            <w:vAlign w:val="bottom"/>
          </w:tcPr>
          <w:p>
            <w:pPr>
              <w:ind w:left="80"/>
              <w:spacing w:after="0"/>
              <w:rPr>
                <w:sz w:val="20"/>
                <w:szCs w:val="20"/>
                <w:color w:val="auto"/>
              </w:rPr>
            </w:pPr>
            <w:r>
              <w:rPr>
                <w:rFonts w:ascii="Arial" w:cs="Arial" w:eastAsia="Arial" w:hAnsi="Arial"/>
                <w:sz w:val="18"/>
                <w:szCs w:val="18"/>
                <w:color w:val="auto"/>
              </w:rPr>
              <w:t>If applicable</w:t>
            </w:r>
          </w:p>
        </w:tc>
        <w:tc>
          <w:tcPr>
            <w:tcW w:w="14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Yes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432"/>
        </w:trPr>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5)</w:t>
            </w:r>
          </w:p>
        </w:tc>
        <w:tc>
          <w:tcPr>
            <w:tcW w:w="4440" w:type="dxa"/>
            <w:vAlign w:val="bottom"/>
          </w:tcPr>
          <w:p>
            <w:pPr>
              <w:ind w:left="280"/>
              <w:spacing w:after="0"/>
              <w:rPr>
                <w:sz w:val="20"/>
                <w:szCs w:val="20"/>
                <w:color w:val="auto"/>
              </w:rPr>
            </w:pPr>
            <w:r>
              <w:rPr>
                <w:rFonts w:ascii="Arial" w:cs="Arial" w:eastAsia="Arial" w:hAnsi="Arial"/>
                <w:sz w:val="18"/>
                <w:szCs w:val="18"/>
                <w:color w:val="auto"/>
              </w:rPr>
              <w:t>8-K, 10-K and 10-Q Filings</w:t>
            </w:r>
          </w:p>
        </w:tc>
        <w:tc>
          <w:tcPr>
            <w:tcW w:w="3020" w:type="dxa"/>
            <w:vAlign w:val="bottom"/>
          </w:tcPr>
          <w:p>
            <w:pPr>
              <w:ind w:left="80"/>
              <w:spacing w:after="0"/>
              <w:rPr>
                <w:sz w:val="20"/>
                <w:szCs w:val="20"/>
                <w:color w:val="auto"/>
              </w:rPr>
            </w:pPr>
            <w:r>
              <w:rPr>
                <w:rFonts w:ascii="Arial" w:cs="Arial" w:eastAsia="Arial" w:hAnsi="Arial"/>
                <w:sz w:val="18"/>
                <w:szCs w:val="18"/>
                <w:color w:val="auto"/>
              </w:rPr>
              <w:t>If applicable, within 5 days of filing</w:t>
            </w:r>
          </w:p>
        </w:tc>
        <w:tc>
          <w:tcPr>
            <w:tcW w:w="14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Yes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432"/>
        </w:trPr>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6)</w:t>
            </w:r>
          </w:p>
        </w:tc>
        <w:tc>
          <w:tcPr>
            <w:tcW w:w="4440" w:type="dxa"/>
            <w:vAlign w:val="bottom"/>
          </w:tcPr>
          <w:p>
            <w:pPr>
              <w:ind w:left="280"/>
              <w:spacing w:after="0"/>
              <w:rPr>
                <w:sz w:val="20"/>
                <w:szCs w:val="20"/>
                <w:color w:val="auto"/>
              </w:rPr>
            </w:pPr>
            <w:r>
              <w:rPr>
                <w:rFonts w:ascii="Arial" w:cs="Arial" w:eastAsia="Arial" w:hAnsi="Arial"/>
                <w:sz w:val="18"/>
                <w:szCs w:val="18"/>
                <w:color w:val="auto"/>
              </w:rPr>
              <w:t>Compliance Certificate</w:t>
            </w:r>
          </w:p>
        </w:tc>
        <w:tc>
          <w:tcPr>
            <w:tcW w:w="3020" w:type="dxa"/>
            <w:vAlign w:val="bottom"/>
          </w:tcPr>
          <w:p>
            <w:pPr>
              <w:ind w:left="80"/>
              <w:spacing w:after="0"/>
              <w:rPr>
                <w:sz w:val="20"/>
                <w:szCs w:val="20"/>
                <w:color w:val="auto"/>
              </w:rPr>
            </w:pPr>
            <w:r>
              <w:rPr>
                <w:rFonts w:ascii="Arial" w:cs="Arial" w:eastAsia="Arial" w:hAnsi="Arial"/>
                <w:sz w:val="18"/>
                <w:szCs w:val="18"/>
                <w:color w:val="auto"/>
              </w:rPr>
              <w:t>Monthly within 30 days</w:t>
            </w:r>
          </w:p>
        </w:tc>
        <w:tc>
          <w:tcPr>
            <w:tcW w:w="14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Yes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432"/>
        </w:trPr>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7)</w:t>
            </w:r>
          </w:p>
        </w:tc>
        <w:tc>
          <w:tcPr>
            <w:tcW w:w="4440" w:type="dxa"/>
            <w:vAlign w:val="bottom"/>
          </w:tcPr>
          <w:p>
            <w:pPr>
              <w:ind w:left="280"/>
              <w:spacing w:after="0"/>
              <w:rPr>
                <w:sz w:val="20"/>
                <w:szCs w:val="20"/>
                <w:color w:val="auto"/>
              </w:rPr>
            </w:pPr>
            <w:r>
              <w:rPr>
                <w:rFonts w:ascii="Arial" w:cs="Arial" w:eastAsia="Arial" w:hAnsi="Arial"/>
                <w:sz w:val="18"/>
                <w:szCs w:val="18"/>
                <w:color w:val="auto"/>
              </w:rPr>
              <w:t>IP Report</w:t>
            </w:r>
          </w:p>
        </w:tc>
        <w:tc>
          <w:tcPr>
            <w:tcW w:w="3020" w:type="dxa"/>
            <w:vAlign w:val="bottom"/>
          </w:tcPr>
          <w:p>
            <w:pPr>
              <w:ind w:left="80"/>
              <w:spacing w:after="0"/>
              <w:rPr>
                <w:sz w:val="20"/>
                <w:szCs w:val="20"/>
                <w:color w:val="auto"/>
              </w:rPr>
            </w:pPr>
            <w:r>
              <w:rPr>
                <w:rFonts w:ascii="Arial" w:cs="Arial" w:eastAsia="Arial" w:hAnsi="Arial"/>
                <w:sz w:val="18"/>
                <w:szCs w:val="18"/>
                <w:color w:val="auto"/>
              </w:rPr>
              <w:t>When required</w:t>
            </w:r>
          </w:p>
        </w:tc>
        <w:tc>
          <w:tcPr>
            <w:tcW w:w="14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Yes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418"/>
        </w:trPr>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8)</w:t>
            </w:r>
          </w:p>
        </w:tc>
        <w:tc>
          <w:tcPr>
            <w:tcW w:w="4440" w:type="dxa"/>
            <w:vAlign w:val="bottom"/>
          </w:tcPr>
          <w:p>
            <w:pPr>
              <w:ind w:left="280"/>
              <w:spacing w:after="0"/>
              <w:rPr>
                <w:sz w:val="20"/>
                <w:szCs w:val="20"/>
                <w:color w:val="auto"/>
              </w:rPr>
            </w:pPr>
            <w:r>
              <w:rPr>
                <w:rFonts w:ascii="Arial" w:cs="Arial" w:eastAsia="Arial" w:hAnsi="Arial"/>
                <w:sz w:val="18"/>
                <w:szCs w:val="18"/>
                <w:color w:val="auto"/>
                <w:w w:val="91"/>
              </w:rPr>
              <w:t>Total amount of Borrower’s cash and cash equivalents at</w:t>
            </w:r>
          </w:p>
        </w:tc>
        <w:tc>
          <w:tcPr>
            <w:tcW w:w="3020" w:type="dxa"/>
            <w:vAlign w:val="bottom"/>
          </w:tcPr>
          <w:p>
            <w:pPr>
              <w:spacing w:after="0"/>
              <w:rPr>
                <w:sz w:val="24"/>
                <w:szCs w:val="24"/>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$______</w:t>
            </w:r>
          </w:p>
        </w:tc>
        <w:tc>
          <w:tcPr>
            <w:tcW w:w="640" w:type="dxa"/>
            <w:vAlign w:val="bottom"/>
          </w:tcPr>
          <w:p>
            <w:pPr>
              <w:ind w:left="300"/>
              <w:spacing w:after="0"/>
              <w:rPr>
                <w:sz w:val="20"/>
                <w:szCs w:val="20"/>
                <w:color w:val="auto"/>
              </w:rPr>
            </w:pPr>
            <w:r>
              <w:rPr>
                <w:rFonts w:ascii="Arial" w:cs="Arial" w:eastAsia="Arial" w:hAnsi="Arial"/>
                <w:sz w:val="18"/>
                <w:szCs w:val="18"/>
                <w:color w:val="auto"/>
              </w:rPr>
              <w:t>Yes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230"/>
        </w:trPr>
        <w:tc>
          <w:tcPr>
            <w:tcW w:w="440" w:type="dxa"/>
            <w:vAlign w:val="bottom"/>
          </w:tcPr>
          <w:p>
            <w:pPr>
              <w:spacing w:after="0"/>
              <w:rPr>
                <w:sz w:val="20"/>
                <w:szCs w:val="20"/>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the last day of the measurement period</w:t>
            </w:r>
          </w:p>
        </w:tc>
        <w:tc>
          <w:tcPr>
            <w:tcW w:w="3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8"/>
        </w:trPr>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9)</w:t>
            </w:r>
          </w:p>
        </w:tc>
        <w:tc>
          <w:tcPr>
            <w:tcW w:w="4440" w:type="dxa"/>
            <w:vAlign w:val="bottom"/>
          </w:tcPr>
          <w:p>
            <w:pPr>
              <w:ind w:left="280"/>
              <w:spacing w:after="0"/>
              <w:rPr>
                <w:sz w:val="20"/>
                <w:szCs w:val="20"/>
                <w:color w:val="auto"/>
              </w:rPr>
            </w:pPr>
            <w:r>
              <w:rPr>
                <w:rFonts w:ascii="Arial" w:cs="Arial" w:eastAsia="Arial" w:hAnsi="Arial"/>
                <w:sz w:val="18"/>
                <w:szCs w:val="18"/>
                <w:color w:val="auto"/>
                <w:w w:val="93"/>
              </w:rPr>
              <w:t>Total amount of Borrower’s Subsidiaries’ cash and cash</w:t>
            </w:r>
          </w:p>
        </w:tc>
        <w:tc>
          <w:tcPr>
            <w:tcW w:w="3020" w:type="dxa"/>
            <w:vAlign w:val="bottom"/>
          </w:tcPr>
          <w:p>
            <w:pPr>
              <w:spacing w:after="0"/>
              <w:rPr>
                <w:sz w:val="24"/>
                <w:szCs w:val="24"/>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$______</w:t>
            </w:r>
          </w:p>
        </w:tc>
        <w:tc>
          <w:tcPr>
            <w:tcW w:w="640" w:type="dxa"/>
            <w:vAlign w:val="bottom"/>
          </w:tcPr>
          <w:p>
            <w:pPr>
              <w:ind w:left="300"/>
              <w:spacing w:after="0"/>
              <w:rPr>
                <w:sz w:val="20"/>
                <w:szCs w:val="20"/>
                <w:color w:val="auto"/>
              </w:rPr>
            </w:pPr>
            <w:r>
              <w:rPr>
                <w:rFonts w:ascii="Arial" w:cs="Arial" w:eastAsia="Arial" w:hAnsi="Arial"/>
                <w:sz w:val="18"/>
                <w:szCs w:val="18"/>
                <w:color w:val="auto"/>
              </w:rPr>
              <w:t>Yes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230"/>
        </w:trPr>
        <w:tc>
          <w:tcPr>
            <w:tcW w:w="440" w:type="dxa"/>
            <w:vAlign w:val="bottom"/>
          </w:tcPr>
          <w:p>
            <w:pPr>
              <w:spacing w:after="0"/>
              <w:rPr>
                <w:sz w:val="20"/>
                <w:szCs w:val="20"/>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w w:val="96"/>
              </w:rPr>
              <w:t>equivalents at the last day of the measurement period</w:t>
            </w:r>
          </w:p>
        </w:tc>
        <w:tc>
          <w:tcPr>
            <w:tcW w:w="3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Deposit and Securities Accounts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(Please list all accounts; attach separate sheet if additional space needed)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jc w:val="right"/>
              <w:ind w:right="390"/>
              <w:spacing w:after="0"/>
              <w:rPr>
                <w:sz w:val="20"/>
                <w:szCs w:val="20"/>
                <w:color w:val="auto"/>
              </w:rPr>
            </w:pPr>
            <w:r>
              <w:rPr>
                <w:rFonts w:ascii="Arial" w:cs="Arial" w:eastAsia="Arial" w:hAnsi="Arial"/>
                <w:sz w:val="18"/>
                <w:szCs w:val="18"/>
                <w:b w:val="1"/>
                <w:bCs w:val="1"/>
                <w:color w:val="auto"/>
              </w:rPr>
              <w:t>Institution Name</w:t>
            </w:r>
          </w:p>
        </w:tc>
        <w:tc>
          <w:tcPr>
            <w:tcW w:w="2600" w:type="dxa"/>
            <w:vAlign w:val="bottom"/>
          </w:tcPr>
          <w:p>
            <w:pPr>
              <w:ind w:left="500"/>
              <w:spacing w:after="0"/>
              <w:rPr>
                <w:sz w:val="20"/>
                <w:szCs w:val="20"/>
                <w:color w:val="auto"/>
              </w:rPr>
            </w:pPr>
            <w:r>
              <w:rPr>
                <w:rFonts w:ascii="Arial" w:cs="Arial" w:eastAsia="Arial" w:hAnsi="Arial"/>
                <w:sz w:val="18"/>
                <w:szCs w:val="18"/>
                <w:b w:val="1"/>
                <w:bCs w:val="1"/>
                <w:color w:val="auto"/>
              </w:rPr>
              <w:t>Account Number</w:t>
            </w:r>
          </w:p>
        </w:tc>
        <w:tc>
          <w:tcPr>
            <w:tcW w:w="2200" w:type="dxa"/>
            <w:vAlign w:val="bottom"/>
            <w:gridSpan w:val="2"/>
          </w:tcPr>
          <w:p>
            <w:pPr>
              <w:ind w:left="760"/>
              <w:spacing w:after="0"/>
              <w:rPr>
                <w:sz w:val="20"/>
                <w:szCs w:val="20"/>
                <w:color w:val="auto"/>
              </w:rPr>
            </w:pPr>
            <w:r>
              <w:rPr>
                <w:rFonts w:ascii="Arial" w:cs="Arial" w:eastAsia="Arial" w:hAnsi="Arial"/>
                <w:sz w:val="18"/>
                <w:szCs w:val="18"/>
                <w:b w:val="1"/>
                <w:bCs w:val="1"/>
                <w:color w:val="auto"/>
              </w:rPr>
              <w:t>New Account?</w:t>
            </w:r>
          </w:p>
        </w:tc>
        <w:tc>
          <w:tcPr>
            <w:tcW w:w="3060" w:type="dxa"/>
            <w:vAlign w:val="bottom"/>
            <w:gridSpan w:val="2"/>
          </w:tcPr>
          <w:p>
            <w:pPr>
              <w:ind w:left="140"/>
              <w:spacing w:after="0"/>
              <w:rPr>
                <w:sz w:val="20"/>
                <w:szCs w:val="20"/>
                <w:color w:val="auto"/>
              </w:rPr>
            </w:pPr>
            <w:r>
              <w:rPr>
                <w:rFonts w:ascii="Arial" w:cs="Arial" w:eastAsia="Arial" w:hAnsi="Arial"/>
                <w:sz w:val="18"/>
                <w:szCs w:val="18"/>
                <w:b w:val="1"/>
                <w:bCs w:val="1"/>
                <w:color w:val="auto"/>
                <w:w w:val="89"/>
              </w:rPr>
              <w:t>Account Control Agreement in place?</w:t>
            </w:r>
          </w:p>
        </w:tc>
      </w:tr>
      <w:tr>
        <w:trPr>
          <w:trHeight w:val="216"/>
        </w:trPr>
        <w:tc>
          <w:tcPr>
            <w:tcW w:w="2380" w:type="dxa"/>
            <w:vAlign w:val="bottom"/>
          </w:tcPr>
          <w:p>
            <w:pPr>
              <w:jc w:val="right"/>
              <w:ind w:right="2130"/>
              <w:spacing w:after="0"/>
              <w:rPr>
                <w:sz w:val="20"/>
                <w:szCs w:val="20"/>
                <w:color w:val="auto"/>
              </w:rPr>
            </w:pPr>
            <w:r>
              <w:rPr>
                <w:rFonts w:ascii="Arial" w:cs="Arial" w:eastAsia="Arial" w:hAnsi="Arial"/>
                <w:sz w:val="18"/>
                <w:szCs w:val="18"/>
                <w:b w:val="1"/>
                <w:bCs w:val="1"/>
                <w:color w:val="auto"/>
                <w:w w:val="87"/>
              </w:rPr>
              <w:t>1)</w:t>
            </w:r>
          </w:p>
        </w:tc>
        <w:tc>
          <w:tcPr>
            <w:tcW w:w="2600" w:type="dxa"/>
            <w:vAlign w:val="bottom"/>
          </w:tcPr>
          <w:p>
            <w:pPr>
              <w:spacing w:after="0"/>
              <w:rPr>
                <w:sz w:val="18"/>
                <w:szCs w:val="18"/>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auto"/>
              </w:rPr>
              <w:t>Yes</w:t>
            </w:r>
          </w:p>
        </w:tc>
        <w:tc>
          <w:tcPr>
            <w:tcW w:w="640" w:type="dxa"/>
            <w:vAlign w:val="bottom"/>
          </w:tcPr>
          <w:p>
            <w:pPr>
              <w:ind w:left="280"/>
              <w:spacing w:after="0"/>
              <w:rPr>
                <w:sz w:val="20"/>
                <w:szCs w:val="20"/>
                <w:color w:val="auto"/>
              </w:rPr>
            </w:pPr>
            <w:r>
              <w:rPr>
                <w:rFonts w:ascii="Arial" w:cs="Arial" w:eastAsia="Arial" w:hAnsi="Arial"/>
                <w:sz w:val="18"/>
                <w:szCs w:val="18"/>
                <w:color w:val="auto"/>
              </w:rPr>
              <w:t>No</w:t>
            </w:r>
          </w:p>
        </w:tc>
        <w:tc>
          <w:tcPr>
            <w:tcW w:w="1800" w:type="dxa"/>
            <w:vAlign w:val="bottom"/>
          </w:tcPr>
          <w:p>
            <w:pPr>
              <w:ind w:left="640"/>
              <w:spacing w:after="0"/>
              <w:rPr>
                <w:sz w:val="20"/>
                <w:szCs w:val="20"/>
                <w:color w:val="auto"/>
              </w:rPr>
            </w:pPr>
            <w:r>
              <w:rPr>
                <w:rFonts w:ascii="Arial" w:cs="Arial" w:eastAsia="Arial" w:hAnsi="Arial"/>
                <w:sz w:val="18"/>
                <w:szCs w:val="18"/>
                <w:color w:val="auto"/>
              </w:rPr>
              <w:t>Yes</w:t>
            </w:r>
          </w:p>
        </w:tc>
        <w:tc>
          <w:tcPr>
            <w:tcW w:w="1260" w:type="dxa"/>
            <w:vAlign w:val="bottom"/>
          </w:tcPr>
          <w:p>
            <w:pPr>
              <w:ind w:left="900"/>
              <w:spacing w:after="0"/>
              <w:rPr>
                <w:sz w:val="20"/>
                <w:szCs w:val="20"/>
                <w:color w:val="auto"/>
              </w:rPr>
            </w:pPr>
            <w:r>
              <w:rPr>
                <w:rFonts w:ascii="Arial" w:cs="Arial" w:eastAsia="Arial" w:hAnsi="Arial"/>
                <w:sz w:val="18"/>
                <w:szCs w:val="18"/>
                <w:color w:val="auto"/>
              </w:rPr>
              <w:t>No</w:t>
            </w:r>
          </w:p>
        </w:tc>
      </w:tr>
      <w:tr>
        <w:trPr>
          <w:trHeight w:val="216"/>
        </w:trPr>
        <w:tc>
          <w:tcPr>
            <w:tcW w:w="2380" w:type="dxa"/>
            <w:vAlign w:val="bottom"/>
          </w:tcPr>
          <w:p>
            <w:pPr>
              <w:jc w:val="right"/>
              <w:ind w:right="2130"/>
              <w:spacing w:after="0"/>
              <w:rPr>
                <w:sz w:val="20"/>
                <w:szCs w:val="20"/>
                <w:color w:val="auto"/>
              </w:rPr>
            </w:pPr>
            <w:r>
              <w:rPr>
                <w:rFonts w:ascii="Arial" w:cs="Arial" w:eastAsia="Arial" w:hAnsi="Arial"/>
                <w:sz w:val="18"/>
                <w:szCs w:val="18"/>
                <w:b w:val="1"/>
                <w:bCs w:val="1"/>
                <w:color w:val="auto"/>
                <w:w w:val="87"/>
              </w:rPr>
              <w:t>2)</w:t>
            </w:r>
          </w:p>
        </w:tc>
        <w:tc>
          <w:tcPr>
            <w:tcW w:w="2600" w:type="dxa"/>
            <w:vAlign w:val="bottom"/>
          </w:tcPr>
          <w:p>
            <w:pPr>
              <w:spacing w:after="0"/>
              <w:rPr>
                <w:sz w:val="18"/>
                <w:szCs w:val="18"/>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auto"/>
              </w:rPr>
              <w:t>Yes</w:t>
            </w:r>
          </w:p>
        </w:tc>
        <w:tc>
          <w:tcPr>
            <w:tcW w:w="640" w:type="dxa"/>
            <w:vAlign w:val="bottom"/>
          </w:tcPr>
          <w:p>
            <w:pPr>
              <w:ind w:left="280"/>
              <w:spacing w:after="0"/>
              <w:rPr>
                <w:sz w:val="20"/>
                <w:szCs w:val="20"/>
                <w:color w:val="auto"/>
              </w:rPr>
            </w:pPr>
            <w:r>
              <w:rPr>
                <w:rFonts w:ascii="Arial" w:cs="Arial" w:eastAsia="Arial" w:hAnsi="Arial"/>
                <w:sz w:val="18"/>
                <w:szCs w:val="18"/>
                <w:color w:val="auto"/>
              </w:rPr>
              <w:t>No</w:t>
            </w:r>
          </w:p>
        </w:tc>
        <w:tc>
          <w:tcPr>
            <w:tcW w:w="1800" w:type="dxa"/>
            <w:vAlign w:val="bottom"/>
          </w:tcPr>
          <w:p>
            <w:pPr>
              <w:ind w:left="640"/>
              <w:spacing w:after="0"/>
              <w:rPr>
                <w:sz w:val="20"/>
                <w:szCs w:val="20"/>
                <w:color w:val="auto"/>
              </w:rPr>
            </w:pPr>
            <w:r>
              <w:rPr>
                <w:rFonts w:ascii="Arial" w:cs="Arial" w:eastAsia="Arial" w:hAnsi="Arial"/>
                <w:sz w:val="18"/>
                <w:szCs w:val="18"/>
                <w:color w:val="auto"/>
              </w:rPr>
              <w:t>Yes</w:t>
            </w:r>
          </w:p>
        </w:tc>
        <w:tc>
          <w:tcPr>
            <w:tcW w:w="1260" w:type="dxa"/>
            <w:vAlign w:val="bottom"/>
          </w:tcPr>
          <w:p>
            <w:pPr>
              <w:ind w:left="900"/>
              <w:spacing w:after="0"/>
              <w:rPr>
                <w:sz w:val="20"/>
                <w:szCs w:val="20"/>
                <w:color w:val="auto"/>
              </w:rPr>
            </w:pPr>
            <w:r>
              <w:rPr>
                <w:rFonts w:ascii="Arial" w:cs="Arial" w:eastAsia="Arial" w:hAnsi="Arial"/>
                <w:sz w:val="18"/>
                <w:szCs w:val="18"/>
                <w:color w:val="auto"/>
              </w:rPr>
              <w:t>No</w:t>
            </w:r>
          </w:p>
        </w:tc>
      </w:tr>
      <w:tr>
        <w:trPr>
          <w:trHeight w:val="216"/>
        </w:trPr>
        <w:tc>
          <w:tcPr>
            <w:tcW w:w="2380" w:type="dxa"/>
            <w:vAlign w:val="bottom"/>
          </w:tcPr>
          <w:p>
            <w:pPr>
              <w:jc w:val="right"/>
              <w:ind w:right="2130"/>
              <w:spacing w:after="0"/>
              <w:rPr>
                <w:sz w:val="20"/>
                <w:szCs w:val="20"/>
                <w:color w:val="auto"/>
              </w:rPr>
            </w:pPr>
            <w:r>
              <w:rPr>
                <w:rFonts w:ascii="Arial" w:cs="Arial" w:eastAsia="Arial" w:hAnsi="Arial"/>
                <w:sz w:val="18"/>
                <w:szCs w:val="18"/>
                <w:b w:val="1"/>
                <w:bCs w:val="1"/>
                <w:color w:val="auto"/>
                <w:w w:val="87"/>
              </w:rPr>
              <w:t>3)</w:t>
            </w:r>
          </w:p>
        </w:tc>
        <w:tc>
          <w:tcPr>
            <w:tcW w:w="2600" w:type="dxa"/>
            <w:vAlign w:val="bottom"/>
          </w:tcPr>
          <w:p>
            <w:pPr>
              <w:spacing w:after="0"/>
              <w:rPr>
                <w:sz w:val="18"/>
                <w:szCs w:val="18"/>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auto"/>
              </w:rPr>
              <w:t>Yes</w:t>
            </w:r>
          </w:p>
        </w:tc>
        <w:tc>
          <w:tcPr>
            <w:tcW w:w="640" w:type="dxa"/>
            <w:vAlign w:val="bottom"/>
          </w:tcPr>
          <w:p>
            <w:pPr>
              <w:ind w:left="280"/>
              <w:spacing w:after="0"/>
              <w:rPr>
                <w:sz w:val="20"/>
                <w:szCs w:val="20"/>
                <w:color w:val="auto"/>
              </w:rPr>
            </w:pPr>
            <w:r>
              <w:rPr>
                <w:rFonts w:ascii="Arial" w:cs="Arial" w:eastAsia="Arial" w:hAnsi="Arial"/>
                <w:sz w:val="18"/>
                <w:szCs w:val="18"/>
                <w:color w:val="auto"/>
              </w:rPr>
              <w:t>No</w:t>
            </w:r>
          </w:p>
        </w:tc>
        <w:tc>
          <w:tcPr>
            <w:tcW w:w="1800" w:type="dxa"/>
            <w:vAlign w:val="bottom"/>
          </w:tcPr>
          <w:p>
            <w:pPr>
              <w:ind w:left="640"/>
              <w:spacing w:after="0"/>
              <w:rPr>
                <w:sz w:val="20"/>
                <w:szCs w:val="20"/>
                <w:color w:val="auto"/>
              </w:rPr>
            </w:pPr>
            <w:r>
              <w:rPr>
                <w:rFonts w:ascii="Arial" w:cs="Arial" w:eastAsia="Arial" w:hAnsi="Arial"/>
                <w:sz w:val="18"/>
                <w:szCs w:val="18"/>
                <w:color w:val="auto"/>
              </w:rPr>
              <w:t>Yes</w:t>
            </w:r>
          </w:p>
        </w:tc>
        <w:tc>
          <w:tcPr>
            <w:tcW w:w="1260" w:type="dxa"/>
            <w:vAlign w:val="bottom"/>
          </w:tcPr>
          <w:p>
            <w:pPr>
              <w:ind w:left="900"/>
              <w:spacing w:after="0"/>
              <w:rPr>
                <w:sz w:val="20"/>
                <w:szCs w:val="20"/>
                <w:color w:val="auto"/>
              </w:rPr>
            </w:pPr>
            <w:r>
              <w:rPr>
                <w:rFonts w:ascii="Arial" w:cs="Arial" w:eastAsia="Arial" w:hAnsi="Arial"/>
                <w:sz w:val="18"/>
                <w:szCs w:val="18"/>
                <w:color w:val="auto"/>
              </w:rPr>
              <w:t>No</w:t>
            </w:r>
          </w:p>
        </w:tc>
      </w:tr>
      <w:tr>
        <w:trPr>
          <w:trHeight w:val="234"/>
        </w:trPr>
        <w:tc>
          <w:tcPr>
            <w:tcW w:w="2380" w:type="dxa"/>
            <w:vAlign w:val="bottom"/>
          </w:tcPr>
          <w:p>
            <w:pPr>
              <w:jc w:val="right"/>
              <w:ind w:right="2130"/>
              <w:spacing w:after="0"/>
              <w:rPr>
                <w:sz w:val="20"/>
                <w:szCs w:val="20"/>
                <w:color w:val="auto"/>
              </w:rPr>
            </w:pPr>
            <w:r>
              <w:rPr>
                <w:rFonts w:ascii="Arial" w:cs="Arial" w:eastAsia="Arial" w:hAnsi="Arial"/>
                <w:sz w:val="18"/>
                <w:szCs w:val="18"/>
                <w:b w:val="1"/>
                <w:bCs w:val="1"/>
                <w:color w:val="auto"/>
                <w:w w:val="87"/>
              </w:rPr>
              <w:t>4)</w:t>
            </w:r>
          </w:p>
        </w:tc>
        <w:tc>
          <w:tcPr>
            <w:tcW w:w="2600" w:type="dxa"/>
            <w:vAlign w:val="bottom"/>
          </w:tcPr>
          <w:p>
            <w:pPr>
              <w:spacing w:after="0"/>
              <w:rPr>
                <w:sz w:val="20"/>
                <w:szCs w:val="20"/>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auto"/>
              </w:rPr>
              <w:t>Yes</w:t>
            </w:r>
          </w:p>
        </w:tc>
        <w:tc>
          <w:tcPr>
            <w:tcW w:w="640" w:type="dxa"/>
            <w:vAlign w:val="bottom"/>
          </w:tcPr>
          <w:p>
            <w:pPr>
              <w:ind w:left="280"/>
              <w:spacing w:after="0"/>
              <w:rPr>
                <w:sz w:val="20"/>
                <w:szCs w:val="20"/>
                <w:color w:val="auto"/>
              </w:rPr>
            </w:pPr>
            <w:r>
              <w:rPr>
                <w:rFonts w:ascii="Arial" w:cs="Arial" w:eastAsia="Arial" w:hAnsi="Arial"/>
                <w:sz w:val="18"/>
                <w:szCs w:val="18"/>
                <w:color w:val="auto"/>
              </w:rPr>
              <w:t>No</w:t>
            </w:r>
          </w:p>
        </w:tc>
        <w:tc>
          <w:tcPr>
            <w:tcW w:w="1800" w:type="dxa"/>
            <w:vAlign w:val="bottom"/>
          </w:tcPr>
          <w:p>
            <w:pPr>
              <w:ind w:left="640"/>
              <w:spacing w:after="0"/>
              <w:rPr>
                <w:sz w:val="20"/>
                <w:szCs w:val="20"/>
                <w:color w:val="auto"/>
              </w:rPr>
            </w:pPr>
            <w:r>
              <w:rPr>
                <w:rFonts w:ascii="Arial" w:cs="Arial" w:eastAsia="Arial" w:hAnsi="Arial"/>
                <w:sz w:val="18"/>
                <w:szCs w:val="18"/>
                <w:color w:val="auto"/>
              </w:rPr>
              <w:t>Yes</w:t>
            </w:r>
          </w:p>
        </w:tc>
        <w:tc>
          <w:tcPr>
            <w:tcW w:w="1260" w:type="dxa"/>
            <w:vAlign w:val="bottom"/>
          </w:tcPr>
          <w:p>
            <w:pPr>
              <w:ind w:left="900"/>
              <w:spacing w:after="0"/>
              <w:rPr>
                <w:sz w:val="20"/>
                <w:szCs w:val="20"/>
                <w:color w:val="auto"/>
              </w:rPr>
            </w:pPr>
            <w:r>
              <w:rPr>
                <w:rFonts w:ascii="Arial" w:cs="Arial" w:eastAsia="Arial" w:hAnsi="Arial"/>
                <w:sz w:val="18"/>
                <w:szCs w:val="18"/>
                <w:color w:val="auto"/>
              </w:rPr>
              <w:t>No</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ectPr>
          <w:pgSz w:w="11900" w:h="16838" w:orient="portrait"/>
          <w:cols w:equalWidth="0" w:num="1">
            <w:col w:w="11300"/>
          </w:cols>
          <w:pgMar w:left="240" w:top="877" w:right="359" w:bottom="1440" w:gutter="0" w:footer="0" w:header="0"/>
        </w:sectPr>
      </w:pPr>
    </w:p>
    <w:p>
      <w:pPr>
        <w:spacing w:after="0" w:line="229" w:lineRule="exact"/>
        <w:rPr>
          <w:sz w:val="20"/>
          <w:szCs w:val="20"/>
          <w:color w:val="auto"/>
        </w:rPr>
      </w:pPr>
    </w:p>
    <w:p>
      <w:pPr>
        <w:ind w:left="820" w:hanging="812"/>
        <w:spacing w:after="0"/>
        <w:tabs>
          <w:tab w:leader="none" w:pos="82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Have there been any changes in management since the last Compliance Certificate?</w:t>
      </w:r>
    </w:p>
    <w:p>
      <w:pPr>
        <w:spacing w:after="0" w:line="225" w:lineRule="exact"/>
        <w:rPr>
          <w:rFonts w:ascii="Arial" w:cs="Arial" w:eastAsia="Arial" w:hAnsi="Arial"/>
          <w:sz w:val="18"/>
          <w:szCs w:val="18"/>
          <w:b w:val="1"/>
          <w:bCs w:val="1"/>
          <w:color w:val="auto"/>
        </w:rPr>
      </w:pPr>
    </w:p>
    <w:p>
      <w:pPr>
        <w:ind w:left="820" w:hanging="812"/>
        <w:spacing w:after="0" w:line="182" w:lineRule="auto"/>
        <w:tabs>
          <w:tab w:leader="none" w:pos="820" w:val="left"/>
        </w:tabs>
        <w:numPr>
          <w:ilvl w:val="0"/>
          <w:numId w:val="83"/>
        </w:numPr>
        <w:rPr>
          <w:rFonts w:ascii="Arial" w:cs="Arial" w:eastAsia="Arial" w:hAnsi="Arial"/>
          <w:sz w:val="34"/>
          <w:szCs w:val="34"/>
          <w:b w:val="1"/>
          <w:bCs w:val="1"/>
          <w:color w:val="auto"/>
          <w:vertAlign w:val="subscript"/>
        </w:rPr>
      </w:pPr>
      <w:r>
        <w:rPr>
          <w:rFonts w:ascii="Arial" w:cs="Arial" w:eastAsia="Arial" w:hAnsi="Arial"/>
          <w:sz w:val="17"/>
          <w:szCs w:val="17"/>
          <w:color w:val="auto"/>
        </w:rPr>
        <w:t>Have there been any transfers/sales/disposals/retirement of Collateral or Intellectual Property prohibited by the Loan Agreement?</w:t>
      </w:r>
    </w:p>
    <w:p>
      <w:pPr>
        <w:spacing w:after="0" w:line="203" w:lineRule="exact"/>
        <w:rPr>
          <w:rFonts w:ascii="Arial" w:cs="Arial" w:eastAsia="Arial" w:hAnsi="Arial"/>
          <w:sz w:val="34"/>
          <w:szCs w:val="34"/>
          <w:b w:val="1"/>
          <w:bCs w:val="1"/>
          <w:color w:val="auto"/>
          <w:vertAlign w:val="subscript"/>
        </w:rPr>
      </w:pPr>
    </w:p>
    <w:p>
      <w:pPr>
        <w:ind w:left="820" w:right="560" w:hanging="812"/>
        <w:spacing w:after="0" w:line="182" w:lineRule="auto"/>
        <w:tabs>
          <w:tab w:leader="none" w:pos="820" w:val="left"/>
        </w:tabs>
        <w:numPr>
          <w:ilvl w:val="0"/>
          <w:numId w:val="83"/>
        </w:numPr>
        <w:rPr>
          <w:rFonts w:ascii="Arial" w:cs="Arial" w:eastAsia="Arial" w:hAnsi="Arial"/>
          <w:sz w:val="34"/>
          <w:szCs w:val="34"/>
          <w:b w:val="1"/>
          <w:bCs w:val="1"/>
          <w:color w:val="auto"/>
          <w:vertAlign w:val="subscript"/>
        </w:rPr>
      </w:pPr>
      <w:r>
        <w:rPr>
          <w:rFonts w:ascii="Arial" w:cs="Arial" w:eastAsia="Arial" w:hAnsi="Arial"/>
          <w:sz w:val="17"/>
          <w:szCs w:val="17"/>
          <w:color w:val="auto"/>
        </w:rPr>
        <w:t>Have there been any new or pending claims or causes of action against Borrower that involve more than One Hundred Thousand Dollars ($100,000.00)?</w:t>
      </w:r>
    </w:p>
    <w:p>
      <w:pPr>
        <w:spacing w:after="0" w:line="203" w:lineRule="exact"/>
        <w:rPr>
          <w:rFonts w:ascii="Arial" w:cs="Arial" w:eastAsia="Arial" w:hAnsi="Arial"/>
          <w:sz w:val="34"/>
          <w:szCs w:val="34"/>
          <w:b w:val="1"/>
          <w:bCs w:val="1"/>
          <w:color w:val="auto"/>
          <w:vertAlign w:val="subscript"/>
        </w:rPr>
      </w:pPr>
    </w:p>
    <w:p>
      <w:pPr>
        <w:ind w:left="820"/>
        <w:spacing w:after="0"/>
        <w:rPr>
          <w:rFonts w:ascii="Arial" w:cs="Arial" w:eastAsia="Arial" w:hAnsi="Arial"/>
          <w:sz w:val="34"/>
          <w:szCs w:val="34"/>
          <w:b w:val="1"/>
          <w:bCs w:val="1"/>
          <w:color w:val="auto"/>
          <w:vertAlign w:val="subscript"/>
        </w:rPr>
      </w:pPr>
      <w:r>
        <w:rPr>
          <w:rFonts w:ascii="Arial" w:cs="Arial" w:eastAsia="Arial" w:hAnsi="Arial"/>
          <w:sz w:val="16"/>
          <w:szCs w:val="16"/>
          <w:color w:val="auto"/>
        </w:rPr>
        <w:t>Have there been any amendments of or other changes to the capitalization table of Borrower and to the Operating</w:t>
      </w:r>
    </w:p>
    <w:p>
      <w:pPr>
        <w:spacing w:after="0" w:line="46" w:lineRule="exact"/>
        <w:rPr>
          <w:rFonts w:ascii="Arial" w:cs="Arial" w:eastAsia="Arial" w:hAnsi="Arial"/>
          <w:sz w:val="34"/>
          <w:szCs w:val="34"/>
          <w:b w:val="1"/>
          <w:bCs w:val="1"/>
          <w:color w:val="auto"/>
          <w:vertAlign w:val="subscript"/>
        </w:rPr>
      </w:pPr>
    </w:p>
    <w:p>
      <w:pPr>
        <w:ind w:left="820" w:right="80" w:hanging="812"/>
        <w:spacing w:after="0" w:line="261" w:lineRule="auto"/>
        <w:tabs>
          <w:tab w:leader="none" w:pos="82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Documents of Borrower or any of its Subsidiaries? If yes, provide copies of any such amendments or changes with this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345"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253"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361"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ectPr>
          <w:pgSz w:w="11900" w:h="16838" w:orient="portrait"/>
          <w:cols w:equalWidth="0" w:num="2">
            <w:col w:w="9220" w:space="420"/>
            <w:col w:w="1660"/>
          </w:cols>
          <w:pgMar w:left="240" w:top="877" w:right="35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auto"/>
        </w:rPr>
        <w:t>Exceptions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 for itself and on behalf of all Borrowers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26073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22860</wp:posOffset>
            </wp:positionV>
            <wp:extent cx="26073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-121920</wp:posOffset>
            </wp:positionV>
            <wp:extent cx="26073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ind w:left="4580"/>
              <w:spacing w:after="0"/>
              <w:rPr>
                <w:sz w:val="20"/>
                <w:szCs w:val="20"/>
                <w:color w:val="auto"/>
              </w:rPr>
            </w:pPr>
            <w:r>
              <w:rPr>
                <w:rFonts w:ascii="Arial" w:cs="Arial" w:eastAsia="Arial" w:hAnsi="Arial"/>
                <w:sz w:val="18"/>
                <w:szCs w:val="18"/>
                <w:b w:val="1"/>
                <w:bCs w:val="1"/>
                <w:color w:val="auto"/>
              </w:rPr>
              <w:t>LENDER USE ONLY</w:t>
            </w:r>
          </w:p>
        </w:tc>
        <w:tc>
          <w:tcPr>
            <w:tcW w:w="106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32"/>
        </w:trPr>
        <w:tc>
          <w:tcPr>
            <w:tcW w:w="7600" w:type="dxa"/>
            <w:vAlign w:val="bottom"/>
            <w:gridSpan w:val="2"/>
          </w:tcPr>
          <w:p>
            <w:pPr>
              <w:ind w:left="4580"/>
              <w:spacing w:after="0"/>
              <w:rPr>
                <w:sz w:val="20"/>
                <w:szCs w:val="20"/>
                <w:color w:val="auto"/>
              </w:rPr>
            </w:pPr>
            <w:r>
              <w:rPr>
                <w:rFonts w:ascii="Arial" w:cs="Arial" w:eastAsia="Arial" w:hAnsi="Arial"/>
                <w:sz w:val="18"/>
                <w:szCs w:val="18"/>
                <w:color w:val="auto"/>
                <w:w w:val="91"/>
              </w:rPr>
              <w:t>Received by: ______________________</w:t>
            </w:r>
          </w:p>
        </w:tc>
        <w:tc>
          <w:tcPr>
            <w:tcW w:w="3820" w:type="dxa"/>
            <w:vAlign w:val="bottom"/>
          </w:tcPr>
          <w:p>
            <w:pPr>
              <w:ind w:left="1200"/>
              <w:spacing w:after="0"/>
              <w:rPr>
                <w:sz w:val="20"/>
                <w:szCs w:val="20"/>
                <w:color w:val="auto"/>
              </w:rPr>
            </w:pPr>
            <w:r>
              <w:rPr>
                <w:rFonts w:ascii="Arial" w:cs="Arial" w:eastAsia="Arial" w:hAnsi="Arial"/>
                <w:sz w:val="18"/>
                <w:szCs w:val="18"/>
                <w:color w:val="auto"/>
              </w:rPr>
              <w:t>Date: ________________</w:t>
            </w:r>
          </w:p>
        </w:tc>
      </w:tr>
      <w:tr>
        <w:trPr>
          <w:trHeight w:val="432"/>
        </w:trPr>
        <w:tc>
          <w:tcPr>
            <w:tcW w:w="7600" w:type="dxa"/>
            <w:vAlign w:val="bottom"/>
            <w:gridSpan w:val="2"/>
          </w:tcPr>
          <w:p>
            <w:pPr>
              <w:ind w:left="4580"/>
              <w:spacing w:after="0"/>
              <w:rPr>
                <w:sz w:val="20"/>
                <w:szCs w:val="20"/>
                <w:color w:val="auto"/>
              </w:rPr>
            </w:pPr>
            <w:r>
              <w:rPr>
                <w:rFonts w:ascii="Arial" w:cs="Arial" w:eastAsia="Arial" w:hAnsi="Arial"/>
                <w:sz w:val="18"/>
                <w:szCs w:val="18"/>
                <w:color w:val="auto"/>
                <w:w w:val="92"/>
              </w:rPr>
              <w:t>Verified by: _______________________</w:t>
            </w:r>
          </w:p>
        </w:tc>
        <w:tc>
          <w:tcPr>
            <w:tcW w:w="3820" w:type="dxa"/>
            <w:vAlign w:val="bottom"/>
          </w:tcPr>
          <w:p>
            <w:pPr>
              <w:ind w:left="1200"/>
              <w:spacing w:after="0"/>
              <w:rPr>
                <w:sz w:val="20"/>
                <w:szCs w:val="20"/>
                <w:color w:val="auto"/>
              </w:rPr>
            </w:pPr>
            <w:r>
              <w:rPr>
                <w:rFonts w:ascii="Arial" w:cs="Arial" w:eastAsia="Arial" w:hAnsi="Arial"/>
                <w:sz w:val="18"/>
                <w:szCs w:val="18"/>
                <w:color w:val="auto"/>
              </w:rPr>
              <w:t>Date: ________________</w:t>
            </w:r>
          </w:p>
        </w:tc>
      </w:tr>
      <w:tr>
        <w:trPr>
          <w:trHeight w:val="432"/>
        </w:trPr>
        <w:tc>
          <w:tcPr>
            <w:tcW w:w="6540" w:type="dxa"/>
            <w:vAlign w:val="bottom"/>
          </w:tcPr>
          <w:p>
            <w:pPr>
              <w:ind w:left="4580"/>
              <w:spacing w:after="0"/>
              <w:rPr>
                <w:sz w:val="20"/>
                <w:szCs w:val="20"/>
                <w:color w:val="auto"/>
              </w:rPr>
            </w:pPr>
            <w:r>
              <w:rPr>
                <w:rFonts w:ascii="Arial" w:cs="Arial" w:eastAsia="Arial" w:hAnsi="Arial"/>
                <w:sz w:val="18"/>
                <w:szCs w:val="18"/>
                <w:color w:val="auto"/>
              </w:rPr>
              <w:t>Compliance Status:</w:t>
            </w:r>
          </w:p>
        </w:tc>
        <w:tc>
          <w:tcPr>
            <w:tcW w:w="1060" w:type="dxa"/>
            <w:vAlign w:val="bottom"/>
          </w:tcPr>
          <w:p>
            <w:pPr>
              <w:ind w:left="260"/>
              <w:spacing w:after="0"/>
              <w:rPr>
                <w:sz w:val="20"/>
                <w:szCs w:val="20"/>
                <w:color w:val="auto"/>
              </w:rPr>
            </w:pPr>
            <w:r>
              <w:rPr>
                <w:rFonts w:ascii="Arial" w:cs="Arial" w:eastAsia="Arial" w:hAnsi="Arial"/>
                <w:sz w:val="18"/>
                <w:szCs w:val="18"/>
                <w:color w:val="auto"/>
              </w:rPr>
              <w:t>Yes</w:t>
            </w:r>
          </w:p>
        </w:tc>
        <w:tc>
          <w:tcPr>
            <w:tcW w:w="3820" w:type="dxa"/>
            <w:vAlign w:val="bottom"/>
          </w:tcPr>
          <w:p>
            <w:pPr>
              <w:ind w:left="40"/>
              <w:spacing w:after="0"/>
              <w:rPr>
                <w:sz w:val="20"/>
                <w:szCs w:val="20"/>
                <w:color w:val="auto"/>
              </w:rPr>
            </w:pPr>
            <w:r>
              <w:rPr>
                <w:rFonts w:ascii="Arial" w:cs="Arial" w:eastAsia="Arial" w:hAnsi="Arial"/>
                <w:sz w:val="18"/>
                <w:szCs w:val="18"/>
                <w:color w:val="auto"/>
              </w:rPr>
              <w:t>No</w:t>
            </w:r>
          </w:p>
        </w:tc>
      </w:tr>
      <w:tr>
        <w:trPr>
          <w:trHeight w:val="648"/>
        </w:trPr>
        <w:tc>
          <w:tcPr>
            <w:tcW w:w="6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Secured Promissory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SECURED PROMISSORY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w:t>
      </w:r>
    </w:p>
    <w:p>
      <w:pPr>
        <w:spacing w:after="0" w:line="211" w:lineRule="exact"/>
        <w:rPr>
          <w:sz w:val="20"/>
          <w:szCs w:val="20"/>
          <w:color w:val="auto"/>
        </w:rPr>
      </w:pPr>
    </w:p>
    <w:p>
      <w:pPr>
        <w:spacing w:after="0"/>
        <w:tabs>
          <w:tab w:leader="none" w:pos="9380" w:val="left"/>
        </w:tabs>
        <w:rPr>
          <w:sz w:val="20"/>
          <w:szCs w:val="20"/>
          <w:color w:val="auto"/>
        </w:rPr>
      </w:pPr>
      <w:r>
        <w:rPr>
          <w:rFonts w:ascii="Arial" w:cs="Arial" w:eastAsia="Arial" w:hAnsi="Arial"/>
          <w:sz w:val="18"/>
          <w:szCs w:val="18"/>
          <w:color w:val="auto"/>
        </w:rPr>
        <w:t>$____________________</w:t>
      </w:r>
      <w:r>
        <w:rPr>
          <w:sz w:val="20"/>
          <w:szCs w:val="20"/>
          <w:color w:val="auto"/>
        </w:rPr>
        <w:tab/>
      </w:r>
      <w:r>
        <w:rPr>
          <w:rFonts w:ascii="Arial" w:cs="Arial" w:eastAsia="Arial" w:hAnsi="Arial"/>
          <w:sz w:val="16"/>
          <w:szCs w:val="16"/>
          <w:color w:val="auto"/>
        </w:rPr>
        <w:t>Dated: December [_], 2013</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VALUE RECEIVED, the undersigned, ACURA PHARMACEUTICALS, INC., a New York corporation with offices located at 616 N. North Court, Suite 120, Palatine, Illinois and ACURA PHARMACEUTICAL TECHNOLOGIES, INC., an Indiana corporation with offices locates at 16235 State Road 17, Culver, IN 46511 (individually and collectively,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 HEREBY PROMISES TO PAY to the order of OXFORD FINANCE LLC (“</w:t>
      </w:r>
      <w:r>
        <w:rPr>
          <w:rFonts w:ascii="Arial" w:cs="Arial" w:eastAsia="Arial" w:hAnsi="Arial"/>
          <w:sz w:val="18"/>
          <w:szCs w:val="18"/>
          <w:b w:val="1"/>
          <w:bCs w:val="1"/>
          <w:color w:val="auto"/>
        </w:rPr>
        <w:t>Lender</w:t>
      </w:r>
      <w:r>
        <w:rPr>
          <w:rFonts w:ascii="Arial" w:cs="Arial" w:eastAsia="Arial" w:hAnsi="Arial"/>
          <w:sz w:val="18"/>
          <w:szCs w:val="18"/>
          <w:color w:val="auto"/>
        </w:rPr>
        <w:t>”) the principal amount of TEN MILLION DOLLARS ($10,000,000) or such lesser amount as shall equal the outstanding principal balance of the Term Loan made to Borrower by Lender, plus interest on the aggregate unpaid principal amount of such Term Loan, at the rates and in accordance with the terms of the Loan and Security Agreement dated December [_], 2013 by and among Borrower, Lender, Oxford Finance LLC, as Collateral Agent, and the other Lenders from time to time party thereto (as amended, restated,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Principal, interest and all other amounts due with respect to the Term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 (c) and Section 2.2(d) of the Loan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Loan, interest on the Term Loan and all other amounts due Lender under the Loan Agreement is secured under the Loan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New York.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IN WITNESS WHEREOF, Borrower has caused this Note to be duly executed by one of its officers thereunto duly authorized on the date hereof.</w:t>
      </w:r>
    </w:p>
    <w:p>
      <w:pPr>
        <w:spacing w:after="0" w:line="24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22860</wp:posOffset>
            </wp:positionV>
            <wp:extent cx="31813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-121920</wp:posOffset>
            </wp:positionV>
            <wp:extent cx="31813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ACURA PHARMACEUTICAL TECHNOLOGIES,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22860</wp:posOffset>
            </wp:positionV>
            <wp:extent cx="31813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-121920</wp:posOffset>
            </wp:positionV>
            <wp:extent cx="31813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Term Loan Secured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426720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980" w:type="dxa"/>
            <w:vAlign w:val="bottom"/>
            <w:gridSpan w:val="6"/>
          </w:tcPr>
          <w:p>
            <w:pPr>
              <w:ind w:left="160"/>
              <w:spacing w:after="0"/>
              <w:rPr>
                <w:sz w:val="20"/>
                <w:szCs w:val="20"/>
                <w:color w:val="auto"/>
              </w:rPr>
            </w:pPr>
            <w:r>
              <w:rPr>
                <w:rFonts w:ascii="Arial" w:cs="Arial" w:eastAsia="Arial" w:hAnsi="Arial"/>
                <w:sz w:val="18"/>
                <w:szCs w:val="18"/>
                <w:b w:val="1"/>
                <w:bCs w:val="1"/>
                <w:color w:val="auto"/>
              </w:rPr>
              <w:t>LOAN INTEREST RATE AND PAYMENTS OF PRINCIPAL</w:t>
            </w:r>
          </w:p>
        </w:tc>
        <w:tc>
          <w:tcPr>
            <w:tcW w:w="2280" w:type="dxa"/>
            <w:vAlign w:val="bottom"/>
          </w:tcPr>
          <w:p>
            <w:pPr>
              <w:spacing w:after="0"/>
              <w:rPr>
                <w:sz w:val="20"/>
                <w:szCs w:val="20"/>
                <w:color w:val="auto"/>
              </w:rPr>
            </w:pPr>
          </w:p>
        </w:tc>
      </w:tr>
      <w:tr>
        <w:trPr>
          <w:trHeight w:val="41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ind w:left="570"/>
              <w:spacing w:after="0"/>
              <w:rPr>
                <w:sz w:val="20"/>
                <w:szCs w:val="20"/>
                <w:color w:val="auto"/>
              </w:rPr>
            </w:pPr>
            <w:r>
              <w:rPr>
                <w:rFonts w:ascii="Arial" w:cs="Arial" w:eastAsia="Arial" w:hAnsi="Arial"/>
                <w:sz w:val="18"/>
                <w:szCs w:val="18"/>
                <w:b w:val="1"/>
                <w:bCs w:val="1"/>
                <w:color w:val="auto"/>
                <w:w w:val="94"/>
              </w:rPr>
              <w:t>Principal</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Scheduled</w:t>
            </w:r>
          </w:p>
        </w:tc>
        <w:tc>
          <w:tcPr>
            <w:tcW w:w="2280" w:type="dxa"/>
            <w:vAlign w:val="bottom"/>
          </w:tcPr>
          <w:p>
            <w:pPr>
              <w:spacing w:after="0"/>
              <w:rPr>
                <w:sz w:val="24"/>
                <w:szCs w:val="24"/>
                <w:color w:val="auto"/>
              </w:rPr>
            </w:pPr>
          </w:p>
        </w:tc>
      </w:tr>
      <w:tr>
        <w:trPr>
          <w:trHeight w:val="234"/>
        </w:trPr>
        <w:tc>
          <w:tcPr>
            <w:tcW w:w="1500" w:type="dxa"/>
            <w:vAlign w:val="bottom"/>
            <w:gridSpan w:val="2"/>
          </w:tcPr>
          <w:p>
            <w:pPr>
              <w:ind w:left="520"/>
              <w:spacing w:after="0"/>
              <w:rPr>
                <w:sz w:val="20"/>
                <w:szCs w:val="20"/>
                <w:color w:val="auto"/>
              </w:rPr>
            </w:pPr>
            <w:r>
              <w:rPr>
                <w:rFonts w:ascii="Arial" w:cs="Arial" w:eastAsia="Arial" w:hAnsi="Arial"/>
                <w:sz w:val="18"/>
                <w:szCs w:val="18"/>
                <w:b w:val="1"/>
                <w:bCs w:val="1"/>
                <w:color w:val="auto"/>
              </w:rPr>
              <w:t>Date</w:t>
            </w:r>
          </w:p>
        </w:tc>
        <w:tc>
          <w:tcPr>
            <w:tcW w:w="1660" w:type="dxa"/>
            <w:vAlign w:val="bottom"/>
          </w:tcPr>
          <w:p>
            <w:pPr>
              <w:jc w:val="center"/>
              <w:ind w:left="570"/>
              <w:spacing w:after="0"/>
              <w:rPr>
                <w:sz w:val="20"/>
                <w:szCs w:val="20"/>
                <w:color w:val="auto"/>
              </w:rPr>
            </w:pPr>
            <w:r>
              <w:rPr>
                <w:rFonts w:ascii="Arial" w:cs="Arial" w:eastAsia="Arial" w:hAnsi="Arial"/>
                <w:sz w:val="18"/>
                <w:szCs w:val="18"/>
                <w:b w:val="1"/>
                <w:bCs w:val="1"/>
                <w:color w:val="auto"/>
                <w:w w:val="94"/>
              </w:rPr>
              <w:t>Amount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2"/>
          </w:tcPr>
          <w:p>
            <w:pPr>
              <w:ind w:left="760"/>
              <w:spacing w:after="0"/>
              <w:rPr>
                <w:sz w:val="20"/>
                <w:szCs w:val="20"/>
                <w:color w:val="auto"/>
              </w:rPr>
            </w:pPr>
            <w:r>
              <w:rPr>
                <w:rFonts w:ascii="Arial" w:cs="Arial" w:eastAsia="Arial" w:hAnsi="Arial"/>
                <w:sz w:val="18"/>
                <w:szCs w:val="18"/>
                <w:b w:val="1"/>
                <w:bCs w:val="1"/>
                <w:color w:val="auto"/>
              </w:rPr>
              <w:t>Interest Rate</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Payment Amount</w:t>
            </w:r>
          </w:p>
        </w:tc>
        <w:tc>
          <w:tcPr>
            <w:tcW w:w="2280" w:type="dxa"/>
            <w:vAlign w:val="bottom"/>
          </w:tcPr>
          <w:p>
            <w:pPr>
              <w:ind w:left="680"/>
              <w:spacing w:after="0"/>
              <w:rPr>
                <w:sz w:val="20"/>
                <w:szCs w:val="20"/>
                <w:color w:val="auto"/>
              </w:rPr>
            </w:pPr>
            <w:r>
              <w:rPr>
                <w:rFonts w:ascii="Arial" w:cs="Arial" w:eastAsia="Arial" w:hAnsi="Arial"/>
                <w:sz w:val="18"/>
                <w:szCs w:val="18"/>
                <w:b w:val="1"/>
                <w:bCs w:val="1"/>
                <w:color w:val="auto"/>
              </w:rPr>
              <w:t>Notation By</w:t>
            </w:r>
          </w:p>
        </w:tc>
      </w:tr>
      <w:tr>
        <w:trPr>
          <w:trHeight w:val="1290"/>
        </w:trPr>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-865505</wp:posOffset>
            </wp:positionV>
            <wp:extent cx="285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680" w:type="dxa"/>
            <w:vAlign w:val="bottom"/>
          </w:tcPr>
          <w:p>
            <w:pPr>
              <w:ind w:left="2620"/>
              <w:spacing w:after="0"/>
              <w:rPr>
                <w:sz w:val="20"/>
                <w:szCs w:val="20"/>
                <w:color w:val="auto"/>
              </w:rPr>
            </w:pPr>
            <w:r>
              <w:rPr>
                <w:rFonts w:ascii="Arial" w:cs="Arial" w:eastAsia="Arial" w:hAnsi="Arial"/>
                <w:sz w:val="18"/>
                <w:szCs w:val="18"/>
                <w:b w:val="1"/>
                <w:bCs w:val="1"/>
                <w:color w:val="auto"/>
              </w:rPr>
              <w:t>CORPORATE BORROWING CERTIFICATE</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ORROWER</w:t>
            </w:r>
            <w:r>
              <w:rPr>
                <w:rFonts w:ascii="Arial" w:cs="Arial" w:eastAsia="Arial" w:hAnsi="Arial"/>
                <w:sz w:val="18"/>
                <w:szCs w:val="18"/>
                <w:b w:val="1"/>
                <w:bCs w:val="1"/>
                <w:color w:val="auto"/>
              </w:rPr>
              <w:t>:</w:t>
            </w:r>
          </w:p>
        </w:tc>
        <w:tc>
          <w:tcPr>
            <w:tcW w:w="7680" w:type="dxa"/>
            <w:vAlign w:val="bottom"/>
          </w:tcPr>
          <w:p>
            <w:pPr>
              <w:ind w:left="440"/>
              <w:spacing w:after="0"/>
              <w:rPr>
                <w:sz w:val="20"/>
                <w:szCs w:val="20"/>
                <w:color w:val="auto"/>
              </w:rPr>
            </w:pPr>
            <w:r>
              <w:rPr>
                <w:rFonts w:ascii="Arial" w:cs="Arial" w:eastAsia="Arial" w:hAnsi="Arial"/>
                <w:sz w:val="18"/>
                <w:szCs w:val="18"/>
                <w:color w:val="auto"/>
              </w:rPr>
              <w:t>[ACURA PHARMACEUTICALS, INC.][</w:t>
            </w:r>
          </w:p>
        </w:tc>
        <w:tc>
          <w:tcPr>
            <w:tcW w:w="2460" w:type="dxa"/>
            <w:vAlign w:val="bottom"/>
          </w:tcPr>
          <w:p>
            <w:pPr>
              <w:ind w:left="1420"/>
              <w:spacing w:after="0"/>
              <w:rPr>
                <w:sz w:val="20"/>
                <w:szCs w:val="20"/>
                <w:color w:val="auto"/>
              </w:rPr>
            </w:pPr>
            <w:r>
              <w:rPr>
                <w:rFonts w:ascii="Arial" w:cs="Arial" w:eastAsia="Arial" w:hAnsi="Arial"/>
                <w:sz w:val="18"/>
                <w:szCs w:val="18"/>
                <w:b w:val="1"/>
                <w:bCs w:val="1"/>
                <w:color w:val="auto"/>
                <w:w w:val="97"/>
              </w:rPr>
              <w:t>D</w:t>
            </w:r>
            <w:r>
              <w:rPr>
                <w:rFonts w:ascii="Arial" w:cs="Arial" w:eastAsia="Arial" w:hAnsi="Arial"/>
                <w:sz w:val="12"/>
                <w:szCs w:val="12"/>
                <w:b w:val="1"/>
                <w:bCs w:val="1"/>
                <w:color w:val="auto"/>
                <w:w w:val="97"/>
              </w:rPr>
              <w:t>ATE</w:t>
            </w:r>
            <w:r>
              <w:rPr>
                <w:rFonts w:ascii="Arial" w:cs="Arial" w:eastAsia="Arial" w:hAnsi="Arial"/>
                <w:sz w:val="18"/>
                <w:szCs w:val="18"/>
                <w:color w:val="auto"/>
                <w:w w:val="97"/>
              </w:rPr>
              <w:t>: [DATE]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ACURA PHARMACEUTICAL</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ENDER</w:t>
            </w:r>
            <w:r>
              <w:rPr>
                <w:rFonts w:ascii="Arial" w:cs="Arial" w:eastAsia="Arial" w:hAnsi="Arial"/>
                <w:sz w:val="18"/>
                <w:szCs w:val="18"/>
                <w:b w:val="1"/>
                <w:bCs w:val="1"/>
                <w:color w:val="auto"/>
              </w:rPr>
              <w:t>:</w:t>
            </w:r>
          </w:p>
        </w:tc>
        <w:tc>
          <w:tcPr>
            <w:tcW w:w="7680" w:type="dxa"/>
            <w:vAlign w:val="bottom"/>
          </w:tcPr>
          <w:p>
            <w:pPr>
              <w:ind w:left="440"/>
              <w:spacing w:after="0"/>
              <w:rPr>
                <w:sz w:val="20"/>
                <w:szCs w:val="20"/>
                <w:color w:val="auto"/>
              </w:rPr>
            </w:pPr>
            <w:r>
              <w:rPr>
                <w:rFonts w:ascii="Arial" w:cs="Arial" w:eastAsia="Arial" w:hAnsi="Arial"/>
                <w:sz w:val="18"/>
                <w:szCs w:val="18"/>
                <w:color w:val="auto"/>
              </w:rPr>
              <w:t>TECHNOLOGIES, INC.]</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vMerge w:val="continue"/>
          </w:tcPr>
          <w:p>
            <w:pPr>
              <w:spacing w:after="0"/>
              <w:rPr>
                <w:sz w:val="20"/>
                <w:szCs w:val="20"/>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OXFORD FINANCE LLC, as Collateral Agent and Lender</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as follows, as of the date set forth above:</w:t>
      </w:r>
    </w:p>
    <w:p>
      <w:pPr>
        <w:spacing w:after="0" w:line="225" w:lineRule="exact"/>
        <w:rPr>
          <w:sz w:val="20"/>
          <w:szCs w:val="20"/>
          <w:color w:val="auto"/>
        </w:rPr>
      </w:pPr>
    </w:p>
    <w:p>
      <w:pPr>
        <w:ind w:left="600" w:hanging="592"/>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am the Secretary, Assistant Secretary or other officer of Borrower. My title is as set forth below.</w:t>
      </w:r>
    </w:p>
    <w:p>
      <w:pPr>
        <w:spacing w:after="0" w:line="225" w:lineRule="exact"/>
        <w:rPr>
          <w:rFonts w:ascii="Arial" w:cs="Arial" w:eastAsia="Arial" w:hAnsi="Arial"/>
          <w:sz w:val="18"/>
          <w:szCs w:val="18"/>
          <w:color w:val="auto"/>
        </w:rPr>
      </w:pPr>
    </w:p>
    <w:p>
      <w:pPr>
        <w:ind w:firstLine="8"/>
        <w:spacing w:after="0" w:line="277" w:lineRule="auto"/>
        <w:tabs>
          <w:tab w:leader="none" w:pos="9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[ACURA PHARMACEUTICALS, INC.][ ACURA PHARMACEUTICAL TECHNOLOGIES, INC.] existing under the laws of the State of [New York][Indiana].</w:t>
      </w:r>
    </w:p>
    <w:p>
      <w:pPr>
        <w:spacing w:after="0" w:line="170" w:lineRule="exact"/>
        <w:rPr>
          <w:rFonts w:ascii="Arial" w:cs="Arial" w:eastAsia="Arial" w:hAnsi="Arial"/>
          <w:sz w:val="18"/>
          <w:szCs w:val="18"/>
          <w:color w:val="auto"/>
        </w:rPr>
      </w:pPr>
    </w:p>
    <w:p>
      <w:pPr>
        <w:jc w:val="both"/>
        <w:ind w:firstLine="8"/>
        <w:spacing w:after="0" w:line="279" w:lineRule="auto"/>
        <w:tabs>
          <w:tab w:leader="none" w:pos="606"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respectively, are true, correct and complete copies of (i) Borrower’s Articles/Certificate of Incorporation (including amendments), as filed with the Secretary of State of the state in which Borrower is incorporated as set forth in paragraph 2 above; and (ii) Borrower’s Bylaws. Neither such Articles/Certificate of Incorporation nor such Bylaws have been amended, annulled, rescinded, revoked or supplemented, and such Articles/Certificate of Incorporation and such Bylaws remain in full force and effect as of the date hereof.</w:t>
      </w:r>
    </w:p>
    <w:p>
      <w:pPr>
        <w:spacing w:after="0" w:line="171" w:lineRule="exact"/>
        <w:rPr>
          <w:rFonts w:ascii="Arial" w:cs="Arial" w:eastAsia="Arial" w:hAnsi="Arial"/>
          <w:sz w:val="17"/>
          <w:szCs w:val="17"/>
          <w:color w:val="auto"/>
        </w:rPr>
      </w:pPr>
    </w:p>
    <w:p>
      <w:pPr>
        <w:jc w:val="both"/>
        <w:ind w:firstLine="8"/>
        <w:spacing w:after="0" w:line="259" w:lineRule="auto"/>
        <w:tabs>
          <w:tab w:leader="none" w:pos="62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Balance of Page Intentionally Left Blank</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39" w:name="page140"/>
    <w:bookmarkEnd w:id="139"/>
    <w:p>
      <w:pPr>
        <w:ind w:left="660"/>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ESOLVED</w:t>
      </w:r>
      <w:r>
        <w:rPr>
          <w:rFonts w:ascii="Arial" w:cs="Arial" w:eastAsia="Arial" w:hAnsi="Arial"/>
          <w:sz w:val="17"/>
          <w:szCs w:val="17"/>
          <w:color w:val="auto"/>
        </w:rPr>
        <w:t>, that</w:t>
      </w:r>
      <w:r>
        <w:rPr>
          <w:rFonts w:ascii="Arial" w:cs="Arial" w:eastAsia="Arial" w:hAnsi="Arial"/>
          <w:sz w:val="17"/>
          <w:szCs w:val="17"/>
          <w:b w:val="1"/>
          <w:bCs w:val="1"/>
          <w:color w:val="auto"/>
        </w:rPr>
        <w:t xml:space="preserve"> any one </w:t>
      </w:r>
      <w:r>
        <w:rPr>
          <w:rFonts w:ascii="Arial" w:cs="Arial" w:eastAsia="Arial" w:hAnsi="Arial"/>
          <w:sz w:val="17"/>
          <w:szCs w:val="17"/>
          <w:color w:val="auto"/>
        </w:rPr>
        <w:t>of the following officers or employees of Borrower, whose names, titles and signatures are below, may act on behalf of</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Authorized to</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Add or Remove</w:t>
            </w:r>
          </w:p>
        </w:tc>
      </w:tr>
      <w:tr>
        <w:trPr>
          <w:trHeight w:val="230"/>
        </w:trPr>
        <w:tc>
          <w:tcPr>
            <w:tcW w:w="3000" w:type="dxa"/>
            <w:vAlign w:val="bottom"/>
            <w:gridSpan w:val="2"/>
          </w:tcPr>
          <w:p>
            <w:pPr>
              <w:ind w:left="1220"/>
              <w:spacing w:after="0"/>
              <w:rPr>
                <w:sz w:val="20"/>
                <w:szCs w:val="20"/>
                <w:color w:val="auto"/>
              </w:rPr>
            </w:pPr>
            <w:r>
              <w:rPr>
                <w:rFonts w:ascii="Arial" w:cs="Arial" w:eastAsia="Arial" w:hAnsi="Arial"/>
                <w:sz w:val="18"/>
                <w:szCs w:val="18"/>
                <w:color w:val="auto"/>
              </w:rPr>
              <w:t>Name</w:t>
            </w:r>
          </w:p>
        </w:tc>
        <w:tc>
          <w:tcPr>
            <w:tcW w:w="2620" w:type="dxa"/>
            <w:vAlign w:val="bottom"/>
            <w:gridSpan w:val="2"/>
          </w:tcPr>
          <w:p>
            <w:pPr>
              <w:ind w:left="1080"/>
              <w:spacing w:after="0"/>
              <w:rPr>
                <w:sz w:val="20"/>
                <w:szCs w:val="20"/>
                <w:color w:val="auto"/>
              </w:rPr>
            </w:pPr>
            <w:r>
              <w:rPr>
                <w:rFonts w:ascii="Arial" w:cs="Arial" w:eastAsia="Arial" w:hAnsi="Arial"/>
                <w:sz w:val="18"/>
                <w:szCs w:val="18"/>
                <w:color w:val="auto"/>
              </w:rPr>
              <w:t>Title</w:t>
            </w:r>
          </w:p>
        </w:tc>
        <w:tc>
          <w:tcPr>
            <w:tcW w:w="2840" w:type="dxa"/>
            <w:vAlign w:val="bottom"/>
          </w:tcPr>
          <w:p>
            <w:pPr>
              <w:ind w:left="1080"/>
              <w:spacing w:after="0"/>
              <w:rPr>
                <w:sz w:val="20"/>
                <w:szCs w:val="20"/>
                <w:color w:val="auto"/>
              </w:rPr>
            </w:pPr>
            <w:r>
              <w:rPr>
                <w:rFonts w:ascii="Arial" w:cs="Arial" w:eastAsia="Arial" w:hAnsi="Arial"/>
                <w:sz w:val="18"/>
                <w:szCs w:val="18"/>
                <w:color w:val="auto"/>
              </w:rPr>
              <w:t>Signature</w:t>
            </w: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Signatories</w:t>
            </w:r>
          </w:p>
        </w:tc>
      </w:tr>
      <w:tr>
        <w:trPr>
          <w:trHeight w:val="426"/>
        </w:trPr>
        <w:tc>
          <w:tcPr>
            <w:tcW w:w="28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6"/>
        </w:trPr>
        <w:tc>
          <w:tcPr>
            <w:tcW w:w="2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6"/>
        </w:trPr>
        <w:tc>
          <w:tcPr>
            <w:tcW w:w="2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6"/>
        </w:trPr>
        <w:tc>
          <w:tcPr>
            <w:tcW w:w="2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 time to time, add or remove</w:t>
      </w:r>
      <w:r>
        <w:rPr>
          <w:rFonts w:ascii="Arial" w:cs="Arial" w:eastAsia="Arial" w:hAnsi="Arial"/>
          <w:sz w:val="18"/>
          <w:szCs w:val="18"/>
          <w:b w:val="1"/>
          <w:bCs w:val="1"/>
          <w:color w:val="auto"/>
        </w:rPr>
        <w:t xml:space="preserve"> </w:t>
      </w:r>
      <w:r>
        <w:rPr>
          <w:rFonts w:ascii="Arial" w:cs="Arial" w:eastAsia="Arial" w:hAnsi="Arial"/>
          <w:sz w:val="18"/>
          <w:szCs w:val="18"/>
          <w:color w:val="auto"/>
        </w:rPr>
        <w:t>any individuals to and from the above list of persons authorized to act on behalf of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individuals may, on behalf of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the Lenders.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any Lender requires.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Grant Collateral Agent a security interest in any of Borrower’s assets.</w:t>
      </w:r>
    </w:p>
    <w:p>
      <w:pPr>
        <w:spacing w:after="0" w:line="9"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18"/>
          <w:szCs w:val="18"/>
          <w:b w:val="1"/>
          <w:bCs w:val="1"/>
          <w:color w:val="auto"/>
        </w:rPr>
        <w:t>Negotiate Items</w:t>
      </w:r>
      <w:r>
        <w:rPr>
          <w:rFonts w:ascii="Arial" w:cs="Arial" w:eastAsia="Arial" w:hAnsi="Arial"/>
          <w:sz w:val="18"/>
          <w:szCs w:val="18"/>
          <w:color w:val="auto"/>
        </w:rPr>
        <w:t>. Negotiate or discount all drafts, trade acceptances, promissory notes, or other indebtedness in which Borrower has an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cash or otherwise use the proceeds.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 Warrants</w:t>
      </w:r>
      <w:r>
        <w:rPr>
          <w:rFonts w:ascii="Arial" w:cs="Arial" w:eastAsia="Arial" w:hAnsi="Arial"/>
          <w:sz w:val="18"/>
          <w:szCs w:val="18"/>
          <w:color w:val="auto"/>
        </w:rPr>
        <w:t>. Issue warrants for Borrower’s capital stock.</w:t>
      </w:r>
    </w:p>
    <w:p>
      <w:pPr>
        <w:spacing w:after="0" w:line="9"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b w:val="1"/>
          <w:bCs w:val="1"/>
          <w:color w:val="auto"/>
        </w:rPr>
        <w:t>Further Acts</w:t>
      </w:r>
      <w:r>
        <w:rPr>
          <w:rFonts w:ascii="Arial" w:cs="Arial" w:eastAsia="Arial" w:hAnsi="Arial"/>
          <w:sz w:val="17"/>
          <w:szCs w:val="17"/>
          <w:color w:val="auto"/>
        </w:rPr>
        <w:t>. Designate other individuals to request advances, pay fees and costs and execute other documents or agreements (including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or agreement that waive Borrower’s right to a jury trial) they believe to be necessary to effectuate such resolutions.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all acts authorized by the above resolutions and any prior acts relating thereto are ratified.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0" w:name="page141"/>
    <w:bookmarkEnd w:id="140"/>
    <w:p>
      <w:pPr>
        <w:ind w:left="580" w:hanging="572"/>
        <w:spacing w:after="0"/>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persons listed above are Borrower’s officers or employees with their titles and signatures shown next to their names.</w:t>
      </w:r>
    </w:p>
    <w:p>
      <w:pPr>
        <w:spacing w:after="0" w:line="221" w:lineRule="exact"/>
        <w:rPr>
          <w:rFonts w:ascii="Arial" w:cs="Arial" w:eastAsia="Arial" w:hAnsi="Arial"/>
          <w:sz w:val="18"/>
          <w:szCs w:val="18"/>
          <w:color w:val="auto"/>
        </w:rPr>
      </w:pPr>
    </w:p>
    <w:p>
      <w:pPr>
        <w:ind w:left="5720"/>
        <w:spacing w:after="0"/>
        <w:rPr>
          <w:rFonts w:ascii="Arial" w:cs="Arial" w:eastAsia="Arial" w:hAnsi="Arial"/>
          <w:sz w:val="18"/>
          <w:szCs w:val="18"/>
          <w:color w:val="auto"/>
        </w:rPr>
      </w:pPr>
      <w:r>
        <w:rPr>
          <w:rFonts w:ascii="Arial" w:cs="Arial" w:eastAsia="Arial" w:hAnsi="Arial"/>
          <w:sz w:val="18"/>
          <w:szCs w:val="18"/>
          <w:b w:val="1"/>
          <w:bCs w:val="1"/>
          <w:color w:val="auto"/>
        </w:rPr>
        <w:t>By:</w:t>
      </w:r>
    </w:p>
    <w:p>
      <w:pPr>
        <w:spacing w:after="0" w:line="238" w:lineRule="exact"/>
        <w:rPr>
          <w:rFonts w:ascii="Arial" w:cs="Arial" w:eastAsia="Arial" w:hAnsi="Arial"/>
          <w:sz w:val="18"/>
          <w:szCs w:val="18"/>
          <w:color w:val="auto"/>
        </w:rPr>
      </w:pPr>
    </w:p>
    <w:p>
      <w:pPr>
        <w:ind w:left="5720"/>
        <w:spacing w:after="0"/>
        <w:rPr>
          <w:rFonts w:ascii="Arial" w:cs="Arial" w:eastAsia="Arial" w:hAnsi="Arial"/>
          <w:sz w:val="18"/>
          <w:szCs w:val="18"/>
          <w:color w:val="auto"/>
        </w:rPr>
      </w:pPr>
      <w:r>
        <w:rPr>
          <w:rFonts w:ascii="Arial" w:cs="Arial" w:eastAsia="Arial" w:hAnsi="Arial"/>
          <w:sz w:val="18"/>
          <w:szCs w:val="18"/>
          <w:b w:val="1"/>
          <w:bCs w:val="1"/>
          <w:color w:val="auto"/>
        </w:rPr>
        <w:t>Name:</w:t>
      </w:r>
    </w:p>
    <w:p>
      <w:pPr>
        <w:spacing w:after="0" w:line="238" w:lineRule="exact"/>
        <w:rPr>
          <w:rFonts w:ascii="Arial" w:cs="Arial" w:eastAsia="Arial" w:hAnsi="Arial"/>
          <w:sz w:val="18"/>
          <w:szCs w:val="18"/>
          <w:color w:val="auto"/>
        </w:rPr>
      </w:pPr>
    </w:p>
    <w:p>
      <w:pPr>
        <w:ind w:left="5720"/>
        <w:spacing w:after="0"/>
        <w:rPr>
          <w:rFonts w:ascii="Arial" w:cs="Arial" w:eastAsia="Arial" w:hAnsi="Arial"/>
          <w:sz w:val="18"/>
          <w:szCs w:val="18"/>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-264795</wp:posOffset>
            </wp:positionV>
            <wp:extent cx="31813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-548005</wp:posOffset>
            </wp:positionV>
            <wp:extent cx="31813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3" w:lineRule="exact"/>
        <w:rPr>
          <w:sz w:val="20"/>
          <w:szCs w:val="20"/>
          <w:color w:val="auto"/>
        </w:rPr>
      </w:pPr>
    </w:p>
    <w:p>
      <w:pPr>
        <w:ind w:firstLine="8"/>
        <w:spacing w:after="0" w:line="277" w:lineRule="auto"/>
        <w:tabs>
          <w:tab w:leader="none" w:pos="331"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the __________________________ of Borrower, hereby certify as to paragraphs 1 through 5 above, as</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[print 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date set forth 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Corporate Borrowing Certificate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Articles/Certificate of Incorporation (including amendments)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Bylaws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448310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DEBTOR:</w:t>
            </w:r>
          </w:p>
        </w:tc>
        <w:tc>
          <w:tcPr>
            <w:tcW w:w="8120" w:type="dxa"/>
            <w:vAlign w:val="bottom"/>
            <w:gridSpan w:val="3"/>
          </w:tcPr>
          <w:p>
            <w:pPr>
              <w:ind w:left="380"/>
              <w:spacing w:after="0"/>
              <w:rPr>
                <w:sz w:val="20"/>
                <w:szCs w:val="20"/>
                <w:color w:val="auto"/>
              </w:rPr>
            </w:pPr>
            <w:r>
              <w:rPr>
                <w:rFonts w:ascii="Arial" w:cs="Arial" w:eastAsia="Arial" w:hAnsi="Arial"/>
                <w:sz w:val="18"/>
                <w:szCs w:val="18"/>
                <w:b w:val="1"/>
                <w:bCs w:val="1"/>
                <w:color w:val="auto"/>
              </w:rPr>
              <w:t>[ACURA PHARMACEUTICALS, INC.][ ACURA PHARMACEUTICAL TECHNOLOGIES, INC.]</w:t>
            </w: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8120" w:type="dxa"/>
            <w:vAlign w:val="bottom"/>
            <w:gridSpan w:val="3"/>
          </w:tcPr>
          <w:p>
            <w:pPr>
              <w:ind w:left="380"/>
              <w:spacing w:after="0"/>
              <w:rPr>
                <w:sz w:val="20"/>
                <w:szCs w:val="20"/>
                <w:color w:val="auto"/>
              </w:rPr>
            </w:pPr>
            <w:r>
              <w:rPr>
                <w:rFonts w:ascii="Arial" w:cs="Arial" w:eastAsia="Arial" w:hAnsi="Arial"/>
                <w:sz w:val="18"/>
                <w:szCs w:val="18"/>
                <w:b w:val="1"/>
                <w:bCs w:val="1"/>
                <w:color w:val="auto"/>
              </w:rPr>
              <w:t>OXFORD FINANCE LLC,</w:t>
            </w:r>
          </w:p>
        </w:tc>
      </w:tr>
      <w:tr>
        <w:trPr>
          <w:trHeight w:val="234"/>
        </w:trPr>
        <w:tc>
          <w:tcPr>
            <w:tcW w:w="1920" w:type="dxa"/>
            <w:vAlign w:val="bottom"/>
          </w:tcPr>
          <w:p>
            <w:pPr>
              <w:spacing w:after="0"/>
              <w:rPr>
                <w:sz w:val="20"/>
                <w:szCs w:val="20"/>
                <w:color w:val="auto"/>
              </w:rPr>
            </w:pPr>
          </w:p>
        </w:tc>
        <w:tc>
          <w:tcPr>
            <w:tcW w:w="8120" w:type="dxa"/>
            <w:vAlign w:val="bottom"/>
            <w:gridSpan w:val="3"/>
          </w:tcPr>
          <w:p>
            <w:pPr>
              <w:ind w:left="380"/>
              <w:spacing w:after="0"/>
              <w:rPr>
                <w:sz w:val="20"/>
                <w:szCs w:val="20"/>
                <w:color w:val="auto"/>
              </w:rPr>
            </w:pPr>
            <w:r>
              <w:rPr>
                <w:rFonts w:ascii="Arial" w:cs="Arial" w:eastAsia="Arial" w:hAnsi="Arial"/>
                <w:sz w:val="18"/>
                <w:szCs w:val="18"/>
                <w:b w:val="1"/>
                <w:bCs w:val="1"/>
                <w:color w:val="auto"/>
              </w:rPr>
              <w:t>as Collateral Agent</w:t>
            </w:r>
          </w:p>
        </w:tc>
      </w:tr>
      <w:tr>
        <w:trPr>
          <w:trHeight w:val="432"/>
        </w:trPr>
        <w:tc>
          <w:tcPr>
            <w:tcW w:w="1920" w:type="dxa"/>
            <w:vAlign w:val="bottom"/>
          </w:tcPr>
          <w:p>
            <w:pPr>
              <w:spacing w:after="0"/>
              <w:rPr>
                <w:sz w:val="24"/>
                <w:szCs w:val="24"/>
                <w:color w:val="auto"/>
              </w:rPr>
            </w:pPr>
          </w:p>
        </w:tc>
        <w:tc>
          <w:tcPr>
            <w:tcW w:w="81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rPr>
              <w:t>EXHIBIT A TO UCC FINANCING STATEMENT</w:t>
            </w:r>
          </w:p>
        </w:tc>
      </w:tr>
      <w:tr>
        <w:trPr>
          <w:trHeight w:val="392"/>
        </w:trPr>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80" w:type="dxa"/>
            <w:vAlign w:val="bottom"/>
            <w:gridSpan w:val="2"/>
          </w:tcPr>
          <w:p>
            <w:pPr>
              <w:jc w:val="center"/>
              <w:ind w:right="3380"/>
              <w:spacing w:after="0"/>
              <w:rPr>
                <w:sz w:val="20"/>
                <w:szCs w:val="20"/>
                <w:color w:val="auto"/>
              </w:rPr>
            </w:pPr>
            <w:r>
              <w:rPr>
                <w:rFonts w:ascii="Arial" w:cs="Arial" w:eastAsia="Arial" w:hAnsi="Arial"/>
                <w:sz w:val="18"/>
                <w:szCs w:val="18"/>
                <w:b w:val="1"/>
                <w:bCs w:val="1"/>
                <w:color w:val="auto"/>
                <w:w w:val="91"/>
              </w:rPr>
              <w:t>Description of Collateral</w:t>
            </w:r>
          </w:p>
        </w:tc>
      </w:tr>
      <w:tr>
        <w:trPr>
          <w:trHeight w:val="20"/>
        </w:trPr>
        <w:tc>
          <w:tcPr>
            <w:tcW w:w="1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Debtor’s right, title and interest in and to the following personal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Notwithstanding the foregoing, the Collateral does not include (i)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and (ii)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Debtor has agreed not to encumber any of its Intellectual Property (excluding Permitted Licenses).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Capitalized terms used but not defined herein have the meanings ascribed in the Uniform Commercial Code in effect in the State of New York as in effect from time to time (the “Code”) or, if not defined in the Code, then in the Loan and Security Agreement by and between Debtor, Secured Party and the other Lenders party thereto (as modified, amended and/or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4" w:name="page145"/>
    <w:bookmarkEnd w:id="144"/>
    <w:p>
      <w:pPr>
        <w:jc w:val="both"/>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FORM</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OF WARRANT TO PURCHASE STOCK (A__)</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 a New York corporation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[______]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(this Warrant and any other Warrants issued on the date of issuance of this Warrant pursuant to the Loan Agreement (as</w:t>
      </w:r>
    </w:p>
    <w:p>
      <w:pPr>
        <w:jc w:val="both"/>
        <w:ind w:right="40"/>
        <w:spacing w:after="0" w:line="254" w:lineRule="auto"/>
        <w:rPr>
          <w:sz w:val="20"/>
          <w:szCs w:val="20"/>
          <w:color w:val="auto"/>
        </w:rPr>
      </w:pPr>
      <w:r>
        <w:rPr>
          <w:rFonts w:ascii="Arial" w:cs="Arial" w:eastAsia="Arial" w:hAnsi="Arial"/>
          <w:sz w:val="18"/>
          <w:szCs w:val="18"/>
          <w:color w:val="auto"/>
        </w:rPr>
        <w:t>defined herein below), together, shall be exercisable for a total number of shares of Common Stock equal to: (i) four and seventy-five hundredths percent (4.75%) of the aggregate principal amount of the term loans funded under the Loan Agreement on the date of issuance of this Warrant divided by (ii) the Warrant Price set forth below)</w:t>
      </w:r>
    </w:p>
    <w:p>
      <w:pPr>
        <w:spacing w:after="0" w:line="191" w:lineRule="exact"/>
        <w:rPr>
          <w:sz w:val="20"/>
          <w:szCs w:val="20"/>
          <w:color w:val="auto"/>
        </w:rPr>
      </w:pPr>
    </w:p>
    <w:p>
      <w:pPr>
        <w:sectPr>
          <w:pgSz w:w="11900" w:h="16838" w:orient="portrait"/>
          <w:cols w:equalWidth="0" w:num="2">
            <w:col w:w="1360" w:space="600"/>
            <w:col w:w="9460"/>
          </w:cols>
          <w:pgMar w:left="240" w:top="341" w:right="239" w:bottom="1440" w:gutter="0" w:footer="0" w:header="0"/>
          <w:type w:val="continuous"/>
        </w:sectPr>
      </w:pPr>
    </w:p>
    <w:p>
      <w:pPr>
        <w:spacing w:after="0"/>
        <w:tabs>
          <w:tab w:leader="none" w:pos="1940" w:val="left"/>
        </w:tabs>
        <w:rPr>
          <w:sz w:val="20"/>
          <w:szCs w:val="20"/>
          <w:color w:val="auto"/>
        </w:rPr>
      </w:pPr>
      <w:r>
        <w:rPr>
          <w:rFonts w:ascii="Arial" w:cs="Arial" w:eastAsia="Arial" w:hAnsi="Arial"/>
          <w:sz w:val="18"/>
          <w:szCs w:val="18"/>
          <w:color w:val="auto"/>
        </w:rPr>
        <w:t>Type/Series of Stock:</w:t>
      </w:r>
      <w:r>
        <w:rPr>
          <w:sz w:val="20"/>
          <w:szCs w:val="20"/>
          <w:color w:val="auto"/>
        </w:rPr>
        <w:tab/>
      </w:r>
      <w:r>
        <w:rPr>
          <w:rFonts w:ascii="Arial" w:cs="Arial" w:eastAsia="Arial" w:hAnsi="Arial"/>
          <w:sz w:val="16"/>
          <w:szCs w:val="16"/>
          <w:color w:val="auto"/>
        </w:rPr>
        <w:t>Common Stock</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Warrant Price:</w:t>
      </w:r>
      <w:r>
        <w:rPr>
          <w:sz w:val="20"/>
          <w:szCs w:val="20"/>
          <w:color w:val="auto"/>
        </w:rPr>
        <w:tab/>
      </w:r>
      <w:r>
        <w:rPr>
          <w:rFonts w:ascii="Arial" w:cs="Arial" w:eastAsia="Arial" w:hAnsi="Arial"/>
          <w:sz w:val="16"/>
          <w:szCs w:val="16"/>
          <w:color w:val="auto"/>
        </w:rPr>
        <w:t>$1.595 per share (which represents the average price of the Company’s common stock for the previous ten days of trading,</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calculated on the day before the issuance of this Warrant)</w:t>
      </w:r>
    </w:p>
    <w:p>
      <w:pPr>
        <w:spacing w:after="0" w:line="21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Issue Date:</w:t>
      </w:r>
      <w:r>
        <w:rPr>
          <w:sz w:val="20"/>
          <w:szCs w:val="20"/>
          <w:color w:val="auto"/>
        </w:rPr>
        <w:tab/>
      </w:r>
      <w:r>
        <w:rPr>
          <w:rFonts w:ascii="Arial" w:cs="Arial" w:eastAsia="Arial" w:hAnsi="Arial"/>
          <w:sz w:val="15"/>
          <w:szCs w:val="15"/>
          <w:color w:val="auto"/>
        </w:rPr>
        <w:t>December 27, 2013</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Expiration Date:</w:t>
      </w:r>
      <w:r>
        <w:rPr>
          <w:sz w:val="20"/>
          <w:szCs w:val="20"/>
          <w:color w:val="auto"/>
        </w:rPr>
        <w:tab/>
      </w:r>
      <w:r>
        <w:rPr>
          <w:rFonts w:ascii="Arial" w:cs="Arial" w:eastAsia="Arial" w:hAnsi="Arial"/>
          <w:sz w:val="16"/>
          <w:szCs w:val="16"/>
          <w:color w:val="auto"/>
        </w:rPr>
        <w:t>December 27, 2020. See also Section 5.1(b).</w:t>
      </w:r>
    </w:p>
    <w:p>
      <w:pPr>
        <w:spacing w:after="0" w:line="22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Credit Facility:</w:t>
      </w:r>
      <w:r>
        <w:rPr>
          <w:sz w:val="20"/>
          <w:szCs w:val="20"/>
          <w:color w:val="auto"/>
        </w:rPr>
        <w:tab/>
      </w:r>
      <w:r>
        <w:rPr>
          <w:rFonts w:ascii="Arial" w:cs="Arial" w:eastAsia="Arial" w:hAnsi="Arial"/>
          <w:sz w:val="16"/>
          <w:szCs w:val="16"/>
          <w:color w:val="auto"/>
        </w:rPr>
        <w:t>This Warrant to Purchase Stock (“</w:t>
      </w:r>
      <w:r>
        <w:rPr>
          <w:rFonts w:ascii="Arial" w:cs="Arial" w:eastAsia="Arial" w:hAnsi="Arial"/>
          <w:sz w:val="16"/>
          <w:szCs w:val="16"/>
          <w:b w:val="1"/>
          <w:bCs w:val="1"/>
          <w:color w:val="auto"/>
        </w:rPr>
        <w:t>Warrant</w:t>
      </w:r>
      <w:r>
        <w:rPr>
          <w:rFonts w:ascii="Arial" w:cs="Arial" w:eastAsia="Arial" w:hAnsi="Arial"/>
          <w:sz w:val="16"/>
          <w:szCs w:val="16"/>
          <w:color w:val="auto"/>
        </w:rPr>
        <w:t>”) is issued in connection with that certain Loan and Security Agreement of even date</w:t>
      </w:r>
    </w:p>
    <w:p>
      <w:pPr>
        <w:spacing w:after="0" w:line="27" w:lineRule="exact"/>
        <w:rPr>
          <w:sz w:val="20"/>
          <w:szCs w:val="20"/>
          <w:color w:val="auto"/>
        </w:rPr>
      </w:pPr>
    </w:p>
    <w:p>
      <w:pPr>
        <w:ind w:left="1960" w:right="580"/>
        <w:spacing w:after="0" w:line="290" w:lineRule="auto"/>
        <w:rPr>
          <w:sz w:val="20"/>
          <w:szCs w:val="20"/>
          <w:color w:val="auto"/>
        </w:rPr>
      </w:pPr>
      <w:r>
        <w:rPr>
          <w:rFonts w:ascii="Arial" w:cs="Arial" w:eastAsia="Arial" w:hAnsi="Arial"/>
          <w:sz w:val="17"/>
          <w:szCs w:val="17"/>
          <w:color w:val="auto"/>
        </w:rPr>
        <w:t>herewith among Oxford Finance LLC, as Lender and Collateral Agent, the Lenders from time to time party thereto, and the Company and (as modified, amended and/or restated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WARRANT CERTIFIES THAT, for good and valuable consideration, OXFORD FINANCE LLC ( “</w:t>
      </w:r>
      <w:r>
        <w:rPr>
          <w:rFonts w:ascii="Arial" w:cs="Arial" w:eastAsia="Arial" w:hAnsi="Arial"/>
          <w:sz w:val="18"/>
          <w:szCs w:val="18"/>
          <w:b w:val="1"/>
          <w:bCs w:val="1"/>
          <w:color w:val="auto"/>
        </w:rPr>
        <w:t>Oxford</w:t>
      </w:r>
      <w:r>
        <w:rPr>
          <w:rFonts w:ascii="Arial" w:cs="Arial" w:eastAsia="Arial" w:hAnsi="Arial"/>
          <w:sz w:val="18"/>
          <w:szCs w:val="18"/>
          <w:color w:val="auto"/>
        </w:rPr>
        <w:t>” and, together with any successor or permitted assignee or transferee of this Warrant or of any shares issued upon exercise hereof, “</w:t>
      </w:r>
      <w:r>
        <w:rPr>
          <w:rFonts w:ascii="Arial" w:cs="Arial" w:eastAsia="Arial" w:hAnsi="Arial"/>
          <w:sz w:val="18"/>
          <w:szCs w:val="18"/>
          <w:b w:val="1"/>
          <w:bCs w:val="1"/>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w:t>
      </w:r>
    </w:p>
    <w:p>
      <w:pPr>
        <w:spacing w:after="0" w:line="188" w:lineRule="exact"/>
        <w:rPr>
          <w:sz w:val="20"/>
          <w:szCs w:val="20"/>
          <w:color w:val="auto"/>
        </w:rPr>
      </w:pPr>
    </w:p>
    <w:p>
      <w:pPr>
        <w:ind w:left="4580"/>
        <w:spacing w:after="0"/>
        <w:tabs>
          <w:tab w:leader="none" w:pos="59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EXERCISE.</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97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4" w:lineRule="exact"/>
        <w:rPr>
          <w:sz w:val="20"/>
          <w:szCs w:val="20"/>
          <w:color w:val="auto"/>
        </w:rPr>
      </w:pPr>
    </w:p>
    <w:p>
      <w:pPr>
        <w:ind w:left="5660" w:right="3840" w:hanging="5652"/>
        <w:spacing w:after="0" w:line="697" w:lineRule="auto"/>
        <w:tabs>
          <w:tab w:leader="none" w:pos="112" w:val="left"/>
        </w:tabs>
        <w:numPr>
          <w:ilvl w:val="0"/>
          <w:numId w:val="87"/>
        </w:numPr>
        <w:rPr>
          <w:rFonts w:ascii="Arial" w:cs="Arial" w:eastAsia="Arial" w:hAnsi="Arial"/>
          <w:sz w:val="27"/>
          <w:szCs w:val="27"/>
          <w:color w:val="auto"/>
          <w:vertAlign w:val="superscript"/>
        </w:rPr>
      </w:pPr>
      <w:r>
        <w:rPr>
          <w:rFonts w:ascii="Arial" w:cs="Arial" w:eastAsia="Arial" w:hAnsi="Arial"/>
          <w:sz w:val="17"/>
          <w:szCs w:val="17"/>
          <w:color w:val="auto"/>
        </w:rPr>
        <w:t>Three warrants were issued with respect to 178,683, 74,451 and 44,671 underlying shares, respectively.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45" w:name="page146"/>
    <w:bookmarkEnd w:id="145"/>
    <w:p>
      <w:pPr>
        <w:ind w:left="19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Shares to be issued to the Holder;</w:t>
      </w:r>
    </w:p>
    <w:p>
      <w:pPr>
        <w:spacing w:after="0" w:line="225" w:lineRule="exact"/>
        <w:rPr>
          <w:sz w:val="20"/>
          <w:szCs w:val="20"/>
          <w:color w:val="auto"/>
        </w:rPr>
      </w:pPr>
    </w:p>
    <w:p>
      <w:pPr>
        <w:ind w:left="2600" w:right="680" w:hanging="647"/>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(as determined pursuant to Section 1.3 below) of one Share; 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jc w:val="both"/>
        <w:ind w:firstLine="1305"/>
        <w:spacing w:after="0" w:line="291" w:lineRule="auto"/>
        <w:tabs>
          <w:tab w:leader="none" w:pos="1901"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of the Company into or consolidation of the Company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64" w:lineRule="exact"/>
        <w:rPr>
          <w:rFonts w:ascii="Arial" w:cs="Arial" w:eastAsia="Arial" w:hAnsi="Arial"/>
          <w:sz w:val="16"/>
          <w:szCs w:val="16"/>
          <w:color w:val="auto"/>
        </w:rPr>
      </w:pPr>
    </w:p>
    <w:p>
      <w:pPr>
        <w:jc w:val="both"/>
        <w:ind w:firstLine="1305"/>
        <w:spacing w:after="0" w:line="257" w:lineRule="auto"/>
        <w:tabs>
          <w:tab w:leader="none" w:pos="199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6" w:name="page147"/>
    <w:bookmarkEnd w:id="146"/>
    <w:p>
      <w:pPr>
        <w:jc w:val="both"/>
        <w:ind w:firstLine="1305"/>
        <w:spacing w:after="0" w:line="270" w:lineRule="auto"/>
        <w:tabs>
          <w:tab w:leader="none" w:pos="1997"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1" w:lineRule="exact"/>
        <w:rPr>
          <w:rFonts w:ascii="Arial" w:cs="Arial" w:eastAsia="Arial" w:hAnsi="Arial"/>
          <w:sz w:val="17"/>
          <w:szCs w:val="17"/>
          <w:color w:val="auto"/>
        </w:rPr>
      </w:pPr>
    </w:p>
    <w:p>
      <w:pPr>
        <w:jc w:val="both"/>
        <w:ind w:firstLine="1305"/>
        <w:spacing w:after="0" w:line="279" w:lineRule="auto"/>
        <w:tabs>
          <w:tab w:leader="none" w:pos="2047"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jc w:val="both"/>
        <w:ind w:firstLine="1305"/>
        <w:spacing w:after="0" w:line="272" w:lineRule="auto"/>
        <w:tabs>
          <w:tab w:leader="none" w:pos="1909" w:val="left"/>
        </w:tabs>
        <w:numPr>
          <w:ilvl w:val="0"/>
          <w:numId w:val="89"/>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6" w:lineRule="exact"/>
        <w:rPr>
          <w:sz w:val="20"/>
          <w:szCs w:val="20"/>
          <w:color w:val="auto"/>
        </w:rPr>
      </w:pPr>
    </w:p>
    <w:p>
      <w:pPr>
        <w:ind w:left="2720"/>
        <w:spacing w:after="0"/>
        <w:tabs>
          <w:tab w:leader="none" w:pos="40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7" w:name="page148"/>
    <w:bookmarkEnd w:id="147"/>
    <w:p>
      <w:pPr>
        <w:ind w:left="1300"/>
        <w:spacing w:after="0"/>
        <w:tabs>
          <w:tab w:leader="none" w:pos="1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Intentionally Left Blank</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4" w:lineRule="exact"/>
        <w:rPr>
          <w:sz w:val="20"/>
          <w:szCs w:val="20"/>
          <w:color w:val="auto"/>
        </w:rPr>
      </w:pPr>
    </w:p>
    <w:p>
      <w:pPr>
        <w:ind w:left="2620"/>
        <w:spacing w:after="0"/>
        <w:tabs>
          <w:tab w:leader="none" w:pos="3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jc w:val="both"/>
        <w:ind w:firstLine="1305"/>
        <w:spacing w:after="0" w:line="276" w:lineRule="auto"/>
        <w:tabs>
          <w:tab w:leader="none" w:pos="1907" w:val="left"/>
        </w:tabs>
        <w:numPr>
          <w:ilvl w:val="0"/>
          <w:numId w:val="90"/>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72" w:lineRule="exact"/>
        <w:rPr>
          <w:rFonts w:ascii="Arial" w:cs="Arial" w:eastAsia="Arial" w:hAnsi="Arial"/>
          <w:sz w:val="17"/>
          <w:szCs w:val="17"/>
          <w:color w:val="auto"/>
        </w:rPr>
      </w:pPr>
    </w:p>
    <w:p>
      <w:pPr>
        <w:ind w:left="1920" w:hanging="615"/>
        <w:spacing w:after="0"/>
        <w:tabs>
          <w:tab w:leader="none" w:pos="19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248"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3.2</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firstLine="1305"/>
        <w:spacing w:after="0" w:line="277" w:lineRule="auto"/>
        <w:tabs>
          <w:tab w:leader="none" w:pos="1926"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305"/>
        <w:spacing w:after="0" w:line="277" w:lineRule="auto"/>
        <w:tabs>
          <w:tab w:leader="none" w:pos="2033" w:val="left"/>
        </w:tabs>
        <w:numPr>
          <w:ilvl w:val="0"/>
          <w:numId w:val="91"/>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or</w:t>
      </w:r>
    </w:p>
    <w:p>
      <w:pPr>
        <w:spacing w:after="0" w:line="210" w:lineRule="exact"/>
        <w:rPr>
          <w:rFonts w:ascii="Arial" w:cs="Arial" w:eastAsia="Arial" w:hAnsi="Arial"/>
          <w:sz w:val="16"/>
          <w:szCs w:val="16"/>
          <w:color w:val="auto"/>
        </w:rPr>
      </w:pPr>
    </w:p>
    <w:p>
      <w:pPr>
        <w:ind w:left="1920" w:hanging="615"/>
        <w:spacing w:after="0"/>
        <w:tabs>
          <w:tab w:leader="none" w:pos="1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firstLine="1953"/>
        <w:spacing w:after="0" w:line="264" w:lineRule="auto"/>
        <w:tabs>
          <w:tab w:leader="none" w:pos="27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8" w:name="page149"/>
    <w:bookmarkEnd w:id="148"/>
    <w:p>
      <w:pPr>
        <w:jc w:val="both"/>
        <w:ind w:firstLine="1953"/>
        <w:spacing w:after="0" w:line="264" w:lineRule="auto"/>
        <w:tabs>
          <w:tab w:leader="none" w:pos="261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an Acquisition as required by the terms hereof. Company will also provide information requested by Holder that is reasonably necessary to enable Holder to comply with Holder’s accounting or reporting requirements.</w:t>
      </w:r>
    </w:p>
    <w:p>
      <w:pPr>
        <w:spacing w:after="0" w:line="181" w:lineRule="exact"/>
        <w:rPr>
          <w:sz w:val="20"/>
          <w:szCs w:val="20"/>
          <w:color w:val="auto"/>
        </w:rPr>
      </w:pPr>
    </w:p>
    <w:p>
      <w:pPr>
        <w:ind w:left="2860"/>
        <w:spacing w:after="0"/>
        <w:tabs>
          <w:tab w:leader="none" w:pos="41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REPRESENTATIONS, WARRANTIES OF THE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9" w:name="page150"/>
    <w:bookmarkEnd w:id="149"/>
    <w:p>
      <w:pPr>
        <w:ind w:left="4260"/>
        <w:spacing w:after="0"/>
        <w:tabs>
          <w:tab w:leader="none" w:pos="56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MISCELLANEOUS.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196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97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170" w:lineRule="exact"/>
        <w:rPr>
          <w:sz w:val="20"/>
          <w:szCs w:val="20"/>
          <w:color w:val="auto"/>
        </w:rPr>
      </w:pPr>
    </w:p>
    <w:p>
      <w:pPr>
        <w:jc w:val="both"/>
        <w:ind w:left="1300"/>
        <w:spacing w:after="0" w:line="273"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 WARRANT TO PURCHASE STOCK ISSUED BY THE ISSUER TO OXFORD FINANCE LLC DATED DECEMBER 27, 2013,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Intentionally Left Blank.</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Oxford of the executed Warrant, Oxford may transfer all or part of this Warrant to one or more of Oxford’s affiliates (each, an “</w:t>
      </w:r>
      <w:r>
        <w:rPr>
          <w:rFonts w:ascii="Arial" w:cs="Arial" w:eastAsia="Arial" w:hAnsi="Arial"/>
          <w:sz w:val="17"/>
          <w:szCs w:val="17"/>
          <w:b w:val="1"/>
          <w:bCs w:val="1"/>
          <w:color w:val="auto"/>
        </w:rPr>
        <w:t>Oxford Affiliate</w:t>
      </w:r>
      <w:r>
        <w:rPr>
          <w:rFonts w:ascii="Arial" w:cs="Arial" w:eastAsia="Arial" w:hAnsi="Arial"/>
          <w:sz w:val="17"/>
          <w:szCs w:val="17"/>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0" w:name="page151"/>
    <w:bookmarkEnd w:id="150"/>
    <w:p>
      <w:pPr>
        <w:jc w:val="both"/>
        <w:ind w:firstLine="1297"/>
        <w:spacing w:after="0" w:line="29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616 N. North Court, Suite 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Palatine, Illinois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Peter A. Clemens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(847) 705-5399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pclemens@acurapharm.com</w:t>
      </w:r>
    </w:p>
    <w:p>
      <w:pPr>
        <w:spacing w:after="0" w:line="211" w:lineRule="exact"/>
        <w:rPr>
          <w:sz w:val="20"/>
          <w:szCs w:val="20"/>
          <w:color w:val="auto"/>
        </w:rPr>
      </w:pPr>
    </w:p>
    <w:p>
      <w:pPr>
        <w:jc w:val="center"/>
        <w:ind w:right="65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LeClairRyan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1037 Raymond Boulevard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Sixteenth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Newark, New Jersey 07102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John P. Reilly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(973) 491-3511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John.Reilly@leclairryan.com</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1"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New York, without giving effect to its principles regarding conflicts of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1" w:name="page152"/>
    <w:bookmarkEnd w:id="151"/>
    <w:p>
      <w:pPr>
        <w:ind w:firstLine="1297"/>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which banks in the State of New York or Commonwealth of Virginia are 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2" w:name="page153"/>
    <w:bookmarkEnd w:id="152"/>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127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31127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127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127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31127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127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Stock-A2</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jc w:val="both"/>
        <w:ind w:left="-20" w:firstLine="656"/>
        <w:spacing w:after="0" w:line="264" w:lineRule="auto"/>
        <w:tabs>
          <w:tab w:leader="none" w:pos="202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undersigned Holder hereby exercises its right purchase ___________ shares of the Common Stock of ACURA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181" w:lineRule="exact"/>
        <w:rPr>
          <w:sz w:val="20"/>
          <w:szCs w:val="20"/>
          <w:color w:val="auto"/>
        </w:rPr>
      </w:pPr>
    </w:p>
    <w:p>
      <w:pPr>
        <w:ind w:left="1280" w:hanging="644"/>
        <w:spacing w:after="0"/>
        <w:tabs>
          <w:tab w:leader="none" w:pos="128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check in the amount of $________ payable to order of the Company enclosed herewith</w:t>
      </w:r>
    </w:p>
    <w:p>
      <w:pPr>
        <w:spacing w:after="0" w:line="225" w:lineRule="exact"/>
        <w:rPr>
          <w:rFonts w:ascii="MS PGothic" w:cs="MS PGothic" w:eastAsia="MS PGothic" w:hAnsi="MS PGothic"/>
          <w:sz w:val="18"/>
          <w:szCs w:val="18"/>
          <w:color w:val="auto"/>
        </w:rPr>
      </w:pPr>
    </w:p>
    <w:p>
      <w:pPr>
        <w:ind w:left="1280" w:hanging="644"/>
        <w:spacing w:after="0"/>
        <w:tabs>
          <w:tab w:leader="none" w:pos="128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MS PGothic" w:cs="MS PGothic" w:eastAsia="MS PGothic" w:hAnsi="MS PGothic"/>
          <w:sz w:val="18"/>
          <w:szCs w:val="18"/>
          <w:color w:val="auto"/>
        </w:rPr>
      </w:pPr>
    </w:p>
    <w:p>
      <w:pPr>
        <w:ind w:left="1280" w:hanging="644"/>
        <w:spacing w:after="0"/>
        <w:tabs>
          <w:tab w:leader="none" w:pos="128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MS PGothic" w:cs="MS PGothic" w:eastAsia="MS PGothic" w:hAnsi="MS PGothic"/>
          <w:sz w:val="18"/>
          <w:szCs w:val="18"/>
          <w:color w:val="auto"/>
        </w:rPr>
      </w:pPr>
    </w:p>
    <w:p>
      <w:pPr>
        <w:ind w:left="1280" w:hanging="644"/>
        <w:spacing w:after="0"/>
        <w:tabs>
          <w:tab w:leader="none" w:pos="128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Other [Describe] __________________________________________</w:t>
      </w:r>
    </w:p>
    <w:p>
      <w:pPr>
        <w:spacing w:after="0" w:line="225" w:lineRule="exact"/>
        <w:rPr>
          <w:sz w:val="20"/>
          <w:szCs w:val="20"/>
          <w:color w:val="auto"/>
        </w:rPr>
      </w:pPr>
    </w:p>
    <w:p>
      <w:pPr>
        <w:ind w:left="640" w:right="3480" w:hanging="4"/>
        <w:spacing w:after="0" w:line="794" w:lineRule="auto"/>
        <w:tabs>
          <w:tab w:leader="none" w:pos="1288" w:val="left"/>
        </w:tabs>
        <w:numPr>
          <w:ilvl w:val="0"/>
          <w:numId w:val="97"/>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-27940</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-448310</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-130175</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20" w:firstLine="656"/>
        <w:spacing w:after="0" w:line="277" w:lineRule="auto"/>
        <w:tabs>
          <w:tab w:leader="none" w:pos="1267"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289560</wp:posOffset>
            </wp:positionV>
            <wp:extent cx="36188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14605</wp:posOffset>
            </wp:positionV>
            <wp:extent cx="31813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14605</wp:posOffset>
            </wp:positionV>
            <wp:extent cx="31813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14605</wp:posOffset>
            </wp:positionV>
            <wp:extent cx="31813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14605</wp:posOffset>
            </wp:positionV>
            <wp:extent cx="31813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882" w:right="25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Oxford Finance LLC hereby sells, assigns and transfers unto</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520" w:type="dxa"/>
            <w:vAlign w:val="bottom"/>
          </w:tcPr>
          <w:p>
            <w:pPr>
              <w:spacing w:after="0"/>
              <w:rPr>
                <w:sz w:val="20"/>
                <w:szCs w:val="20"/>
                <w:color w:val="auto"/>
              </w:rPr>
            </w:pPr>
          </w:p>
        </w:tc>
        <w:tc>
          <w:tcPr>
            <w:tcW w:w="3320" w:type="dxa"/>
            <w:vAlign w:val="bottom"/>
            <w:gridSpan w:val="3"/>
          </w:tcPr>
          <w:p>
            <w:pPr>
              <w:jc w:val="right"/>
              <w:ind w:right="940"/>
              <w:spacing w:after="0"/>
              <w:rPr>
                <w:sz w:val="20"/>
                <w:szCs w:val="20"/>
                <w:color w:val="auto"/>
              </w:rPr>
            </w:pPr>
            <w:r>
              <w:rPr>
                <w:rFonts w:ascii="Arial" w:cs="Arial" w:eastAsia="Arial" w:hAnsi="Arial"/>
                <w:sz w:val="18"/>
                <w:szCs w:val="18"/>
                <w:color w:val="auto"/>
              </w:rPr>
              <w:t>[OXFORD TRANSFEREE]</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5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Tax ID:</w:t>
            </w:r>
          </w:p>
        </w:tc>
        <w:tc>
          <w:tcPr>
            <w:tcW w:w="520" w:type="dxa"/>
            <w:vAlign w:val="bottom"/>
          </w:tcPr>
          <w:p>
            <w:pPr>
              <w:spacing w:after="0"/>
              <w:rPr>
                <w:sz w:val="24"/>
                <w:szCs w:val="24"/>
                <w:color w:val="auto"/>
              </w:rPr>
            </w:pPr>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that certain Warrant to Purchase Stock issued by ACURA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on December 27, 2013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[OXFORD TRANSFEREE]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both"/>
        <w:ind w:left="6060"/>
        <w:spacing w:after="0"/>
        <w:tabs>
          <w:tab w:leader="none" w:pos="11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 Capitalization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Capitalization at December 27,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Common</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9"/>
              </w:rPr>
              <w:t>Comon Stock</w:t>
            </w:r>
          </w:p>
        </w:tc>
        <w:tc>
          <w:tcPr>
            <w:tcW w:w="15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Restricted</w:t>
            </w: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Stock</w:t>
            </w:r>
          </w:p>
        </w:tc>
        <w:tc>
          <w:tcPr>
            <w:tcW w:w="15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Common</w:t>
            </w: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Fully Diluted</w:t>
            </w:r>
          </w:p>
        </w:tc>
        <w:tc>
          <w:tcPr>
            <w:tcW w:w="0" w:type="dxa"/>
            <w:vAlign w:val="bottom"/>
          </w:tcPr>
          <w:p>
            <w:pPr>
              <w:spacing w:after="0"/>
              <w:rPr>
                <w:sz w:val="1"/>
                <w:szCs w:val="1"/>
                <w:color w:val="auto"/>
              </w:rPr>
            </w:pPr>
          </w:p>
        </w:tc>
      </w:tr>
      <w:tr>
        <w:trPr>
          <w:trHeight w:val="234"/>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Beneficial Owner</w:t>
            </w:r>
          </w:p>
        </w:tc>
        <w:tc>
          <w:tcPr>
            <w:tcW w:w="154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0"/>
              </w:rPr>
              <w:t>Outstanding</w:t>
            </w:r>
          </w:p>
        </w:tc>
        <w:tc>
          <w:tcPr>
            <w:tcW w:w="15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8"/>
              </w:rPr>
              <w:t>Stock Units</w:t>
            </w:r>
          </w:p>
        </w:tc>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Warrants</w:t>
            </w:r>
          </w:p>
        </w:tc>
        <w:tc>
          <w:tcPr>
            <w:tcW w:w="15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5"/>
              </w:rPr>
              <w:t>Stock Options</w:t>
            </w: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Galen Partners III, L.P.</w:t>
            </w:r>
          </w:p>
        </w:tc>
        <w:tc>
          <w:tcPr>
            <w:tcW w:w="10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10,535,082</w:t>
            </w:r>
          </w:p>
        </w:tc>
        <w:tc>
          <w:tcPr>
            <w:tcW w:w="30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459,400</w:t>
            </w:r>
          </w:p>
        </w:tc>
        <w:tc>
          <w:tcPr>
            <w:tcW w:w="2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10,994,482</w:t>
            </w:r>
          </w:p>
        </w:tc>
        <w:tc>
          <w:tcPr>
            <w:tcW w:w="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Galen Partners International III, L.P.</w:t>
            </w:r>
          </w:p>
        </w:tc>
        <w:tc>
          <w:tcPr>
            <w:tcW w:w="1240" w:type="dxa"/>
            <w:vAlign w:val="bottom"/>
          </w:tcPr>
          <w:p>
            <w:pPr>
              <w:jc w:val="right"/>
              <w:spacing w:after="0"/>
              <w:rPr>
                <w:sz w:val="20"/>
                <w:szCs w:val="20"/>
                <w:color w:val="auto"/>
              </w:rPr>
            </w:pPr>
            <w:r>
              <w:rPr>
                <w:rFonts w:ascii="Arial" w:cs="Arial" w:eastAsia="Arial" w:hAnsi="Arial"/>
                <w:sz w:val="18"/>
                <w:szCs w:val="18"/>
                <w:color w:val="auto"/>
              </w:rPr>
              <w:t>950,122</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41,562</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991,684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Galen Employee Fund III, L.P.</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43,394</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1,939</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45,333</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Essex Woodlands Health Ventures V</w:t>
            </w:r>
          </w:p>
        </w:tc>
        <w:tc>
          <w:tcPr>
            <w:tcW w:w="1240" w:type="dxa"/>
            <w:vAlign w:val="bottom"/>
          </w:tcPr>
          <w:p>
            <w:pPr>
              <w:jc w:val="right"/>
              <w:spacing w:after="0"/>
              <w:rPr>
                <w:sz w:val="20"/>
                <w:szCs w:val="20"/>
                <w:color w:val="auto"/>
              </w:rPr>
            </w:pPr>
            <w:r>
              <w:rPr>
                <w:rFonts w:ascii="Arial" w:cs="Arial" w:eastAsia="Arial" w:hAnsi="Arial"/>
                <w:sz w:val="18"/>
                <w:szCs w:val="18"/>
                <w:color w:val="auto"/>
              </w:rPr>
              <w:t>9,781,985</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502,901</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10,284,886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Care Capital Investments II</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4,032,885</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730,559</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4,763,444</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Care Capital Offshore Investment II</w:t>
            </w:r>
          </w:p>
        </w:tc>
        <w:tc>
          <w:tcPr>
            <w:tcW w:w="1240" w:type="dxa"/>
            <w:vAlign w:val="bottom"/>
          </w:tcPr>
          <w:p>
            <w:pPr>
              <w:jc w:val="right"/>
              <w:spacing w:after="0"/>
              <w:rPr>
                <w:sz w:val="20"/>
                <w:szCs w:val="20"/>
                <w:color w:val="auto"/>
              </w:rPr>
            </w:pPr>
            <w:r>
              <w:rPr>
                <w:rFonts w:ascii="Arial" w:cs="Arial" w:eastAsia="Arial" w:hAnsi="Arial"/>
                <w:sz w:val="18"/>
                <w:szCs w:val="18"/>
                <w:color w:val="auto"/>
              </w:rPr>
              <w:t>276,656</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50,120</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326,776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Andy Reddick</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227,500</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227,500</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Robert Jones</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51,095</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23,750</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907,500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982,345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Peter A. Clemens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214,021</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117,500</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429,375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760,896</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Robert Seiser</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86,340</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47,250</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326,725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460,315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James Emigh</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138,204</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38,875</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294,725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471,804</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Albert Brzeczko</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18,000</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6,000</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308,000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William Skelly</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25,000</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100,000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William Sumner</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94,852</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25,000</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15,000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134,852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Bruce Wesson</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14,904</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100,000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114,904</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Richard Markham</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75,000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George Ross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100,000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103,000</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Immanuel Thangaraj</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90,000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David Azad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21,250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21,250</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Brad Rivet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185,000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employees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258,437</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150,625</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784,947</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1,194,009</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Ron Spivey (no longer insider)</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167,500</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167,500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Non-insiders</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21,826,109</w:t>
            </w:r>
          </w:p>
        </w:tc>
        <w:tc>
          <w:tcPr>
            <w:tcW w:w="12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b w:val="1"/>
                <w:bCs w:val="1"/>
                <w:color w:val="auto"/>
              </w:rPr>
              <w:t>69,548</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21,895,657</w:t>
            </w:r>
          </w:p>
        </w:tc>
        <w:tc>
          <w:tcPr>
            <w:tcW w:w="1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Totals</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48,325,086</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829,000</w:t>
            </w:r>
          </w:p>
        </w:tc>
        <w:tc>
          <w:tcPr>
            <w:tcW w:w="15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b w:val="1"/>
                <w:bCs w:val="1"/>
                <w:color w:val="auto"/>
              </w:rPr>
              <w:t>1,856,029</w:t>
            </w:r>
          </w:p>
        </w:tc>
        <w:tc>
          <w:tcPr>
            <w:tcW w:w="15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b w:val="1"/>
                <w:bCs w:val="1"/>
                <w:color w:val="auto"/>
              </w:rPr>
              <w:t>3,737,522</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54,747,637</w:t>
            </w:r>
          </w:p>
        </w:tc>
        <w:tc>
          <w:tcPr>
            <w:tcW w:w="1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FFCC"/>
              <w:bottom w:val="single" w:sz="8" w:color="CCFFCC"/>
            </w:tcBorders>
            <w:gridSpan w:val="2"/>
            <w:vMerge w:val="restart"/>
          </w:tcPr>
          <w:p>
            <w:pPr>
              <w:spacing w:after="0"/>
              <w:rPr>
                <w:sz w:val="20"/>
                <w:szCs w:val="20"/>
                <w:color w:val="auto"/>
              </w:rPr>
            </w:pPr>
            <w:r>
              <w:rPr>
                <w:rFonts w:ascii="Arial" w:cs="Arial" w:eastAsia="Arial" w:hAnsi="Arial"/>
                <w:sz w:val="18"/>
                <w:szCs w:val="18"/>
                <w:b w:val="1"/>
                <w:bCs w:val="1"/>
                <w:color w:val="auto"/>
              </w:rPr>
              <w:t>Percent of Total</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bottom w:val="single" w:sz="8" w:color="CCFFCC"/>
            </w:tcBorders>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bottom w:val="single" w:sz="8" w:color="CCFFCC"/>
            </w:tcBorders>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bottom w:val="single" w:sz="8" w:color="CCFFCC"/>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bottom w:val="single" w:sz="8" w:color="CCFFCC"/>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bottom w:val="single" w:sz="8" w:color="CCFFCC"/>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88.3</w:t>
            </w:r>
          </w:p>
        </w:tc>
        <w:tc>
          <w:tcPr>
            <w:tcW w:w="30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c>
          <w:tcPr>
            <w:tcW w:w="30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c>
          <w:tcPr>
            <w:tcW w:w="28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6.8</w:t>
            </w:r>
          </w:p>
        </w:tc>
        <w:tc>
          <w:tcPr>
            <w:tcW w:w="28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100.0</w:t>
            </w:r>
          </w:p>
        </w:tc>
        <w:tc>
          <w:tcPr>
            <w:tcW w:w="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specified persons in Column entitled "Common Stock" is based on their public filings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in column entitled "Common Stock" with respect to "Other Employees" is an estimate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all Stock Options are Currently Exercisable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will be exchanged for stock on or about January 1,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18"/>
          <w:szCs w:val="18"/>
          <w:b w:val="1"/>
          <w:bCs w:val="1"/>
          <w:color w:val="auto"/>
        </w:rPr>
        <w:t>MORTGAGE, ASSIGNMENT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RENTS AND LEASES, SECURITY AGREEMENT AND FIXTURE FILING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from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ACURA PHARMACEUTICAL TECHNOLOGIES,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 Indiana corporation, “Mortgagor”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OXFORD FINANCE LLC, a Delaware limited liability company, “Mortgagee”</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Dated as of December 27, 2013</w:t>
      </w:r>
    </w:p>
    <w:p>
      <w:pPr>
        <w:spacing w:after="0" w:line="22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6"/>
          <w:szCs w:val="16"/>
          <w:b w:val="1"/>
          <w:bCs w:val="1"/>
          <w:color w:val="auto"/>
        </w:rPr>
        <w:t>16235 State Road 17, Culver, Indiana 46511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MORTGAGE, ASSIGNMENT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RENTS AND LEASES, SECURITY AGREEMENT AND FIXTURE FILING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(Marshall County, Indiana)</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MORTGAGE, ASSIGNMENT OF RENTS AND LEASES, SECURITY AGREEMENT AND FIXTURE FILING (this “</w:t>
      </w:r>
      <w:r>
        <w:rPr>
          <w:rFonts w:ascii="Arial" w:cs="Arial" w:eastAsia="Arial" w:hAnsi="Arial"/>
          <w:sz w:val="17"/>
          <w:szCs w:val="17"/>
          <w:b w:val="1"/>
          <w:bCs w:val="1"/>
          <w:color w:val="auto"/>
        </w:rPr>
        <w:t>Mortgage</w:t>
      </w:r>
      <w:r>
        <w:rPr>
          <w:rFonts w:ascii="Arial" w:cs="Arial" w:eastAsia="Arial" w:hAnsi="Arial"/>
          <w:sz w:val="17"/>
          <w:szCs w:val="17"/>
          <w:color w:val="auto"/>
        </w:rPr>
        <w:t>”)</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is dated as of this 27th day of December, 2013, by and from </w:t>
      </w:r>
      <w:r>
        <w:rPr>
          <w:rFonts w:ascii="Arial" w:cs="Arial" w:eastAsia="Arial" w:hAnsi="Arial"/>
          <w:sz w:val="18"/>
          <w:szCs w:val="18"/>
          <w:b w:val="1"/>
          <w:bCs w:val="1"/>
          <w:color w:val="auto"/>
        </w:rPr>
        <w:t>ACURA PHARMACEUTICAL TECHNOLOGIES, INC.</w:t>
      </w:r>
      <w:r>
        <w:rPr>
          <w:rFonts w:ascii="Arial" w:cs="Arial" w:eastAsia="Arial" w:hAnsi="Arial"/>
          <w:sz w:val="18"/>
          <w:szCs w:val="18"/>
          <w:color w:val="auto"/>
        </w:rPr>
        <w:t>, an Indiana corporation with offices locates at 16235 State Road 17, Culver, IN 46511 (“</w:t>
      </w:r>
      <w:r>
        <w:rPr>
          <w:rFonts w:ascii="Arial" w:cs="Arial" w:eastAsia="Arial" w:hAnsi="Arial"/>
          <w:sz w:val="18"/>
          <w:szCs w:val="18"/>
          <w:b w:val="1"/>
          <w:bCs w:val="1"/>
          <w:color w:val="auto"/>
        </w:rPr>
        <w:t>Mortgagor</w:t>
      </w:r>
      <w:r>
        <w:rPr>
          <w:rFonts w:ascii="Arial" w:cs="Arial" w:eastAsia="Arial" w:hAnsi="Arial"/>
          <w:sz w:val="18"/>
          <w:szCs w:val="18"/>
          <w:color w:val="auto"/>
        </w:rPr>
        <w:t>” or “</w:t>
      </w:r>
      <w:r>
        <w:rPr>
          <w:rFonts w:ascii="Arial" w:cs="Arial" w:eastAsia="Arial" w:hAnsi="Arial"/>
          <w:sz w:val="18"/>
          <w:szCs w:val="18"/>
          <w:b w:val="1"/>
          <w:bCs w:val="1"/>
          <w:color w:val="auto"/>
        </w:rPr>
        <w:t>Term Borrower</w:t>
      </w:r>
      <w:r>
        <w:rPr>
          <w:rFonts w:ascii="Arial" w:cs="Arial" w:eastAsia="Arial" w:hAnsi="Arial"/>
          <w:sz w:val="18"/>
          <w:szCs w:val="18"/>
          <w:color w:val="auto"/>
        </w:rPr>
        <w:t xml:space="preserve">”), to </w:t>
      </w:r>
      <w:r>
        <w:rPr>
          <w:rFonts w:ascii="Arial" w:cs="Arial" w:eastAsia="Arial" w:hAnsi="Arial"/>
          <w:sz w:val="18"/>
          <w:szCs w:val="18"/>
          <w:b w:val="1"/>
          <w:bCs w:val="1"/>
          <w:color w:val="auto"/>
        </w:rPr>
        <w:t>OXFORD FINANCE LLC</w:t>
      </w:r>
      <w:r>
        <w:rPr>
          <w:rFonts w:ascii="Arial" w:cs="Arial" w:eastAsia="Arial" w:hAnsi="Arial"/>
          <w:sz w:val="18"/>
          <w:szCs w:val="18"/>
          <w:color w:val="auto"/>
        </w:rPr>
        <w:t>, a Delaware limited liability company with an office located at 133 North Fairfax Street, Alexandria, Virginia 22314 (“</w:t>
      </w:r>
      <w:r>
        <w:rPr>
          <w:rFonts w:ascii="Arial" w:cs="Arial" w:eastAsia="Arial" w:hAnsi="Arial"/>
          <w:sz w:val="18"/>
          <w:szCs w:val="18"/>
          <w:b w:val="1"/>
          <w:bCs w:val="1"/>
          <w:color w:val="auto"/>
        </w:rPr>
        <w:t>Oxford</w:t>
      </w:r>
      <w:r>
        <w:rPr>
          <w:rFonts w:ascii="Arial" w:cs="Arial" w:eastAsia="Arial" w:hAnsi="Arial"/>
          <w:sz w:val="18"/>
          <w:szCs w:val="18"/>
          <w:color w:val="auto"/>
        </w:rPr>
        <w:t>”), as collateral agent (in such capacity,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 (together with its successors and assigns, “</w:t>
      </w:r>
      <w:r>
        <w:rPr>
          <w:rFonts w:ascii="Arial" w:cs="Arial" w:eastAsia="Arial" w:hAnsi="Arial"/>
          <w:sz w:val="18"/>
          <w:szCs w:val="18"/>
          <w:b w:val="1"/>
          <w:bCs w:val="1"/>
          <w:color w:val="auto"/>
        </w:rPr>
        <w:t>Mortgagee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WHEREAS, Mortgagor is the fee owner of the real property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Mortgagor and ACURA PHARMACEUTICALS, INC., a New York corporation with offices located at 616 N. North Court, Suite 120, Palatine, Illinois (“</w:t>
      </w:r>
      <w:r>
        <w:rPr>
          <w:rFonts w:ascii="Arial" w:cs="Arial" w:eastAsia="Arial" w:hAnsi="Arial"/>
          <w:sz w:val="18"/>
          <w:szCs w:val="18"/>
          <w:b w:val="1"/>
          <w:bCs w:val="1"/>
          <w:color w:val="auto"/>
        </w:rPr>
        <w:t>Parent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Mortgagor and Parent being sometimes referred to collectively herein as the “</w:t>
      </w:r>
      <w:r>
        <w:rPr>
          <w:rFonts w:ascii="Arial" w:cs="Arial" w:eastAsia="Arial" w:hAnsi="Arial"/>
          <w:sz w:val="18"/>
          <w:szCs w:val="18"/>
          <w:b w:val="1"/>
          <w:bCs w:val="1"/>
          <w:color w:val="auto"/>
        </w:rPr>
        <w:t>Borrowers</w:t>
      </w:r>
      <w:r>
        <w:rPr>
          <w:rFonts w:ascii="Arial" w:cs="Arial" w:eastAsia="Arial" w:hAnsi="Arial"/>
          <w:sz w:val="18"/>
          <w:szCs w:val="18"/>
          <w:color w:val="auto"/>
        </w:rPr>
        <w:t>” and each as a “</w:t>
      </w:r>
      <w:r>
        <w:rPr>
          <w:rFonts w:ascii="Arial" w:cs="Arial" w:eastAsia="Arial" w:hAnsi="Arial"/>
          <w:sz w:val="18"/>
          <w:szCs w:val="18"/>
          <w:b w:val="1"/>
          <w:bCs w:val="1"/>
          <w:color w:val="auto"/>
        </w:rPr>
        <w:t>Borrower</w:t>
      </w:r>
      <w:r>
        <w:rPr>
          <w:rFonts w:ascii="Arial" w:cs="Arial" w:eastAsia="Arial" w:hAnsi="Arial"/>
          <w:sz w:val="18"/>
          <w:szCs w:val="18"/>
          <w:color w:val="auto"/>
        </w:rPr>
        <w:t>”), and Mortgagee have entered into that certain Loan and Security Agreement, of even date herewith (as the same may be amended, amended and restated,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providing for a term loan from certain Lenders (as therein defined) in the maximum principal amount of TEN MILLION DOLLARS ($10,000,000.00).</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Mortgagee is acting as Collateral Agent for the Lenders pursuant to the terms of the Loan Agreement;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as a condition to the Lenders’ agreement to enter into the Loan Agreement, and to make available to Borrowers the financial accommodations provided therein, Mortgagee has required that Mortgagor, among other things, secure the “Obligations” of Borrowers under the Loan Agreement and the other Loan Documents by delivery and recordatoin of this Mortgage.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Mortgagor is receiving a good and valuable benefit, the sufficiency and receipt of which is hereby acknowledged, from the Lenders for entering into, and agreeing to extend credit and provide financial accommodations under, the Loan Agreement and the other Loan Documents with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All capitalized terms used herein without definition shall have the respective meanings ascribed to them in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used herein, the following terms shall have the following meanings:</w:t>
      </w:r>
    </w:p>
    <w:p>
      <w:pPr>
        <w:spacing w:after="0" w:line="162" w:lineRule="exact"/>
        <w:rPr>
          <w:sz w:val="20"/>
          <w:szCs w:val="20"/>
          <w:color w:val="auto"/>
        </w:rPr>
      </w:pPr>
    </w:p>
    <w:p>
      <w:pPr>
        <w:ind w:left="1960" w:hanging="655"/>
        <w:spacing w:after="0"/>
        <w:tabs>
          <w:tab w:leader="none" w:pos="19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right="40" w:firstLine="1305"/>
        <w:spacing w:after="0" w:line="283" w:lineRule="auto"/>
        <w:tabs>
          <w:tab w:leader="none" w:pos="1956" w:val="left"/>
        </w:tabs>
        <w:numPr>
          <w:ilvl w:val="1"/>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Property</w:t>
      </w:r>
      <w:r>
        <w:rPr>
          <w:rFonts w:ascii="Arial" w:cs="Arial" w:eastAsia="Arial" w:hAnsi="Arial"/>
          <w:sz w:val="16"/>
          <w:szCs w:val="16"/>
          <w:color w:val="auto"/>
        </w:rPr>
        <w:t xml:space="preserve">”: All of Mortgagor’s interest in (1) the fee interest in the real property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incorporated herein by this reference, together with any greater estate therein as hereafter may be acquired by Mortgagor (the “</w:t>
      </w:r>
      <w:r>
        <w:rPr>
          <w:rFonts w:ascii="Arial" w:cs="Arial" w:eastAsia="Arial" w:hAnsi="Arial"/>
          <w:sz w:val="16"/>
          <w:szCs w:val="16"/>
          <w:b w:val="1"/>
          <w:bCs w:val="1"/>
          <w:color w:val="auto"/>
        </w:rPr>
        <w:t>Land</w:t>
      </w:r>
      <w:r>
        <w:rPr>
          <w:rFonts w:ascii="Arial" w:cs="Arial" w:eastAsia="Arial" w:hAnsi="Arial"/>
          <w:sz w:val="16"/>
          <w:szCs w:val="16"/>
          <w:color w:val="auto"/>
        </w:rPr>
        <w:t>”), (2) all improvements now owned or hereafter acquired by Mortgagor, now or at any time situated, placed or constructed upon the Land (the “</w:t>
      </w:r>
      <w:r>
        <w:rPr>
          <w:rFonts w:ascii="Arial" w:cs="Arial" w:eastAsia="Arial" w:hAnsi="Arial"/>
          <w:sz w:val="16"/>
          <w:szCs w:val="16"/>
          <w:b w:val="1"/>
          <w:bCs w:val="1"/>
          <w:color w:val="auto"/>
        </w:rPr>
        <w:t>Improvements</w:t>
      </w:r>
      <w:r>
        <w:rPr>
          <w:rFonts w:ascii="Arial" w:cs="Arial" w:eastAsia="Arial" w:hAnsi="Arial"/>
          <w:sz w:val="16"/>
          <w:szCs w:val="16"/>
          <w:color w:val="auto"/>
        </w:rPr>
        <w:t>”; the Land and Improvements are collectively referred to herein as the “</w:t>
      </w:r>
      <w:r>
        <w:rPr>
          <w:rFonts w:ascii="Arial" w:cs="Arial" w:eastAsia="Arial" w:hAnsi="Arial"/>
          <w:sz w:val="16"/>
          <w:szCs w:val="16"/>
          <w:b w:val="1"/>
          <w:bCs w:val="1"/>
          <w:color w:val="auto"/>
        </w:rPr>
        <w:t>Premises</w:t>
      </w:r>
      <w:r>
        <w:rPr>
          <w:rFonts w:ascii="Arial" w:cs="Arial" w:eastAsia="Arial" w:hAnsi="Arial"/>
          <w:sz w:val="16"/>
          <w:szCs w:val="16"/>
          <w:color w:val="auto"/>
        </w:rPr>
        <w:t>”), (3) all materials, supplies, equipment, apparatus and other items of personal property now owned or hereafter acquired by Mortgagor and now or hereafter attached to or installed in any of the Improvements or the Land, fixtures and goods that are or are to become fixtures, and water, gas, electrical, telephone, storm and sanitary sewer facilities and all other utilities whether or not situated in easements (the “</w:t>
      </w:r>
      <w:r>
        <w:rPr>
          <w:rFonts w:ascii="Arial" w:cs="Arial" w:eastAsia="Arial" w:hAnsi="Arial"/>
          <w:sz w:val="16"/>
          <w:szCs w:val="16"/>
          <w:b w:val="1"/>
          <w:bCs w:val="1"/>
          <w:color w:val="auto"/>
        </w:rPr>
        <w:t>Fixtures</w:t>
      </w:r>
      <w:r>
        <w:rPr>
          <w:rFonts w:ascii="Arial" w:cs="Arial" w:eastAsia="Arial" w:hAnsi="Arial"/>
          <w:sz w:val="16"/>
          <w:szCs w:val="16"/>
          <w:color w:val="auto"/>
        </w:rPr>
        <w:t>”), (4) all deposit accounts maintained by Mortgagor with respect to the Mortgaged Property (the “</w:t>
      </w:r>
      <w:r>
        <w:rPr>
          <w:rFonts w:ascii="Arial" w:cs="Arial" w:eastAsia="Arial" w:hAnsi="Arial"/>
          <w:sz w:val="16"/>
          <w:szCs w:val="16"/>
          <w:b w:val="1"/>
          <w:bCs w:val="1"/>
          <w:color w:val="auto"/>
        </w:rPr>
        <w:t>Deposit Accounts</w:t>
      </w:r>
      <w:r>
        <w:rPr>
          <w:rFonts w:ascii="Arial" w:cs="Arial" w:eastAsia="Arial" w:hAnsi="Arial"/>
          <w:sz w:val="16"/>
          <w:szCs w:val="16"/>
          <w:color w:val="auto"/>
        </w:rPr>
        <w:t>”), (5) all existing and future leases, subleases, licenses, concessions, occupancy agreements or other agreements (written or oral, now or at any time in effect) which grant to any Person a possessory interest in, or the right to use or occupy, all or any part of the Mortgaged Property, whether made before or after the filing by or against Mortgagor of any petition for relief under the Bankruptcy Code, together with any extension, renewal or replacement of the same and together with all related security and other deposits (the “</w:t>
      </w:r>
      <w:r>
        <w:rPr>
          <w:rFonts w:ascii="Arial" w:cs="Arial" w:eastAsia="Arial" w:hAnsi="Arial"/>
          <w:sz w:val="16"/>
          <w:szCs w:val="16"/>
          <w:b w:val="1"/>
          <w:bCs w:val="1"/>
          <w:color w:val="auto"/>
        </w:rPr>
        <w:t>Leases</w:t>
      </w:r>
      <w:r>
        <w:rPr>
          <w:rFonts w:ascii="Arial" w:cs="Arial" w:eastAsia="Arial" w:hAnsi="Arial"/>
          <w:sz w:val="16"/>
          <w:szCs w:val="16"/>
          <w:color w:val="auto"/>
        </w:rPr>
        <w:t>”), (6) all of the rents, additional rents, revenues, royalties, income, proceeds, profits, early termination fees or payments, security and other types of deposits, and other benefits paid or payable by tenants under the Leases for using, leasing, licensing, possessing, operating from, residing in, selling or otherwise enjoying the Mortgaged Property or any part thereof, whether paid or accruing before or after the filing by or against Mortgagor of any petition for relief under the Bankruptcy Code (the “</w:t>
      </w:r>
      <w:r>
        <w:rPr>
          <w:rFonts w:ascii="Arial" w:cs="Arial" w:eastAsia="Arial" w:hAnsi="Arial"/>
          <w:sz w:val="16"/>
          <w:szCs w:val="16"/>
          <w:b w:val="1"/>
          <w:bCs w:val="1"/>
          <w:color w:val="auto"/>
        </w:rPr>
        <w:t>Rents</w:t>
      </w:r>
      <w:r>
        <w:rPr>
          <w:rFonts w:ascii="Arial" w:cs="Arial" w:eastAsia="Arial" w:hAnsi="Arial"/>
          <w:sz w:val="16"/>
          <w:szCs w:val="16"/>
          <w:color w:val="auto"/>
        </w:rPr>
        <w:t>”), (7) all other agreements, such as construction contracts, architects’ agreements, engineers’ contracts, utility contracts, maintenance agreements, management agreements, service contracts, listing agreements, guaranties, warranties, permits, licenses, certificates and entitlements in any way relating to the construction, use, occupancy, operation, maintenance, enjoyment or ownership of the Mortgaged Property, in each case only to the extent Borrower is permitted under the terms thereof to grant a Lien hereunder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Agreements</w:t>
      </w:r>
      <w:r>
        <w:rPr>
          <w:rFonts w:ascii="Arial" w:cs="Arial" w:eastAsia="Arial" w:hAnsi="Arial"/>
          <w:sz w:val="16"/>
          <w:szCs w:val="16"/>
          <w:color w:val="auto"/>
        </w:rPr>
        <w:t>”), (8) all rights, privileges, tenements, hereditaments, rights-of-way, easements, appendages and appurtenances appertaining to the foregoing,</w:t>
      </w:r>
    </w:p>
    <w:p>
      <w:pPr>
        <w:spacing w:after="0" w:line="2" w:lineRule="exact"/>
        <w:rPr>
          <w:rFonts w:ascii="Arial" w:cs="Arial" w:eastAsia="Arial" w:hAnsi="Arial"/>
          <w:sz w:val="16"/>
          <w:szCs w:val="16"/>
          <w:color w:val="auto"/>
        </w:rPr>
      </w:pPr>
    </w:p>
    <w:p>
      <w:pPr>
        <w:ind w:right="40" w:firstLine="8"/>
        <w:spacing w:after="0" w:line="267" w:lineRule="auto"/>
        <w:tabs>
          <w:tab w:leader="none" w:pos="2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all property tax refunds, utility refunds and rebates, earned or received at any time (the “</w:t>
      </w:r>
      <w:r>
        <w:rPr>
          <w:rFonts w:ascii="Arial" w:cs="Arial" w:eastAsia="Arial" w:hAnsi="Arial"/>
          <w:sz w:val="17"/>
          <w:szCs w:val="17"/>
          <w:b w:val="1"/>
          <w:bCs w:val="1"/>
          <w:color w:val="auto"/>
        </w:rPr>
        <w:t>Tax Refunds</w:t>
      </w:r>
      <w:r>
        <w:rPr>
          <w:rFonts w:ascii="Arial" w:cs="Arial" w:eastAsia="Arial" w:hAnsi="Arial"/>
          <w:sz w:val="17"/>
          <w:szCs w:val="17"/>
          <w:color w:val="auto"/>
        </w:rPr>
        <w:t>”), (10) all accessions, replacements and substitutions for any of the foregoing and all proceeds thereof (the “</w:t>
      </w:r>
      <w:r>
        <w:rPr>
          <w:rFonts w:ascii="Arial" w:cs="Arial" w:eastAsia="Arial" w:hAnsi="Arial"/>
          <w:sz w:val="17"/>
          <w:szCs w:val="17"/>
          <w:b w:val="1"/>
          <w:bCs w:val="1"/>
          <w:color w:val="auto"/>
        </w:rPr>
        <w:t>Proceeds</w:t>
      </w:r>
      <w:r>
        <w:rPr>
          <w:rFonts w:ascii="Arial" w:cs="Arial" w:eastAsia="Arial" w:hAnsi="Arial"/>
          <w:sz w:val="17"/>
          <w:szCs w:val="17"/>
          <w:color w:val="auto"/>
        </w:rPr>
        <w:t>”), (11) all insurance policies, unearned premiums therefor and proceeds from such policies covering any of the above property now or hereafter acquired by Mortgagor (the “</w:t>
      </w:r>
      <w:r>
        <w:rPr>
          <w:rFonts w:ascii="Arial" w:cs="Arial" w:eastAsia="Arial" w:hAnsi="Arial"/>
          <w:sz w:val="17"/>
          <w:szCs w:val="17"/>
          <w:b w:val="1"/>
          <w:bCs w:val="1"/>
          <w:color w:val="auto"/>
        </w:rPr>
        <w:t>Insurance</w:t>
      </w:r>
      <w:r>
        <w:rPr>
          <w:rFonts w:ascii="Arial" w:cs="Arial" w:eastAsia="Arial" w:hAnsi="Arial"/>
          <w:sz w:val="17"/>
          <w:szCs w:val="17"/>
          <w:color w:val="auto"/>
        </w:rPr>
        <w:t>”), (12) all of Mortgagor’s right, title and interest in and to any awards, damages, remunerations, reimbursements, settlements or compensation heretofore made or hereafter to be made by any governmental authority pertaining to the Land, Improvements or Fixtures (the “</w:t>
      </w:r>
      <w:r>
        <w:rPr>
          <w:rFonts w:ascii="Arial" w:cs="Arial" w:eastAsia="Arial" w:hAnsi="Arial"/>
          <w:sz w:val="17"/>
          <w:szCs w:val="17"/>
          <w:b w:val="1"/>
          <w:bCs w:val="1"/>
          <w:color w:val="auto"/>
        </w:rPr>
        <w:t>Condemnation Awards</w:t>
      </w:r>
      <w:r>
        <w:rPr>
          <w:rFonts w:ascii="Arial" w:cs="Arial" w:eastAsia="Arial" w:hAnsi="Arial"/>
          <w:sz w:val="17"/>
          <w:szCs w:val="17"/>
          <w:color w:val="auto"/>
        </w:rPr>
        <w:t>”), (13) all of Mortgagor’s rights to appear and defend any action or proceeding brought with respect to the Mortgaged Property and to commence any action or proceeding to protect the interest of Mortgagor in the Mortgaged Property, and (14) all rights, powers, privileges, options and other benefits of Mortgagor as lessor under the Leases, including, without limitation, the immediate and continuing right to claim for, receive, collect and receive all Rents payable or receivable under the Leases or pursuant thereto (and to apply the same to the payment of the Obligations), and to do all other things which Mortgagor or any lessor is or may become entitled to do under the Leases. As used in this Mortgage, the term “Mortgaged Property” shall mean all or, where the context permits or requires, any portion of the above or any interest therein but in no event shall include Intellectual Property (as defined in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9" w:name="page160"/>
    <w:bookmarkEnd w:id="159"/>
    <w:p>
      <w:pPr>
        <w:jc w:val="both"/>
        <w:ind w:left="-1200" w:firstLine="1305"/>
        <w:spacing w:after="0" w:line="261" w:lineRule="auto"/>
        <w:tabs>
          <w:tab w:leader="none" w:pos="7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Collectively, all of the present and future obligations of Mortgagor and each other Borrower arising from, or owing under or pursuant to, this Mortgage, the Loan Agreement, or any of the other Loan Documents, including all Loans made under the Loan Agreement (including any interest, fees (including reasonable attorneys’ fees), or expenses that accrue after the filing of an Insolvency Proceeding, regardless of whether allowed or allowable in whole or in part as a claim in any insolvency proceeding).</w:t>
      </w:r>
    </w:p>
    <w:p>
      <w:pPr>
        <w:spacing w:after="0" w:line="180" w:lineRule="exact"/>
        <w:rPr>
          <w:rFonts w:ascii="Arial" w:cs="Arial" w:eastAsia="Arial" w:hAnsi="Arial"/>
          <w:sz w:val="18"/>
          <w:szCs w:val="18"/>
          <w:color w:val="auto"/>
        </w:rPr>
      </w:pPr>
    </w:p>
    <w:p>
      <w:pPr>
        <w:jc w:val="both"/>
        <w:ind w:left="-1200" w:firstLine="1305"/>
        <w:spacing w:after="0" w:line="261" w:lineRule="auto"/>
        <w:tabs>
          <w:tab w:leader="none" w:pos="8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Real Property Encumbrances</w:t>
      </w:r>
      <w:r>
        <w:rPr>
          <w:rFonts w:ascii="Arial" w:cs="Arial" w:eastAsia="Arial" w:hAnsi="Arial"/>
          <w:sz w:val="18"/>
          <w:szCs w:val="18"/>
          <w:color w:val="auto"/>
        </w:rPr>
        <w:t>”: shall mean (i) the lien of ad valorem taxes not yet due, and (ii) zoning restrictions, easements, licenses, restrictions on the use of real property or minor irregularities in title thereto, which do not materially impair the use of the Mortgaged Property in the operation of the business of Mortgagor or Borrowers or the value of the Mortgaged Property for the purpose of such business, and (iii) Permitted Liens under the Loan Agreement that are inherently liens on Mortgaged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400685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8" w:right="239" w:bottom="1440" w:gutter="0" w:footer="0" w:header="0"/>
        </w:sectPr>
      </w:pPr>
    </w:p>
    <w:bookmarkStart w:id="160" w:name="page161"/>
    <w:bookmarkEnd w:id="160"/>
    <w:p>
      <w:pPr>
        <w:jc w:val="both"/>
        <w:ind w:firstLine="1305"/>
        <w:spacing w:after="0" w:line="266" w:lineRule="auto"/>
        <w:tabs>
          <w:tab w:leader="none" w:pos="1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The Uniform Commercial Code of the state in which the Land is located or, if the creation, perfection and enforcement of any security interest herein granted is governed by the laws of a state other than the state in which the Land is located, then, as to the matter in question, the Uniform Commercial Code in effect in that state.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GRANT</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For and in consideration of good and valuable consideration, the receipt and sufficiency whereof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 order to secure the indebtedness and other obligations of Mortgagor herein set forth, to secure the full and timely payment and performance of the Obligations, Mortgagor MORTGAGES, GRANTS A SECURITY INTEREST IN, BARGAINS, ASSIGNS, SELLS AND WARRANTS, to Mortgagee the Mortgaged Property, subject, however, to the Permitted Real Property Encumbrances, TO HAVE AND TO HOLD the Mortgaged Property and all parts, rights and appurtenances thereof, to Mortgagee, and Mortgagor does hereby bind itself, its successors and assigns to WARRANT AND FOREVER DEFEND the title to the Mortgaged Property unto Mortgagee.</w:t>
      </w:r>
    </w:p>
    <w:p>
      <w:pPr>
        <w:spacing w:after="0" w:line="19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TO HAVE AND TO HOLD, the Mortgaged Property, together with all and singular the parts, rights, privileges, hereditaments, and appurtenances thereto in any ways belonging or appertaining, to the use, benefit, and behoof of Mortgagee, its successors and assigns.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WARRANTIES, REPRESENTATIONS AND COVENANTS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Mortgagor warrants, represents and covenants to Mortgagee as follows: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Title to Mortgaged Property and Lien of this Instrument</w:t>
      </w:r>
      <w:r>
        <w:rPr>
          <w:rFonts w:ascii="Arial" w:cs="Arial" w:eastAsia="Arial" w:hAnsi="Arial"/>
          <w:sz w:val="17"/>
          <w:szCs w:val="17"/>
          <w:color w:val="auto"/>
        </w:rPr>
        <w:t>. Mortgagor (i) has good and indefeasible title to the Mortgaged</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in fee simple (to the extent that the Mortgaged Property constitutes real property), free and clear of any Liens, claims or interests, except the Permitted Real Property Encumbrances and (ii) has full power and lawful authority to encumber the Mortgaged Property in the manner and form set forth in this Mortgage. This Mortgage creates valid, enforceable first priority liens and security interests against the Mortgaged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1" w:name="page162"/>
    <w:bookmarkEnd w:id="161"/>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First Lien Status</w:t>
      </w:r>
      <w:r>
        <w:rPr>
          <w:rFonts w:ascii="Arial" w:cs="Arial" w:eastAsia="Arial" w:hAnsi="Arial"/>
          <w:sz w:val="18"/>
          <w:szCs w:val="18"/>
          <w:color w:val="auto"/>
        </w:rPr>
        <w:t>. Mortgagor shall preserve and protect the first Lien status of this Mortgage. If any Lien other than the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Real Property Encumbrances is asserted against the Mortgaged Property, Mortgagor shall promptly, and at its expense, (a) give Mortgagee a detailed written notice of such Lien (including origin, amount and other terms), and (b) pay the underlying claim in full or take such other action so as to cause it to be released or contest the same in compliance with the requirements of the Loan Agreement (including the requirement of providing a bond or other security satisfactory to Mortgagee).</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Payment and Performance</w:t>
      </w:r>
      <w:r>
        <w:rPr>
          <w:rFonts w:ascii="Arial" w:cs="Arial" w:eastAsia="Arial" w:hAnsi="Arial"/>
          <w:sz w:val="18"/>
          <w:szCs w:val="18"/>
          <w:color w:val="auto"/>
        </w:rPr>
        <w:t>. Mortgagor shall pay the Obligations when due under the Loan Documents and shall perform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in full when they are required to be performed.</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Replacement of Fixtures</w:t>
      </w:r>
      <w:r>
        <w:rPr>
          <w:rFonts w:ascii="Arial" w:cs="Arial" w:eastAsia="Arial" w:hAnsi="Arial"/>
          <w:sz w:val="18"/>
          <w:szCs w:val="18"/>
          <w:color w:val="auto"/>
        </w:rPr>
        <w:t>. Except as otherwise permitted under the Loan Agreement or any other Loan Document, Mortgagor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without the prior written consent of Mortgagee, permit any of the Fixtures to be removed at any time from the Land or Improvements, unless the removed item is removed temporarily for maintenance and repair or replacement or, if removed permanently, is obsolete or is of minimal value, owned by Mortgagor subject to the Lien of this Mortgage and the other Loan Documents, and free and clear of any other Lien except such as may be permitted under the Loan Agreement or any other Loan Document, or approved in writing by Mortgagee.</w:t>
      </w:r>
    </w:p>
    <w:p>
      <w:pPr>
        <w:spacing w:after="0" w:line="18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Inspection</w:t>
      </w:r>
      <w:r>
        <w:rPr>
          <w:rFonts w:ascii="Arial" w:cs="Arial" w:eastAsia="Arial" w:hAnsi="Arial"/>
          <w:sz w:val="17"/>
          <w:szCs w:val="17"/>
          <w:color w:val="auto"/>
        </w:rPr>
        <w:t>. Mortgagor shall permit Mortgagee and its agents, representatives and employees to inspect the Mortgaged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books and records of Mortgagor located thereon, and to conduct such environmental and engineering studies as Mortgagee may require.</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Other Covenants</w:t>
      </w:r>
      <w:r>
        <w:rPr>
          <w:rFonts w:ascii="Arial" w:cs="Arial" w:eastAsia="Arial" w:hAnsi="Arial"/>
          <w:sz w:val="18"/>
          <w:szCs w:val="18"/>
          <w:color w:val="auto"/>
        </w:rPr>
        <w:t>. All of the covenants in the Loan Agreement are incorporated herein by reference and, together with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this </w:t>
      </w:r>
      <w:r>
        <w:rPr>
          <w:rFonts w:ascii="Arial" w:cs="Arial" w:eastAsia="Arial" w:hAnsi="Arial"/>
          <w:sz w:val="18"/>
          <w:szCs w:val="18"/>
          <w:u w:val="single" w:color="auto"/>
          <w:color w:val="auto"/>
        </w:rPr>
        <w:t>Article 3</w:t>
      </w:r>
      <w:r>
        <w:rPr>
          <w:rFonts w:ascii="Arial" w:cs="Arial" w:eastAsia="Arial" w:hAnsi="Arial"/>
          <w:sz w:val="18"/>
          <w:szCs w:val="18"/>
          <w:color w:val="auto"/>
        </w:rPr>
        <w:t>, shall, to the extent applicable, be covenants running with the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2" w:name="page163"/>
    <w:bookmarkEnd w:id="162"/>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Condemnation Awards and Insurance Proceeds.</w:t>
      </w:r>
    </w:p>
    <w:p>
      <w:pPr>
        <w:spacing w:after="0" w:line="229" w:lineRule="exact"/>
        <w:rPr>
          <w:sz w:val="20"/>
          <w:szCs w:val="20"/>
          <w:color w:val="auto"/>
        </w:rPr>
      </w:pPr>
    </w:p>
    <w:p>
      <w:pPr>
        <w:jc w:val="both"/>
        <w:ind w:firstLine="1305"/>
        <w:spacing w:after="0" w:line="253" w:lineRule="auto"/>
        <w:tabs>
          <w:tab w:leader="none" w:pos="194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Condemnation Awards</w:t>
      </w:r>
      <w:r>
        <w:rPr>
          <w:rFonts w:ascii="Arial" w:cs="Arial" w:eastAsia="Arial" w:hAnsi="Arial"/>
          <w:sz w:val="18"/>
          <w:szCs w:val="18"/>
          <w:color w:val="auto"/>
        </w:rPr>
        <w:t>. Mortgagor, promptly upon obtaining knowledge of the institution of any proceedings for the condemnation of the Premises or any portion thereof, will notify Mortgagee of the pendency of such proceedings. Mortgagee may participate in any such proceedings and Mortgagor from time to time will deliver to Mortgagee all instruments requested by it to permit such participation. Mortgagor assigns all awards and compensation to which it is entitled for any condemnation or other taking, or any purchase in lieu thereof, to Mortgagee and authorizes Mortgagee to collect and receive such awards and compensation and to give proper receipts and acquittances therefor, subject to the terms of the Loan Agreement. Mortgagor, upon request by Mortgagee, shall make, execute and deliver any and all instruments requested for the purpose of confirming the assignment of the aforesaid awards and compensation to Mortgagee free and clear of any Liens, charges or encumbrances of any kind or nature whatsoever. Notwithstanding the foregoing, provided no Event of Default then exists, with the prior written consent of the Mortgagee, Mortgagor may receive such proceeds and apply the same to such repair or restoration.</w:t>
      </w:r>
    </w:p>
    <w:p>
      <w:pPr>
        <w:spacing w:after="0" w:line="197" w:lineRule="exact"/>
        <w:rPr>
          <w:rFonts w:ascii="Arial" w:cs="Arial" w:eastAsia="Arial" w:hAnsi="Arial"/>
          <w:sz w:val="18"/>
          <w:szCs w:val="18"/>
          <w:color w:val="auto"/>
        </w:rPr>
      </w:pPr>
    </w:p>
    <w:p>
      <w:pPr>
        <w:jc w:val="both"/>
        <w:ind w:firstLine="1305"/>
        <w:spacing w:after="0" w:line="290" w:lineRule="auto"/>
        <w:tabs>
          <w:tab w:leader="none" w:pos="199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Insurance Proceeds</w:t>
      </w:r>
      <w:r>
        <w:rPr>
          <w:rFonts w:ascii="Arial" w:cs="Arial" w:eastAsia="Arial" w:hAnsi="Arial"/>
          <w:sz w:val="16"/>
          <w:szCs w:val="16"/>
          <w:color w:val="auto"/>
        </w:rPr>
        <w:t>. Mortgagor assigns to Mortgagee all proceeds of any insurance policies insuring against loss or damage to the Mortgaged Property. Mortgagor authorizes Mortgagee to collect and receive such proceeds and authorizes and directs the issuer of each of such insurance policies to make payment for all such losses directly to Mortgagee, instead of to Mortgagor and Mortgagee jointly, as more specifically described in the Loan Agreement. In the event that the issuer of such insurance policy fails to disburse directly or solely to Mortgagee but disburses instead either solely to Mortgagor or to Mortgagor and Mortgagee, jointly, Mortgagor shall immediately endorse and transfer such proceeds to Mortgagee. Upon Mortgagor’s failure to do so, Mortgagee may execute such endorsements or transfers from and in the name of Mortgagor, and Mortgagor hereby irrevocably appoints Mortgagee as Mortgagor’s agent and attorney-in-fact so to do. Notwithstanding the foregoing, provided no Event of Default then exists, with the prior written consent of the Mortgagee, Mortgagor may receive such proceeds and apply the same to such repair or restoration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Costs of Defending and Upholding the Lien</w:t>
      </w:r>
      <w:r>
        <w:rPr>
          <w:rFonts w:ascii="Arial" w:cs="Arial" w:eastAsia="Arial" w:hAnsi="Arial"/>
          <w:sz w:val="18"/>
          <w:szCs w:val="18"/>
          <w:color w:val="auto"/>
        </w:rPr>
        <w:t>. If any action or proceeding is commenced to which action or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Mortgagee is made a party or in which it becomes necessary for Mortgagee to defend or uphold the Lien of this Mortgage including any extensions, renewals, amendments or modifications thereof, Mortgagor shall, on demand, reimburse Mortgagee for all expenses (including, without limitation, reasonable attorneys' fees and reasonable appellate attorneys' fees) incurred by Mortgagee in any such action or proceeding and all such expenses shall be secured by this Mortgage. In any action or proceeding to foreclose this Mortgage or to recover or collect the Obligations, the provisions of law relating to the recovering of costs, disbursements and allowances shall prevail unaffected by this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3" w:name="page164"/>
    <w:bookmarkEnd w:id="163"/>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3.9. </w:t>
      </w:r>
      <w:r>
        <w:rPr>
          <w:rFonts w:ascii="Arial" w:cs="Arial" w:eastAsia="Arial" w:hAnsi="Arial"/>
          <w:sz w:val="17"/>
          <w:szCs w:val="17"/>
          <w:b w:val="1"/>
          <w:bCs w:val="1"/>
          <w:u w:val="single" w:color="auto"/>
          <w:color w:val="auto"/>
        </w:rPr>
        <w:t>TRANSFER OF THE MORTGAGED PROPERTY</w:t>
      </w:r>
      <w:r>
        <w:rPr>
          <w:rFonts w:ascii="Arial" w:cs="Arial" w:eastAsia="Arial" w:hAnsi="Arial"/>
          <w:sz w:val="17"/>
          <w:szCs w:val="17"/>
          <w:color w:val="auto"/>
        </w:rPr>
        <w:t>. EXCEPT AS EXPRESSLY PERMITTED PURSUANT TO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LOAN AGREEMENT, MORTGAGOR SHALL NOT SELL, TRANSFER, PLEDGE, ENCUMBER, CREATE A SECURITY INTEREST IN, GROUND LEASE, OR OTHERWISE HYPOTHECATE, ALL OR ANY PORTION OF THE MORTGAGED PROPERTY WITHOUT THE PRIOR WRITTEN CONSENT OF MORTGAGEE. THE CONSENT BY MORTGAGEE TO ANY SALE, TRANSFER, PLEDGE, ENCUMBRANCE, CREATION OF A SECURITY INTEREST IN, GROUND LEASE OR OTHER HYPOTHECATION OF, ANY PORTION OF THE MORTGAGED PROPERTY SHALL NOT BE DEEMED TO CONSTITUTE A NOVATION OR A CONSENT TO ANY FURTHER SALE, TRANSFER, PLEDGE, ENCUMBRANCE, CREATION OF A SECURITY INTEREST IN, GROUND LEASE, OR OTHER HYPOTHECATION, OR TO WAIVE THE RIGHT OF MORTGAGEE, AT ITS OPTION, TO DECLARE THE OBLIGATIONS SECURED HEREBY IMMEDIATELY DUE AND PAYABLE, WITHOUT NOTICE TO MORTGAGOR OR ANY OTHER PERSON OR ENTITY, UPON ANY SUCH SALE, TRANSFER, PLEDGE, ENCUMBRANCE, CREATION OF A SECURITY INTEREST, GROUND LEASE, OR OTHER HYPOTHECATION TO WHICH MORTGAGEE SHALL NOT HAVE CONSENTED.</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u w:val="single" w:color="auto"/>
          <w:color w:val="auto"/>
        </w:rPr>
        <w:t>Security Deposits</w:t>
      </w:r>
      <w:r>
        <w:rPr>
          <w:rFonts w:ascii="Arial" w:cs="Arial" w:eastAsia="Arial" w:hAnsi="Arial"/>
          <w:sz w:val="18"/>
          <w:szCs w:val="18"/>
          <w:color w:val="auto"/>
        </w:rPr>
        <w:t>. To the extent required by law, or after an Event of Default has occurred and during its continuance, if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Mortgagee, all security deposits of tenants of the Mortgaged Property shall be treated as trust funds not to be commingled with any other funds of Mortgagor. Within twenty (20) days after request by Mortgagee, Mortgagor shall furnish satisfactory evidence of compliance with this </w:t>
      </w:r>
      <w:r>
        <w:rPr>
          <w:rFonts w:ascii="Arial" w:cs="Arial" w:eastAsia="Arial" w:hAnsi="Arial"/>
          <w:sz w:val="18"/>
          <w:szCs w:val="18"/>
          <w:u w:val="single" w:color="auto"/>
          <w:color w:val="auto"/>
        </w:rPr>
        <w:t>Section 3.10</w:t>
      </w:r>
      <w:r>
        <w:rPr>
          <w:rFonts w:ascii="Arial" w:cs="Arial" w:eastAsia="Arial" w:hAnsi="Arial"/>
          <w:sz w:val="18"/>
          <w:szCs w:val="18"/>
          <w:color w:val="auto"/>
        </w:rPr>
        <w:t>, as necessary, together with a statement of all security deposits deposited by the tenants and copies of all Leases not theretofore delivered to Mortgagee, as requested thereby, certified by Mortgagor.</w:t>
      </w:r>
    </w:p>
    <w:p>
      <w:pPr>
        <w:spacing w:after="0" w:line="18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DEFAULT</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The occurrence of any of the following events shall constitute an event of default under this Mortgage (each an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166" w:lineRule="exact"/>
        <w:rPr>
          <w:sz w:val="20"/>
          <w:szCs w:val="20"/>
          <w:color w:val="auto"/>
        </w:rPr>
      </w:pPr>
    </w:p>
    <w:p>
      <w:pPr>
        <w:ind w:left="1960" w:hanging="655"/>
        <w:spacing w:after="0"/>
        <w:tabs>
          <w:tab w:leader="none" w:pos="1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“Event of Default” (as such term is defined in the Loan Agreement) shall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4" w:name="page165"/>
    <w:bookmarkEnd w:id="164"/>
    <w:p>
      <w:pPr>
        <w:jc w:val="both"/>
        <w:ind w:firstLine="1305"/>
        <w:spacing w:after="0" w:line="259" w:lineRule="auto"/>
        <w:tabs>
          <w:tab w:leader="none" w:pos="196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breach or violation of any of the terms contained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of this Mortgage (other than 3.4 and 3.6), except that with respect to Section 3.3, the following shall constitute an Event of Default: failure to make any payment of principal or interest on any Credit Extension on its due date, failure to make payments due on the Maturity Date or the date of acceleration pursuant to Section 9.1(a) of the Loan Agreement, and failure to pay any other Obligations within three (3) Business Days after such Obligations are due and payable.</w:t>
      </w:r>
    </w:p>
    <w:p>
      <w:pPr>
        <w:spacing w:after="0" w:line="186" w:lineRule="exact"/>
        <w:rPr>
          <w:rFonts w:ascii="Arial" w:cs="Arial" w:eastAsia="Arial" w:hAnsi="Arial"/>
          <w:sz w:val="18"/>
          <w:szCs w:val="18"/>
          <w:color w:val="auto"/>
        </w:rPr>
      </w:pPr>
    </w:p>
    <w:p>
      <w:pPr>
        <w:jc w:val="both"/>
        <w:ind w:firstLine="1305"/>
        <w:spacing w:after="0" w:line="271" w:lineRule="auto"/>
        <w:tabs>
          <w:tab w:leader="none" w:pos="201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Mortgagor’s breach of any of the covenants set forth in this Mortgage other than those set forth in Article 3 hereof (other than in Sections 3.3, 3.4 and 3.6) , which breach or failure to comply continues for a period of fifteen (15) days or more, provided, however, that if the default cannot by its nature be cured within the fifteen (15) day period or cannot after diligent attempts by Mortgagor be cured within such fifteen (15) day period, and such default is likely to be cured within a reasonable time, then Mortgagor shall have an additional period (which shall not in any case exceed thirty (30) days) to attempt to cure such default, and prior to the expiration of such reasonable time period the failure to cure the default shall not be deemed an Event of Default; provided, however, if such breach or failure to comply would otherwise result in an Event of Default under the Loan Agreement or any other Loan Document, such breach or failure to comply shall result in an Event of Default hereunder concurrently with the occurrence of an Event of Default under the Loan Agreement or such other Loan Document; or</w:t>
      </w:r>
    </w:p>
    <w:p>
      <w:pPr>
        <w:spacing w:after="0" w:line="178" w:lineRule="exact"/>
        <w:rPr>
          <w:rFonts w:ascii="Arial" w:cs="Arial" w:eastAsia="Arial" w:hAnsi="Arial"/>
          <w:sz w:val="17"/>
          <w:szCs w:val="17"/>
          <w:color w:val="auto"/>
        </w:rPr>
      </w:pPr>
    </w:p>
    <w:p>
      <w:pPr>
        <w:ind w:firstLine="1305"/>
        <w:spacing w:after="0" w:line="277" w:lineRule="auto"/>
        <w:tabs>
          <w:tab w:leader="none" w:pos="199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if any statement or representation in any warranty or representation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hereof shall now or hereafter prove to be false or misleading in any material respect.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REMEDIES AND FORECLOSURE</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If an Event of Default exists, Mortgagee may, at Mortgagee’s election, exercise any or all of the following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and recourses:</w:t>
      </w:r>
    </w:p>
    <w:p>
      <w:pPr>
        <w:spacing w:after="0" w:line="166" w:lineRule="exact"/>
        <w:rPr>
          <w:sz w:val="20"/>
          <w:szCs w:val="20"/>
          <w:color w:val="auto"/>
        </w:rPr>
      </w:pPr>
    </w:p>
    <w:p>
      <w:pPr>
        <w:jc w:val="both"/>
        <w:ind w:firstLine="1305"/>
        <w:spacing w:after="0" w:line="264" w:lineRule="auto"/>
        <w:tabs>
          <w:tab w:leader="none" w:pos="217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Declare the Obligations to be immediately due and payable, without further notice, presentment, protest, notice of intent to accelerate, notice of acceleration, demand or action of any nature whatsoever (each of which hereby is expressly waived by Mortgagor), whereupon the same shall become immediately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5" w:name="page166"/>
    <w:bookmarkEnd w:id="165"/>
    <w:p>
      <w:pPr>
        <w:jc w:val="both"/>
        <w:ind w:left="-1200" w:firstLine="1305"/>
        <w:spacing w:after="0" w:line="259" w:lineRule="auto"/>
        <w:tabs>
          <w:tab w:leader="none" w:pos="77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Notify all tenants of the Premises and all others obligated on leases of any part of the Premises that all rents and other sums owing on leases have been assigned to Mortgagee and are to be paid directly to Mortgagee, and to enforce payment of all obligations owing on leases, by suit, ejectment, cancellation, releasing, reletting or otherwise, whether or not Mortgagee has taken possession of the Premises, and to exercise whatever rights and remedies Mortgagee may have under any assignment of rents and leases.</w:t>
      </w:r>
    </w:p>
    <w:p>
      <w:pPr>
        <w:spacing w:after="0" w:line="186" w:lineRule="exact"/>
        <w:rPr>
          <w:rFonts w:ascii="Arial" w:cs="Arial" w:eastAsia="Arial" w:hAnsi="Arial"/>
          <w:sz w:val="18"/>
          <w:szCs w:val="18"/>
          <w:color w:val="auto"/>
        </w:rPr>
      </w:pPr>
    </w:p>
    <w:p>
      <w:pPr>
        <w:jc w:val="both"/>
        <w:ind w:left="-1200" w:firstLine="1305"/>
        <w:spacing w:after="0" w:line="288" w:lineRule="auto"/>
        <w:tabs>
          <w:tab w:leader="none" w:pos="77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As and to the extent permitted by law, enter the Mortgaged Property, either personally or by its agents, nominees or attorneys, and take exclusive possession thereof and thereupon, Mortgagee may (i) use, operate, manage, control, insure, maintain, repair, restore and otherwise deal with all and every part of the Premises and conduct business thereat; (ii) complete any construction on the Premises in such manner and form as Mortgagee deems advisable in the reasonable exercise of its judgment; (iii) exercise all rights and power of Mortgagor with respect to the Premises, whether in the name of Mortgagor, or otherwise, including, without limitation, the right to make, cancel, enforce or modify leases, obtain and evict tenants, and demand, sue for, collect and receive all earnings, revenues, rents, issues, profits and other income of the Premises and every part thereof, which rights shall not be in limitation of Mortgagee's rights under any assignment of rents and leases securing the Obligations; and (iv) pursuant to the provisions of the Loan Agreement, apply the receipts from the Premises to the payment of the Obligations, after deducting therefrom all expenses (including attorneys' fees) incurred in connection with the aforesaid operations and all amounts necessary to pay the taxes, assessments, insurance and other charges in connection with the Mortgaged Property, as well as just and reasonable compensation for the services of Mortgagee, its counsel, agents and employees.</w:t>
      </w:r>
    </w:p>
    <w:p>
      <w:pPr>
        <w:spacing w:after="0" w:line="169" w:lineRule="exact"/>
        <w:rPr>
          <w:rFonts w:ascii="Arial" w:cs="Arial" w:eastAsia="Arial" w:hAnsi="Arial"/>
          <w:sz w:val="16"/>
          <w:szCs w:val="16"/>
          <w:color w:val="auto"/>
        </w:rPr>
      </w:pPr>
    </w:p>
    <w:p>
      <w:pPr>
        <w:jc w:val="both"/>
        <w:ind w:left="-1200" w:firstLine="1305"/>
        <w:spacing w:after="0" w:line="259" w:lineRule="auto"/>
        <w:tabs>
          <w:tab w:leader="none" w:pos="76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Hold, lease, develop, manage, operate or otherwise use the Mortgaged Property upon such terms and conditions as Mortgagee may deem reasonable under the circumstances (making such repairs, alterations, additions and improvements and taking other actions, from time to time, as Mortgagee deems necessary or desirable), and apply all Rents and other amounts collected by Mortgagee in connection therewith in accordance with the provisions of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ind w:left="-1200" w:firstLine="1305"/>
        <w:spacing w:after="0" w:line="277" w:lineRule="auto"/>
        <w:tabs>
          <w:tab w:leader="none" w:pos="85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Require Mortgagor to assemble any collateral under the UCC and make it available to Mortgagee, at Mortgagor’s sole risk and expense, at a place or places to be designated by Mortgagee,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166" w:name="page167"/>
    <w:bookmarkEnd w:id="166"/>
    <w:p>
      <w:pPr>
        <w:jc w:val="both"/>
        <w:ind w:left="-1200" w:firstLine="1305"/>
        <w:spacing w:after="0" w:line="286" w:lineRule="auto"/>
        <w:tabs>
          <w:tab w:leader="none" w:pos="7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Institute proceedings for the complete foreclosure of this Mortgage, either by judicial action or, to the extent permitted by law, by power of sale, in which case the Mortgaged Property may be sold for cash or credit in accordance with applicable law in one or more parcels as Mortgagee may determine. Except as otherwise required by applicable law, with respect to any notices required or permitted under the UCC, Mortgagor agrees that twenty (20) days’ prior written notice shall be deemed commercially reasonable. At any such sale by virtue of any judicial proceedings, power of sale (to the extent permitted by law), or any other legal right, remedy or recourse, the title to and right of possession of any such property shall pass to the purchaser thereof, and to the fullest extent permitted by law, Mortgagor shall be completely and irrevocably divested of all of its right, title, interest, claim, equity, equity of redemption, and demand whatsoever, either at law or in equity, in and to the property sold and such sale shall be a perpetual bar both at law and in equity against Mortgagor, and against all other Persons claiming or to claim the property sold or any part thereof, by, through or under Mortgagor. Mortgagee may be a purchaser at such sale. If Mortgagee is the highest bidder, Mortgagee may credit the portion of the purchase price that would be distributed to Mortgagee against the Obligations in lieu of paying cash. In the event this Mortgage is foreclosed by judicial action, appraisement and valuation of the Mortgaged Property is waived. In the event of any sale made under or by virtue of this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(whether made by virtue of judicial proceedings or of a judgment or decree of foreclosure and sale) all of the Obligations, if not previously due and payable, immediately thereupon shall become due and payable. The failure to make any such tenants of the Premises party to any such foreclosure proceedings and to foreclose their rights will not be, nor be asserted to be by Mortgagor, a defense to any proceedings instituted by Mortgagee to collect the sums secured hereby.</w:t>
      </w:r>
    </w:p>
    <w:p>
      <w:pPr>
        <w:spacing w:after="0" w:line="171" w:lineRule="exact"/>
        <w:rPr>
          <w:rFonts w:ascii="Arial" w:cs="Arial" w:eastAsia="Arial" w:hAnsi="Arial"/>
          <w:sz w:val="16"/>
          <w:szCs w:val="16"/>
          <w:color w:val="auto"/>
        </w:rPr>
      </w:pPr>
    </w:p>
    <w:p>
      <w:pPr>
        <w:jc w:val="both"/>
        <w:ind w:left="-1200" w:firstLine="1305"/>
        <w:spacing w:after="0" w:line="270" w:lineRule="auto"/>
        <w:tabs>
          <w:tab w:leader="none" w:pos="79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With or without entry, to the extent permitted and pursuant to the procedures provided by applicable law, institute proceedings for the partial foreclosure of this Mortgage for the portion of the Obligations then due and payable (if Mortgagee shall have elected not to declare the entire Obligations to be immediately due and owing), subject to the continuing Lien of this Mortgage for the balance of the Obligations not then due; or (1) as and to the extent permitted by law, sell for cash or upon credit the Mortgaged Property or any part thereof and all estate, claim, demand, right, title and interest of Mortgagor therein, pursuant to power of sale (to the extent permitted by law) or otherwise, at one or more sales, as an entity or in parcels, at such time and place, upon such terms and after such notice thereof as may be required or permitted by law, and in the event of a sale, by foreclosure or otherwise, of less than all of the Mortgaged Property, this Mortgage shall continue as a Lien on the remaining portion of the Mortgaged Property; or (2) institute an action, suit or proceeding in equity for the specific performance of any covenant, condition or agreement contained herein or in any Credit Document; or (3) to the extent permitted by applicable law, recover judgment on the Loan Agreement or any other Loan Document either before, during or after any proceedings for the enforcement of this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396240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67" w:name="page168"/>
    <w:bookmarkEnd w:id="167"/>
    <w:p>
      <w:pPr>
        <w:jc w:val="both"/>
        <w:ind w:firstLine="1305"/>
        <w:spacing w:after="0" w:line="257" w:lineRule="auto"/>
        <w:tabs>
          <w:tab w:leader="none" w:pos="200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Make application to a court of competent jurisdiction for, and obtain from such court as a matter of strict right and without notice to Mortgagor or regard to the adequacy of the Mortgaged Property for the repayment of the Obligations, the appointment of a receiver of the Mortgaged Property, and Mortgagor irrevocably consents to such appointment. Any such receiver shall have all the usual powers and duties of receivers in similar cases, including the full power to rent, maintain and otherwise operate the Mortgaged Property upon such terms as may be approved by the court, and shall apply such Rents in accordance with the provisions of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hereof.</w:t>
      </w:r>
    </w:p>
    <w:p>
      <w:pPr>
        <w:spacing w:after="0" w:line="188" w:lineRule="exact"/>
        <w:rPr>
          <w:rFonts w:ascii="Arial" w:cs="Arial" w:eastAsia="Arial" w:hAnsi="Arial"/>
          <w:sz w:val="18"/>
          <w:szCs w:val="18"/>
          <w:color w:val="auto"/>
        </w:rPr>
      </w:pPr>
    </w:p>
    <w:p>
      <w:pPr>
        <w:ind w:left="1920" w:hanging="615"/>
        <w:spacing w:after="0"/>
        <w:tabs>
          <w:tab w:leader="none" w:pos="19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Exercise all other rights, remedies and recourses granted under the Loan Documents or otherwise available at law or in equity.</w:t>
      </w:r>
    </w:p>
    <w:p>
      <w:pPr>
        <w:spacing w:after="0" w:line="2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Separate Sales</w:t>
      </w:r>
      <w:r>
        <w:rPr>
          <w:rFonts w:ascii="Arial" w:cs="Arial" w:eastAsia="Arial" w:hAnsi="Arial"/>
          <w:sz w:val="18"/>
          <w:szCs w:val="18"/>
          <w:color w:val="auto"/>
        </w:rPr>
        <w:t>. The Mortgaged Property may be sold in one or more parcels and in such manner and order as Mortgagee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may direct; the right of sale arising out of any Event of Default shall not be exhausted by any one or more sales.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Remedies Cumulative, Concurrent and Nonexclusive</w:t>
      </w:r>
      <w:r>
        <w:rPr>
          <w:rFonts w:ascii="Arial" w:cs="Arial" w:eastAsia="Arial" w:hAnsi="Arial"/>
          <w:sz w:val="18"/>
          <w:szCs w:val="18"/>
          <w:color w:val="auto"/>
        </w:rPr>
        <w:t>. Mortgagee shall have all rights, remedies and recourses granted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and available at law or equity (including the UCC), which rights (a) shall be cumulated and concurrent, (b) may be pursued separately, successively or concurrently against Mortgagor or others obligated under the Loan Documents, or against the Mortgaged Property, or against any one or more of them, at the sole discretion of Mortgagee, as the case may be, (c) may be exercised as often as occasion therefor shall arise, and the exercise or failure to exercise any of them shall not be construed as a waiver or release thereof or of any other right, remedy or recourse, and (d) are intended to be, and shall be, nonexclusive. No action by Mortgagee in the enforcement of any rights, remedies or recourses under the Loan Documents or otherwise at law or equity shall be deemed to cure any Event of Default.</w:t>
      </w:r>
    </w:p>
    <w:p>
      <w:pPr>
        <w:spacing w:after="0" w:line="1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5.4. </w:t>
      </w:r>
      <w:r>
        <w:rPr>
          <w:rFonts w:ascii="Arial" w:cs="Arial" w:eastAsia="Arial" w:hAnsi="Arial"/>
          <w:sz w:val="16"/>
          <w:szCs w:val="16"/>
          <w:b w:val="1"/>
          <w:bCs w:val="1"/>
          <w:u w:val="single" w:color="auto"/>
          <w:color w:val="auto"/>
        </w:rPr>
        <w:t>Release of and Resort to Collateral</w:t>
      </w:r>
      <w:r>
        <w:rPr>
          <w:rFonts w:ascii="Arial" w:cs="Arial" w:eastAsia="Arial" w:hAnsi="Arial"/>
          <w:sz w:val="16"/>
          <w:szCs w:val="16"/>
          <w:color w:val="auto"/>
        </w:rPr>
        <w:t>. Mortgagee may release, regardless of consideration and without the necessity for any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to or consent by the holder of any subordinate Lien on the Mortgaged Property, any part of the Mortgaged Property without, as to the remainder, in any way impairing, affecting, subordinating or releasing the Lien created in or evidenced by the Loan Documents or their status as a first and prior Lien in and to the Mortgaged Property. For payment of the Obligations, Mortgagee may resort to any other security in such order and manner as Mortgagee may 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8" w:name="page169"/>
    <w:bookmarkEnd w:id="168"/>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Waiver of Redemption, Notice and Marshalling of Assets</w:t>
      </w:r>
      <w:r>
        <w:rPr>
          <w:rFonts w:ascii="Arial" w:cs="Arial" w:eastAsia="Arial" w:hAnsi="Arial"/>
          <w:sz w:val="17"/>
          <w:szCs w:val="17"/>
          <w:color w:val="auto"/>
        </w:rPr>
        <w:t>. To the fullest extent permitted by law, Mortgagor hereby irrevocably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unconditionally waives and releases (a) all benefit that might accrue to Mortgagor by virtue of any present or future statute of limitations or law or judicial decision exempting the Mortgaged Property from attachment, levy or sale on execution or providing for any stay of execution, exemption from civil process, redemption or extension of time for payment, (b) all notices of any Event of Default or of any election by Mortgagee to exercise or the actual exercise of any right, remedy or recourse provided for under the Loan Documents, except as otherwise specifically set forth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hereof or elsewhere in this Mortgage or any other Loan Document, and (c) any right to a marshalling of assets or a sale in inverse order of alienation.</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Discontinuance of Proceedings</w:t>
      </w:r>
      <w:r>
        <w:rPr>
          <w:rFonts w:ascii="Arial" w:cs="Arial" w:eastAsia="Arial" w:hAnsi="Arial"/>
          <w:sz w:val="18"/>
          <w:szCs w:val="18"/>
          <w:color w:val="auto"/>
        </w:rPr>
        <w:t>. If Mortgagee shall have proceeded to invoke any right, remedy or recourse permitted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and shall thereafter elect to discontinue or abandon it for any reason, Mortgagee shall have the unqualified right to do so and, in such an event, Mortgagor and Mortgagee shall be restored to their former positions with respect to the Obligations, the Loan Documents, the Mortgaged Property and otherwise, and the rights, remedies, recourses and powers of Mortgagee shall continue as if the right, remedy or recourse had never been invoked, but no such discontinuance or abandonment shall waive any Event of Default which may then exist or the right of Mortgagee thereafter to exercise any right, remedy or recourse under the Loan Documents for such Event of Default.</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b w:val="1"/>
          <w:bCs w:val="1"/>
          <w:u w:val="single" w:color="auto"/>
          <w:color w:val="auto"/>
        </w:rPr>
        <w:t>Application of Proceeds</w:t>
      </w:r>
      <w:r>
        <w:rPr>
          <w:rFonts w:ascii="Arial" w:cs="Arial" w:eastAsia="Arial" w:hAnsi="Arial"/>
          <w:sz w:val="18"/>
          <w:szCs w:val="18"/>
          <w:color w:val="auto"/>
        </w:rPr>
        <w:t>. The proceeds of any sale made under or by virtue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5</w:t>
      </w:r>
      <w:r>
        <w:rPr>
          <w:rFonts w:ascii="Arial" w:cs="Arial" w:eastAsia="Arial" w:hAnsi="Arial"/>
          <w:sz w:val="18"/>
          <w:szCs w:val="18"/>
          <w:color w:val="auto"/>
        </w:rPr>
        <w:t>, together with any Rents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generated by the holding, leasing, management, operation or other use of the Mortgaged Property, shall be applied by Mortgagee (or the receiver, if one is appointed) in the following order unless otherwise required by applicable law:</w:t>
      </w:r>
    </w:p>
    <w:p>
      <w:pPr>
        <w:spacing w:after="0" w:line="180" w:lineRule="exact"/>
        <w:rPr>
          <w:sz w:val="20"/>
          <w:szCs w:val="20"/>
          <w:color w:val="auto"/>
        </w:rPr>
      </w:pPr>
    </w:p>
    <w:p>
      <w:pPr>
        <w:jc w:val="both"/>
        <w:ind w:firstLine="1305"/>
        <w:spacing w:after="0" w:line="257" w:lineRule="auto"/>
        <w:tabs>
          <w:tab w:leader="none" w:pos="197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payment of the costs and expenses of taking possession of the Mortgaged Property and of holding, using, leasing, repairing, improving and selling the same, including, without limitation (1) trustee’s and receiver’s fees and expenses, including the repayment of the amounts evidenced by any receiver’s certificates, (2) court costs, (3) attorneys’ and accountants’ fees and expenses, (4) costs of advertisement, (5) all costs and expenses incurred by Mortgagee to cure defaults of Mortgagor under this Mortgage and the other Loan Documents, and (6) all costs and expenses incurred by Mortgagee to protect or preserve the Mortgaged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9" w:name="page170"/>
    <w:bookmarkEnd w:id="169"/>
    <w:p>
      <w:pPr>
        <w:ind w:left="2040" w:hanging="735"/>
        <w:spacing w:after="0"/>
        <w:tabs>
          <w:tab w:leader="none" w:pos="20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the payment of the Obligations in such manner and order of preference as set forth in the Loan Agreement and the other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Documents; and</w:t>
      </w:r>
    </w:p>
    <w:p>
      <w:pPr>
        <w:spacing w:after="0" w:line="211" w:lineRule="exact"/>
        <w:rPr>
          <w:sz w:val="20"/>
          <w:szCs w:val="20"/>
          <w:color w:val="auto"/>
        </w:rPr>
      </w:pPr>
    </w:p>
    <w:p>
      <w:pPr>
        <w:ind w:left="1960" w:hanging="655"/>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balance, if any, to the payment of the Persons legally entitled thereto.</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5.8. </w:t>
      </w:r>
      <w:r>
        <w:rPr>
          <w:rFonts w:ascii="Arial" w:cs="Arial" w:eastAsia="Arial" w:hAnsi="Arial"/>
          <w:sz w:val="17"/>
          <w:szCs w:val="17"/>
          <w:b w:val="1"/>
          <w:bCs w:val="1"/>
          <w:u w:val="single" w:color="auto"/>
          <w:color w:val="auto"/>
        </w:rPr>
        <w:t>Occupancy After Foreclosure</w:t>
      </w:r>
      <w:r>
        <w:rPr>
          <w:rFonts w:ascii="Arial" w:cs="Arial" w:eastAsia="Arial" w:hAnsi="Arial"/>
          <w:sz w:val="17"/>
          <w:szCs w:val="17"/>
          <w:color w:val="auto"/>
        </w:rPr>
        <w:t>. Except as otherwise required by applicable law, any sale of the Mortgaged Property or any part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thereof in accordance with </w:t>
      </w:r>
      <w:r>
        <w:rPr>
          <w:rFonts w:ascii="Arial" w:cs="Arial" w:eastAsia="Arial" w:hAnsi="Arial"/>
          <w:sz w:val="17"/>
          <w:szCs w:val="17"/>
          <w:u w:val="single" w:color="auto"/>
          <w:color w:val="auto"/>
        </w:rPr>
        <w:t>Section 5.1(f)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5.1(g)</w:t>
      </w:r>
      <w:r>
        <w:rPr>
          <w:rFonts w:ascii="Arial" w:cs="Arial" w:eastAsia="Arial" w:hAnsi="Arial"/>
          <w:sz w:val="17"/>
          <w:szCs w:val="17"/>
          <w:color w:val="auto"/>
        </w:rPr>
        <w:t xml:space="preserve"> hereof will divest all right, title and interest of Mortgagor in and to the property sold. Subject to applicable law, any purchaser at a foreclosure sale will receive immediate possession of the property purchased. If Mortgagor retains possession of such property or any part thereof subsequent to such sale, Mortgagor will be considered a tenant at sufferance of the purchaser, and will, if Mortgagor remains in possession after demand to remove, be subject to eviction and removal, forcible or otherwise, with or without process of law.</w:t>
      </w:r>
    </w:p>
    <w:p>
      <w:pPr>
        <w:spacing w:after="0" w:line="16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5.9.</w:t>
      </w:r>
      <w:r>
        <w:rPr>
          <w:sz w:val="20"/>
          <w:szCs w:val="20"/>
          <w:color w:val="auto"/>
        </w:rPr>
        <w:tab/>
      </w:r>
      <w:r>
        <w:rPr>
          <w:rFonts w:ascii="Arial" w:cs="Arial" w:eastAsia="Arial" w:hAnsi="Arial"/>
          <w:sz w:val="16"/>
          <w:szCs w:val="16"/>
          <w:b w:val="1"/>
          <w:bCs w:val="1"/>
          <w:color w:val="auto"/>
        </w:rPr>
        <w:t>Additional Advances and Disbursements; Costs of Enforcement</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7" w:lineRule="auto"/>
        <w:tabs>
          <w:tab w:leader="none" w:pos="19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If any Event of Default exists, Mortgagee shall have the right, but not the obligation, to cure such Event of Default in the name and on behalf of Mortgagor. All sums advanced and expenses incurred at any time by Mortgagee under this </w:t>
      </w:r>
      <w:r>
        <w:rPr>
          <w:rFonts w:ascii="Arial" w:cs="Arial" w:eastAsia="Arial" w:hAnsi="Arial"/>
          <w:sz w:val="18"/>
          <w:szCs w:val="18"/>
          <w:u w:val="single" w:color="auto"/>
          <w:color w:val="auto"/>
        </w:rPr>
        <w:t>Section 5.9</w:t>
      </w:r>
      <w:r>
        <w:rPr>
          <w:rFonts w:ascii="Arial" w:cs="Arial" w:eastAsia="Arial" w:hAnsi="Arial"/>
          <w:sz w:val="18"/>
          <w:szCs w:val="18"/>
          <w:color w:val="auto"/>
        </w:rPr>
        <w:t>, or otherwise under this Mortgage or any of the other Loan Documents or applicable law, shall bear interest from the date that such sum is advanced or expense incurred, to and including the date of reimbursement, computed at the rate or rates at which interest is then computed on the Obligations, and all such sums, together with interest thereon, shall be secured by this Mortgage.</w:t>
      </w:r>
    </w:p>
    <w:p>
      <w:pPr>
        <w:spacing w:after="0" w:line="188" w:lineRule="exact"/>
        <w:rPr>
          <w:rFonts w:ascii="Arial" w:cs="Arial" w:eastAsia="Arial" w:hAnsi="Arial"/>
          <w:sz w:val="18"/>
          <w:szCs w:val="18"/>
          <w:color w:val="auto"/>
        </w:rPr>
      </w:pPr>
    </w:p>
    <w:p>
      <w:pPr>
        <w:jc w:val="both"/>
        <w:ind w:firstLine="1305"/>
        <w:spacing w:after="0" w:line="302" w:lineRule="auto"/>
        <w:tabs>
          <w:tab w:leader="none" w:pos="200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Subject to any limits set forth in the Loan Agreement, Mortgagor shall pay all expenses (including reasonable attorneys’ fees and expenses and all costs and expenses related to legal work, research and litigation) of or incidental to the perfection and enforcement of this Mortgage and the other Loan Documents, or the enforcement, compromise or settlement of the Obligations or any claim under this Mortgage and the other Loan Documents, and for the curing thereof, or for defending or asserting the rights and claims of Mortgagee in respect thereof, by litigation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0" w:name="page171"/>
    <w:bookmarkEnd w:id="170"/>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No Mortgagee in Possession</w:t>
      </w:r>
      <w:r>
        <w:rPr>
          <w:rFonts w:ascii="Arial" w:cs="Arial" w:eastAsia="Arial" w:hAnsi="Arial"/>
          <w:sz w:val="18"/>
          <w:szCs w:val="18"/>
          <w:color w:val="auto"/>
        </w:rPr>
        <w:t>. Neither the enforcement of any of the remedies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5</w:t>
      </w:r>
      <w:r>
        <w:rPr>
          <w:rFonts w:ascii="Arial" w:cs="Arial" w:eastAsia="Arial" w:hAnsi="Arial"/>
          <w:sz w:val="18"/>
          <w:szCs w:val="18"/>
          <w:color w:val="auto"/>
        </w:rPr>
        <w:t>, the assignment of the Rents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Leases under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the security interests under </w:t>
      </w:r>
      <w:r>
        <w:rPr>
          <w:rFonts w:ascii="Arial" w:cs="Arial" w:eastAsia="Arial" w:hAnsi="Arial"/>
          <w:sz w:val="18"/>
          <w:szCs w:val="18"/>
          <w:u w:val="single" w:color="auto"/>
          <w:color w:val="auto"/>
        </w:rPr>
        <w:t>Article 7</w:t>
      </w:r>
      <w:r>
        <w:rPr>
          <w:rFonts w:ascii="Arial" w:cs="Arial" w:eastAsia="Arial" w:hAnsi="Arial"/>
          <w:sz w:val="18"/>
          <w:szCs w:val="18"/>
          <w:color w:val="auto"/>
        </w:rPr>
        <w:t>, nor any other remedies afforded to Mortgagee under the Loan Documents, at law or in equity shall cause Mortgagee to be deemed or construed to be a mortgagee in possession of the Mortgaged Property, to obligate Mortgagee to lease the Mortgaged Property or attempt to do so, or to take any action, incur any expense, or perform or discharge any obligation, duty or liability whatsoever under any of the Leases or otherwise.</w:t>
      </w:r>
    </w:p>
    <w:p>
      <w:pPr>
        <w:spacing w:after="0" w:line="184"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7"/>
          <w:szCs w:val="17"/>
          <w:b w:val="1"/>
          <w:bCs w:val="1"/>
          <w:u w:val="single" w:color="auto"/>
          <w:color w:val="auto"/>
        </w:rPr>
        <w:t>WAIVER OF MORTGAGOR'S RIGHTS</w:t>
      </w:r>
      <w:r>
        <w:rPr>
          <w:rFonts w:ascii="Arial" w:cs="Arial" w:eastAsia="Arial" w:hAnsi="Arial"/>
          <w:sz w:val="17"/>
          <w:szCs w:val="17"/>
          <w:color w:val="auto"/>
        </w:rPr>
        <w:t>. BY EXECUTION OF THIS MORTGAGE, MORTGAGOR EXPRESSLY: (A)</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ACKNOWLEDGES THE RIGHT OF MORTGAGEE TO ACCELERATE THE APPLICABLE INDEBTEDNESS EVIDENCED BY THE LOAN AGREEMENT OR OTHER LOAN DOCUMENTS, AS THE CASE MAY BE, UPON THE OCCURRENCE OF AN EVENT OF DEFAULT; (B) TO THE EXTENT ALLOWED BY APPLICABLE LAW, AND EXCEPT AS EXPRESSLY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OR ELSEWHERE IN THIS MORTGAGE, THE LOAN AGREEMENT, OR ANY OTHER LOAN DOCUMENT, WAIVES ANY AND ALL RIGHTS WHICH MORTGAGOR MAY HAVE BY REASON OF ANY APPLICABLE LAW, TO NOTICE AND TO JUDICIAL HEARING PRIOR TO THE EXERCISE BY MORTGAGEE OF ANY RIGHT OR REMEDY HEREIN PROVIDED TO MORTGAGEE; (C) ACKNOWLEDGES THAT MORTGAGOR HAS READ THIS MORTGAGE AND ITS PROVISIONS HAVE BEEN EXPLAINED FULLY TO MORTGAGOR AND MORTGAGOR HAS CONSULTED WITH LEGAL COUNSEL OF MORTGAGOR'S CHOICE PRIOR TO EXECUTING THIS MORTGAGE; AND (D) ACKNOWLEDGES THAT ALL WAIVERS OF THE AFORESAID RIGHTS OF MORTGAGOR HAVE BEEN MADE KNOWINGLY, INTENTIONALLY AND WILLINGLY BY MORTGAGOR AS PART OF A BARGAINED FOR LOAN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OF RENTS AND LEASES</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In furtherance of and in addition to the assignment made by Mortgagor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Mortgage, as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Obligations. Mortgagor hereby transfers and conveys to Mortgagee all of its right, title and interest in and to all Leases, whether now existing or hereafter entered into, and all of its right, title and interest in and to all Rents. This assignment is an assignment for additional security only. So long as no Event of Default shall have occurred and be continuing and to the extent not prohibited by the Loan Agreement, Mortgagor shall have the right from Mortgagee to exercise all rights extended to the landlord under the Leases, including the right to receive and collect all Rents and to use the same in any manner as it sees fit. The foregoing right is granted subject to the conditional limitation that no Event of Default shall have occurred and be continuing. Upon the occurrence and during the continuance of an Event of Default, whether or not legal proceedings have commenced, and without regard to waste, adequacy of security for the Obligations or solvency of Mortgagor, the rights herein granted shall automatically expire and terminate, without notice by Mortgagee (any such notice being hereby expressly waived by Mortgagor).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71" w:name="page172"/>
    <w:bookmarkEnd w:id="171"/>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Perfection Upon Recordation</w:t>
      </w:r>
      <w:r>
        <w:rPr>
          <w:rFonts w:ascii="Arial" w:cs="Arial" w:eastAsia="Arial" w:hAnsi="Arial"/>
          <w:sz w:val="16"/>
          <w:szCs w:val="16"/>
          <w:color w:val="auto"/>
        </w:rPr>
        <w:t>. Mortgagor acknowledges that Mortgagee has taken all actions necessary to obtain, and that upon</w:t>
      </w:r>
      <w:r>
        <w:rPr>
          <w:rFonts w:ascii="Arial" w:cs="Arial" w:eastAsia="Arial" w:hAnsi="Arial"/>
          <w:sz w:val="16"/>
          <w:szCs w:val="16"/>
          <w:b w:val="1"/>
          <w:bCs w:val="1"/>
          <w:color w:val="auto"/>
        </w:rPr>
        <w:t xml:space="preserve"> </w:t>
      </w:r>
      <w:r>
        <w:rPr>
          <w:rFonts w:ascii="Arial" w:cs="Arial" w:eastAsia="Arial" w:hAnsi="Arial"/>
          <w:sz w:val="16"/>
          <w:szCs w:val="16"/>
          <w:color w:val="auto"/>
        </w:rPr>
        <w:t>recordation of this Mortgage, Mortgagee shall have, to the extent permitted under applicable law, a valid and fully perfected, first priority, present assignment of the Rents arising out of the Leases and all security for such Leases. Mortgagor acknowledges and agrees that upon recordation of this Mortgage, Mortgagee’s interest in the Rents shall be deemed to be fully perfected, “choate” and enforced as to Mortgagor and all third parties, including, without limitation, any subsequently appointed trustee in any case under the Bankruptcy Code, without the necessity of commencing a foreclosure action with respect to this Mortgage, making formal demand for the Rents, obtaining the appointment of a receiver or taking any other affirmative action.</w:t>
      </w:r>
    </w:p>
    <w:p>
      <w:pPr>
        <w:spacing w:after="0" w:line="15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b w:val="1"/>
          <w:bCs w:val="1"/>
          <w:u w:val="single" w:color="auto"/>
          <w:color w:val="auto"/>
        </w:rPr>
        <w:t>Bankruptcy Provisions</w:t>
      </w:r>
      <w:r>
        <w:rPr>
          <w:rFonts w:ascii="Arial" w:cs="Arial" w:eastAsia="Arial" w:hAnsi="Arial"/>
          <w:sz w:val="17"/>
          <w:szCs w:val="17"/>
          <w:color w:val="auto"/>
        </w:rPr>
        <w:t>. Without limitation of the absolute nature of the assignment of the Rents hereunder, Mortgagor and</w:t>
      </w:r>
      <w:r>
        <w:rPr>
          <w:rFonts w:ascii="Arial" w:cs="Arial" w:eastAsia="Arial" w:hAnsi="Arial"/>
          <w:sz w:val="17"/>
          <w:szCs w:val="17"/>
          <w:b w:val="1"/>
          <w:bCs w:val="1"/>
          <w:color w:val="auto"/>
        </w:rPr>
        <w:t xml:space="preserve"> </w:t>
      </w:r>
      <w:r>
        <w:rPr>
          <w:rFonts w:ascii="Arial" w:cs="Arial" w:eastAsia="Arial" w:hAnsi="Arial"/>
          <w:sz w:val="17"/>
          <w:szCs w:val="17"/>
          <w:color w:val="auto"/>
        </w:rPr>
        <w:t>Mortgagee agree that (a) this Mortgage shall constitute a “security agreement” for purposes of Section 552(b) of the Bankruptcy Code, (b) the security interest created by this Mortgage extends to property of Mortgagor acquired before the commencement of a case in bankruptcy and to all amounts paid as Rents and (c) such security interest shall extend to all Rents acquired by the estate after the commencement of any case in bankruptcy.</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No Merger of Estates</w:t>
      </w:r>
      <w:r>
        <w:rPr>
          <w:rFonts w:ascii="Arial" w:cs="Arial" w:eastAsia="Arial" w:hAnsi="Arial"/>
          <w:sz w:val="18"/>
          <w:szCs w:val="18"/>
          <w:color w:val="auto"/>
        </w:rPr>
        <w:t>. So long as part of the Obligations secured hereby remain unpaid and undischarged, the fee and leasehold</w:t>
      </w:r>
      <w:r>
        <w:rPr>
          <w:rFonts w:ascii="Arial" w:cs="Arial" w:eastAsia="Arial" w:hAnsi="Arial"/>
          <w:sz w:val="18"/>
          <w:szCs w:val="18"/>
          <w:b w:val="1"/>
          <w:bCs w:val="1"/>
          <w:color w:val="auto"/>
        </w:rPr>
        <w:t xml:space="preserve"> </w:t>
      </w:r>
      <w:r>
        <w:rPr>
          <w:rFonts w:ascii="Arial" w:cs="Arial" w:eastAsia="Arial" w:hAnsi="Arial"/>
          <w:sz w:val="18"/>
          <w:szCs w:val="18"/>
          <w:color w:val="auto"/>
        </w:rPr>
        <w:t>estates to the Mortgaged Property shall not merge, but shall remain separate and distinct, notwithstanding the union of such estates either in Mortgagor, Mortgagee, any tenant or any third party by purchase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AGREEMENT</w:t>
      </w:r>
    </w:p>
    <w:p>
      <w:pPr>
        <w:spacing w:after="0" w:line="2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7.1. </w:t>
      </w:r>
      <w:r>
        <w:rPr>
          <w:rFonts w:ascii="Arial" w:cs="Arial" w:eastAsia="Arial" w:hAnsi="Arial"/>
          <w:sz w:val="17"/>
          <w:szCs w:val="17"/>
          <w:b w:val="1"/>
          <w:bCs w:val="1"/>
          <w:u w:val="single" w:color="auto"/>
          <w:color w:val="auto"/>
        </w:rPr>
        <w:t>Security Interest</w:t>
      </w:r>
      <w:r>
        <w:rPr>
          <w:rFonts w:ascii="Arial" w:cs="Arial" w:eastAsia="Arial" w:hAnsi="Arial"/>
          <w:sz w:val="17"/>
          <w:szCs w:val="17"/>
          <w:color w:val="auto"/>
        </w:rPr>
        <w:t>. This Mortgage constitutes a “security agreement” on personal property within the meaning of the UCC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applicable law and with respect to the Fixtures, Leases, Rents, Deposit Accounts, Property Agreements, Tax Refunds, Proceeds, Insurance and Condemnation Awards. To this end, Mortgagor grants to Mortgagee a first and prior security interest in the Fixtures, Leases, Rents, Deposit Accounts, Property Agreements, Tax Refunds, Proceeds, Insurance and Condemnation Awards and all other Mortgaged Property which is personal property to secure the payment and performance of the Obligations, and agrees that Mortgagee shall have all the rights and remedies of a secured party under the UCC with respect to such property. Any notice of sale, disposition or other intended action by Mortgagee with respect to the Fixtures, Leases, Rents, Deposit Accounts, Property Agreements, Tax Refunds, Proceeds, Insurance and Condemnation Awards sent to Mortgagor at least ten (10) days prior to any action under the UCC shall constitute reasonable notice to Mortgagor.</w:t>
      </w:r>
    </w:p>
    <w:p>
      <w:pPr>
        <w:spacing w:after="0" w:line="1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Financing Statements</w:t>
      </w:r>
      <w:r>
        <w:rPr>
          <w:rFonts w:ascii="Arial" w:cs="Arial" w:eastAsia="Arial" w:hAnsi="Arial"/>
          <w:sz w:val="16"/>
          <w:szCs w:val="16"/>
          <w:color w:val="auto"/>
        </w:rPr>
        <w:t>. Mortgagor shall deliver to Mortgagee, in form and substance satisfactory to Mortgagee, such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and such further assurances as Mortgagee may, from time to time, reasonably consider necessary to create, perfect and preserve Mortgagee’s security interest hereunder and Mortgagee may cause such statements and assurances to be recorded and filed, at such times and places as may be required or permitted by law to so create, perfect and preserve such security interest. Mortgagor’s state of organization is the State of Florida.</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Fixture Filing</w:t>
      </w:r>
      <w:r>
        <w:rPr>
          <w:rFonts w:ascii="Arial" w:cs="Arial" w:eastAsia="Arial" w:hAnsi="Arial"/>
          <w:sz w:val="18"/>
          <w:szCs w:val="18"/>
          <w:color w:val="auto"/>
        </w:rPr>
        <w:t>. To the extent permitted under the UCC of the state in which the Land is located, this Mortgage shall also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 “fixture filing” for the purposes of the UCC against all of the Mortgaged Property which is or is to become fixtures. Information concerning the security interest herein granted may be obtained at the address of Debtor (Mortgagor) and Secured Party (Mortgagee) as set forth in the first paragraph of this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73" w:name="page174"/>
    <w:bookmarkEnd w:id="173"/>
    <w:p>
      <w:pPr>
        <w:ind w:left="524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RESERVED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to be given under this Mortgage shall be given in accordance with Section 11.1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Agreement.</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9.2. </w:t>
      </w:r>
      <w:r>
        <w:rPr>
          <w:rFonts w:ascii="Arial" w:cs="Arial" w:eastAsia="Arial" w:hAnsi="Arial"/>
          <w:sz w:val="17"/>
          <w:szCs w:val="17"/>
          <w:b w:val="1"/>
          <w:bCs w:val="1"/>
          <w:u w:val="single" w:color="auto"/>
          <w:color w:val="auto"/>
        </w:rPr>
        <w:t>Covenants Running with the Land</w:t>
      </w:r>
      <w:r>
        <w:rPr>
          <w:rFonts w:ascii="Arial" w:cs="Arial" w:eastAsia="Arial" w:hAnsi="Arial"/>
          <w:sz w:val="17"/>
          <w:szCs w:val="17"/>
          <w:color w:val="auto"/>
        </w:rPr>
        <w:t>. All Obligations contained in this Mortgage are intended by Mortgagor and Mortgagee to be,</w:t>
      </w:r>
      <w:r>
        <w:rPr>
          <w:rFonts w:ascii="Arial" w:cs="Arial" w:eastAsia="Arial" w:hAnsi="Arial"/>
          <w:sz w:val="17"/>
          <w:szCs w:val="17"/>
          <w:b w:val="1"/>
          <w:bCs w:val="1"/>
          <w:color w:val="auto"/>
        </w:rPr>
        <w:t xml:space="preserve"> </w:t>
      </w:r>
      <w:r>
        <w:rPr>
          <w:rFonts w:ascii="Arial" w:cs="Arial" w:eastAsia="Arial" w:hAnsi="Arial"/>
          <w:sz w:val="17"/>
          <w:szCs w:val="17"/>
          <w:color w:val="auto"/>
        </w:rPr>
        <w:t>and shall be construed as, covenants running with the Mortgaged Property. As used herein, “Mortgagor” shall refer to the party named in the first paragraph of this Mortgage and to any subsequent owner of all or any portion of the Mortgaged Property. All Persons who may have or acquire an interest in the Mortgaged Property shall be deemed to have notice of, and be bound by, the terms of the Loan Agreement and the other Loan Documents; however, no such party shall be entitled to any rights thereunder without the prior written consent of Mortgagee.</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Attorney-in-Fact</w:t>
      </w:r>
      <w:r>
        <w:rPr>
          <w:rFonts w:ascii="Arial" w:cs="Arial" w:eastAsia="Arial" w:hAnsi="Arial"/>
          <w:sz w:val="16"/>
          <w:szCs w:val="16"/>
          <w:color w:val="auto"/>
        </w:rPr>
        <w:t>. Mortgagor hereby irrevocably appoints Mortgagee and its successors and assigns, as its attorney-in-fact, which</w:t>
      </w:r>
      <w:r>
        <w:rPr>
          <w:rFonts w:ascii="Arial" w:cs="Arial" w:eastAsia="Arial" w:hAnsi="Arial"/>
          <w:sz w:val="16"/>
          <w:szCs w:val="16"/>
          <w:b w:val="1"/>
          <w:bCs w:val="1"/>
          <w:color w:val="auto"/>
        </w:rPr>
        <w:t xml:space="preserve"> </w:t>
      </w:r>
      <w:r>
        <w:rPr>
          <w:rFonts w:ascii="Arial" w:cs="Arial" w:eastAsia="Arial" w:hAnsi="Arial"/>
          <w:sz w:val="16"/>
          <w:szCs w:val="16"/>
          <w:color w:val="auto"/>
        </w:rPr>
        <w:t>agency is coupled with an interest and with full power of substitution, (a) to execute and/or record any notices of completion, cessation of labor or any other notices that Mortgagee deems appropriate to protect Mortgagee’s interest, if Mortgagor shall fail to do so within ten (10) days after written request by Mortgagee, (b) upon the issuance of a deed pursuant to the foreclosure of this Mortgage or the delivery of a deed in lieu of foreclosure, to execute all instruments of assignment, conveyance or further assurance with respect to the Leases, Rents, Deposit Accounts, Property Agreements, Tax Refunds, Proceeds, Insurance and Condemnation Awards in favor of the grantee of any such deed and as may be necessary or desirable for such purpose, (c) to prepare, execute and file or record financing statements, continuation statements, applications for registration and like papers necessary to create, perfect or preserve Mortgagee’s security interests and rights in or to any of the Mortgaged Property, and (d) while any Event of Default exists, to perform any obligation of Mortgagor hereunder, however: (1) Mortgagee shall not under any circumstances be obligated to perform any obligation of Mortgagor; (2) any sums advanced by Mortgagee in such performance shall be added to and included in the Obligations and shall bear interest at the rate or rates at which interest is then computed on the Obligations; (3) Mortgagee as such attorney-in-fact shall only be accountable for such funds as are actually received by Mortgagee; and</w:t>
      </w:r>
    </w:p>
    <w:p>
      <w:pPr>
        <w:jc w:val="both"/>
        <w:ind w:firstLine="8"/>
        <w:spacing w:after="0" w:line="255"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Mortgagee shall not be liable to Mortgagor or any other person or entity for any failure to take any action which it is empowered to take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9.3</w:t>
      </w:r>
      <w:r>
        <w:rPr>
          <w:rFonts w:ascii="Arial" w:cs="Arial" w:eastAsia="Arial" w:hAnsi="Arial"/>
          <w:sz w:val="18"/>
          <w:szCs w:val="18"/>
          <w:color w:val="auto"/>
        </w:rPr>
        <w:t>. Notwithstanding the foregoing, Mortgagee shall be liable for its gross negligence, willful misconduct, and bad faith in connection with exercising its rights hereunder to the extent determined by a court of competent jurisdiction in a final, non-appealable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74" w:name="page175"/>
    <w:bookmarkEnd w:id="174"/>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9.4. </w:t>
      </w: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This Mortgage shall be binding upon and inure to the benefit of Mortgagee and Mortgagor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successors and assigns. Mortgagor shall not, without the prior written consent of Mortgagee, assign any rights, duties or obligations hereunder.</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Any failure by Mortgagee to insist upon strict performance of any of the terms, provisions or conditions of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shall not be deemed to be a waiver of same, and Mortgagee shall have the right at any time to insist upon strict performance of all such terms, provisions and conditions.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 If any conflict or inconsistency exists between this Mortgage and the Loan Agreement,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govern.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b w:val="1"/>
          <w:bCs w:val="1"/>
          <w:u w:val="single" w:color="auto"/>
          <w:color w:val="auto"/>
        </w:rPr>
        <w:t>Release or Reconveyance</w:t>
      </w:r>
      <w:r>
        <w:rPr>
          <w:rFonts w:ascii="Arial" w:cs="Arial" w:eastAsia="Arial" w:hAnsi="Arial"/>
          <w:sz w:val="18"/>
          <w:szCs w:val="18"/>
          <w:color w:val="auto"/>
        </w:rPr>
        <w:t>. Upon payment and performance in full of the Obligations and termination of the Loan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Loan Documents, Mortgagee, at Mortgagor’s expense, shall release the Liens created by this Mortgage or reconvey the Mortgaged Property to Mortgagor.</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9.8. </w:t>
      </w:r>
      <w:r>
        <w:rPr>
          <w:rFonts w:ascii="Arial" w:cs="Arial" w:eastAsia="Arial" w:hAnsi="Arial"/>
          <w:sz w:val="18"/>
          <w:szCs w:val="18"/>
          <w:b w:val="1"/>
          <w:bCs w:val="1"/>
          <w:u w:val="single" w:color="auto"/>
          <w:color w:val="auto"/>
        </w:rPr>
        <w:t>Waiver of Stay, Moratorium and Similar Rights</w:t>
      </w:r>
      <w:r>
        <w:rPr>
          <w:rFonts w:ascii="Arial" w:cs="Arial" w:eastAsia="Arial" w:hAnsi="Arial"/>
          <w:sz w:val="18"/>
          <w:szCs w:val="18"/>
          <w:color w:val="auto"/>
        </w:rPr>
        <w:t>. Mortgagor agrees, to the full extent that it may lawfully do so, that it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insist upon or plead or in any way take advantage of any stay, marshalling of assets, extension, redemption or moratorium law now or hereafter in force and effect so as to prevent or hinder the enforcement of the provisions of this Mortgage or the Obligations secured hereby, or any agreement between Mortgagor and Mortgagee or any rights or remedies of Mortgagee.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9.9. </w:t>
      </w: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This Mortgage shall be governed by and construed under the laws of the state in which the Mortgaged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is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75" w:name="page176"/>
    <w:bookmarkEnd w:id="175"/>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9.10.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Article, Section and Subsection titles hereof are inserted for convenience of reference only and shall in no way</w:t>
      </w:r>
      <w:r>
        <w:rPr>
          <w:rFonts w:ascii="Arial" w:cs="Arial" w:eastAsia="Arial" w:hAnsi="Arial"/>
          <w:sz w:val="18"/>
          <w:szCs w:val="18"/>
          <w:b w:val="1"/>
          <w:bCs w:val="1"/>
          <w:color w:val="auto"/>
        </w:rPr>
        <w:t xml:space="preserve"> </w:t>
      </w:r>
      <w:r>
        <w:rPr>
          <w:rFonts w:ascii="Arial" w:cs="Arial" w:eastAsia="Arial" w:hAnsi="Arial"/>
          <w:sz w:val="18"/>
          <w:szCs w:val="18"/>
          <w:color w:val="auto"/>
        </w:rPr>
        <w:t>alter, modify or define, or be used in construing, the text of such Articles, Sections or Subsections.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9.11.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Mortgage and the other Loan Documents embody the entire agreement and understanding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Mortgagor and Mortgagee and supersede all prior agreements and understandings between such parties relating to the subject matter hereof and thereof. Accordingly, the Loan Documents may not be contradicted by evidence of prior, contemporaneous or subsequent oral agreements of the parties. There are no unwritten oral agreements between the parties.</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9.12. Proceeds. </w:t>
      </w:r>
      <w:r>
        <w:rPr>
          <w:rFonts w:ascii="Arial" w:cs="Arial" w:eastAsia="Arial" w:hAnsi="Arial"/>
          <w:sz w:val="17"/>
          <w:szCs w:val="17"/>
          <w:color w:val="auto"/>
        </w:rPr>
        <w:t>So long as no Event of Default shall have occurred and be continuing and to the extent not prohibited by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Mortgagor shall have a the right from Mortgagee to use Tax Refunds and cash Proceeds in any manner as it sees fit, including for general working capital (without the same constituting Proceeds). The foregoing right is granted subject to the conditional limitation that no Event of Default shall have occurred and be continuing. Upon the occurrence and during the continuance of an Event of Default, whether or not legal proceedings have commenced, and without regard to waste, adequacy of security for the Obligations or solvency of Mortgagor, the right herein granted shall automatically expire and terminate, without notice by Mortgagee (any such notice being hereby expressly waived by Mortgagor).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LOCAL LAW PROVISIONS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Inconsistencies</w:t>
      </w:r>
      <w:r>
        <w:rPr>
          <w:rFonts w:ascii="Arial" w:cs="Arial" w:eastAsia="Arial" w:hAnsi="Arial"/>
          <w:sz w:val="18"/>
          <w:szCs w:val="18"/>
          <w:color w:val="auto"/>
        </w:rPr>
        <w:t>. In the event of any inconsistency between the terms and conditions of the other articles and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Mortgage and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the terms and conditions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control and be binding.</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Costs, Expenses and Attorneys’ Fees</w:t>
      </w:r>
      <w:r>
        <w:rPr>
          <w:rFonts w:ascii="Arial" w:cs="Arial" w:eastAsia="Arial" w:hAnsi="Arial"/>
          <w:sz w:val="18"/>
          <w:szCs w:val="18"/>
          <w:color w:val="auto"/>
        </w:rPr>
        <w:t>. The terms, “expenses (including, without limitation, reasonable attorneys’ fees)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Mortgagee,” “costs, disbursements and allowances,” “costs and expenses of taking possession of the Mortgaged Property,” “attorneys’ fees and expenses,” and similar terms and phrases as used in this Mortgage, including, without limitation, </w:t>
      </w:r>
      <w:r>
        <w:rPr>
          <w:rFonts w:ascii="Arial" w:cs="Arial" w:eastAsia="Arial" w:hAnsi="Arial"/>
          <w:sz w:val="18"/>
          <w:szCs w:val="18"/>
          <w:u w:val="single" w:color="auto"/>
          <w:color w:val="auto"/>
        </w:rPr>
        <w:t>Sections 3.8</w:t>
      </w:r>
      <w:r>
        <w:rPr>
          <w:rFonts w:ascii="Arial" w:cs="Arial" w:eastAsia="Arial" w:hAnsi="Arial"/>
          <w:sz w:val="18"/>
          <w:szCs w:val="18"/>
          <w:color w:val="auto"/>
        </w:rPr>
        <w:t xml:space="preserve">, </w:t>
      </w:r>
      <w:r>
        <w:rPr>
          <w:rFonts w:ascii="Arial" w:cs="Arial" w:eastAsia="Arial" w:hAnsi="Arial"/>
          <w:sz w:val="18"/>
          <w:szCs w:val="18"/>
          <w:u w:val="single" w:color="auto"/>
          <w:color w:val="auto"/>
        </w:rPr>
        <w:t>5.7(a)</w:t>
      </w:r>
      <w:r>
        <w:rPr>
          <w:rFonts w:ascii="Arial" w:cs="Arial" w:eastAsia="Arial" w:hAnsi="Arial"/>
          <w:sz w:val="18"/>
          <w:szCs w:val="18"/>
          <w:color w:val="auto"/>
        </w:rPr>
        <w:t xml:space="preserve">, </w:t>
      </w:r>
      <w:r>
        <w:rPr>
          <w:rFonts w:ascii="Arial" w:cs="Arial" w:eastAsia="Arial" w:hAnsi="Arial"/>
          <w:sz w:val="18"/>
          <w:szCs w:val="18"/>
          <w:u w:val="single" w:color="auto"/>
          <w:color w:val="auto"/>
        </w:rPr>
        <w:t>5.9(b)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shall include, without limitation, support staff and paraprofessional costs, amounts expended in litigation preparation and computerized research, telephone and telefax expenses, mileage, depositions, postage, photocopies, process service, videotapes, and all costs associated with environmental testing, audits, reviews, inspections, remediation and clean-up.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76" w:name="page177"/>
    <w:bookmarkEnd w:id="176"/>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Fixture Filing</w:t>
      </w:r>
      <w:r>
        <w:rPr>
          <w:rFonts w:ascii="Arial" w:cs="Arial" w:eastAsia="Arial" w:hAnsi="Arial"/>
          <w:sz w:val="18"/>
          <w:szCs w:val="18"/>
          <w:color w:val="auto"/>
        </w:rPr>
        <w:t>. Mortgagor and Mortgagee agree, to the extent permitted by law, that: (i) all of the goods subject to the foregoing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 of security interest, or are to become, fixtures on the land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(ii) this instrument, upon recording in the real estate records of the proper office, shall constitute a “fixture filing” within the meaning of Sections 9.1-313 and 9.1-402 of the UCC; (iii) Mortgagor is a record owner of the Premises; (iv) the addresses of Mortgagor and Mortgagee are as set forth on the first page of this Mortgage; (v) Mortgagor’s state organizational number is 197602-119; and (vi) a carbon, photographic, or other reproduction of this instrument, or of any financing statement relating hereto, shall be sufficient for filing purposes.</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This Mortgage is given to secure indebtedness in an amount not to exceed a maximum aggregate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TEN MILLION DOLLARS ($10,000,000.00), exclusive of interest thereon, fees with respect thereto and exclusive of unpaid balances of advances made with respect to the Mortgaged Property for the protection of the Mortgaged Property or the security of this Mortgage or for the payment of taxes, assessments, insurance premiums and all other costs which Mortgagee is authorized by the Mortgage to pay on Mortgagor’s behalf and exclusive of attorneys fees incurred by Mortgagee in connection with any collection or enforcement action hereunder; and all amendments, extensions, renewals, modifications, replacements or substitutions to any of the foregoing.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remainder of 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7" w:name="page178"/>
    <w:bookmarkEnd w:id="177"/>
    <w:p>
      <w:pPr>
        <w:ind w:firstLine="98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Mortgagor has caused this Mortgage to be duly EXECUTED AND DELIVERED by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all as of the day and year first above written.</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MORTGAGOR: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ACURA PHARMACEUTICAL</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TECHNOLOGIES, INC.</w:t>
      </w:r>
      <w:r>
        <w:rPr>
          <w:rFonts w:ascii="Arial" w:cs="Arial" w:eastAsia="Arial" w:hAnsi="Arial"/>
          <w:sz w:val="18"/>
          <w:szCs w:val="18"/>
          <w:color w:val="auto"/>
        </w:rPr>
        <w:t>, an Indiana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Peter A. Clemens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Sr. 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20"/>
          </w:cols>
          <w:pgMar w:left="240" w:top="878" w:right="10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07"/>
        </w:trPr>
        <w:tc>
          <w:tcPr>
            <w:tcW w:w="1460" w:type="dxa"/>
            <w:vAlign w:val="bottom"/>
            <w:gridSpan w:val="4"/>
          </w:tcPr>
          <w:p>
            <w:pPr>
              <w:spacing w:after="0"/>
              <w:rPr>
                <w:sz w:val="20"/>
                <w:szCs w:val="20"/>
                <w:color w:val="auto"/>
              </w:rPr>
            </w:pPr>
            <w:r>
              <w:rPr>
                <w:rFonts w:ascii="Arial" w:cs="Arial" w:eastAsia="Arial" w:hAnsi="Arial"/>
                <w:sz w:val="18"/>
                <w:szCs w:val="18"/>
                <w:color w:val="auto"/>
              </w:rPr>
              <w:t>STATE OF Illinois</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w:t>
            </w:r>
          </w:p>
        </w:tc>
      </w:tr>
      <w:tr>
        <w:trPr>
          <w:trHeight w:val="222"/>
        </w:trPr>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)ss.</w:t>
            </w:r>
          </w:p>
        </w:tc>
      </w:tr>
      <w:tr>
        <w:trPr>
          <w:trHeight w:val="190"/>
        </w:trPr>
        <w:tc>
          <w:tcPr>
            <w:tcW w:w="1460" w:type="dxa"/>
            <w:vAlign w:val="bottom"/>
            <w:gridSpan w:val="4"/>
          </w:tcPr>
          <w:p>
            <w:pPr>
              <w:spacing w:after="0" w:line="190" w:lineRule="exact"/>
              <w:rPr>
                <w:sz w:val="20"/>
                <w:szCs w:val="20"/>
                <w:color w:val="auto"/>
              </w:rPr>
            </w:pPr>
            <w:r>
              <w:rPr>
                <w:rFonts w:ascii="Arial" w:cs="Arial" w:eastAsia="Arial" w:hAnsi="Arial"/>
                <w:sz w:val="18"/>
                <w:szCs w:val="18"/>
                <w:color w:val="auto"/>
                <w:w w:val="94"/>
              </w:rPr>
              <w:t>COUNTY OF Cook</w:t>
            </w:r>
          </w:p>
        </w:tc>
        <w:tc>
          <w:tcPr>
            <w:tcW w:w="1660" w:type="dxa"/>
            <w:vAlign w:val="bottom"/>
          </w:tcPr>
          <w:p>
            <w:pPr>
              <w:jc w:val="right"/>
              <w:ind w:right="670"/>
              <w:spacing w:after="0" w:line="190" w:lineRule="exact"/>
              <w:rPr>
                <w:sz w:val="20"/>
                <w:szCs w:val="20"/>
                <w:color w:val="auto"/>
              </w:rPr>
            </w:pPr>
            <w:r>
              <w:rPr>
                <w:rFonts w:ascii="Arial" w:cs="Arial" w:eastAsia="Arial" w:hAnsi="Arial"/>
                <w:sz w:val="18"/>
                <w:szCs w:val="18"/>
                <w:color w:val="auto"/>
              </w:rPr>
              <w:t>)</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16, 2013, before me, the undersigned, Notary Public in and for said State and County, personally appeared [Peter A. Clemens, personally known to me (or proved to me on the basis of satisfactory evidence) to be the person whose name is subscribed to the within instrument and acknowledged to me that he executed the same in his authorized capacity, and that by his signature on the instrument the person, or the entity upon behalf of which the person acted, executed the instrument.</w:t>
      </w:r>
    </w:p>
    <w:p>
      <w:pPr>
        <w:spacing w:after="0" w:line="18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WITNESS my hand and official seal.</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Robert A. Seiser</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Notary Public, State of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6310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Robert A. Seiser</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Printed Name of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6310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My Commission Expires:</w:t>
      </w:r>
      <w:r>
        <w:rPr>
          <w:rFonts w:ascii="Arial" w:cs="Arial" w:eastAsia="Arial" w:hAnsi="Arial"/>
          <w:sz w:val="18"/>
          <w:szCs w:val="18"/>
          <w:u w:val="single" w:color="auto"/>
          <w:color w:val="auto"/>
        </w:rPr>
        <w:t>8/13/2016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PREPARED BY, RECORDING REQUESTED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WHEN RECORDED MAIL 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Jonathan Bell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International Place</w:t>
      </w:r>
    </w:p>
    <w:p>
      <w:pPr>
        <w:spacing w:after="0" w:line="186" w:lineRule="auto"/>
        <w:rPr>
          <w:sz w:val="20"/>
          <w:szCs w:val="20"/>
          <w:color w:val="auto"/>
        </w:rPr>
      </w:pPr>
      <w:r>
        <w:rPr>
          <w:rFonts w:ascii="Arial" w:cs="Arial" w:eastAsia="Arial" w:hAnsi="Arial"/>
          <w:sz w:val="18"/>
          <w:szCs w:val="18"/>
          <w:color w:val="auto"/>
        </w:rPr>
        <w:t>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Boston, MA 02110</w:t>
      </w:r>
    </w:p>
    <w:p>
      <w:pPr>
        <w:spacing w:after="0" w:line="20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I affirm, under the penalties for perjury, that I have taken reasonable care to redact each Social Security number in this document, unless required by law.</w:t>
      </w:r>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Jonathan Bell,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Real Property Description</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part of the Northwest Quarter of Section 9, Township 32 North, Range 1 East, Union Township, Marshall County, Indiana, described as follows: Commencing at the Northeast corner of said Northwest Quarter; thence South 0°00’00” East (assumed bearing) along the East line of said Northwest Quarter a distance of 691.20 feet to a PK nail at the point of beginning; thence continuing South 0°00’00” East along said East line a distance of 691.20 feet to a PK nail; thence South 89°52’40” West a distance of 200.00 feet to a 5/8 inch rebar; thence South 0°00’00” East a distance of 346.00 feet to a 5/8 inch rebar; thence North 89°39’39” West a distance of 1092.89 feet to a 5/8 inch rebar on the West line of the East half of said Northwest Quarter; thence North 1°09’23” West along said West line a distance of 1011.77 feet to a 5/8 inch rebar; thence North 89°08’41” East a distance of 1313.44 feet to the point of beginning, containing 29.077 acres, more or less. Subject to legal highways, rights-of-way and easements of record.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EXCEPT: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part of the Northwest Quarter of Section 9, township 32 North, Range 1 East, Union Township, Marshall County, Indiana, described as follows: Commencing at a 5/8 inch iron rod located at the Northeast corner of said Northwest Quarter; thence South 00°00’00” West (record bearing) along the East line of said Quarter 1169.13 feet to a Mag nail at the point of beginning of this description; thence continuing South 00°00’00” West along the East line of said Quarter 213.27 feet to a PK nail at the Northeast corner of the Helen D. Fishburn parcel as recorded in Deed Record 1984, page 4258 in the Office of the Marshall County Recorder; thence South 89°52’40” West 200.00 feet to a 5/8 inch iron rod at the Northwest corner of said Fishburn parcel; thence South 00°00’00” West along the West line of said Fishburn parcel 4.77 feet to a 5/8 inch iron rod at the intersection with the Easterly extension of a chainlink fence; thence North 89°15’19” West along said fenceline 109.57 feet to a fence corner post; thence North 00°35’23” East along said fenceline 128.93 feet to a fence corner post; thence North 88°56’06” East along said fenceline 40.40 feet to a fence corner post; thence North 00°15’11” East 37.88 feet to a 5/8 inch iron rod, thence North 89°35’46” East 65.54 feet to a 5/8 inch iron rod; thence North 02°36’10” East 48.65 feet to a 5/8 inch iron rod; thence North 89°52’40” East 199.93 feet to the point of beginning, containing 1.37 acres, subject to all easements, rights-of-way and restrictions of record.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AMENDMENT TO EXECUTIVE EMPLOYMENT AGREEMENT</w:t>
      </w:r>
    </w:p>
    <w:p>
      <w:pPr>
        <w:spacing w:after="0" w:line="233" w:lineRule="exact"/>
        <w:rPr>
          <w:sz w:val="20"/>
          <w:szCs w:val="20"/>
          <w:color w:val="auto"/>
        </w:rPr>
      </w:pPr>
    </w:p>
    <w:p>
      <w:pPr>
        <w:ind w:right="40" w:firstLine="648"/>
        <w:spacing w:after="0" w:line="22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SEVENTH AMENDMENT TO EXECUTIVE EMPLOYMENT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made this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2013 by and between </w:t>
      </w:r>
      <w:r>
        <w:rPr>
          <w:rFonts w:ascii="Arial" w:cs="Arial" w:eastAsia="Arial" w:hAnsi="Arial"/>
          <w:sz w:val="18"/>
          <w:szCs w:val="18"/>
          <w:b w:val="1"/>
          <w:bCs w:val="1"/>
          <w:color w:val="auto"/>
        </w:rPr>
        <w:t>ACURA PHARMACEUTICALS, INC.</w:t>
      </w:r>
      <w:r>
        <w:rPr>
          <w:rFonts w:ascii="Arial" w:cs="Arial" w:eastAsia="Arial" w:hAnsi="Arial"/>
          <w:sz w:val="18"/>
          <w:szCs w:val="18"/>
          <w:color w:val="auto"/>
        </w:rPr>
        <w:t>, a New York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xml:space="preserve">”), with offices at 616 N. North Court, Suite 120, Palatine, Illinois 60067 and </w:t>
      </w:r>
      <w:r>
        <w:rPr>
          <w:rFonts w:ascii="Arial" w:cs="Arial" w:eastAsia="Arial" w:hAnsi="Arial"/>
          <w:sz w:val="18"/>
          <w:szCs w:val="18"/>
          <w:b w:val="1"/>
          <w:bCs w:val="1"/>
          <w:color w:val="auto"/>
        </w:rPr>
        <w:t>PETER A. CLEMENS</w:t>
      </w:r>
      <w:r>
        <w:rPr>
          <w:rFonts w:ascii="Arial" w:cs="Arial" w:eastAsia="Arial" w:hAnsi="Arial"/>
          <w:sz w:val="18"/>
          <w:szCs w:val="18"/>
          <w:color w:val="auto"/>
        </w:rPr>
        <w:t xml:space="preserve">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TA L S</w:t>
      </w:r>
    </w:p>
    <w:p>
      <w:pPr>
        <w:spacing w:after="0" w:line="225" w:lineRule="exact"/>
        <w:rPr>
          <w:sz w:val="20"/>
          <w:szCs w:val="20"/>
          <w:color w:val="auto"/>
        </w:rPr>
      </w:pPr>
    </w:p>
    <w:p>
      <w:pPr>
        <w:ind w:left="1300" w:right="140" w:hanging="260"/>
        <w:spacing w:after="0" w:line="277"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Corporation and the Employee executed an Executive Employment Agreement dated as of March 10, 1998, as amended (as amended,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366" w:lineRule="exact"/>
        <w:rPr>
          <w:rFonts w:ascii="Arial" w:cs="Arial" w:eastAsia="Arial" w:hAnsi="Arial"/>
          <w:sz w:val="18"/>
          <w:szCs w:val="18"/>
          <w:color w:val="auto"/>
        </w:rPr>
      </w:pPr>
    </w:p>
    <w:p>
      <w:pPr>
        <w:ind w:left="1300" w:hanging="250"/>
        <w:spacing w:after="0"/>
        <w:tabs>
          <w:tab w:leader="none" w:pos="1300" w:val="left"/>
        </w:tabs>
        <w:numPr>
          <w:ilvl w:val="0"/>
          <w:numId w:val="115"/>
        </w:numPr>
        <w:rPr>
          <w:rFonts w:ascii="Arial" w:cs="Arial" w:eastAsia="Arial" w:hAnsi="Arial"/>
          <w:sz w:val="36"/>
          <w:szCs w:val="36"/>
          <w:color w:val="auto"/>
          <w:vertAlign w:val="superscript"/>
        </w:rPr>
      </w:pPr>
      <w:r>
        <w:rPr>
          <w:rFonts w:ascii="Arial" w:cs="Arial" w:eastAsia="Arial" w:hAnsi="Arial"/>
          <w:sz w:val="18"/>
          <w:szCs w:val="18"/>
          <w:color w:val="auto"/>
        </w:rPr>
        <w:t>The Corporation</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the Employee now desire to further amend the Employment Agreement as provided herein.</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undertakings herein contained, the parties agree as follows:</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 The first sentence of Section 3(a) of the Employment Agreement is hereby deleted in its entirety and the following is inserted in its place:</w:t>
      </w:r>
    </w:p>
    <w:p>
      <w:pPr>
        <w:spacing w:after="0" w:line="225" w:lineRule="exact"/>
        <w:rPr>
          <w:sz w:val="20"/>
          <w:szCs w:val="20"/>
          <w:color w:val="auto"/>
        </w:rPr>
      </w:pPr>
    </w:p>
    <w:p>
      <w:pPr>
        <w:ind w:left="660" w:right="760" w:firstLine="648"/>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Base Salary</w:t>
      </w:r>
      <w:r>
        <w:rPr>
          <w:rFonts w:ascii="Arial" w:cs="Arial" w:eastAsia="Arial" w:hAnsi="Arial"/>
          <w:sz w:val="18"/>
          <w:szCs w:val="18"/>
          <w:color w:val="auto"/>
        </w:rPr>
        <w:t>. The Corporation shall pay the Employee an aggregate base salary at an annual rate of $280,000 payable in equal installments on the Company’s regular payroll schedule, less such deductions or amounts to be withheld as required by applicable law or regulations.”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 The first sentence of Section 3(b) of the Employment Agreement is hereby deleted in its entirety and the following is inserted in its place:</w:t>
      </w:r>
    </w:p>
    <w:p>
      <w:pPr>
        <w:spacing w:after="0" w:line="225" w:lineRule="exact"/>
        <w:rPr>
          <w:sz w:val="20"/>
          <w:szCs w:val="20"/>
          <w:color w:val="auto"/>
        </w:rPr>
      </w:pPr>
    </w:p>
    <w:p>
      <w:pPr>
        <w:jc w:val="both"/>
        <w:ind w:left="660" w:right="220" w:firstLine="648"/>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Annual Bonus</w:t>
      </w:r>
      <w:r>
        <w:rPr>
          <w:rFonts w:ascii="Arial" w:cs="Arial" w:eastAsia="Arial" w:hAnsi="Arial"/>
          <w:sz w:val="18"/>
          <w:szCs w:val="18"/>
          <w:color w:val="auto"/>
        </w:rPr>
        <w:t>. During the Term, the Employee will be eligible to receive from the Corporation an annual bonus (the “Bonus”) in the amount of up to seventy percent (70%) of the Employee’s then current annual Base Salary during the fiscal year (or portion thereof) for which the Bonus may be awarded.”</w:t>
      </w:r>
    </w:p>
    <w:p>
      <w:pPr>
        <w:spacing w:after="0" w:line="181" w:lineRule="exact"/>
        <w:rPr>
          <w:sz w:val="20"/>
          <w:szCs w:val="20"/>
          <w:color w:val="auto"/>
        </w:rPr>
      </w:pPr>
    </w:p>
    <w:p>
      <w:pPr>
        <w:jc w:val="both"/>
        <w:ind w:right="20" w:firstLine="656"/>
        <w:spacing w:after="0" w:line="312" w:lineRule="auto"/>
        <w:tabs>
          <w:tab w:leader="none" w:pos="82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Except as expressly amended by this Amendment, the Employment Agreement remains in full force and effect. Capitalized terms used herein shall have the same meaning as in the Employment Agreement unless otherwise defined herein. This Amendment shall be governed and construed and enforced in accordance with the local laws of the State of New York applicable to agreements made and to be performed entirely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097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6" w:lineRule="exact"/>
        <w:rPr>
          <w:sz w:val="20"/>
          <w:szCs w:val="20"/>
          <w:color w:val="auto"/>
        </w:rPr>
      </w:pPr>
    </w:p>
    <w:p>
      <w:pPr>
        <w:ind w:right="180" w:firstLine="8"/>
        <w:spacing w:after="0" w:line="194" w:lineRule="auto"/>
        <w:tabs>
          <w:tab w:leader="none" w:pos="120" w:val="left"/>
        </w:tabs>
        <w:numPr>
          <w:ilvl w:val="0"/>
          <w:numId w:val="117"/>
        </w:numPr>
        <w:rPr>
          <w:rFonts w:ascii="Arial" w:cs="Arial" w:eastAsia="Arial" w:hAnsi="Arial"/>
          <w:sz w:val="30"/>
          <w:szCs w:val="30"/>
          <w:color w:val="auto"/>
          <w:vertAlign w:val="superscript"/>
        </w:rPr>
      </w:pPr>
      <w:r>
        <w:rPr>
          <w:rFonts w:ascii="Arial" w:cs="Arial" w:eastAsia="Arial" w:hAnsi="Arial"/>
          <w:sz w:val="18"/>
          <w:szCs w:val="18"/>
          <w:color w:val="auto"/>
        </w:rPr>
        <w:t>The Board of Directors of the Corporation approved the terms of this Amendment at its December 12, 2013 meeting following the recommendation of the Compensation Committee which recommended approval at its September 20, 2013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1" w:name="page182"/>
    <w:bookmarkEnd w:id="181"/>
    <w:p>
      <w:pPr>
        <w:ind w:left="-200" w:firstLine="656"/>
        <w:spacing w:after="0" w:line="277" w:lineRule="auto"/>
        <w:tabs>
          <w:tab w:leader="none" w:pos="6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Amendment may be executed in one or more facsimile or original counterparts, each of which shall be deemed an original, but all of which taken together will constitute one and the same instrument.</w:t>
      </w:r>
    </w:p>
    <w:p>
      <w:pPr>
        <w:spacing w:after="0" w:line="170" w:lineRule="exact"/>
        <w:rPr>
          <w:rFonts w:ascii="Arial" w:cs="Arial" w:eastAsia="Arial" w:hAnsi="Arial"/>
          <w:sz w:val="18"/>
          <w:szCs w:val="18"/>
          <w:color w:val="auto"/>
        </w:rPr>
      </w:pPr>
    </w:p>
    <w:p>
      <w:pPr>
        <w:ind w:left="640" w:hanging="184"/>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Amendment shall be effective on January 1,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NEXT PAGE]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440" w:top="909" w:right="41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this Amendment as of the date first above written.</w:t>
      </w: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ACURA PHARMACEUTICALS, INC.</w:t>
      </w: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Robert Jones</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-130810</wp:posOffset>
            </wp:positionV>
            <wp:extent cx="21697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President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By: /s/ Peter Clemens</w:t>
      </w:r>
    </w:p>
    <w:p>
      <w:pPr>
        <w:spacing w:after="0" w:line="23"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-130810</wp:posOffset>
            </wp:positionV>
            <wp:extent cx="21697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5" w:right="1440"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333-151653, 333-151620, 333-133172, 333-123615, 333-63288, and 33-98356) and on Form S-3 (No. 333-146416 and 333-187075) of Acura Pharmaceuticals, Inc. of our report dated March 3, 2014, relating to the consolidated financial statements, which appear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certify that:</w:t>
      </w:r>
    </w:p>
    <w:p>
      <w:pPr>
        <w:spacing w:after="0" w:line="225" w:lineRule="exact"/>
        <w:rPr>
          <w:sz w:val="20"/>
          <w:szCs w:val="20"/>
          <w:color w:val="auto"/>
        </w:rPr>
      </w:pPr>
    </w:p>
    <w:p>
      <w:pPr>
        <w:ind w:left="580" w:hanging="572"/>
        <w:spacing w:after="0"/>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20" w:hanging="571"/>
        <w:spacing w:after="0" w:line="342" w:lineRule="auto"/>
        <w:tabs>
          <w:tab w:leader="none" w:pos="11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571"/>
        <w:spacing w:after="0" w:line="264" w:lineRule="auto"/>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20" w:hanging="571"/>
        <w:spacing w:after="0" w:line="277" w:lineRule="auto"/>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/s/Robert B. Jones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certify that:</w:t>
      </w:r>
    </w:p>
    <w:p>
      <w:pPr>
        <w:spacing w:after="0" w:line="225" w:lineRule="exact"/>
        <w:rPr>
          <w:sz w:val="20"/>
          <w:szCs w:val="20"/>
          <w:color w:val="auto"/>
        </w:rPr>
      </w:pPr>
    </w:p>
    <w:p>
      <w:pPr>
        <w:ind w:left="580" w:hanging="572"/>
        <w:spacing w:after="0"/>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20" w:hanging="571"/>
        <w:spacing w:after="0" w:line="342" w:lineRule="auto"/>
        <w:tabs>
          <w:tab w:leader="none" w:pos="116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571"/>
        <w:spacing w:after="0" w:line="264" w:lineRule="auto"/>
        <w:tabs>
          <w:tab w:leader="none" w:pos="1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20" w:hanging="571"/>
        <w:spacing w:after="0" w:line="277" w:lineRule="auto"/>
        <w:tabs>
          <w:tab w:leader="none" w:pos="1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/s/Peter A. Clemens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Robert B. Jones, certify, pursuant to 18 U.S.C. 1350, as adopted pursuant to Section 906 of the Sarbanes-Oxley Act of 2002, that the Annual Report on Form 10-K of Acura Pharmaceuticals, Inc. for the fiscal year ended December 31, 2013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February 27, 2014</w:t>
            </w:r>
          </w:p>
        </w:tc>
        <w:tc>
          <w:tcPr>
            <w:tcW w:w="3400" w:type="dxa"/>
            <w:vAlign w:val="bottom"/>
          </w:tcPr>
          <w:p>
            <w:pPr>
              <w:ind w:left="216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r>
      <w:tr>
        <w:trPr>
          <w:trHeight w:val="195"/>
        </w:trPr>
        <w:tc>
          <w:tcPr>
            <w:tcW w:w="34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3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Peter A. Clemens, certify, pursuant to 18 U.S.C. 1350, as adopted pursuant to Section 906 of the Sarbanes-Oxley Act of 2002, that the Annual Report on Form 10-K of Acura Pharmaceuticals, Inc. for the fiscal year ended December 31, 2013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February 27, 2014</w:t>
            </w:r>
          </w:p>
        </w:tc>
        <w:tc>
          <w:tcPr>
            <w:tcW w:w="3340" w:type="dxa"/>
            <w:vAlign w:val="bottom"/>
          </w:tcPr>
          <w:p>
            <w:pPr>
              <w:ind w:left="22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r>
      <w:tr>
        <w:trPr>
          <w:trHeight w:val="195"/>
        </w:trPr>
        <w:tc>
          <w:tcPr>
            <w:tcW w:w="35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35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53"/>
        </w:trPr>
        <w:tc>
          <w:tcPr>
            <w:tcW w:w="35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x"/>
      <w:numFmt w:val="bullet"/>
      <w:start w:val="1"/>
    </w:lvl>
  </w:abstractNum>
  <w:abstractNum w:abstractNumId="1">
    <w:nsid w:val="10233C99"/>
    <w:multiLevelType w:val="hybridMultilevel"/>
    <w:lvl w:ilvl="0">
      <w:lvlJc w:val="left"/>
      <w:lvlText w:val="o"/>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1"/>
      <w:numFmt w:val="bullet"/>
      <w:start w:val="1"/>
    </w:lvl>
  </w:abstractNum>
  <w:abstractNum w:abstractNumId="7">
    <w:nsid w:val="310C50B3"/>
    <w:multiLevelType w:val="hybridMultilevel"/>
    <w:lvl w:ilvl="0">
      <w:lvlJc w:val="left"/>
      <w:lvlText w:val="2"/>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1"/>
      <w:numFmt w:val="bullet"/>
      <w:start w:val="1"/>
    </w:lvl>
  </w:abstractNum>
  <w:abstractNum w:abstractNumId="10">
    <w:nsid w:val="25A70BF7"/>
    <w:multiLevelType w:val="hybridMultilevel"/>
    <w:lvl w:ilvl="0">
      <w:lvlJc w:val="left"/>
      <w:lvlText w:val="(%1)"/>
      <w:numFmt w:val="decimal"/>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1)"/>
      <w:numFmt w:val="decimal"/>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1)"/>
      <w:numFmt w:val="lowerLetter"/>
      <w:start w:val="1"/>
    </w:lvl>
    <w:lvl w:ilvl="1">
      <w:lvlJc w:val="left"/>
      <w:lvlText w:val="%2."/>
      <w:numFmt w:val="decimal"/>
      <w:start w:val="1"/>
    </w:lvl>
  </w:abstractNum>
  <w:abstractNum w:abstractNumId="21">
    <w:nsid w:val="799D0247"/>
    <w:multiLevelType w:val="hybridMultilevel"/>
    <w:lvl w:ilvl="0">
      <w:lvlJc w:val="left"/>
      <w:lvlText w:val="%1."/>
      <w:numFmt w:val="decimal"/>
      <w:start w:val="1"/>
    </w:lvl>
  </w:abstractNum>
  <w:abstractNum w:abstractNumId="22">
    <w:nsid w:val="6B94764"/>
    <w:multiLevelType w:val="hybridMultilevel"/>
    <w:lvl w:ilvl="0">
      <w:lvlJc w:val="left"/>
      <w:lvlText w:val="%1."/>
      <w:numFmt w:val="decimal"/>
      <w:start w:val="1"/>
    </w:lvl>
  </w:abstractNum>
  <w:abstractNum w:abstractNumId="23">
    <w:nsid w:val="42C296BD"/>
    <w:multiLevelType w:val="hybridMultilevel"/>
    <w:lvl w:ilvl="0">
      <w:lvlJc w:val="left"/>
      <w:lvlText w:val="%1."/>
      <w:numFmt w:val="decimal"/>
      <w:start w:val="1"/>
    </w:lvl>
  </w:abstractNum>
  <w:abstractNum w:abstractNumId="24">
    <w:nsid w:val="168E121F"/>
    <w:multiLevelType w:val="hybridMultilevel"/>
    <w:lvl w:ilvl="0">
      <w:lvlJc w:val="left"/>
      <w:lvlText w:val="\endash "/>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1."/>
      <w:numFmt w:val="decimal"/>
      <w:start w:val="1"/>
    </w:lvl>
  </w:abstractNum>
  <w:abstractNum w:abstractNumId="28">
    <w:nsid w:val="540A471C"/>
    <w:multiLevelType w:val="hybridMultilevel"/>
    <w:lvl w:ilvl="0">
      <w:lvlJc w:val="left"/>
      <w:lvlText w:val="%1."/>
      <w:numFmt w:val="decimal"/>
      <w:start w:val="2"/>
    </w:lvl>
  </w:abstractNum>
  <w:abstractNum w:abstractNumId="29">
    <w:nsid w:val="7BD3EE7B"/>
    <w:multiLevelType w:val="hybridMultilevel"/>
    <w:lvl w:ilvl="0">
      <w:lvlJc w:val="left"/>
      <w:lvlText w:val="(%1)"/>
      <w:numFmt w:val="lowerLetter"/>
      <w:start w:val="1"/>
    </w:lvl>
  </w:abstractNum>
  <w:abstractNum w:abstractNumId="30">
    <w:nsid w:val="51D9C564"/>
    <w:multiLevelType w:val="hybridMultilevel"/>
    <w:lvl w:ilvl="0">
      <w:lvlJc w:val="left"/>
      <w:lvlText w:val="(%1)"/>
      <w:numFmt w:val="lowerLetter"/>
      <w:start w:val="3"/>
    </w:lvl>
  </w:abstractNum>
  <w:abstractNum w:abstractNumId="31">
    <w:nsid w:val="613EFDC5"/>
    <w:multiLevelType w:val="hybridMultilevel"/>
    <w:lvl w:ilvl="0">
      <w:lvlJc w:val="left"/>
      <w:lvlText w:val="(%1)"/>
      <w:numFmt w:val="lowerLetter"/>
      <w:start w:val="1"/>
    </w:lvl>
  </w:abstractNum>
  <w:abstractNum w:abstractNumId="32">
    <w:nsid w:val="BF72B14"/>
    <w:multiLevelType w:val="hybridMultilevel"/>
    <w:lvl w:ilvl="0">
      <w:lvlJc w:val="left"/>
      <w:lvlText w:val="(%1)"/>
      <w:numFmt w:val="lowerLetter"/>
      <w:start w:val="1"/>
    </w:lvl>
  </w:abstractNum>
  <w:abstractNum w:abstractNumId="33">
    <w:nsid w:val="11447B73"/>
    <w:multiLevelType w:val="hybridMultilevel"/>
    <w:lvl w:ilvl="0">
      <w:lvlJc w:val="left"/>
      <w:lvlText w:val="%1."/>
      <w:numFmt w:val="decimal"/>
      <w:start w:val="3"/>
    </w:lvl>
  </w:abstractNum>
  <w:abstractNum w:abstractNumId="34">
    <w:nsid w:val="42963E5A"/>
    <w:multiLevelType w:val="hybridMultilevel"/>
    <w:lvl w:ilvl="0">
      <w:lvlJc w:val="left"/>
      <w:lvlText w:val="(%1)"/>
      <w:numFmt w:val="lowerLetter"/>
      <w:start w:val="1"/>
    </w:lvl>
  </w:abstractNum>
  <w:abstractNum w:abstractNumId="35">
    <w:nsid w:val="A0382C5"/>
    <w:multiLevelType w:val="hybridMultilevel"/>
    <w:lvl w:ilvl="0">
      <w:lvlJc w:val="left"/>
      <w:lvlText w:val="(%1)"/>
      <w:numFmt w:val="lowerLetter"/>
      <w:start w:val="3"/>
    </w:lvl>
  </w:abstractNum>
  <w:abstractNum w:abstractNumId="36">
    <w:nsid w:val="8F2B15E"/>
    <w:multiLevelType w:val="hybridMultilevel"/>
    <w:lvl w:ilvl="0">
      <w:lvlJc w:val="left"/>
      <w:lvlText w:val="(%1)"/>
      <w:numFmt w:val="lowerLetter"/>
      <w:start w:val="4"/>
    </w:lvl>
  </w:abstractNum>
  <w:abstractNum w:abstractNumId="37">
    <w:nsid w:val="1A32234B"/>
    <w:multiLevelType w:val="hybridMultilevel"/>
    <w:lvl w:ilvl="0">
      <w:lvlJc w:val="left"/>
      <w:lvlText w:val="(%1)"/>
      <w:numFmt w:val="lowerLetter"/>
      <w:start w:val="1"/>
    </w:lvl>
  </w:abstractNum>
  <w:abstractNum w:abstractNumId="38">
    <w:nsid w:val="3B0FD379"/>
    <w:multiLevelType w:val="hybridMultilevel"/>
    <w:lvl w:ilvl="0">
      <w:lvlJc w:val="left"/>
      <w:lvlText w:val="(%1)"/>
      <w:numFmt w:val="lowerLetter"/>
      <w:start w:val="3"/>
    </w:lvl>
  </w:abstractNum>
  <w:abstractNum w:abstractNumId="39">
    <w:nsid w:val="68EB2F63"/>
    <w:multiLevelType w:val="hybridMultilevel"/>
    <w:lvl w:ilvl="0">
      <w:lvlJc w:val="left"/>
      <w:lvlText w:val="%1."/>
      <w:numFmt w:val="decimal"/>
      <w:start w:val="4"/>
    </w:lvl>
  </w:abstractNum>
  <w:abstractNum w:abstractNumId="40">
    <w:nsid w:val="4962813B"/>
    <w:multiLevelType w:val="hybridMultilevel"/>
    <w:lvl w:ilvl="0">
      <w:lvlJc w:val="left"/>
      <w:lvlText w:val="%1."/>
      <w:numFmt w:val="decimal"/>
      <w:start w:val="5"/>
    </w:lvl>
  </w:abstractNum>
  <w:abstractNum w:abstractNumId="41">
    <w:nsid w:val="60B6DF70"/>
    <w:multiLevelType w:val="hybridMultilevel"/>
    <w:lvl w:ilvl="0">
      <w:lvlJc w:val="left"/>
      <w:lvlText w:val="(%1)"/>
      <w:numFmt w:val="lowerRoman"/>
      <w:start w:val="2"/>
    </w:lvl>
  </w:abstractNum>
  <w:abstractNum w:abstractNumId="42">
    <w:nsid w:val="6A5EE64"/>
    <w:multiLevelType w:val="hybridMultilevel"/>
    <w:lvl w:ilvl="0">
      <w:lvlJc w:val="left"/>
      <w:lvlText w:val="(%1)"/>
      <w:numFmt w:val="lowerLetter"/>
      <w:start w:val="1"/>
    </w:lvl>
  </w:abstractNum>
  <w:abstractNum w:abstractNumId="43">
    <w:nsid w:val="14330624"/>
    <w:multiLevelType w:val="hybridMultilevel"/>
    <w:lvl w:ilvl="0">
      <w:lvlJc w:val="left"/>
      <w:lvlText w:val="%1."/>
      <w:numFmt w:val="decimal"/>
      <w:start w:val="6"/>
    </w:lvl>
    <w:lvl w:ilvl="1">
      <w:lvlJc w:val="left"/>
      <w:lvlText w:val="(%2)"/>
      <w:numFmt w:val="lowerLetter"/>
      <w:start w:val="1"/>
    </w:lvl>
  </w:abstractNum>
  <w:abstractNum w:abstractNumId="44">
    <w:nsid w:val="7FFFCA11"/>
    <w:multiLevelType w:val="hybridMultilevel"/>
    <w:lvl w:ilvl="0">
      <w:lvlJc w:val="left"/>
      <w:lvlText w:val="(%1)"/>
      <w:numFmt w:val="lowerLetter"/>
      <w:start w:val="1"/>
    </w:lvl>
    <w:lvl w:ilvl="1">
      <w:lvlJc w:val="left"/>
      <w:lvlText w:val="(%2)"/>
      <w:numFmt w:val="lowerLetter"/>
      <w:start w:val="9"/>
    </w:lvl>
  </w:abstractNum>
  <w:abstractNum w:abstractNumId="45">
    <w:nsid w:val="1A27709E"/>
    <w:multiLevelType w:val="hybridMultilevel"/>
    <w:lvl w:ilvl="0">
      <w:lvlJc w:val="left"/>
      <w:lvlText w:val="(%1)"/>
      <w:numFmt w:val="lowerRoman"/>
      <w:start w:val="2"/>
    </w:lvl>
  </w:abstractNum>
  <w:abstractNum w:abstractNumId="46">
    <w:nsid w:val="71EA1109"/>
    <w:multiLevelType w:val="hybridMultilevel"/>
    <w:lvl w:ilvl="0">
      <w:lvlJc w:val="left"/>
      <w:lvlText w:val="(%1)"/>
      <w:numFmt w:val="lowerLetter"/>
      <w:start w:val="2"/>
    </w:lvl>
  </w:abstractNum>
  <w:abstractNum w:abstractNumId="47">
    <w:nsid w:val="100F59DC"/>
    <w:multiLevelType w:val="hybridMultilevel"/>
    <w:lvl w:ilvl="0">
      <w:lvlJc w:val="left"/>
      <w:lvlText w:val="(%1)"/>
      <w:numFmt w:val="lowerRoman"/>
      <w:start w:val="1"/>
    </w:lvl>
  </w:abstractNum>
  <w:abstractNum w:abstractNumId="48">
    <w:nsid w:val="7FB7E0AA"/>
    <w:multiLevelType w:val="hybridMultilevel"/>
    <w:lvl w:ilvl="0">
      <w:lvlJc w:val="left"/>
      <w:lvlText w:val="(%1)"/>
      <w:numFmt w:val="lowerLetter"/>
      <w:start w:val="1"/>
    </w:lvl>
  </w:abstractNum>
  <w:abstractNum w:abstractNumId="49">
    <w:nsid w:val="6EB5BD4"/>
    <w:multiLevelType w:val="hybridMultilevel"/>
    <w:lvl w:ilvl="0">
      <w:lvlJc w:val="left"/>
      <w:lvlText w:val="(%1)"/>
      <w:numFmt w:val="lowerLetter"/>
      <w:start w:val="3"/>
    </w:lvl>
    <w:lvl w:ilvl="1">
      <w:lvlJc w:val="left"/>
      <w:lvlText w:val="(%2)"/>
      <w:numFmt w:val="lowerRoman"/>
      <w:start w:val="1"/>
    </w:lvl>
  </w:abstractNum>
  <w:abstractNum w:abstractNumId="50">
    <w:nsid w:val="6F6DD9AC"/>
    <w:multiLevelType w:val="hybridMultilevel"/>
    <w:lvl w:ilvl="0">
      <w:lvlJc w:val="left"/>
      <w:lvlText w:val="%1"/>
      <w:numFmt w:val="decimal"/>
      <w:start w:val="1"/>
    </w:lvl>
    <w:lvl w:ilvl="1">
      <w:lvlJc w:val="left"/>
      <w:lvlText w:val="(%2)"/>
      <w:numFmt w:val="lowerLetter"/>
      <w:start w:val="1"/>
    </w:lvl>
  </w:abstractNum>
  <w:abstractNum w:abstractNumId="51">
    <w:nsid w:val="94211F2"/>
    <w:multiLevelType w:val="hybridMultilevel"/>
    <w:lvl w:ilvl="0">
      <w:lvlJc w:val="left"/>
      <w:lvlText w:val="%1."/>
      <w:numFmt w:val="decimal"/>
      <w:start w:val="7"/>
    </w:lvl>
    <w:lvl w:ilvl="1">
      <w:lvlJc w:val="left"/>
      <w:lvlText w:val="%2"/>
      <w:numFmt w:val="lowerLetter"/>
      <w:start w:val="1"/>
    </w:lvl>
  </w:abstractNum>
  <w:abstractNum w:abstractNumId="52">
    <w:nsid w:val="885E1B"/>
    <w:multiLevelType w:val="hybridMultilevel"/>
    <w:lvl w:ilvl="0">
      <w:lvlJc w:val="left"/>
      <w:lvlText w:val="%1."/>
      <w:numFmt w:val="decimal"/>
      <w:start w:val="8"/>
    </w:lvl>
  </w:abstractNum>
  <w:abstractNum w:abstractNumId="53">
    <w:nsid w:val="76272110"/>
    <w:multiLevelType w:val="hybridMultilevel"/>
    <w:lvl w:ilvl="0">
      <w:lvlJc w:val="left"/>
      <w:lvlText w:val="(%1)"/>
      <w:numFmt w:val="lowerLetter"/>
      <w:start w:val="1"/>
    </w:lvl>
  </w:abstractNum>
  <w:abstractNum w:abstractNumId="54">
    <w:nsid w:val="4C04A8AF"/>
    <w:multiLevelType w:val="hybridMultilevel"/>
    <w:lvl w:ilvl="0">
      <w:lvlJc w:val="left"/>
      <w:lvlText w:val="%1"/>
      <w:numFmt w:val="decimal"/>
      <w:start w:val="1"/>
    </w:lvl>
    <w:lvl w:ilvl="1">
      <w:lvlJc w:val="left"/>
      <w:lvlText w:val="(%2)"/>
      <w:numFmt w:val="lowerLetter"/>
      <w:start w:val="2"/>
    </w:lvl>
  </w:abstractNum>
  <w:abstractNum w:abstractNumId="55">
    <w:nsid w:val="1716703B"/>
    <w:multiLevelType w:val="hybridMultilevel"/>
    <w:lvl w:ilvl="0">
      <w:lvlJc w:val="left"/>
      <w:lvlText w:val="(%1)"/>
      <w:numFmt w:val="decimal"/>
      <w:start w:val="10"/>
    </w:lvl>
    <w:lvl w:ilvl="1">
      <w:lvlJc w:val="left"/>
      <w:lvlText w:val="%2"/>
      <w:numFmt w:val="lowerLetter"/>
      <w:start w:val="1"/>
    </w:lvl>
  </w:abstractNum>
  <w:abstractNum w:abstractNumId="56">
    <w:nsid w:val="14E17E33"/>
    <w:multiLevelType w:val="hybridMultilevel"/>
    <w:lvl w:ilvl="0">
      <w:lvlJc w:val="left"/>
      <w:lvlText w:val="(%1)"/>
      <w:numFmt w:val="lowerLetter"/>
      <w:start w:val="1"/>
    </w:lvl>
  </w:abstractNum>
  <w:abstractNum w:abstractNumId="57">
    <w:nsid w:val="3222E7CD"/>
    <w:multiLevelType w:val="hybridMultilevel"/>
    <w:lvl w:ilvl="0">
      <w:lvlJc w:val="left"/>
      <w:lvlText w:val="%1."/>
      <w:numFmt w:val="decimal"/>
      <w:start w:val="9"/>
    </w:lvl>
  </w:abstractNum>
  <w:abstractNum w:abstractNumId="58">
    <w:nsid w:val="74DE0EE3"/>
    <w:multiLevelType w:val="hybridMultilevel"/>
    <w:lvl w:ilvl="0">
      <w:lvlJc w:val="left"/>
      <w:lvlText w:val="(%1)"/>
      <w:numFmt w:val="lowerLetter"/>
      <w:start w:val="1"/>
    </w:lvl>
    <w:lvl w:ilvl="1">
      <w:lvlJc w:val="left"/>
      <w:lvlText w:val="(%2)"/>
      <w:numFmt w:val="lowerRoman"/>
      <w:start w:val="1"/>
    </w:lvl>
  </w:abstractNum>
  <w:abstractNum w:abstractNumId="59">
    <w:nsid w:val="68EBC550"/>
    <w:multiLevelType w:val="hybridMultilevel"/>
    <w:lvl w:ilvl="0">
      <w:lvlJc w:val="left"/>
      <w:lvlText w:val="(%1)"/>
      <w:numFmt w:val="lowerRoman"/>
      <w:start w:val="1"/>
    </w:lvl>
  </w:abstractNum>
  <w:abstractNum w:abstractNumId="60">
    <w:nsid w:val="2DF6D648"/>
    <w:multiLevelType w:val="hybridMultilevel"/>
    <w:lvl w:ilvl="0">
      <w:lvlJc w:val="left"/>
      <w:lvlText w:val="(%1)"/>
      <w:numFmt w:val="lowerLetter"/>
      <w:start w:val="4"/>
    </w:lvl>
  </w:abstractNum>
  <w:abstractNum w:abstractNumId="61">
    <w:nsid w:val="46B7D447"/>
    <w:multiLevelType w:val="hybridMultilevel"/>
    <w:lvl w:ilvl="0">
      <w:lvlJc w:val="left"/>
      <w:lvlText w:val="%1."/>
      <w:numFmt w:val="decimal"/>
      <w:start w:val="10"/>
    </w:lvl>
  </w:abstractNum>
  <w:abstractNum w:abstractNumId="62">
    <w:nsid w:val="4A2AC315"/>
    <w:multiLevelType w:val="hybridMultilevel"/>
    <w:lvl w:ilvl="0">
      <w:lvlJc w:val="left"/>
      <w:lvlText w:val="(%1)"/>
      <w:numFmt w:val="lowerLetter"/>
      <w:start w:val="4"/>
    </w:lvl>
  </w:abstractNum>
  <w:abstractNum w:abstractNumId="63">
    <w:nsid w:val="39EE015C"/>
    <w:multiLevelType w:val="hybridMultilevel"/>
    <w:lvl w:ilvl="0">
      <w:lvlJc w:val="left"/>
      <w:lvlText w:val="%1."/>
      <w:numFmt w:val="decimal"/>
      <w:start w:val="11"/>
    </w:lvl>
  </w:abstractNum>
  <w:abstractNum w:abstractNumId="64">
    <w:nsid w:val="57FC4FBB"/>
    <w:multiLevelType w:val="hybridMultilevel"/>
    <w:lvl w:ilvl="0">
      <w:lvlJc w:val="left"/>
      <w:lvlText w:val="%1."/>
      <w:numFmt w:val="decimal"/>
      <w:start w:val="12"/>
    </w:lvl>
  </w:abstractNum>
  <w:abstractNum w:abstractNumId="65">
    <w:nsid w:val="CC1016F"/>
    <w:multiLevelType w:val="hybridMultilevel"/>
    <w:lvl w:ilvl="0">
      <w:lvlJc w:val="left"/>
      <w:lvlText w:val="%1"/>
      <w:numFmt w:val="lowerLetter"/>
      <w:start w:val="1"/>
    </w:lvl>
    <w:lvl w:ilvl="1">
      <w:lvlJc w:val="left"/>
      <w:lvlText w:val="(%2)"/>
      <w:numFmt w:val="lowerRoman"/>
      <w:start w:val="1"/>
    </w:lvl>
  </w:abstractNum>
  <w:abstractNum w:abstractNumId="66">
    <w:nsid w:val="43F18422"/>
    <w:multiLevelType w:val="hybridMultilevel"/>
    <w:lvl w:ilvl="0">
      <w:lvlJc w:val="left"/>
      <w:lvlText w:val="(%1)"/>
      <w:numFmt w:val="lowerLetter"/>
      <w:start w:val="2"/>
    </w:lvl>
    <w:lvl w:ilvl="1">
      <w:lvlJc w:val="left"/>
      <w:lvlText w:val="%2"/>
      <w:numFmt w:val="lowerRoman"/>
      <w:start w:val="1"/>
    </w:lvl>
  </w:abstractNum>
  <w:abstractNum w:abstractNumId="67">
    <w:nsid w:val="60EF0119"/>
    <w:multiLevelType w:val="hybridMultilevel"/>
    <w:lvl w:ilvl="0">
      <w:lvlJc w:val="left"/>
      <w:lvlText w:val="(%1)"/>
      <w:numFmt w:val="lowerRoman"/>
      <w:start w:val="2"/>
    </w:lvl>
  </w:abstractNum>
  <w:abstractNum w:abstractNumId="68">
    <w:nsid w:val="26F324BA"/>
    <w:multiLevelType w:val="hybridMultilevel"/>
    <w:lvl w:ilvl="0">
      <w:lvlJc w:val="left"/>
      <w:lvlText w:val="%1."/>
      <w:numFmt w:val="decimal"/>
      <w:start w:val="13"/>
    </w:lvl>
  </w:abstractNum>
  <w:abstractNum w:abstractNumId="69">
    <w:nsid w:val="7F01579B"/>
    <w:multiLevelType w:val="hybridMultilevel"/>
    <w:lvl w:ilvl="0">
      <w:lvlJc w:val="left"/>
      <w:lvlText w:val="(%1)"/>
      <w:numFmt w:val="lowerRoman"/>
      <w:start w:val="1"/>
    </w:lvl>
  </w:abstractNum>
  <w:abstractNum w:abstractNumId="70">
    <w:nsid w:val="49DA307D"/>
    <w:multiLevelType w:val="hybridMultilevel"/>
    <w:lvl w:ilvl="0">
      <w:lvlJc w:val="left"/>
      <w:lvlText w:val="(%1)"/>
      <w:numFmt w:val="lowerLetter"/>
      <w:start w:val="1"/>
    </w:lvl>
  </w:abstractNum>
  <w:abstractNum w:abstractNumId="71">
    <w:nsid w:val="7055A5F5"/>
    <w:multiLevelType w:val="hybridMultilevel"/>
    <w:lvl w:ilvl="0">
      <w:lvlJc w:val="left"/>
      <w:lvlText w:val="%1"/>
      <w:numFmt w:val="lowerLetter"/>
      <w:start w:val="1"/>
    </w:lvl>
    <w:lvl w:ilvl="1">
      <w:lvlJc w:val="left"/>
      <w:lvlText w:val="(%2)"/>
      <w:numFmt w:val="lowerLetter"/>
      <w:start w:val="1"/>
    </w:lvl>
  </w:abstractNum>
  <w:abstractNum w:abstractNumId="72">
    <w:nsid w:val="5FB8370B"/>
    <w:multiLevelType w:val="hybridMultilevel"/>
    <w:lvl w:ilvl="0">
      <w:lvlJc w:val="left"/>
      <w:lvlText w:val="(%1)"/>
      <w:numFmt w:val="lowerLetter"/>
      <w:start w:val="5"/>
    </w:lvl>
    <w:lvl w:ilvl="1">
      <w:lvlJc w:val="left"/>
      <w:lvlText w:val="%2"/>
      <w:numFmt w:val="lowerLetter"/>
      <w:start w:val="1"/>
    </w:lvl>
  </w:abstractNum>
  <w:abstractNum w:abstractNumId="73">
    <w:nsid w:val="50801EE1"/>
    <w:multiLevelType w:val="hybridMultilevel"/>
    <w:lvl w:ilvl="0">
      <w:lvlJc w:val="left"/>
      <w:lvlText w:val="(%1)"/>
      <w:numFmt w:val="lowerLetter"/>
      <w:start w:val="1"/>
    </w:lvl>
  </w:abstractNum>
  <w:abstractNum w:abstractNumId="74">
    <w:nsid w:val="488AC1A"/>
    <w:multiLevelType w:val="hybridMultilevel"/>
    <w:lvl w:ilvl="0">
      <w:lvlJc w:val="left"/>
      <w:lvlText w:val="(%1)"/>
      <w:numFmt w:val="lowerLetter"/>
      <w:start w:val="4"/>
    </w:lvl>
  </w:abstractNum>
  <w:abstractNum w:abstractNumId="75">
    <w:nsid w:val="5FB8011C"/>
    <w:multiLevelType w:val="hybridMultilevel"/>
    <w:lvl w:ilvl="0">
      <w:lvlJc w:val="left"/>
      <w:lvlText w:val="(%1)"/>
      <w:numFmt w:val="lowerLetter"/>
      <w:start w:val="1"/>
    </w:lvl>
  </w:abstractNum>
  <w:abstractNum w:abstractNumId="76">
    <w:nsid w:val="6AA78F7F"/>
    <w:multiLevelType w:val="hybridMultilevel"/>
    <w:lvl w:ilvl="0">
      <w:lvlJc w:val="left"/>
      <w:lvlText w:val="(%1)"/>
      <w:numFmt w:val="lowerLetter"/>
      <w:start w:val="2"/>
    </w:lvl>
  </w:abstractNum>
  <w:abstractNum w:abstractNumId="77">
    <w:nsid w:val="7672BD23"/>
    <w:multiLevelType w:val="hybridMultilevel"/>
    <w:lvl w:ilvl="0">
      <w:lvlJc w:val="left"/>
      <w:lvlText w:val="(%1)"/>
      <w:numFmt w:val="lowerLetter"/>
      <w:start w:val="3"/>
    </w:lvl>
  </w:abstractNum>
  <w:abstractNum w:abstractNumId="78">
    <w:nsid w:val="6FC75AF8"/>
    <w:multiLevelType w:val="hybridMultilevel"/>
    <w:lvl w:ilvl="0">
      <w:lvlJc w:val="left"/>
      <w:lvlText w:val="(%1)"/>
      <w:numFmt w:val="lowerRoman"/>
      <w:start w:val="1"/>
    </w:lvl>
  </w:abstractNum>
  <w:abstractNum w:abstractNumId="79">
    <w:nsid w:val="6A5F7029"/>
    <w:multiLevelType w:val="hybridMultilevel"/>
    <w:lvl w:ilvl="0">
      <w:lvlJc w:val="left"/>
      <w:lvlText w:val="%1."/>
      <w:numFmt w:val="decimal"/>
      <w:start w:val="1"/>
    </w:lvl>
  </w:abstractNum>
  <w:abstractNum w:abstractNumId="80">
    <w:nsid w:val="7D5E18F8"/>
    <w:multiLevelType w:val="hybridMultilevel"/>
    <w:lvl w:ilvl="0">
      <w:lvlJc w:val="left"/>
      <w:lvlText w:val="%1."/>
      <w:numFmt w:val="decimal"/>
      <w:start w:val="8"/>
    </w:lvl>
  </w:abstractNum>
  <w:abstractNum w:abstractNumId="81">
    <w:nsid w:val="5F3534A4"/>
    <w:multiLevelType w:val="hybridMultilevel"/>
    <w:lvl w:ilvl="0">
      <w:lvlJc w:val="left"/>
      <w:lvlText w:val="(%1)"/>
      <w:numFmt w:val="lowerLetter"/>
      <w:start w:val="1"/>
    </w:lvl>
  </w:abstractNum>
  <w:abstractNum w:abstractNumId="82">
    <w:nsid w:val="73A1821B"/>
    <w:multiLevelType w:val="hybridMultilevel"/>
    <w:lvl w:ilvl="0">
      <w:lvlJc w:val="left"/>
      <w:lvlText w:val="%1)"/>
      <w:numFmt w:val="decimal"/>
      <w:start w:val="1"/>
    </w:lvl>
  </w:abstractNum>
  <w:abstractNum w:abstractNumId="83">
    <w:nsid w:val="7DE67713"/>
    <w:multiLevelType w:val="hybridMultilevel"/>
    <w:lvl w:ilvl="0">
      <w:lvlJc w:val="left"/>
      <w:lvlText w:val="%1."/>
      <w:numFmt w:val="decimal"/>
      <w:start w:val="1"/>
    </w:lvl>
  </w:abstractNum>
  <w:abstractNum w:abstractNumId="84">
    <w:nsid w:val="555C55B5"/>
    <w:multiLevelType w:val="hybridMultilevel"/>
    <w:lvl w:ilvl="0">
      <w:lvlJc w:val="left"/>
      <w:lvlText w:val="%1."/>
      <w:numFmt w:val="decimal"/>
      <w:start w:val="5"/>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1"/>
      <w:numFmt w:val="bullet"/>
      <w:start w:val="1"/>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lowerLetter"/>
      <w:start w:val="3"/>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1)"/>
      <w:numFmt w:val="decimal"/>
      <w:start w:val="1"/>
    </w:lvl>
  </w:abstractNum>
  <w:abstractNum w:abstractNumId="92">
    <w:nsid w:val="5092CA79"/>
    <w:multiLevelType w:val="hybridMultilevel"/>
    <w:lvl w:ilvl="0">
      <w:lvlJc w:val="left"/>
      <w:lvlText w:val="(%1)"/>
      <w:numFmt w:val="decimal"/>
      <w:start w:val="2"/>
    </w:lvl>
  </w:abstractNum>
  <w:abstractNum w:abstractNumId="93">
    <w:nsid w:val="1D545C4D"/>
    <w:multiLevelType w:val="hybridMultilevel"/>
    <w:lvl w:ilvl="0">
      <w:lvlJc w:val="left"/>
      <w:lvlText w:val="(%1)"/>
      <w:numFmt w:val="lowerLetter"/>
      <w:start w:val="1"/>
    </w:lvl>
  </w:abstractNum>
  <w:abstractNum w:abstractNumId="94">
    <w:nsid w:val="59ADEA3D"/>
    <w:multiLevelType w:val="hybridMultilevel"/>
    <w:lvl w:ilvl="0">
      <w:lvlJc w:val="left"/>
      <w:lvlText w:val="%1."/>
      <w:numFmt w:val="decimal"/>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1."/>
      <w:numFmt w:val="decimal"/>
      <w:start w:val="2"/>
    </w:lvl>
  </w:abstractNum>
  <w:abstractNum w:abstractNumId="97">
    <w:nsid w:val="1D9F6E5F"/>
    <w:multiLevelType w:val="hybridMultilevel"/>
    <w:lvl w:ilvl="0">
      <w:lvlJc w:val="left"/>
      <w:lvlText w:val="%1."/>
      <w:numFmt w:val="decimal"/>
      <w:start w:val="3"/>
    </w:lvl>
  </w:abstractNum>
  <w:abstractNum w:abstractNumId="98">
    <w:nsid w:val="97E1B4E"/>
    <w:multiLevelType w:val="hybridMultilevel"/>
    <w:lvl w:ilvl="0">
      <w:lvlJc w:val="left"/>
      <w:lvlText w:val="%1"/>
      <w:numFmt w:val="decimal"/>
      <w:start w:val="1"/>
    </w:lvl>
    <w:lvl w:ilvl="1">
      <w:lvlJc w:val="left"/>
      <w:lvlText w:val="(%2)"/>
      <w:numFmt w:val="lowerLetter"/>
      <w:start w:val="1"/>
    </w:lvl>
  </w:abstractNum>
  <w:abstractNum w:abstractNumId="99">
    <w:nsid w:val="51088277"/>
    <w:multiLevelType w:val="hybridMultilevel"/>
    <w:lvl w:ilvl="0">
      <w:lvlJc w:val="left"/>
      <w:lvlText w:val="(%1)"/>
      <w:numFmt w:val="decimal"/>
      <w:start w:val="9"/>
    </w:lvl>
    <w:lvl w:ilvl="1">
      <w:lvlJc w:val="left"/>
      <w:lvlText w:val="%2"/>
      <w:numFmt w:val="lowerLetter"/>
      <w:start w:val="1"/>
    </w:lvl>
  </w:abstractNum>
  <w:abstractNum w:abstractNumId="100">
    <w:nsid w:val="1CA0C5FA"/>
    <w:multiLevelType w:val="hybridMultilevel"/>
    <w:lvl w:ilvl="0">
      <w:lvlJc w:val="left"/>
      <w:lvlText w:val="(%1)"/>
      <w:numFmt w:val="lowerLetter"/>
      <w:start w:val="3"/>
    </w:lvl>
  </w:abstractNum>
  <w:abstractNum w:abstractNumId="101">
    <w:nsid w:val="53584BCB"/>
    <w:multiLevelType w:val="hybridMultilevel"/>
    <w:lvl w:ilvl="0">
      <w:lvlJc w:val="left"/>
      <w:lvlText w:val="(%1)"/>
      <w:numFmt w:val="lowerLetter"/>
      <w:start w:val="5"/>
    </w:lvl>
  </w:abstractNum>
  <w:abstractNum w:abstractNumId="102">
    <w:nsid w:val="415E286C"/>
    <w:multiLevelType w:val="hybridMultilevel"/>
    <w:lvl w:ilvl="0">
      <w:lvlJc w:val="left"/>
      <w:lvlText w:val="(%1)"/>
      <w:numFmt w:val="lowerLetter"/>
      <w:start w:val="1"/>
    </w:lvl>
  </w:abstractNum>
  <w:abstractNum w:abstractNumId="103">
    <w:nsid w:val="7C58FD05"/>
    <w:multiLevelType w:val="hybridMultilevel"/>
    <w:lvl w:ilvl="0">
      <w:lvlJc w:val="left"/>
      <w:lvlText w:val="(%1)"/>
      <w:numFmt w:val="lowerLetter"/>
      <w:start w:val="1"/>
    </w:lvl>
  </w:abstractNum>
  <w:abstractNum w:abstractNumId="104">
    <w:nsid w:val="23D86AAC"/>
    <w:multiLevelType w:val="hybridMultilevel"/>
    <w:lvl w:ilvl="0">
      <w:lvlJc w:val="left"/>
      <w:lvlText w:val="(%1)"/>
      <w:numFmt w:val="lowerLetter"/>
      <w:start w:val="2"/>
    </w:lvl>
  </w:abstractNum>
  <w:abstractNum w:abstractNumId="105">
    <w:nsid w:val="45E6D486"/>
    <w:multiLevelType w:val="hybridMultilevel"/>
    <w:lvl w:ilvl="0">
      <w:lvlJc w:val="left"/>
      <w:lvlText w:val="(%1)"/>
      <w:numFmt w:val="lowerLetter"/>
      <w:start w:val="1"/>
    </w:lvl>
  </w:abstractNum>
  <w:abstractNum w:abstractNumId="106">
    <w:nsid w:val="5C10FE21"/>
    <w:multiLevelType w:val="hybridMultilevel"/>
    <w:lvl w:ilvl="0">
      <w:lvlJc w:val="left"/>
      <w:lvlText w:val="(%1)"/>
      <w:numFmt w:val="lowerLetter"/>
      <w:start w:val="2"/>
    </w:lvl>
  </w:abstractNum>
  <w:abstractNum w:abstractNumId="107">
    <w:nsid w:val="E7FFA2B"/>
    <w:multiLevelType w:val="hybridMultilevel"/>
    <w:lvl w:ilvl="0">
      <w:lvlJc w:val="left"/>
      <w:lvlText w:val="(%1)"/>
      <w:numFmt w:val="lowerLetter"/>
      <w:start w:val="6"/>
    </w:lvl>
  </w:abstractNum>
  <w:abstractNum w:abstractNumId="108">
    <w:nsid w:val="3C5991AA"/>
    <w:multiLevelType w:val="hybridMultilevel"/>
    <w:lvl w:ilvl="0">
      <w:lvlJc w:val="left"/>
      <w:lvlText w:val="(%1)"/>
      <w:numFmt w:val="lowerLetter"/>
      <w:start w:val="8"/>
    </w:lvl>
  </w:abstractNum>
  <w:abstractNum w:abstractNumId="109">
    <w:nsid w:val="4BD8591A"/>
    <w:multiLevelType w:val="hybridMultilevel"/>
    <w:lvl w:ilvl="0">
      <w:lvlJc w:val="left"/>
      <w:lvlText w:val="(%1)"/>
      <w:numFmt w:val="lowerLetter"/>
      <w:start w:val="1"/>
    </w:lvl>
  </w:abstractNum>
  <w:abstractNum w:abstractNumId="110">
    <w:nsid w:val="78DF6A55"/>
    <w:multiLevelType w:val="hybridMultilevel"/>
    <w:lvl w:ilvl="0">
      <w:lvlJc w:val="left"/>
      <w:lvlText w:val="(%1)"/>
      <w:numFmt w:val="lowerLetter"/>
      <w:start w:val="2"/>
    </w:lvl>
  </w:abstractNum>
  <w:abstractNum w:abstractNumId="111">
    <w:nsid w:val="39B7AAA2"/>
    <w:multiLevelType w:val="hybridMultilevel"/>
    <w:lvl w:ilvl="0">
      <w:lvlJc w:val="left"/>
      <w:lvlText w:val="(%1)"/>
      <w:numFmt w:val="lowerLetter"/>
      <w:start w:val="3"/>
    </w:lvl>
  </w:abstractNum>
  <w:abstractNum w:abstractNumId="112">
    <w:nsid w:val="2B0D8DBE"/>
    <w:multiLevelType w:val="hybridMultilevel"/>
    <w:lvl w:ilvl="0">
      <w:lvlJc w:val="left"/>
      <w:lvlText w:val="(%1)"/>
      <w:numFmt w:val="lowerLetter"/>
      <w:start w:val="1"/>
    </w:lvl>
  </w:abstractNum>
  <w:abstractNum w:abstractNumId="113">
    <w:nsid w:val="6C80EC70"/>
    <w:multiLevelType w:val="hybridMultilevel"/>
    <w:lvl w:ilvl="0">
      <w:lvlJc w:val="left"/>
      <w:lvlText w:val="(%1)"/>
      <w:numFmt w:val="decimal"/>
      <w:start w:val="4"/>
    </w:lvl>
  </w:abstractNum>
  <w:abstractNum w:abstractNumId="114">
    <w:nsid w:val="379E21B5"/>
    <w:multiLevelType w:val="hybridMultilevel"/>
    <w:lvl w:ilvl="0">
      <w:lvlJc w:val="left"/>
      <w:lvlText w:val="%1."/>
      <w:numFmt w:val="upperLetter"/>
      <w:start w:val="1"/>
    </w:lvl>
  </w:abstractNum>
  <w:abstractNum w:abstractNumId="115">
    <w:nsid w:val="69E373"/>
    <w:multiLevelType w:val="hybridMultilevel"/>
    <w:lvl w:ilvl="0">
      <w:lvlJc w:val="left"/>
      <w:lvlText w:val="%1."/>
      <w:numFmt w:val="decimal"/>
      <w:start w:val="3"/>
    </w:lvl>
  </w:abstractNum>
  <w:abstractNum w:abstractNumId="116">
    <w:nsid w:val="2C27173B"/>
    <w:multiLevelType w:val="hybridMultilevel"/>
    <w:lvl w:ilvl="0">
      <w:lvlJc w:val="left"/>
      <w:lvlText w:val="1"/>
      <w:numFmt w:val="bullet"/>
      <w:start w:val="1"/>
    </w:lvl>
  </w:abstractNum>
  <w:abstractNum w:abstractNumId="117">
    <w:nsid w:val="4C9B0904"/>
    <w:multiLevelType w:val="hybridMultilevel"/>
    <w:lvl w:ilvl="0">
      <w:lvlJc w:val="left"/>
      <w:lvlText w:val="%1."/>
      <w:numFmt w:val="decimal"/>
      <w:start w:val="4"/>
    </w:lvl>
  </w:abstractNum>
  <w:abstractNum w:abstractNumId="118">
    <w:nsid w:val="6AA7B75C"/>
    <w:multiLevelType w:val="hybridMultilevel"/>
    <w:lvl w:ilvl="0">
      <w:lvlJc w:val="left"/>
      <w:lvlText w:val="%1."/>
      <w:numFmt w:val="decimal"/>
      <w:start w:val="1"/>
    </w:lvl>
    <w:lvl w:ilvl="1">
      <w:lvlJc w:val="left"/>
      <w:lvlText w:val="(%2)"/>
      <w:numFmt w:val="lowerLetter"/>
      <w:start w:val="1"/>
    </w:lvl>
  </w:abstractNum>
  <w:abstractNum w:abstractNumId="119">
    <w:nsid w:val="1DF029D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2019-12-05T21:38:23Z</dcterms:created>
  <dcterms:modified xsi:type="dcterms:W3CDTF">2019-12-05T21:38:23Z</dcterms:modified>
</cp:coreProperties>
</file>