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ACURA PHARMACEUTICALS,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sectPr>
      </w:pPr>
    </w:p>
    <w:p>
      <w:pPr>
        <w:spacing w:after="0" w:line="200" w:lineRule="exact"/>
        <w:rPr>
          <w:sz w:val="24"/>
          <w:szCs w:val="24"/>
          <w:color w:val="auto"/>
        </w:rPr>
      </w:pPr>
    </w:p>
    <w:p>
      <w:pPr>
        <w:spacing w:after="0" w:line="366"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6"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1-10113</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6"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11-0853640</w:t>
      </w:r>
    </w:p>
    <w:p>
      <w:pPr>
        <w:spacing w:after="0" w:line="31"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200" w:lineRule="exact"/>
        <w:rPr>
          <w:sz w:val="24"/>
          <w:szCs w:val="24"/>
          <w:color w:val="auto"/>
        </w:rPr>
      </w:pPr>
    </w:p>
    <w:p>
      <w:pPr>
        <w:sectPr>
          <w:pgSz w:w="11900" w:h="16838" w:orient="portrait"/>
          <w:cols w:equalWidth="0" w:num="3">
            <w:col w:w="3920" w:space="720"/>
            <w:col w:w="3200" w:space="720"/>
            <w:col w:w="2680"/>
          </w:cols>
          <w:pgMar w:left="320" w:top="718"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616 N. North Court, Suite 120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Palatine, Illinois 60067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(847) 705-7709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718" w:right="339" w:bottom="1440" w:gutter="0" w:footer="0" w:header="0"/>
          <w:type w:val="continuous"/>
        </w:sectPr>
      </w:pP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41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4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3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41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ACUR</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OTC Market – OTC Expert Market</w:t>
            </w: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(17CFR240.14d-2(b))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 Entry into a Material Definitive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each of June 3, 2025 and June 20, 2025, we received loans of $100,000 from Abuse Deterrent Pharma, LLC (“AD Pharma”). These loans combined with previous loans made to the Company and combined with the $2,319,279 under the November 10, 2022 Amended Consolidated and Restated Secured Promissory Note, now has a principal balance of $8,194,279 with accrued interest of approximately $721,000 as of June 20 2025, and bears interest at 5.25% (“Note”). The Events of default under the Note include, among other items, bankruptcy events, failure to pay interest and principal when due and such failure continues for 5 days, and if Acura is generally not, or is unable to, or admits in writing its inability to, pay its debts as those debts become due. If any amount payable hereunder is not paid when due (without regard to any applicable grace periods), whether at stated maturity, by acceleration, or otherwise, including upon an event of default, such overdue amount shall bear interest at the rate per annum of 7.5% from the date of such non-payment until such amount is paid in full.</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funding provided by AD Pharma will be used to meet day-to-day operation activity. There can be no assurance we will be successful in receiving additional financing. In the absence of the receipt of additional financing by mid-July 2025, we will be required to scale back our operations, including the furlough and lay-off of employees, or to terminate operations and/or seek protection under applicable bankruptcy laws. This could result in a complete loss of shareholder value in the Company. Even assuming we are successful in securing additional sources of financing to fund continued operations, there can be no assurance that the proceeds of such financing will be sufficient to fund operations until such time, if at all, that we generate sufficient revenue from our products and product candidates to sustain and grow our operation.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inclusion of a description of the Note under Item 1.01 of this Current Report on Form 8-K shall not be deemed an acknowledgement that the Note is a material agreement not made, or deemed not to be made, in the ordinary course of our business.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May 31, 2025, AD Pharma directly owns approximately 65% of the outstanding common stock of the Company. The ownership percentage of the Company held by AD Pharma does not include their warrant to purchase 10.0 million shares of common stock of the Company. AD Pharma is an entity controlled by Mr. Schutte, of which Mr. Schutte is the managing partner and investor. At May 31, 2025, Mr. Schutte directly owns approximately 13% of the outstanding common stock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 Completion of Acquisition or Disposition of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contents of all Items 1.01 are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contents of all Items 1.01 are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Acura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Statements in this Current Report constitute forward-looking statements within the meaning of the Private Securities Litigation Reform Act of 1995 and these forward-looking statements are made in reliance on the safe harbor provisions of Section 27A of the Securities Act of 1933, as amended, and Section 21E of the Securities Exchange Act of 1934, as amended.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may include, but are not limited to:</w:t>
      </w:r>
    </w:p>
    <w:p>
      <w:pPr>
        <w:spacing w:after="0" w:line="233" w:lineRule="exact"/>
        <w:rPr>
          <w:sz w:val="20"/>
          <w:szCs w:val="20"/>
          <w:color w:val="auto"/>
        </w:rPr>
      </w:pPr>
    </w:p>
    <w:p>
      <w:pPr>
        <w:ind w:left="660" w:hanging="231"/>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whether the FDA will agree with or accept the results of our studies for our product candidates;</w:t>
      </w:r>
    </w:p>
    <w:p>
      <w:pPr>
        <w:spacing w:after="0" w:line="1" w:lineRule="exact"/>
        <w:rPr>
          <w:rFonts w:ascii="Times New Roman" w:cs="Times New Roman" w:eastAsia="Times New Roman" w:hAnsi="Times New Roman"/>
          <w:sz w:val="22"/>
          <w:szCs w:val="22"/>
          <w:color w:val="auto"/>
        </w:rPr>
      </w:pPr>
    </w:p>
    <w:p>
      <w:pPr>
        <w:jc w:val="both"/>
        <w:ind w:left="660" w:hanging="204"/>
        <w:spacing w:after="0" w:line="236" w:lineRule="auto"/>
        <w:tabs>
          <w:tab w:leader="none" w:pos="66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spacing w:after="0" w:line="2" w:lineRule="exact"/>
        <w:rPr>
          <w:rFonts w:ascii="Times New Roman" w:cs="Times New Roman" w:eastAsia="Times New Roman" w:hAnsi="Times New Roman"/>
          <w:sz w:val="22"/>
          <w:szCs w:val="22"/>
          <w:color w:val="auto"/>
        </w:rPr>
      </w:pPr>
    </w:p>
    <w:p>
      <w:pPr>
        <w:ind w:left="660" w:hanging="204"/>
        <w:spacing w:after="0" w:line="225" w:lineRule="auto"/>
        <w:tabs>
          <w:tab w:leader="none" w:pos="66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whether we can successfully submit a New Drug Application for LTX-03, request a priority review and whether such filings and requests will be accepted by the FDA;</w:t>
      </w:r>
    </w:p>
    <w:p>
      <w:pPr>
        <w:ind w:left="660" w:hanging="204"/>
        <w:spacing w:after="0" w:line="225" w:lineRule="auto"/>
        <w:tabs>
          <w:tab w:leader="none" w:pos="66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obtain funding from Abuse Deterrent Pharma, LLC or other parties for our continuing operations, including the development of our products utilizing our LIMITx™ and Impede® technologies;</w:t>
      </w:r>
    </w:p>
    <w:p>
      <w:pPr>
        <w:ind w:left="660" w:hanging="204"/>
        <w:spacing w:after="0" w:line="225" w:lineRule="auto"/>
        <w:tabs>
          <w:tab w:leader="none" w:pos="66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whether we can renegotiate the date by which we are required to obtain FDA acceptance, currently December 31, 2025, for an NDA for LTX-03 by our agreement with Abuse Deterrent Pharma, LLC on which we depend to finance operations;</w:t>
      </w:r>
    </w:p>
    <w:p>
      <w:pPr>
        <w:ind w:left="660" w:hanging="204"/>
        <w:spacing w:after="0" w:line="225" w:lineRule="auto"/>
        <w:tabs>
          <w:tab w:leader="none" w:pos="66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whether we can renegotiate the date by which we are required to pay off the secured promissory note and accrued interest to Abuse Deterrent Pharma, LLC, currently December 31, 2025;</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660" w:hanging="204"/>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whether our licensing partners will develop any additional products and utilize Acura for such development;</w:t>
      </w:r>
    </w:p>
    <w:p>
      <w:pPr>
        <w:spacing w:after="0" w:line="1" w:lineRule="exact"/>
        <w:rPr>
          <w:rFonts w:ascii="Times New Roman" w:cs="Times New Roman" w:eastAsia="Times New Roman" w:hAnsi="Times New Roman"/>
          <w:sz w:val="22"/>
          <w:szCs w:val="22"/>
          <w:color w:val="auto"/>
        </w:rPr>
      </w:pPr>
    </w:p>
    <w:p>
      <w:pPr>
        <w:jc w:val="both"/>
        <w:ind w:left="660" w:hanging="204"/>
        <w:spacing w:after="0" w:line="232"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expected results of clinical studies relating to LTX-03, a LIMITx hydrocodone bitartrate and acetaminophen combination product, or any successor product candidate, the date by which such studies will be complete and the results will be available and whether LTX-03 will ultimately receive FDA approval;</w:t>
      </w:r>
    </w:p>
    <w:p>
      <w:pPr>
        <w:spacing w:after="0" w:line="1" w:lineRule="exact"/>
        <w:rPr>
          <w:rFonts w:ascii="Times New Roman" w:cs="Times New Roman" w:eastAsia="Times New Roman" w:hAnsi="Times New Roman"/>
          <w:sz w:val="22"/>
          <w:szCs w:val="22"/>
          <w:color w:val="auto"/>
        </w:rPr>
      </w:pPr>
    </w:p>
    <w:p>
      <w:pPr>
        <w:jc w:val="both"/>
        <w:ind w:left="660" w:hanging="204"/>
        <w:spacing w:after="0" w:line="233"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business could be adversely affected by health epidemics in regions where third parties for which we rely, as in CROs or CMOs, have concentrations of clinical trial sites or other business operations, and could cause significant disruption in the operations of third-party manufacturers and CROs upon whom we rely;</w:t>
      </w:r>
    </w:p>
    <w:p>
      <w:pPr>
        <w:ind w:left="660" w:hanging="204"/>
        <w:spacing w:after="0" w:line="230"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whether LIMITx will retard the release of opioid active ingredients as dose levels increase;</w:t>
      </w:r>
    </w:p>
    <w:p>
      <w:pPr>
        <w:spacing w:after="0" w:line="2" w:lineRule="exact"/>
        <w:rPr>
          <w:rFonts w:ascii="Times New Roman" w:cs="Times New Roman" w:eastAsia="Times New Roman" w:hAnsi="Times New Roman"/>
          <w:sz w:val="22"/>
          <w:szCs w:val="22"/>
          <w:color w:val="auto"/>
        </w:rPr>
      </w:pPr>
    </w:p>
    <w:p>
      <w:pPr>
        <w:ind w:left="660" w:hanging="204"/>
        <w:spacing w:after="0" w:line="224"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whether the extent to which products formulated with the LIMITx Technology reduce respiratory depression will be determined sufficient by the FDA to support approval or labelling describing safety features;</w:t>
      </w:r>
    </w:p>
    <w:p>
      <w:pPr>
        <w:spacing w:after="0" w:line="1" w:lineRule="exact"/>
        <w:rPr>
          <w:rFonts w:ascii="Times New Roman" w:cs="Times New Roman" w:eastAsia="Times New Roman" w:hAnsi="Times New Roman"/>
          <w:sz w:val="22"/>
          <w:szCs w:val="22"/>
          <w:color w:val="auto"/>
        </w:rPr>
      </w:pPr>
    </w:p>
    <w:p>
      <w:pPr>
        <w:ind w:left="660" w:hanging="204"/>
        <w:spacing w:after="0" w:line="230"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and our licensee’s ability to successfully launch and commercialize our products and technologies;</w:t>
      </w:r>
    </w:p>
    <w:p>
      <w:pPr>
        <w:spacing w:after="0" w:line="2" w:lineRule="exact"/>
        <w:rPr>
          <w:rFonts w:ascii="Times New Roman" w:cs="Times New Roman" w:eastAsia="Times New Roman" w:hAnsi="Times New Roman"/>
          <w:sz w:val="22"/>
          <w:szCs w:val="22"/>
          <w:color w:val="auto"/>
        </w:rPr>
      </w:pPr>
    </w:p>
    <w:p>
      <w:pPr>
        <w:ind w:left="660" w:right="20" w:hanging="204"/>
        <w:spacing w:after="0" w:line="224"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results and timing of our development of our LIMITx Technology, including, but not limited to, the submission of a NDA and/or FDA filing acceptance;</w:t>
      </w:r>
    </w:p>
    <w:p>
      <w:pPr>
        <w:spacing w:after="0" w:line="1" w:lineRule="exact"/>
        <w:rPr>
          <w:rFonts w:ascii="Times New Roman" w:cs="Times New Roman" w:eastAsia="Times New Roman" w:hAnsi="Times New Roman"/>
          <w:sz w:val="22"/>
          <w:szCs w:val="22"/>
          <w:color w:val="auto"/>
        </w:rPr>
      </w:pPr>
    </w:p>
    <w:p>
      <w:pPr>
        <w:ind w:left="660" w:hanging="204"/>
        <w:spacing w:after="0" w:line="230"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or our licensees’ ability to obtain necessary regulatory approvals and commercialize products utilizing our technologies;</w:t>
      </w:r>
    </w:p>
    <w:p>
      <w:pPr>
        <w:spacing w:after="0" w:line="12" w:lineRule="exact"/>
        <w:rPr>
          <w:rFonts w:ascii="Times New Roman" w:cs="Times New Roman" w:eastAsia="Times New Roman" w:hAnsi="Times New Roman"/>
          <w:sz w:val="22"/>
          <w:szCs w:val="22"/>
          <w:color w:val="auto"/>
        </w:rPr>
      </w:pPr>
    </w:p>
    <w:p>
      <w:pPr>
        <w:ind w:left="660" w:hanging="204"/>
        <w:spacing w:after="0" w:line="219"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market acceptance of, timing of commercial launch and competitive environment for any of our products;</w:t>
      </w:r>
    </w:p>
    <w:p>
      <w:pPr>
        <w:spacing w:after="0" w:line="12" w:lineRule="exact"/>
        <w:rPr>
          <w:rFonts w:ascii="Times New Roman" w:cs="Times New Roman" w:eastAsia="Times New Roman" w:hAnsi="Times New Roman"/>
          <w:sz w:val="22"/>
          <w:szCs w:val="22"/>
          <w:color w:val="auto"/>
        </w:rPr>
      </w:pPr>
    </w:p>
    <w:p>
      <w:pPr>
        <w:ind w:left="660" w:hanging="204"/>
        <w:spacing w:after="0" w:line="219"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expectations regarding potential market share for our products;</w:t>
      </w:r>
    </w:p>
    <w:p>
      <w:pPr>
        <w:spacing w:after="0" w:line="12" w:lineRule="exact"/>
        <w:rPr>
          <w:rFonts w:ascii="Times New Roman" w:cs="Times New Roman" w:eastAsia="Times New Roman" w:hAnsi="Times New Roman"/>
          <w:sz w:val="22"/>
          <w:szCs w:val="22"/>
          <w:color w:val="auto"/>
        </w:rPr>
      </w:pPr>
    </w:p>
    <w:p>
      <w:pPr>
        <w:ind w:left="660" w:hanging="204"/>
        <w:spacing w:after="0" w:line="219"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develop and enter into additional license agreements for our product candidates using our technologies;</w:t>
      </w:r>
    </w:p>
    <w:p>
      <w:pPr>
        <w:spacing w:after="0" w:line="12" w:lineRule="exact"/>
        <w:rPr>
          <w:rFonts w:ascii="Times New Roman" w:cs="Times New Roman" w:eastAsia="Times New Roman" w:hAnsi="Times New Roman"/>
          <w:sz w:val="22"/>
          <w:szCs w:val="22"/>
          <w:color w:val="auto"/>
        </w:rPr>
      </w:pPr>
    </w:p>
    <w:p>
      <w:pPr>
        <w:ind w:left="660" w:hanging="204"/>
        <w:spacing w:after="0" w:line="219"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exposure to product liability and other lawsuits in connection with the commercialization of our products;</w:t>
      </w:r>
    </w:p>
    <w:p>
      <w:pPr>
        <w:spacing w:after="0" w:line="12" w:lineRule="exact"/>
        <w:rPr>
          <w:rFonts w:ascii="Times New Roman" w:cs="Times New Roman" w:eastAsia="Times New Roman" w:hAnsi="Times New Roman"/>
          <w:sz w:val="22"/>
          <w:szCs w:val="22"/>
          <w:color w:val="auto"/>
        </w:rPr>
      </w:pPr>
    </w:p>
    <w:p>
      <w:pPr>
        <w:ind w:left="660" w:hanging="204"/>
        <w:spacing w:after="0" w:line="219"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increasing cost of insurance and the availability of product liability insurance coverage;</w:t>
      </w:r>
    </w:p>
    <w:p>
      <w:pPr>
        <w:spacing w:after="0" w:line="12" w:lineRule="exact"/>
        <w:rPr>
          <w:rFonts w:ascii="Times New Roman" w:cs="Times New Roman" w:eastAsia="Times New Roman" w:hAnsi="Times New Roman"/>
          <w:sz w:val="22"/>
          <w:szCs w:val="22"/>
          <w:color w:val="auto"/>
        </w:rPr>
      </w:pPr>
    </w:p>
    <w:p>
      <w:pPr>
        <w:ind w:left="660" w:hanging="204"/>
        <w:spacing w:after="0" w:line="219"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ability to avoid infringement of patents, trademarks and other proprietary rights of third parties;</w:t>
      </w:r>
    </w:p>
    <w:p>
      <w:pPr>
        <w:spacing w:after="0" w:line="1" w:lineRule="exact"/>
        <w:rPr>
          <w:rFonts w:ascii="Times New Roman" w:cs="Times New Roman" w:eastAsia="Times New Roman" w:hAnsi="Times New Roman"/>
          <w:sz w:val="22"/>
          <w:szCs w:val="22"/>
          <w:color w:val="auto"/>
        </w:rPr>
      </w:pPr>
    </w:p>
    <w:p>
      <w:pPr>
        <w:ind w:left="660" w:hanging="204"/>
        <w:spacing w:after="0" w:line="224"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ability of our patents to protect our products from generic competition and our ability to protect and enforce our patent rights in any paragraph IV patent infringement litigation;</w:t>
      </w:r>
    </w:p>
    <w:p>
      <w:pPr>
        <w:spacing w:after="0" w:line="1" w:lineRule="exact"/>
        <w:rPr>
          <w:rFonts w:ascii="Times New Roman" w:cs="Times New Roman" w:eastAsia="Times New Roman" w:hAnsi="Times New Roman"/>
          <w:sz w:val="22"/>
          <w:szCs w:val="22"/>
          <w:color w:val="auto"/>
        </w:rPr>
      </w:pPr>
    </w:p>
    <w:p>
      <w:pPr>
        <w:ind w:left="660" w:hanging="204"/>
        <w:spacing w:after="0" w:line="225"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adequacy of the development program for our product candidates, including whether additional clinical studies will be required to support FDA approval of our product candidates;</w:t>
      </w:r>
    </w:p>
    <w:p>
      <w:pPr>
        <w:ind w:left="660" w:hanging="204"/>
        <w:spacing w:after="0" w:line="230"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regulatory requirements;</w:t>
      </w:r>
    </w:p>
    <w:p>
      <w:pPr>
        <w:spacing w:after="0" w:line="12" w:lineRule="exact"/>
        <w:rPr>
          <w:rFonts w:ascii="Times New Roman" w:cs="Times New Roman" w:eastAsia="Times New Roman" w:hAnsi="Times New Roman"/>
          <w:sz w:val="22"/>
          <w:szCs w:val="22"/>
          <w:color w:val="auto"/>
        </w:rPr>
      </w:pPr>
    </w:p>
    <w:p>
      <w:pPr>
        <w:ind w:left="660" w:hanging="204"/>
        <w:spacing w:after="0" w:line="219"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adverse safety findings relating to our commercialized products or product candidates in development;</w:t>
      </w:r>
    </w:p>
    <w:p>
      <w:pPr>
        <w:spacing w:after="0" w:line="12" w:lineRule="exact"/>
        <w:rPr>
          <w:rFonts w:ascii="Times New Roman" w:cs="Times New Roman" w:eastAsia="Times New Roman" w:hAnsi="Times New Roman"/>
          <w:sz w:val="22"/>
          <w:szCs w:val="22"/>
          <w:color w:val="auto"/>
        </w:rPr>
      </w:pPr>
    </w:p>
    <w:p>
      <w:pPr>
        <w:ind w:left="660" w:hanging="204"/>
        <w:spacing w:after="0" w:line="219"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whether the FDA will agree with our analysis of our clinical and laboratory studies;</w:t>
      </w:r>
    </w:p>
    <w:p>
      <w:pPr>
        <w:spacing w:after="0" w:line="1" w:lineRule="exact"/>
        <w:rPr>
          <w:rFonts w:ascii="Times New Roman" w:cs="Times New Roman" w:eastAsia="Times New Roman" w:hAnsi="Times New Roman"/>
          <w:sz w:val="22"/>
          <w:szCs w:val="22"/>
          <w:color w:val="auto"/>
        </w:rPr>
      </w:pPr>
    </w:p>
    <w:p>
      <w:pPr>
        <w:ind w:left="660" w:hanging="204"/>
        <w:spacing w:after="0" w:line="224"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whether or when we are able to obtain FDA approval of labeling for our product candidates for the proposed indications and whether we will be able to promote the features of our technologies; and</w:t>
      </w:r>
    </w:p>
    <w:p>
      <w:pPr>
        <w:spacing w:after="0" w:line="1" w:lineRule="exact"/>
        <w:rPr>
          <w:rFonts w:ascii="Times New Roman" w:cs="Times New Roman" w:eastAsia="Times New Roman" w:hAnsi="Times New Roman"/>
          <w:sz w:val="22"/>
          <w:szCs w:val="22"/>
          <w:color w:val="auto"/>
        </w:rPr>
      </w:pPr>
    </w:p>
    <w:p>
      <w:pPr>
        <w:ind w:left="660" w:hanging="204"/>
        <w:spacing w:after="0" w:line="230"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whether our product candidates will ultimately perform as intended in commercial settings.</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“aim”, "anticipate", "believe", "could", "design", "estimate", "expect", "forecast", "goal", "guidance", "imply", “indicate”, "intend", "may", "objective", "opportunity", "outlook", "plan", "position", "potential", "predict", "project", "prospective", "pursue", "seek", "should", "strategy", "target", "would", "will", and other words of similar meaning, expressions, derivations of such words and the use of future dates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Acura’s Annual Report on Form 10-K and Quarterly Reports on Form 10-Q filed with the U.S. Securities and Exchange Commission ("SEC") and in other filings Acura makes with the SEC from time to time. Investors and potential investors are urged not to place undue reliance on forward-looking statements in this communication, which speak only as of this date of the Current Report and are based on the Company’s current beliefs, assumptions, and expectations. While Acura may elect to update these forward-looking statements at some point in the future, it specifically disclaims any obligation to update or revise any forward-looking statements contained in this Current Report whether as a result of new information or future events, except as may be required by applicable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196"/>
        </w:trPr>
        <w:tc>
          <w:tcPr>
            <w:tcW w:w="12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660" w:type="dxa"/>
            <w:vAlign w:val="bottom"/>
          </w:tcPr>
          <w:p>
            <w:pPr>
              <w:spacing w:after="0"/>
              <w:rPr>
                <w:sz w:val="17"/>
                <w:szCs w:val="17"/>
                <w:color w:val="auto"/>
              </w:rPr>
            </w:pPr>
          </w:p>
        </w:tc>
        <w:tc>
          <w:tcPr>
            <w:tcW w:w="93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Amended Loan Schedule dated June 20, 2025 to the November 10, 2022 Amended, Consolidated and Restated Secured</w:t>
            </w:r>
          </w:p>
        </w:tc>
      </w:tr>
      <w:tr>
        <w:trPr>
          <w:trHeight w:val="196"/>
        </w:trPr>
        <w:tc>
          <w:tcPr>
            <w:tcW w:w="320" w:type="dxa"/>
            <w:vAlign w:val="bottom"/>
            <w:tcBorders>
              <w:top w:val="single" w:sz="8" w:color="0000EE"/>
            </w:tcBorders>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Promissory Note with Abuse Deterrent Pharma, LLC</w:t>
            </w:r>
          </w:p>
        </w:tc>
        <w:tc>
          <w:tcPr>
            <w:tcW w:w="5480" w:type="dxa"/>
            <w:vAlign w:val="bottom"/>
            <w:tcBorders>
              <w:top w:val="single" w:sz="8" w:color="0000EE"/>
            </w:tcBorders>
          </w:tcPr>
          <w:p>
            <w:pPr>
              <w:spacing w:after="0"/>
              <w:rPr>
                <w:sz w:val="17"/>
                <w:szCs w:val="17"/>
                <w:color w:val="auto"/>
              </w:rPr>
            </w:pPr>
          </w:p>
        </w:tc>
      </w:tr>
      <w:tr>
        <w:trPr>
          <w:trHeight w:val="23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r>
      <w:tr>
        <w:trPr>
          <w:trHeight w:val="648"/>
        </w:trPr>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2"/>
          </w:tcPr>
          <w:p>
            <w:pPr>
              <w:ind w:left="3640"/>
              <w:spacing w:after="0"/>
              <w:rPr>
                <w:sz w:val="20"/>
                <w:szCs w:val="20"/>
                <w:color w:val="auto"/>
              </w:rPr>
            </w:pPr>
            <w:r>
              <w:rPr>
                <w:rFonts w:ascii="Times New Roman" w:cs="Times New Roman" w:eastAsia="Times New Roman" w:hAnsi="Times New Roman"/>
                <w:sz w:val="18"/>
                <w:szCs w:val="18"/>
                <w:color w:val="auto"/>
              </w:rPr>
              <w:t>3</w:t>
            </w: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ACURA PHARMACEUTICALS,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Robert A. Seiser</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Robert A. Seiser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24, 2025</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Amended Loan Schedule to Secured Promissory Note dated November 10, 2022 between Acura Pharmaceuticals, Inc. and Abuse Deterrent Pharma, LLC</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Aggregated</w:t>
            </w:r>
          </w:p>
        </w:tc>
      </w:tr>
      <w:tr>
        <w:trPr>
          <w:trHeight w:val="234"/>
        </w:trPr>
        <w:tc>
          <w:tcPr>
            <w:tcW w:w="6760" w:type="dxa"/>
            <w:vAlign w:val="bottom"/>
          </w:tcPr>
          <w:p>
            <w:pPr>
              <w:spacing w:after="0"/>
              <w:rPr>
                <w:sz w:val="20"/>
                <w:szCs w:val="20"/>
                <w:color w:val="auto"/>
              </w:rPr>
            </w:pPr>
          </w:p>
        </w:tc>
        <w:tc>
          <w:tcPr>
            <w:tcW w:w="16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Date</w:t>
            </w: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Principal</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Original Secured Promissory Note</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11/10/2022</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2,319,279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2,319,279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 Loans to be included:</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Loans #1 dated 12/22/2022 through Loan #26 dated 12/12/2024</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4,625,000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6,944,279</w:t>
            </w:r>
          </w:p>
        </w:tc>
      </w:tr>
      <w:tr>
        <w:trPr>
          <w:trHeight w:val="216"/>
        </w:trPr>
        <w:tc>
          <w:tcPr>
            <w:tcW w:w="6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Loan #27</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1/13/2025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7,069,279</w:t>
            </w:r>
          </w:p>
        </w:tc>
      </w:tr>
      <w:tr>
        <w:trPr>
          <w:trHeight w:val="216"/>
        </w:trPr>
        <w:tc>
          <w:tcPr>
            <w:tcW w:w="6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Loan #28</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1/23/2025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7,169,279</w:t>
            </w:r>
          </w:p>
        </w:tc>
      </w:tr>
      <w:tr>
        <w:trPr>
          <w:trHeight w:val="216"/>
        </w:trPr>
        <w:tc>
          <w:tcPr>
            <w:tcW w:w="6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Loan #29</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2/03/2025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7,294,279</w:t>
            </w:r>
          </w:p>
        </w:tc>
      </w:tr>
      <w:tr>
        <w:trPr>
          <w:trHeight w:val="216"/>
        </w:trPr>
        <w:tc>
          <w:tcPr>
            <w:tcW w:w="6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Loan #30</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2/14/2025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7,394,279</w:t>
            </w:r>
          </w:p>
        </w:tc>
      </w:tr>
      <w:tr>
        <w:trPr>
          <w:trHeight w:val="216"/>
        </w:trPr>
        <w:tc>
          <w:tcPr>
            <w:tcW w:w="6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Loan #31</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2/28/2025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7,494,279</w:t>
            </w:r>
          </w:p>
        </w:tc>
      </w:tr>
      <w:tr>
        <w:trPr>
          <w:trHeight w:val="216"/>
        </w:trPr>
        <w:tc>
          <w:tcPr>
            <w:tcW w:w="6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Loan #32</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3/17/2025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7,594,279</w:t>
            </w:r>
          </w:p>
        </w:tc>
      </w:tr>
      <w:tr>
        <w:trPr>
          <w:trHeight w:val="216"/>
        </w:trPr>
        <w:tc>
          <w:tcPr>
            <w:tcW w:w="6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Loan #33</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4/04/2025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7,694,279</w:t>
            </w:r>
          </w:p>
        </w:tc>
      </w:tr>
      <w:tr>
        <w:trPr>
          <w:trHeight w:val="216"/>
        </w:trPr>
        <w:tc>
          <w:tcPr>
            <w:tcW w:w="6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Loan #34</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4/18/2025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7,794,279</w:t>
            </w:r>
          </w:p>
        </w:tc>
      </w:tr>
      <w:tr>
        <w:trPr>
          <w:trHeight w:val="216"/>
        </w:trPr>
        <w:tc>
          <w:tcPr>
            <w:tcW w:w="6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Loan #35</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5/02/2025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7,894,279</w:t>
            </w:r>
          </w:p>
        </w:tc>
      </w:tr>
      <w:tr>
        <w:trPr>
          <w:trHeight w:val="216"/>
        </w:trPr>
        <w:tc>
          <w:tcPr>
            <w:tcW w:w="6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Loan #36</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5/22/2025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7,994,279</w:t>
            </w:r>
          </w:p>
        </w:tc>
      </w:tr>
      <w:tr>
        <w:trPr>
          <w:trHeight w:val="216"/>
        </w:trPr>
        <w:tc>
          <w:tcPr>
            <w:tcW w:w="6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Loan #37</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6/03/2025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8,094,279</w:t>
            </w:r>
          </w:p>
        </w:tc>
      </w:tr>
      <w:tr>
        <w:trPr>
          <w:trHeight w:val="216"/>
        </w:trPr>
        <w:tc>
          <w:tcPr>
            <w:tcW w:w="6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Loan #38</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6/20/2025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8,194,279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ACURA PHARMACEUTICALS,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Robert A. Seiser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 Seiser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&amp;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2025-06-24T09:24:32Z</dcterms:created>
  <dcterms:modified xsi:type="dcterms:W3CDTF">2025-06-24T09:24:32Z</dcterms:modified>
</cp:coreProperties>
</file>