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40" w:type="dxa"/>
            <w:vAlign w:val="bottom"/>
            <w:vMerge w:val="restart"/>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8"/>
              </w:rPr>
              <w:t>UNITED STATES</w:t>
            </w:r>
          </w:p>
        </w:tc>
        <w:tc>
          <w:tcPr>
            <w:tcW w:w="660" w:type="dxa"/>
            <w:vAlign w:val="bottom"/>
            <w:tcBorders>
              <w:right w:val="single" w:sz="8" w:color="auto"/>
            </w:tcBorders>
          </w:tcPr>
          <w:p>
            <w:pPr>
              <w:spacing w:after="0"/>
              <w:rPr>
                <w:sz w:val="19"/>
                <w:szCs w:val="19"/>
                <w:color w:val="auto"/>
              </w:rPr>
            </w:pPr>
          </w:p>
        </w:tc>
        <w:tc>
          <w:tcPr>
            <w:tcW w:w="336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OMB APPROVAL</w:t>
            </w: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16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OMB Number:</w:t>
            </w:r>
          </w:p>
        </w:tc>
        <w:tc>
          <w:tcPr>
            <w:tcW w:w="1760" w:type="dxa"/>
            <w:vAlign w:val="bottom"/>
            <w:tcBorders>
              <w:right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3235-0058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60" w:type="dxa"/>
            <w:vAlign w:val="bottom"/>
            <w:tcBorders>
              <w:righ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SECURITIES AND EXCHANGE COMMISSION</w:t>
            </w: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Expires:</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2028</w:t>
            </w: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660" w:type="dxa"/>
            <w:vAlign w:val="bottom"/>
            <w:tcBorders>
              <w:right w:val="single" w:sz="8" w:color="auto"/>
            </w:tcBorders>
          </w:tcPr>
          <w:p>
            <w:pPr>
              <w:spacing w:after="0"/>
              <w:rPr>
                <w:sz w:val="20"/>
                <w:szCs w:val="20"/>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average</w:t>
            </w: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burden hours per</w:t>
            </w: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response.</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425"/>
        </w:trPr>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40" w:type="dxa"/>
            <w:vAlign w:val="bottom"/>
            <w:vMerge w:val="restart"/>
          </w:tcPr>
          <w:p>
            <w:pPr>
              <w:jc w:val="center"/>
              <w:ind w:right="118"/>
              <w:spacing w:after="0"/>
              <w:rPr>
                <w:sz w:val="20"/>
                <w:szCs w:val="20"/>
                <w:color w:val="auto"/>
              </w:rPr>
            </w:pPr>
            <w:r>
              <w:rPr>
                <w:rFonts w:ascii="Times New Roman" w:cs="Times New Roman" w:eastAsia="Times New Roman" w:hAnsi="Times New Roman"/>
                <w:sz w:val="25"/>
                <w:szCs w:val="25"/>
                <w:b w:val="1"/>
                <w:bCs w:val="1"/>
                <w:color w:val="auto"/>
              </w:rPr>
              <w:t>FORM 12b-25</w:t>
            </w:r>
          </w:p>
        </w:tc>
        <w:tc>
          <w:tcPr>
            <w:tcW w:w="660" w:type="dxa"/>
            <w:vAlign w:val="bottom"/>
            <w:tcBorders>
              <w:right w:val="single" w:sz="8" w:color="auto"/>
            </w:tcBorders>
          </w:tcPr>
          <w:p>
            <w:pPr>
              <w:spacing w:after="0"/>
              <w:rPr>
                <w:sz w:val="16"/>
                <w:szCs w:val="16"/>
                <w:color w:val="auto"/>
              </w:rPr>
            </w:pPr>
          </w:p>
        </w:tc>
        <w:tc>
          <w:tcPr>
            <w:tcW w:w="336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SEC FILE NUMBER</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40" w:type="dxa"/>
            <w:vAlign w:val="bottom"/>
            <w:vMerge w:val="continue"/>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1-10113</w:t>
            </w:r>
          </w:p>
        </w:tc>
        <w:tc>
          <w:tcPr>
            <w:tcW w:w="1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3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04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1600" w:type="dxa"/>
            <w:vAlign w:val="bottom"/>
            <w:tcBorders>
              <w:bottom w:val="single" w:sz="8" w:color="auto"/>
            </w:tcBorders>
            <w:vMerge w:val="continue"/>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40" w:type="dxa"/>
            <w:vAlign w:val="bottom"/>
            <w:vMerge w:val="restart"/>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660" w:type="dxa"/>
            <w:vAlign w:val="bottom"/>
            <w:tcBorders>
              <w:right w:val="single" w:sz="8" w:color="auto"/>
            </w:tcBorders>
          </w:tcPr>
          <w:p>
            <w:pPr>
              <w:spacing w:after="0"/>
              <w:rPr>
                <w:sz w:val="16"/>
                <w:szCs w:val="16"/>
                <w:color w:val="auto"/>
              </w:rPr>
            </w:pPr>
          </w:p>
        </w:tc>
        <w:tc>
          <w:tcPr>
            <w:tcW w:w="336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CUSIP NUMBER</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40" w:type="dxa"/>
            <w:vAlign w:val="bottom"/>
            <w:vMerge w:val="continue"/>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00509L 802</w:t>
            </w:r>
          </w:p>
        </w:tc>
        <w:tc>
          <w:tcPr>
            <w:tcW w:w="1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1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(Check one):</w:t>
            </w:r>
          </w:p>
        </w:tc>
        <w:tc>
          <w:tcPr>
            <w:tcW w:w="1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 Form 10-K</w:t>
            </w:r>
          </w:p>
        </w:tc>
        <w:tc>
          <w:tcPr>
            <w:tcW w:w="1160" w:type="dxa"/>
            <w:vAlign w:val="bottom"/>
          </w:tcPr>
          <w:p>
            <w:pPr>
              <w:ind w:left="180"/>
              <w:spacing w:after="0" w:line="207" w:lineRule="exact"/>
              <w:rPr>
                <w:sz w:val="20"/>
                <w:szCs w:val="20"/>
                <w:color w:val="auto"/>
              </w:rPr>
            </w:pPr>
            <w:r>
              <w:rPr>
                <w:rFonts w:ascii="MS PGothic" w:cs="MS PGothic" w:eastAsia="MS PGothic" w:hAnsi="MS PGothic"/>
                <w:sz w:val="18"/>
                <w:szCs w:val="18"/>
                <w:color w:val="auto"/>
                <w:w w:val="95"/>
              </w:rPr>
              <w:t>☐</w:t>
            </w:r>
            <w:r>
              <w:rPr>
                <w:rFonts w:ascii="Times New Roman" w:cs="Times New Roman" w:eastAsia="Times New Roman" w:hAnsi="Times New Roman"/>
                <w:sz w:val="18"/>
                <w:szCs w:val="18"/>
                <w:color w:val="auto"/>
                <w:w w:val="95"/>
              </w:rPr>
              <w:t xml:space="preserve"> Form 20-F</w:t>
            </w:r>
          </w:p>
        </w:tc>
        <w:tc>
          <w:tcPr>
            <w:tcW w:w="3040" w:type="dxa"/>
            <w:vAlign w:val="bottom"/>
          </w:tcPr>
          <w:p>
            <w:pPr>
              <w:ind w:left="500"/>
              <w:spacing w:after="0" w:line="207" w:lineRule="exact"/>
              <w:rPr>
                <w:sz w:val="20"/>
                <w:szCs w:val="20"/>
                <w:color w:val="auto"/>
              </w:rPr>
            </w:pP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Form 11-K</w:t>
            </w:r>
            <w:r>
              <w:rPr>
                <w:rFonts w:ascii="MS PGothic" w:cs="MS PGothic" w:eastAsia="MS PGothic" w:hAnsi="MS PGothic"/>
                <w:sz w:val="18"/>
                <w:szCs w:val="18"/>
                <w:color w:val="auto"/>
                <w:w w:val="96"/>
              </w:rPr>
              <w:t xml:space="preserve">☐ </w:t>
            </w:r>
            <w:r>
              <w:rPr>
                <w:rFonts w:ascii="Times New Roman" w:cs="Times New Roman" w:eastAsia="Times New Roman" w:hAnsi="Times New Roman"/>
                <w:sz w:val="18"/>
                <w:szCs w:val="18"/>
                <w:color w:val="auto"/>
                <w:w w:val="96"/>
              </w:rPr>
              <w:t>Form 10-Q</w:t>
            </w:r>
          </w:p>
        </w:tc>
        <w:tc>
          <w:tcPr>
            <w:tcW w:w="2260" w:type="dxa"/>
            <w:vAlign w:val="bottom"/>
            <w:gridSpan w:val="2"/>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320" w:type="dxa"/>
            <w:vAlign w:val="bottom"/>
          </w:tcPr>
          <w:p>
            <w:pPr>
              <w:spacing w:after="0"/>
              <w:rPr>
                <w:sz w:val="24"/>
                <w:szCs w:val="24"/>
                <w:color w:val="auto"/>
              </w:rPr>
            </w:pPr>
          </w:p>
        </w:tc>
        <w:tc>
          <w:tcPr>
            <w:tcW w:w="172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w:t>
            </w:r>
          </w:p>
        </w:tc>
        <w:tc>
          <w:tcPr>
            <w:tcW w:w="4200" w:type="dxa"/>
            <w:vAlign w:val="bottom"/>
            <w:gridSpan w:val="2"/>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For Period Ended:  December 31, 2025</w:t>
      </w:r>
    </w:p>
    <w:p>
      <w:pPr>
        <w:spacing w:after="0" w:line="22" w:lineRule="exact"/>
        <w:rPr>
          <w:sz w:val="24"/>
          <w:szCs w:val="24"/>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color w:val="auto"/>
        </w:rPr>
        <w:t>For the Transition Period Ended: 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Acura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616 N. North Court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of Principal Executive Office </w:t>
      </w:r>
      <w:r>
        <w:rPr>
          <w:rFonts w:ascii="Times New Roman" w:cs="Times New Roman" w:eastAsia="Times New Roman" w:hAnsi="Times New Roman"/>
          <w:sz w:val="18"/>
          <w:szCs w:val="18"/>
          <w:i w:val="1"/>
          <w:iCs w:val="1"/>
          <w:color w:val="auto"/>
        </w:rPr>
        <w:t>(Street and Number)</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Palatine, IL 60067-8121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70" w:lineRule="exact"/>
        <w:rPr>
          <w:sz w:val="24"/>
          <w:szCs w:val="24"/>
          <w:color w:val="auto"/>
        </w:rPr>
      </w:pPr>
    </w:p>
    <w:p>
      <w:pPr>
        <w:ind w:left="1260" w:hanging="456"/>
        <w:spacing w:after="0"/>
        <w:tabs>
          <w:tab w:leader="none" w:pos="12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1260" w:hanging="456"/>
        <w:spacing w:after="0"/>
        <w:tabs>
          <w:tab w:leader="none" w:pos="12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7" w:lineRule="exact"/>
        <w:rPr>
          <w:rFonts w:ascii="Times New Roman" w:cs="Times New Roman" w:eastAsia="Times New Roman" w:hAnsi="Times New Roman"/>
          <w:sz w:val="18"/>
          <w:szCs w:val="18"/>
          <w:color w:val="auto"/>
        </w:rPr>
      </w:pPr>
    </w:p>
    <w:p>
      <w:pPr>
        <w:jc w:val="both"/>
        <w:ind w:left="1260" w:hanging="963"/>
        <w:spacing w:after="0" w:line="187" w:lineRule="auto"/>
        <w:tabs>
          <w:tab w:leader="none" w:pos="1260" w:val="left"/>
        </w:tabs>
        <w:numPr>
          <w:ilvl w:val="0"/>
          <w:numId w:val="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10-D,or portion thereof, will be filed on or before the fifth calendar day following the prescribed due date; and</w:t>
      </w:r>
    </w:p>
    <w:p>
      <w:pPr>
        <w:spacing w:after="0" w:line="200" w:lineRule="exact"/>
        <w:rPr>
          <w:rFonts w:ascii="Times New Roman" w:cs="Times New Roman" w:eastAsia="Times New Roman" w:hAnsi="Times New Roman"/>
          <w:sz w:val="36"/>
          <w:szCs w:val="36"/>
          <w:color w:val="auto"/>
          <w:vertAlign w:val="subscript"/>
        </w:rPr>
      </w:pPr>
    </w:p>
    <w:p>
      <w:pPr>
        <w:ind w:left="1260" w:hanging="456"/>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Registrant’s Annual Report on Form 10-K for the annual period ended December 31, 2025 will not be filed within the prescribed time period because of the Company’s liquidity including the Company’s ability to meet day-to-day operation obligations. We continue to work on finding funding solutions and are dependent on the receipt of loans from Abuse Deterrent Pharma, LLC, which are used to meet day-to-day operation obligations, although no assurance can be made that the receipt of such loans will continue or be sufficient to meet long-term day-to-day operation obligations. We have not filed our Annual Reports for the year ended December 31, 2022, December 31, 2023, or December 31, 2024. We have not filed our Quarterly Reports for any of the quarterly periods in our fiscal year of 2022, 2023, 2024 or 2025. We have halted our public accounting firm’s review services on each of our 2022 and 2023 quarterly results and their audit services on our 2022 and 2023 annual results, pending finding funding solutions and/or the receipt of loans from Abuse Deterrent Pharma, LLC; which may meet day-to-day operation obligations on a longer term basis. We have not engaged the independent registered public accounting firm for their review and audit services on our quarterly and annual results for 2024 or 2025. We cannot provide nor can any assurance can be given that the Company will be successful in filing any of the above mentioned reports or securing any funding solutions. The Company assumes no duty to update the status of the annual audits or quarterly reviews until the Annual Reports and the Quarterly Reports are filed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2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Robert A. Seiser</w:t>
            </w:r>
          </w:p>
        </w:tc>
        <w:tc>
          <w:tcPr>
            <w:tcW w:w="19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847</w:t>
            </w:r>
          </w:p>
        </w:tc>
        <w:tc>
          <w:tcPr>
            <w:tcW w:w="24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705-7709</w:t>
            </w:r>
          </w:p>
        </w:tc>
      </w:tr>
      <w:tr>
        <w:trPr>
          <w:trHeight w:val="228"/>
        </w:trPr>
        <w:tc>
          <w:tcPr>
            <w:tcW w:w="6280" w:type="dxa"/>
            <w:vAlign w:val="bottom"/>
            <w:tcBorders>
              <w:top w:val="single" w:sz="8" w:color="auto"/>
            </w:tcBorders>
          </w:tcPr>
          <w:p>
            <w:pPr>
              <w:ind w:left="2860"/>
              <w:spacing w:after="0"/>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spacing w:after="0"/>
              <w:rPr>
                <w:sz w:val="19"/>
                <w:szCs w:val="19"/>
                <w:color w:val="auto"/>
              </w:rPr>
            </w:pPr>
          </w:p>
        </w:tc>
        <w:tc>
          <w:tcPr>
            <w:tcW w:w="16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(Area Code)</w:t>
            </w:r>
          </w:p>
        </w:tc>
        <w:tc>
          <w:tcPr>
            <w:tcW w:w="220" w:type="dxa"/>
            <w:vAlign w:val="bottom"/>
          </w:tcPr>
          <w:p>
            <w:pPr>
              <w:spacing w:after="0"/>
              <w:rPr>
                <w:sz w:val="19"/>
                <w:szCs w:val="19"/>
                <w:color w:val="auto"/>
              </w:rPr>
            </w:pPr>
          </w:p>
        </w:tc>
        <w:tc>
          <w:tcPr>
            <w:tcW w:w="22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(Telephone Number)</w:t>
            </w:r>
          </w:p>
        </w:tc>
      </w:tr>
    </w:tbl>
    <w:p>
      <w:pPr>
        <w:spacing w:after="0" w:line="179" w:lineRule="exact"/>
        <w:rPr>
          <w:sz w:val="20"/>
          <w:szCs w:val="20"/>
          <w:color w:val="auto"/>
        </w:rPr>
      </w:pPr>
    </w:p>
    <w:p>
      <w:pPr>
        <w:ind w:left="580" w:hanging="572"/>
        <w:spacing w:after="0" w:line="255"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2" w:lineRule="exact"/>
        <w:rPr>
          <w:sz w:val="20"/>
          <w:szCs w:val="20"/>
          <w:color w:val="auto"/>
        </w:rPr>
      </w:pPr>
    </w:p>
    <w:p>
      <w:pPr>
        <w:ind w:left="99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 ]</w:t>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Quarterly Reports for each of the quarterly periods during 2025, 2024, 2023 and 2022 have not been filed. The Annual Report for the annual</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periods ended December 31, 2025, 2024, 2023 and 2022 have not been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772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ind w:left="580" w:right="340" w:hanging="572"/>
        <w:spacing w:after="0" w:line="258"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9980"/>
        <w:spacing w:after="0" w:line="207" w:lineRule="exact"/>
        <w:tabs>
          <w:tab w:leader="none" w:pos="106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w:t>
      </w:r>
    </w:p>
    <w:p>
      <w:pPr>
        <w:spacing w:after="0" w:line="16" w:lineRule="exact"/>
        <w:rPr>
          <w:sz w:val="20"/>
          <w:szCs w:val="20"/>
          <w:color w:val="auto"/>
        </w:rPr>
      </w:pPr>
    </w:p>
    <w:p>
      <w:pPr>
        <w:ind w:left="580" w:right="340"/>
        <w:spacing w:after="0" w:line="258"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Acura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28460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560" w:val="left"/>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w:t>
        <w:tab/>
        <w:t>March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A. Seiser, Senior VP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2026-03-27T15:28:10Z</dcterms:created>
  <dcterms:modified xsi:type="dcterms:W3CDTF">2026-03-27T15:28:10Z</dcterms:modified>
</cp:coreProperties>
</file>