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caps w:val="false"/>
          <w:smallCaps w:val="false"/>
        </w:rPr>
      </w:pPr>
      <w:bookmarkStart w:id="0" w:name="tm211138d1_10k.htm"/>
      <w:bookmarkStart w:id="1" w:name="kstm211138d1_10k"/>
      <w:bookmarkEnd w:id="0"/>
      <w:bookmarkEnd w:id="1"/>
      <w:r>
        <w:rPr>
          <w:caps w:val="false"/>
          <w:smallCaps w:val="false"/>
        </w:rPr>
        <w:t> </w:t>
      </w:r>
    </w:p>
    <w:p>
      <w:pPr>
        <w:pStyle w:val="TextBody"/>
        <w:spacing w:before="0" w:after="60"/>
        <w:rPr>
          <w:bdr w:val="single" w:sz="16" w:space="1" w:color="000000"/>
        </w:rPr>
      </w:pPr>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tbl>
      <w:tblPr>
        <w:tblW w:w="10205" w:type="dxa"/>
        <w:jc w:val="left"/>
        <w:tblInd w:w="0" w:type="dxa"/>
        <w:tblCellMar>
          <w:top w:w="0" w:type="dxa"/>
          <w:left w:w="0" w:type="dxa"/>
          <w:bottom w:w="0" w:type="dxa"/>
          <w:right w:w="0" w:type="dxa"/>
        </w:tblCellMar>
      </w:tblPr>
      <w:tblGrid>
        <w:gridCol w:w="931"/>
        <w:gridCol w:w="9274"/>
      </w:tblGrid>
      <w:tr>
        <w:trPr/>
        <w:tc>
          <w:tcPr>
            <w:tcW w:w="931" w:type="dxa"/>
            <w:tcBorders/>
            <w:shd w:fill="auto" w:val="clear"/>
            <w:vAlign w:val="center"/>
          </w:tcPr>
          <w:p>
            <w:pPr>
              <w:pStyle w:val="TableContents"/>
              <w:spacing w:before="0" w:after="283"/>
              <w:rPr>
                <w:sz w:val="20"/>
              </w:rPr>
            </w:pPr>
            <w:r>
              <w:rPr>
                <w:sz w:val="20"/>
              </w:rPr>
              <w:t>(Mark One)</w:t>
            </w:r>
          </w:p>
        </w:tc>
        <w:tc>
          <w:tcPr>
            <w:tcW w:w="9274" w:type="dxa"/>
            <w:tcBorders/>
            <w:shd w:fill="auto" w:val="clear"/>
            <w:vAlign w:val="center"/>
          </w:tcPr>
          <w:p>
            <w:pPr>
              <w:pStyle w:val="TableContents"/>
              <w:spacing w:before="0" w:after="283"/>
              <w:rPr/>
            </w:pPr>
            <w:r>
              <w:rPr/>
              <w:t> </w:t>
            </w:r>
          </w:p>
        </w:tc>
      </w:tr>
      <w:tr>
        <w:trPr/>
        <w:tc>
          <w:tcPr>
            <w:tcW w:w="931" w:type="dxa"/>
            <w:tcBorders/>
            <w:shd w:fill="auto" w:val="clear"/>
            <w:vAlign w:val="center"/>
          </w:tcPr>
          <w:p>
            <w:pPr>
              <w:pStyle w:val="TableContents"/>
              <w:spacing w:before="0" w:after="283"/>
              <w:jc w:val="center"/>
              <w:rPr/>
            </w:pPr>
            <w:r>
              <w:rPr/>
              <w:t>☒</w:t>
            </w:r>
          </w:p>
        </w:tc>
        <w:tc>
          <w:tcPr>
            <w:tcW w:w="9274" w:type="dxa"/>
            <w:tcBorders/>
            <w:shd w:fill="auto" w:val="clear"/>
            <w:vAlign w:val="center"/>
          </w:tcPr>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w:t>
            </w:r>
          </w:p>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 OF 1934 FOR THE FISCAL YEAR ENDED DECEMBER 31, 2020</w:t>
            </w:r>
          </w:p>
        </w:tc>
      </w:tr>
      <w:tr>
        <w:trPr/>
        <w:tc>
          <w:tcPr>
            <w:tcW w:w="10205" w:type="dxa"/>
            <w:gridSpan w:val="2"/>
            <w:tcBorders/>
            <w:shd w:fill="auto" w:val="clear"/>
            <w:vAlign w:val="center"/>
          </w:tcPr>
          <w:p>
            <w:pPr>
              <w:pStyle w:val="TableContents"/>
              <w:spacing w:before="0" w:after="283"/>
              <w:jc w:val="center"/>
              <w:rPr>
                <w:b/>
                <w:sz w:val="20"/>
              </w:rPr>
            </w:pPr>
            <w:r>
              <w:rPr>
                <w:b/>
                <w:sz w:val="20"/>
              </w:rPr>
              <w:t>Or</w:t>
            </w:r>
          </w:p>
        </w:tc>
      </w:tr>
      <w:tr>
        <w:trPr/>
        <w:tc>
          <w:tcPr>
            <w:tcW w:w="931" w:type="dxa"/>
            <w:tcBorders/>
            <w:shd w:fill="auto" w:val="clear"/>
            <w:vAlign w:val="center"/>
          </w:tcPr>
          <w:p>
            <w:pPr>
              <w:pStyle w:val="TableContents"/>
              <w:spacing w:before="0" w:after="283"/>
              <w:jc w:val="center"/>
              <w:rPr/>
            </w:pPr>
            <w:r>
              <w:rPr/>
              <w:t>☐</w:t>
            </w:r>
          </w:p>
        </w:tc>
        <w:tc>
          <w:tcPr>
            <w:tcW w:w="9274" w:type="dxa"/>
            <w:tcBorders/>
            <w:shd w:fill="auto" w:val="clear"/>
            <w:vAlign w:val="center"/>
          </w:tcPr>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  to _____</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1-10113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ACURA PHARMACEUTICALS,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880"/>
        <w:gridCol w:w="2915"/>
      </w:tblGrid>
      <w:tr>
        <w:trPr/>
        <w:tc>
          <w:tcPr>
            <w:tcW w:w="4880" w:type="dxa"/>
            <w:tcBorders/>
            <w:shd w:fill="auto" w:val="clear"/>
            <w:vAlign w:val="center"/>
          </w:tcPr>
          <w:p>
            <w:pPr>
              <w:pStyle w:val="TableContents"/>
              <w:spacing w:before="0" w:after="283"/>
              <w:jc w:val="center"/>
              <w:rPr>
                <w:b/>
                <w:sz w:val="20"/>
              </w:rPr>
            </w:pPr>
            <w:r>
              <w:rPr>
                <w:b/>
                <w:sz w:val="20"/>
              </w:rPr>
              <w:t>New York</w:t>
            </w:r>
          </w:p>
        </w:tc>
        <w:tc>
          <w:tcPr>
            <w:tcW w:w="2915" w:type="dxa"/>
            <w:tcBorders/>
            <w:shd w:fill="auto" w:val="clear"/>
            <w:vAlign w:val="center"/>
          </w:tcPr>
          <w:p>
            <w:pPr>
              <w:pStyle w:val="TableContents"/>
              <w:spacing w:before="0" w:after="283"/>
              <w:jc w:val="center"/>
              <w:rPr>
                <w:b/>
                <w:sz w:val="20"/>
              </w:rPr>
            </w:pPr>
            <w:r>
              <w:rPr>
                <w:b/>
                <w:sz w:val="20"/>
              </w:rPr>
              <w:t>11-0853640</w:t>
            </w:r>
          </w:p>
        </w:tc>
      </w:tr>
      <w:tr>
        <w:trPr/>
        <w:tc>
          <w:tcPr>
            <w:tcW w:w="4880" w:type="dxa"/>
            <w:tcBorders/>
            <w:shd w:fill="auto" w:val="clear"/>
            <w:vAlign w:val="center"/>
          </w:tcPr>
          <w:p>
            <w:pPr>
              <w:pStyle w:val="TableContents"/>
              <w:spacing w:before="0" w:after="283"/>
              <w:jc w:val="center"/>
              <w:rPr>
                <w:sz w:val="20"/>
              </w:rPr>
            </w:pPr>
            <w:r>
              <w:rPr>
                <w:sz w:val="20"/>
              </w:rPr>
              <w:t>(State or other jurisdiction of Incorporation or organization)</w:t>
            </w:r>
          </w:p>
        </w:tc>
        <w:tc>
          <w:tcPr>
            <w:tcW w:w="2915" w:type="dxa"/>
            <w:tcBorders/>
            <w:shd w:fill="auto" w:val="clear"/>
            <w:vAlign w:val="center"/>
          </w:tcPr>
          <w:p>
            <w:pPr>
              <w:pStyle w:val="TableContents"/>
              <w:spacing w:before="0" w:after="283"/>
              <w:jc w:val="center"/>
              <w:rPr>
                <w:sz w:val="20"/>
              </w:rPr>
            </w:pPr>
            <w:r>
              <w:rPr>
                <w:sz w:val="20"/>
              </w:rPr>
              <w:t>(I.R.S. Employer Identification No.)</w:t>
            </w:r>
          </w:p>
        </w:tc>
      </w:tr>
      <w:tr>
        <w:trPr/>
        <w:tc>
          <w:tcPr>
            <w:tcW w:w="488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jc w:val="center"/>
              <w:rPr>
                <w:b/>
                <w:sz w:val="20"/>
              </w:rPr>
            </w:pPr>
            <w:r>
              <w:rPr>
                <w:b/>
                <w:sz w:val="20"/>
              </w:rPr>
              <w:t>616 N. North Court, Suite 120, Palatine, Illinois</w:t>
            </w:r>
          </w:p>
        </w:tc>
        <w:tc>
          <w:tcPr>
            <w:tcW w:w="2915" w:type="dxa"/>
            <w:tcBorders/>
            <w:shd w:fill="auto" w:val="clear"/>
            <w:vAlign w:val="center"/>
          </w:tcPr>
          <w:p>
            <w:pPr>
              <w:pStyle w:val="TableContents"/>
              <w:spacing w:before="0" w:after="283"/>
              <w:jc w:val="center"/>
              <w:rPr>
                <w:b/>
                <w:sz w:val="20"/>
              </w:rPr>
            </w:pPr>
            <w:r>
              <w:rPr>
                <w:b/>
                <w:sz w:val="20"/>
              </w:rPr>
              <w:t>60067</w:t>
            </w:r>
          </w:p>
        </w:tc>
      </w:tr>
      <w:tr>
        <w:trPr/>
        <w:tc>
          <w:tcPr>
            <w:tcW w:w="4880" w:type="dxa"/>
            <w:tcBorders/>
            <w:shd w:fill="auto" w:val="clear"/>
            <w:vAlign w:val="center"/>
          </w:tcPr>
          <w:p>
            <w:pPr>
              <w:pStyle w:val="TableContents"/>
              <w:spacing w:before="0" w:after="283"/>
              <w:jc w:val="center"/>
              <w:rPr>
                <w:sz w:val="20"/>
              </w:rPr>
            </w:pPr>
            <w:r>
              <w:rPr>
                <w:sz w:val="20"/>
              </w:rPr>
              <w:t>(Address of principal administrative office)</w:t>
            </w:r>
          </w:p>
        </w:tc>
        <w:tc>
          <w:tcPr>
            <w:tcW w:w="2915"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847 705 7709</w:t>
      </w:r>
    </w:p>
    <w:p>
      <w:pPr>
        <w:pStyle w:val="TextBody"/>
        <w:spacing w:before="0" w:after="0"/>
        <w:ind w:left="0" w:right="0" w:hanging="0"/>
        <w:jc w:val="center"/>
        <w:rPr>
          <w:caps w:val="false"/>
          <w:smallCaps w:val="false"/>
        </w:rPr>
      </w:pPr>
      <w:r>
        <w:rPr>
          <w:caps w:val="false"/>
          <w:smallCaps w:val="false"/>
        </w:rPr>
        <w:t> </w:t>
      </w:r>
    </w:p>
    <w:tbl>
      <w:tblPr>
        <w:tblW w:w="8545" w:type="dxa"/>
        <w:jc w:val="left"/>
        <w:tblInd w:w="0" w:type="dxa"/>
        <w:tblCellMar>
          <w:top w:w="0" w:type="dxa"/>
          <w:left w:w="0" w:type="dxa"/>
          <w:bottom w:w="0" w:type="dxa"/>
          <w:right w:w="0" w:type="dxa"/>
        </w:tblCellMar>
      </w:tblPr>
      <w:tblGrid>
        <w:gridCol w:w="4775"/>
        <w:gridCol w:w="3770"/>
      </w:tblGrid>
      <w:tr>
        <w:trPr/>
        <w:tc>
          <w:tcPr>
            <w:tcW w:w="477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ableContents"/>
              <w:spacing w:before="0" w:after="0"/>
              <w:ind w:left="0" w:right="0" w:hanging="0"/>
              <w:jc w:val="center"/>
              <w:rPr>
                <w:caps w:val="false"/>
                <w:smallCaps w:val="false"/>
              </w:rPr>
            </w:pPr>
            <w:r>
              <w:rPr>
                <w:caps w:val="false"/>
                <w:smallCaps w:val="false"/>
              </w:rPr>
              <w:t> </w:t>
            </w:r>
          </w:p>
        </w:tc>
        <w:tc>
          <w:tcPr>
            <w:tcW w:w="377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5680" w:type="dxa"/>
        <w:jc w:val="left"/>
        <w:tblInd w:w="0" w:type="dxa"/>
        <w:tblCellMar>
          <w:top w:w="0" w:type="dxa"/>
          <w:left w:w="0" w:type="dxa"/>
          <w:bottom w:w="0" w:type="dxa"/>
          <w:right w:w="0" w:type="dxa"/>
        </w:tblCellMar>
      </w:tblPr>
      <w:tblGrid>
        <w:gridCol w:w="2600"/>
        <w:gridCol w:w="3080"/>
      </w:tblGrid>
      <w:tr>
        <w:trPr/>
        <w:tc>
          <w:tcPr>
            <w:tcW w:w="2600" w:type="dxa"/>
            <w:tcBorders/>
            <w:shd w:fill="auto" w:val="clear"/>
            <w:vAlign w:val="center"/>
          </w:tcPr>
          <w:p>
            <w:pPr>
              <w:pStyle w:val="TableContents"/>
              <w:spacing w:before="0" w:after="283"/>
              <w:rPr/>
            </w:pPr>
            <w:r>
              <w:rPr/>
              <w:t>☐ </w:t>
            </w:r>
            <w:r>
              <w:rPr/>
              <w:t xml:space="preserve">Large Accelerated Filer </w:t>
            </w:r>
          </w:p>
        </w:tc>
        <w:tc>
          <w:tcPr>
            <w:tcW w:w="3080" w:type="dxa"/>
            <w:tcBorders/>
            <w:shd w:fill="auto" w:val="clear"/>
            <w:vAlign w:val="center"/>
          </w:tcPr>
          <w:p>
            <w:pPr>
              <w:pStyle w:val="TableContents"/>
              <w:spacing w:before="0" w:after="283"/>
              <w:rPr/>
            </w:pPr>
            <w:r>
              <w:rPr/>
              <w:t>☐ </w:t>
            </w:r>
            <w:r>
              <w:rPr/>
              <w:t>Accelerated Filer</w:t>
            </w:r>
          </w:p>
        </w:tc>
      </w:tr>
      <w:tr>
        <w:trPr/>
        <w:tc>
          <w:tcPr>
            <w:tcW w:w="2600" w:type="dxa"/>
            <w:tcBorders/>
            <w:shd w:fill="auto" w:val="clear"/>
            <w:vAlign w:val="center"/>
          </w:tcPr>
          <w:p>
            <w:pPr>
              <w:pStyle w:val="TableContents"/>
              <w:spacing w:before="0" w:after="283"/>
              <w:rPr/>
            </w:pPr>
            <w:r>
              <w:rPr/>
              <w:t>☒ </w:t>
            </w:r>
            <w:r>
              <w:rPr/>
              <w:t>Non-Accelerated Filer</w:t>
            </w:r>
          </w:p>
        </w:tc>
        <w:tc>
          <w:tcPr>
            <w:tcW w:w="3080" w:type="dxa"/>
            <w:tcBorders/>
            <w:shd w:fill="auto" w:val="clear"/>
            <w:vAlign w:val="center"/>
          </w:tcPr>
          <w:p>
            <w:pPr>
              <w:pStyle w:val="TableContents"/>
              <w:spacing w:before="0" w:after="283"/>
              <w:rPr/>
            </w:pPr>
            <w:r>
              <w:rPr/>
              <w:t>☒ </w:t>
            </w:r>
            <w:r>
              <w:rPr/>
              <w:t>Smaller Reporting Company.</w:t>
            </w:r>
          </w:p>
        </w:tc>
      </w:tr>
      <w:tr>
        <w:trPr/>
        <w:tc>
          <w:tcPr>
            <w:tcW w:w="260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r>
              <w:rPr/>
              <w:t>Emerging Growth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last sale price on the OTCQB Market of the Common Stock of $0.35 on June 30, 2020 (the last business day of the registrant’s most recently completed second fiscal quarter), the aggregate market value of the voting stock held by non-affiliates of the registrant was approximately $2.6 million.</w:t>
      </w:r>
    </w:p>
    <w:p>
      <w:pPr>
        <w:pStyle w:val="TextBody"/>
        <w:spacing w:before="0" w:after="0"/>
        <w:ind w:left="0" w:right="0" w:hanging="0"/>
        <w:jc w:val="both"/>
        <w:rPr>
          <w:caps w:val="false"/>
          <w:smallCaps w:val="false"/>
        </w:rPr>
      </w:pPr>
      <w:r>
        <w:rPr>
          <w:caps w:val="false"/>
          <w:smallCaps w:val="false"/>
        </w:rPr>
        <w:t> </w:t>
      </w:r>
    </w:p>
    <w:tbl>
      <w:tblPr>
        <w:tblW w:w="7620" w:type="dxa"/>
        <w:jc w:val="left"/>
        <w:tblInd w:w="0" w:type="dxa"/>
        <w:tblCellMar>
          <w:top w:w="0" w:type="dxa"/>
          <w:left w:w="0" w:type="dxa"/>
          <w:bottom w:w="30" w:type="dxa"/>
          <w:right w:w="0" w:type="dxa"/>
        </w:tblCellMar>
      </w:tblPr>
      <w:tblGrid>
        <w:gridCol w:w="2645"/>
        <w:gridCol w:w="1385"/>
        <w:gridCol w:w="3590"/>
      </w:tblGrid>
      <w:tr>
        <w:trPr/>
        <w:tc>
          <w:tcPr>
            <w:tcW w:w="7620" w:type="dxa"/>
            <w:gridSpan w:val="3"/>
            <w:tcBorders>
              <w:bottom w:val="single" w:sz="8" w:space="0" w:color="000000"/>
            </w:tcBorders>
            <w:shd w:fill="auto" w:val="clear"/>
            <w:vAlign w:val="center"/>
          </w:tcPr>
          <w:p>
            <w:pPr>
              <w:pStyle w:val="TableContents"/>
              <w:rPr>
                <w:sz w:val="20"/>
              </w:rPr>
            </w:pPr>
            <w:r>
              <w:rPr>
                <w:sz w:val="20"/>
              </w:rPr>
              <w:t>Securities registered pursuant to Section 12(b) of the Act:</w:t>
            </w:r>
          </w:p>
          <w:p>
            <w:pPr>
              <w:pStyle w:val="TableContents"/>
              <w:spacing w:before="0" w:after="283"/>
              <w:rPr/>
            </w:pPr>
            <w:r>
              <w:rPr/>
              <w:t> </w:t>
            </w:r>
          </w:p>
        </w:tc>
      </w:tr>
      <w:tr>
        <w:trPr/>
        <w:tc>
          <w:tcPr>
            <w:tcW w:w="2645" w:type="dxa"/>
            <w:tcBorders>
              <w:left w:val="single" w:sz="8" w:space="0" w:color="000000"/>
              <w:bottom w:val="single" w:sz="8" w:space="0" w:color="000000"/>
            </w:tcBorders>
            <w:shd w:fill="auto" w:val="clear"/>
            <w:tcMar>
              <w:left w:w="30" w:type="dxa"/>
            </w:tcMar>
            <w:vAlign w:val="center"/>
          </w:tcPr>
          <w:p>
            <w:pPr>
              <w:pStyle w:val="TableContents"/>
              <w:spacing w:before="0" w:after="283"/>
              <w:jc w:val="center"/>
              <w:rPr>
                <w:sz w:val="20"/>
              </w:rPr>
            </w:pPr>
            <w:r>
              <w:rPr>
                <w:sz w:val="20"/>
              </w:rPr>
              <w:t>Title of each class</w:t>
            </w:r>
          </w:p>
        </w:tc>
        <w:tc>
          <w:tcPr>
            <w:tcW w:w="1385" w:type="dxa"/>
            <w:tcBorders>
              <w:left w:val="single" w:sz="8" w:space="0" w:color="000000"/>
              <w:bottom w:val="single" w:sz="8" w:space="0" w:color="000000"/>
            </w:tcBorders>
            <w:shd w:fill="auto" w:val="clear"/>
            <w:tcMar>
              <w:left w:w="30" w:type="dxa"/>
            </w:tcMar>
            <w:vAlign w:val="center"/>
          </w:tcPr>
          <w:p>
            <w:pPr>
              <w:pStyle w:val="TableContents"/>
              <w:spacing w:before="0" w:after="283"/>
              <w:jc w:val="center"/>
              <w:rPr>
                <w:sz w:val="20"/>
              </w:rPr>
            </w:pPr>
            <w:r>
              <w:rPr>
                <w:sz w:val="20"/>
              </w:rPr>
              <w:t>Ticker symbol(s)</w:t>
            </w:r>
          </w:p>
        </w:tc>
        <w:tc>
          <w:tcPr>
            <w:tcW w:w="3590" w:type="dxa"/>
            <w:tcBorders>
              <w:left w:val="single" w:sz="8" w:space="0" w:color="000000"/>
              <w:bottom w:val="single" w:sz="8" w:space="0" w:color="000000"/>
              <w:right w:val="single" w:sz="8" w:space="0" w:color="000000"/>
            </w:tcBorders>
            <w:shd w:fill="auto" w:val="clear"/>
            <w:tcMar>
              <w:left w:w="30" w:type="dxa"/>
              <w:right w:w="30" w:type="dxa"/>
            </w:tcMar>
            <w:vAlign w:val="center"/>
          </w:tcPr>
          <w:p>
            <w:pPr>
              <w:pStyle w:val="TableContents"/>
              <w:spacing w:before="0" w:after="283"/>
              <w:jc w:val="center"/>
              <w:rPr>
                <w:sz w:val="20"/>
              </w:rPr>
            </w:pPr>
            <w:r>
              <w:rPr>
                <w:sz w:val="20"/>
              </w:rPr>
              <w:t>Name of each exchange on which registered</w:t>
            </w:r>
          </w:p>
        </w:tc>
      </w:tr>
      <w:tr>
        <w:trPr/>
        <w:tc>
          <w:tcPr>
            <w:tcW w:w="2645" w:type="dxa"/>
            <w:tcBorders>
              <w:left w:val="single" w:sz="8" w:space="0" w:color="000000"/>
              <w:bottom w:val="single" w:sz="8" w:space="0" w:color="000000"/>
            </w:tcBorders>
            <w:shd w:fill="auto" w:val="clear"/>
            <w:tcMar>
              <w:left w:w="30" w:type="dxa"/>
            </w:tcMar>
            <w:vAlign w:val="center"/>
          </w:tcPr>
          <w:p>
            <w:pPr>
              <w:pStyle w:val="TableContents"/>
              <w:spacing w:before="0" w:after="283"/>
              <w:jc w:val="center"/>
              <w:rPr>
                <w:sz w:val="20"/>
              </w:rPr>
            </w:pPr>
            <w:r>
              <w:rPr>
                <w:sz w:val="20"/>
              </w:rPr>
              <w:t>Common Stock, $0.01 par value</w:t>
            </w:r>
          </w:p>
        </w:tc>
        <w:tc>
          <w:tcPr>
            <w:tcW w:w="1385" w:type="dxa"/>
            <w:tcBorders>
              <w:left w:val="single" w:sz="8" w:space="0" w:color="000000"/>
              <w:bottom w:val="single" w:sz="8" w:space="0" w:color="000000"/>
            </w:tcBorders>
            <w:shd w:fill="auto" w:val="clear"/>
            <w:tcMar>
              <w:left w:w="30" w:type="dxa"/>
            </w:tcMar>
            <w:vAlign w:val="center"/>
          </w:tcPr>
          <w:p>
            <w:pPr>
              <w:pStyle w:val="TableContents"/>
              <w:spacing w:before="0" w:after="283"/>
              <w:jc w:val="center"/>
              <w:rPr>
                <w:sz w:val="20"/>
              </w:rPr>
            </w:pPr>
            <w:r>
              <w:rPr>
                <w:sz w:val="20"/>
              </w:rPr>
              <w:t>ACUR</w:t>
            </w:r>
          </w:p>
        </w:tc>
        <w:tc>
          <w:tcPr>
            <w:tcW w:w="3590" w:type="dxa"/>
            <w:tcBorders>
              <w:left w:val="single" w:sz="8" w:space="0" w:color="000000"/>
              <w:bottom w:val="single" w:sz="8" w:space="0" w:color="000000"/>
              <w:right w:val="single" w:sz="8" w:space="0" w:color="000000"/>
            </w:tcBorders>
            <w:shd w:fill="auto" w:val="clear"/>
            <w:tcMar>
              <w:left w:w="30" w:type="dxa"/>
              <w:right w:w="30" w:type="dxa"/>
            </w:tcMar>
            <w:vAlign w:val="center"/>
          </w:tcPr>
          <w:p>
            <w:pPr>
              <w:pStyle w:val="TableContents"/>
              <w:spacing w:before="0" w:after="283"/>
              <w:jc w:val="center"/>
              <w:rPr>
                <w:sz w:val="20"/>
              </w:rPr>
            </w:pPr>
            <w:r>
              <w:rPr>
                <w:sz w:val="20"/>
              </w:rPr>
              <w:t>OTCQB Market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2021, the registrant had 22,104,668 shares of Common Stock, par value $0.01,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DOCUMENTS INCORPORATED BY REFERENCE:</w:t>
      </w:r>
      <w:r>
        <w:rPr>
          <w:rFonts w:ascii="Times New Roman;Times;Serif" w:hAnsi="Times New Roman;Times;Serif"/>
          <w:b w:val="false"/>
          <w:i w:val="false"/>
          <w:caps w:val="false"/>
          <w:smallCaps w:val="false"/>
          <w:sz w:val="20"/>
        </w:rPr>
        <w:t xml:space="preserve"> Part III of this Annual Report on Form 10-K incorporates by reference portions of the registrant’s Proxy Statement for its 2021 Annual Meeting of Stockholders, which Proxy Statement will be filed with the United States Securities and Exchange Commission within 120 days after the end of the registrant’s 2020 fiscal year.</w:t>
      </w:r>
    </w:p>
    <w:p>
      <w:pPr>
        <w:pStyle w:val="TextBody"/>
        <w:spacing w:before="0" w:after="0"/>
        <w:ind w:left="0" w:right="0" w:firstLine="7305"/>
        <w:jc w:val="both"/>
        <w:rPr>
          <w:caps w:val="false"/>
          <w:smallCaps w:val="false"/>
        </w:rPr>
      </w:pPr>
      <w:r>
        <w:rPr>
          <w:caps w:val="false"/>
          <w:smallCaps w:val="false"/>
        </w:rPr>
        <w:t> </w:t>
      </w:r>
    </w:p>
    <w:p>
      <w:pPr>
        <w:pStyle w:val="TextBody"/>
        <w:spacing w:before="60" w:after="283"/>
        <w:ind w:left="0" w:right="0" w:firstLine="7305"/>
        <w:rPr>
          <w:bdr w:val="single" w:sz="8" w:space="1" w:color="000000"/>
        </w:rPr>
      </w:pPr>
      <w:r>
        <w:rPr>
          <w:bdr w:val="single" w:sz="8" w:space="1" w:color="000000"/>
        </w:rPr>
        <w:t> </w:t>
      </w:r>
    </w:p>
    <w:p>
      <w:pPr>
        <w:pStyle w:val="TextBody"/>
        <w:spacing w:before="0" w:after="0"/>
        <w:ind w:left="0" w:right="0" w:firstLine="7305"/>
        <w:jc w:val="both"/>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firstLine="7305"/>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3"/>
        <w:gridCol w:w="60"/>
        <w:gridCol w:w="8781"/>
        <w:gridCol w:w="60"/>
        <w:gridCol w:w="106"/>
        <w:gridCol w:w="409"/>
        <w:gridCol w:w="76"/>
      </w:tblGrid>
      <w:tr>
        <w:trPr/>
        <w:tc>
          <w:tcPr>
            <w:tcW w:w="9554"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PAGE</w:t>
            </w:r>
          </w:p>
        </w:tc>
        <w:tc>
          <w:tcPr>
            <w:tcW w:w="76" w:type="dxa"/>
            <w:tcBorders/>
            <w:shd w:fill="auto" w:val="clear"/>
            <w:vAlign w:val="center"/>
          </w:tcPr>
          <w:p>
            <w:pPr>
              <w:pStyle w:val="TableContents"/>
              <w:spacing w:before="0" w:after="283"/>
              <w:rPr/>
            </w:pPr>
            <w:r>
              <w:rPr/>
              <w:t> </w:t>
            </w:r>
          </w:p>
        </w:tc>
      </w:tr>
      <w:tr>
        <w:trPr/>
        <w:tc>
          <w:tcPr>
            <w:tcW w:w="7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center"/>
              <w:rPr/>
            </w:pPr>
            <w:hyperlink w:anchor="a_007">
              <w:r>
                <w:rPr>
                  <w:rStyle w:val="InternetLink"/>
                  <w:sz w:val="20"/>
                </w:rPr>
                <w:t>PART I</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r>
              <w:rPr/>
              <w:t> </w:t>
            </w:r>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_008">
              <w:r>
                <w:rPr>
                  <w:rStyle w:val="InternetLink"/>
                  <w:sz w:val="20"/>
                </w:rPr>
                <w:t>Item 1.</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rPr/>
            </w:pPr>
            <w:hyperlink w:anchor="a_008">
              <w:r>
                <w:rPr>
                  <w:rStyle w:val="InternetLink"/>
                  <w:sz w:val="20"/>
                </w:rPr>
                <w:t>Business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_008">
              <w:r>
                <w:rPr>
                  <w:rStyle w:val="InternetLink"/>
                  <w:sz w:val="20"/>
                </w:rPr>
                <w:t>2</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a_009">
              <w:r>
                <w:rPr>
                  <w:rStyle w:val="InternetLink"/>
                  <w:sz w:val="20"/>
                </w:rPr>
                <w:t>Item 1A.</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_009">
              <w:r>
                <w:rPr>
                  <w:rStyle w:val="InternetLink"/>
                  <w:sz w:val="20"/>
                </w:rPr>
                <w:t>Risk Factors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_009">
              <w:r>
                <w:rPr>
                  <w:rStyle w:val="InternetLink"/>
                  <w:sz w:val="20"/>
                </w:rPr>
                <w:t>26</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item1b_001">
              <w:r>
                <w:rPr>
                  <w:rStyle w:val="InternetLink"/>
                  <w:sz w:val="20"/>
                </w:rPr>
                <w:t>Item 1B.</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item1b_001">
              <w:r>
                <w:rPr>
                  <w:rStyle w:val="InternetLink"/>
                  <w:sz w:val="20"/>
                </w:rPr>
                <w:t>Unresolved Staff Comments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item1b_001">
              <w:r>
                <w:rPr>
                  <w:rStyle w:val="InternetLink"/>
                  <w:sz w:val="20"/>
                </w:rPr>
                <w:t>38</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item2_002">
              <w:r>
                <w:rPr>
                  <w:rStyle w:val="InternetLink"/>
                  <w:sz w:val="20"/>
                </w:rPr>
                <w:t>Item 2.</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rPr/>
            </w:pPr>
            <w:hyperlink w:anchor="item2_002">
              <w:r>
                <w:rPr>
                  <w:rStyle w:val="InternetLink"/>
                  <w:sz w:val="20"/>
                </w:rPr>
                <w:t>Properties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item2_002">
              <w:r>
                <w:rPr>
                  <w:rStyle w:val="InternetLink"/>
                  <w:sz w:val="20"/>
                </w:rPr>
                <w:t>38</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item3_003">
              <w:r>
                <w:rPr>
                  <w:rStyle w:val="InternetLink"/>
                  <w:sz w:val="20"/>
                </w:rPr>
                <w:t>Item 3.</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item3_003">
              <w:r>
                <w:rPr>
                  <w:rStyle w:val="InternetLink"/>
                  <w:sz w:val="20"/>
                </w:rPr>
                <w:t>Legal Proceedings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item3_003">
              <w:r>
                <w:rPr>
                  <w:rStyle w:val="InternetLink"/>
                  <w:sz w:val="20"/>
                </w:rPr>
                <w:t>38</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item4_004">
              <w:r>
                <w:rPr>
                  <w:rStyle w:val="InternetLink"/>
                  <w:sz w:val="20"/>
                </w:rPr>
                <w:t>Item 4.</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item4_004">
              <w:r>
                <w:rPr>
                  <w:rStyle w:val="InternetLink"/>
                  <w:sz w:val="20"/>
                </w:rPr>
                <w:t>Mine Safety Disclosures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item4_004">
              <w:r>
                <w:rPr>
                  <w:rStyle w:val="InternetLink"/>
                  <w:sz w:val="20"/>
                </w:rPr>
                <w:t>38</w:t>
              </w:r>
            </w:hyperlink>
          </w:p>
        </w:tc>
        <w:tc>
          <w:tcPr>
            <w:tcW w:w="76" w:type="dxa"/>
            <w:tcBorders/>
            <w:shd w:fill="CCEEFF" w:val="clear"/>
            <w:vAlign w:val="center"/>
          </w:tcPr>
          <w:p>
            <w:pPr>
              <w:pStyle w:val="TableContents"/>
              <w:spacing w:before="0" w:after="283"/>
              <w:jc w:val="left"/>
              <w:rPr/>
            </w:pPr>
            <w:r>
              <w:rPr/>
              <w:t> </w:t>
            </w:r>
          </w:p>
        </w:tc>
      </w:tr>
      <w:tr>
        <w:trPr/>
        <w:tc>
          <w:tcPr>
            <w:tcW w:w="71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center"/>
              <w:rPr/>
            </w:pPr>
            <w:hyperlink w:anchor="a_010">
              <w:r>
                <w:rPr>
                  <w:rStyle w:val="InternetLink"/>
                  <w:sz w:val="20"/>
                </w:rPr>
                <w:t>PART II</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r>
              <w:rPr/>
              <w:t> </w:t>
            </w:r>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item5_005">
              <w:r>
                <w:rPr>
                  <w:rStyle w:val="InternetLink"/>
                  <w:sz w:val="20"/>
                </w:rPr>
                <w:t>Item 5.</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item5_005">
              <w:r>
                <w:rPr>
                  <w:rStyle w:val="InternetLink"/>
                  <w:sz w:val="20"/>
                </w:rPr>
                <w:t>Market for Registrant’s Common Equity, Related Stockholder Matters and Issuer Purchases of Equity Securities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item5_005">
              <w:r>
                <w:rPr>
                  <w:rStyle w:val="InternetLink"/>
                  <w:sz w:val="20"/>
                </w:rPr>
                <w:t>39</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item6_006">
              <w:r>
                <w:rPr>
                  <w:rStyle w:val="InternetLink"/>
                  <w:sz w:val="20"/>
                </w:rPr>
                <w:t>Item 6.</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item6_006">
              <w:r>
                <w:rPr>
                  <w:rStyle w:val="InternetLink"/>
                  <w:sz w:val="20"/>
                </w:rPr>
                <w:t>Selected Financial Data</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item6_006">
              <w:r>
                <w:rPr>
                  <w:rStyle w:val="InternetLink"/>
                  <w:sz w:val="20"/>
                </w:rPr>
                <w:t>39</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item7_007">
              <w:r>
                <w:rPr>
                  <w:rStyle w:val="InternetLink"/>
                  <w:sz w:val="20"/>
                </w:rPr>
                <w:t>Item 7.</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item7_007">
              <w:r>
                <w:rPr>
                  <w:rStyle w:val="InternetLink"/>
                  <w:sz w:val="20"/>
                </w:rPr>
                <w:t>Management’s Discussion and Analysis of Financial Condition and Results of Operations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item7_007">
              <w:r>
                <w:rPr>
                  <w:rStyle w:val="InternetLink"/>
                  <w:sz w:val="20"/>
                </w:rPr>
                <w:t>39</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aA_001">
              <w:r>
                <w:rPr>
                  <w:rStyle w:val="InternetLink"/>
                  <w:sz w:val="20"/>
                </w:rPr>
                <w:t>Item 7A.</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01">
              <w:r>
                <w:rPr>
                  <w:rStyle w:val="InternetLink"/>
                  <w:sz w:val="20"/>
                </w:rPr>
                <w:t>Quantitative and Qualitative Disclosures About Market Risk</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01">
              <w:r>
                <w:rPr>
                  <w:rStyle w:val="InternetLink"/>
                  <w:sz w:val="20"/>
                </w:rPr>
                <w:t>46</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aaA_002">
              <w:r>
                <w:rPr>
                  <w:rStyle w:val="InternetLink"/>
                  <w:sz w:val="20"/>
                </w:rPr>
                <w:t>Item 8.</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aA_002">
              <w:r>
                <w:rPr>
                  <w:rStyle w:val="InternetLink"/>
                  <w:sz w:val="20"/>
                </w:rPr>
                <w:t>Financial Statements and Supplementary Data</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aA_002">
              <w:r>
                <w:rPr>
                  <w:rStyle w:val="InternetLink"/>
                  <w:sz w:val="20"/>
                </w:rPr>
                <w:t>46</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aA_003">
              <w:r>
                <w:rPr>
                  <w:rStyle w:val="InternetLink"/>
                  <w:sz w:val="20"/>
                </w:rPr>
                <w:t>Item 9.</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03">
              <w:r>
                <w:rPr>
                  <w:rStyle w:val="InternetLink"/>
                  <w:sz w:val="20"/>
                </w:rPr>
                <w:t>Changes in and Disagreement with Accountants on Accounting and Financial Disclosure</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03">
              <w:r>
                <w:rPr>
                  <w:rStyle w:val="InternetLink"/>
                  <w:sz w:val="20"/>
                </w:rPr>
                <w:t>46</w:t>
              </w:r>
            </w:hyperlink>
          </w:p>
        </w:tc>
        <w:tc>
          <w:tcPr>
            <w:tcW w:w="76" w:type="dxa"/>
            <w:tcBorders/>
            <w:shd w:fill="FFFFFF" w:val="clear"/>
            <w:vAlign w:val="center"/>
          </w:tcPr>
          <w:p>
            <w:pPr>
              <w:pStyle w:val="TableContents"/>
              <w:spacing w:before="0" w:after="283"/>
              <w:jc w:val="left"/>
              <w:rPr/>
            </w:pPr>
            <w:r>
              <w:rPr/>
              <w:t> </w:t>
            </w:r>
          </w:p>
        </w:tc>
      </w:tr>
      <w:tr>
        <w:trPr/>
        <w:tc>
          <w:tcPr>
            <w:tcW w:w="713" w:type="dxa"/>
            <w:tcBorders/>
            <w:shd w:fill="CCEEFF" w:val="clear"/>
            <w:vAlign w:val="center"/>
          </w:tcPr>
          <w:p>
            <w:pPr>
              <w:pStyle w:val="TableContents"/>
              <w:spacing w:before="0" w:after="283"/>
              <w:jc w:val="left"/>
              <w:rPr/>
            </w:pPr>
            <w:hyperlink w:anchor="aaA_004">
              <w:r>
                <w:rPr>
                  <w:rStyle w:val="InternetLink"/>
                  <w:sz w:val="20"/>
                </w:rPr>
                <w:t>Item 9A.</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aA_004">
              <w:r>
                <w:rPr>
                  <w:rStyle w:val="InternetLink"/>
                  <w:sz w:val="20"/>
                </w:rPr>
                <w:t>Controls and Procedures</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aA_004">
              <w:r>
                <w:rPr>
                  <w:rStyle w:val="InternetLink"/>
                  <w:sz w:val="20"/>
                </w:rPr>
                <w:t>47</w:t>
              </w:r>
            </w:hyperlink>
          </w:p>
        </w:tc>
        <w:tc>
          <w:tcPr>
            <w:tcW w:w="76" w:type="dxa"/>
            <w:tcBorders/>
            <w:shd w:fill="CCEEFF" w:val="clear"/>
            <w:vAlign w:val="center"/>
          </w:tcPr>
          <w:p>
            <w:pPr>
              <w:pStyle w:val="TableContents"/>
              <w:spacing w:before="0" w:after="283"/>
              <w:jc w:val="left"/>
              <w:rPr/>
            </w:pPr>
            <w:r>
              <w:rPr/>
              <w:t> </w:t>
            </w:r>
          </w:p>
        </w:tc>
      </w:tr>
      <w:tr>
        <w:trPr/>
        <w:tc>
          <w:tcPr>
            <w:tcW w:w="713" w:type="dxa"/>
            <w:tcBorders/>
            <w:shd w:fill="FFFFFF" w:val="clear"/>
            <w:vAlign w:val="center"/>
          </w:tcPr>
          <w:p>
            <w:pPr>
              <w:pStyle w:val="TableContents"/>
              <w:spacing w:before="0" w:after="283"/>
              <w:jc w:val="left"/>
              <w:rPr/>
            </w:pPr>
            <w:hyperlink w:anchor="aaA_005">
              <w:r>
                <w:rPr>
                  <w:rStyle w:val="InternetLink"/>
                  <w:sz w:val="20"/>
                </w:rPr>
                <w:t>Item 9B.</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05">
              <w:r>
                <w:rPr>
                  <w:rStyle w:val="InternetLink"/>
                  <w:sz w:val="20"/>
                </w:rPr>
                <w:t>Other Information</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05">
              <w:r>
                <w:rPr>
                  <w:rStyle w:val="InternetLink"/>
                  <w:sz w:val="20"/>
                </w:rPr>
                <w:t>47</w:t>
              </w:r>
            </w:hyperlink>
          </w:p>
        </w:tc>
        <w:tc>
          <w:tcPr>
            <w:tcW w:w="76" w:type="dxa"/>
            <w:tcBorders/>
            <w:shd w:fill="FFFFFF" w:val="clear"/>
            <w:vAlign w:val="center"/>
          </w:tcPr>
          <w:p>
            <w:pPr>
              <w:pStyle w:val="TableContents"/>
              <w:spacing w:before="0" w:after="283"/>
              <w:jc w:val="left"/>
              <w:rPr/>
            </w:pPr>
            <w:r>
              <w:rPr/>
              <w:t> </w:t>
            </w:r>
          </w:p>
        </w:tc>
      </w:tr>
      <w:tr>
        <w:trPr/>
        <w:tc>
          <w:tcPr>
            <w:tcW w:w="7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center"/>
              <w:rPr/>
            </w:pPr>
            <w:hyperlink w:anchor="a_011">
              <w:r>
                <w:rPr>
                  <w:rStyle w:val="InternetLink"/>
                  <w:sz w:val="20"/>
                </w:rPr>
                <w:t>PART III</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r>
              <w:rPr/>
              <w:t> </w:t>
            </w:r>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aA_006">
              <w:r>
                <w:rPr>
                  <w:rStyle w:val="InternetLink"/>
                  <w:sz w:val="20"/>
                </w:rPr>
                <w:t>Item 10.</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06">
              <w:r>
                <w:rPr>
                  <w:rStyle w:val="InternetLink"/>
                  <w:sz w:val="20"/>
                </w:rPr>
                <w:t>Directors, Executive Officers and Corporate Governance</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06">
              <w:r>
                <w:rPr>
                  <w:rStyle w:val="InternetLink"/>
                  <w:sz w:val="20"/>
                </w:rPr>
                <w:t>47</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aaA_007">
              <w:r>
                <w:rPr>
                  <w:rStyle w:val="InternetLink"/>
                  <w:sz w:val="20"/>
                </w:rPr>
                <w:t>Item 11.</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aA_007">
              <w:r>
                <w:rPr>
                  <w:rStyle w:val="InternetLink"/>
                  <w:sz w:val="20"/>
                </w:rPr>
                <w:t>Executive Compensation</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aA_007">
              <w:r>
                <w:rPr>
                  <w:rStyle w:val="InternetLink"/>
                  <w:sz w:val="20"/>
                </w:rPr>
                <w:t>48</w:t>
              </w:r>
            </w:hyperlink>
          </w:p>
        </w:tc>
        <w:tc>
          <w:tcPr>
            <w:tcW w:w="76" w:type="dxa"/>
            <w:tcBorders/>
            <w:shd w:fill="CCEEFF" w:val="clear"/>
            <w:vAlign w:val="center"/>
          </w:tcPr>
          <w:p>
            <w:pPr>
              <w:pStyle w:val="TableContents"/>
              <w:spacing w:before="0" w:after="283"/>
              <w:jc w:val="left"/>
              <w:rPr/>
            </w:pPr>
            <w:r>
              <w:rPr/>
              <w:t> </w:t>
            </w:r>
          </w:p>
        </w:tc>
      </w:tr>
      <w:tr>
        <w:trPr/>
        <w:tc>
          <w:tcPr>
            <w:tcW w:w="713" w:type="dxa"/>
            <w:tcBorders/>
            <w:shd w:fill="FFFFFF" w:val="clear"/>
            <w:vAlign w:val="center"/>
          </w:tcPr>
          <w:p>
            <w:pPr>
              <w:pStyle w:val="TableContents"/>
              <w:spacing w:before="0" w:after="283"/>
              <w:jc w:val="left"/>
              <w:rPr/>
            </w:pPr>
            <w:hyperlink w:anchor="aaA_008">
              <w:r>
                <w:rPr>
                  <w:rStyle w:val="InternetLink"/>
                  <w:sz w:val="20"/>
                </w:rPr>
                <w:t>Item 12.</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08">
              <w:r>
                <w:rPr>
                  <w:rStyle w:val="InternetLink"/>
                  <w:sz w:val="20"/>
                </w:rPr>
                <w:t>Security Ownership of Certain Beneficial Owners and Management and Related Stockholder Matters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08">
              <w:r>
                <w:rPr>
                  <w:rStyle w:val="InternetLink"/>
                  <w:sz w:val="20"/>
                </w:rPr>
                <w:t>48</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aaA_009">
              <w:r>
                <w:rPr>
                  <w:rStyle w:val="InternetLink"/>
                  <w:sz w:val="20"/>
                </w:rPr>
                <w:t>Item 13.</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aA_009">
              <w:r>
                <w:rPr>
                  <w:rStyle w:val="InternetLink"/>
                  <w:sz w:val="20"/>
                </w:rPr>
                <w:t>Certain Relationships and Related Transactions, and Director Independence</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aA_009">
              <w:r>
                <w:rPr>
                  <w:rStyle w:val="InternetLink"/>
                  <w:sz w:val="20"/>
                </w:rPr>
                <w:t>48</w:t>
              </w:r>
            </w:hyperlink>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aA_010">
              <w:r>
                <w:rPr>
                  <w:rStyle w:val="InternetLink"/>
                  <w:sz w:val="20"/>
                </w:rPr>
                <w:t>Item 14.</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10">
              <w:r>
                <w:rPr>
                  <w:rStyle w:val="InternetLink"/>
                  <w:sz w:val="20"/>
                </w:rPr>
                <w:t>Principal Accounting Fees and Services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10">
              <w:r>
                <w:rPr>
                  <w:rStyle w:val="InternetLink"/>
                  <w:sz w:val="20"/>
                </w:rPr>
                <w:t>48</w:t>
              </w:r>
            </w:hyperlink>
          </w:p>
        </w:tc>
        <w:tc>
          <w:tcPr>
            <w:tcW w:w="76" w:type="dxa"/>
            <w:tcBorders/>
            <w:shd w:fill="FFFFFF" w:val="clear"/>
            <w:vAlign w:val="center"/>
          </w:tcPr>
          <w:p>
            <w:pPr>
              <w:pStyle w:val="TableContents"/>
              <w:spacing w:before="0" w:after="283"/>
              <w:jc w:val="left"/>
              <w:rPr/>
            </w:pPr>
            <w:r>
              <w:rPr/>
              <w:t> </w:t>
            </w:r>
          </w:p>
        </w:tc>
      </w:tr>
      <w:tr>
        <w:trPr/>
        <w:tc>
          <w:tcPr>
            <w:tcW w:w="7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center"/>
              <w:rPr/>
            </w:pPr>
            <w:hyperlink w:anchor="a_012">
              <w:r>
                <w:rPr>
                  <w:rStyle w:val="InternetLink"/>
                  <w:sz w:val="20"/>
                </w:rPr>
                <w:t>PART IV</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r>
              <w:rPr/>
              <w:t> </w:t>
            </w:r>
          </w:p>
        </w:tc>
        <w:tc>
          <w:tcPr>
            <w:tcW w:w="76" w:type="dxa"/>
            <w:tcBorders/>
            <w:shd w:fill="CCEEFF" w:val="clear"/>
            <w:vAlign w:val="center"/>
          </w:tcPr>
          <w:p>
            <w:pPr>
              <w:pStyle w:val="TableContents"/>
              <w:spacing w:before="0" w:after="283"/>
              <w:ind w:left="0" w:right="0" w:hanging="180"/>
              <w:jc w:val="left"/>
              <w:rPr/>
            </w:pPr>
            <w:r>
              <w:rPr/>
              <w:t> </w:t>
            </w:r>
          </w:p>
        </w:tc>
      </w:tr>
      <w:tr>
        <w:trPr/>
        <w:tc>
          <w:tcPr>
            <w:tcW w:w="713" w:type="dxa"/>
            <w:tcBorders/>
            <w:shd w:fill="FFFFFF" w:val="clear"/>
            <w:vAlign w:val="center"/>
          </w:tcPr>
          <w:p>
            <w:pPr>
              <w:pStyle w:val="TableContents"/>
              <w:spacing w:before="0" w:after="283"/>
              <w:jc w:val="left"/>
              <w:rPr/>
            </w:pPr>
            <w:hyperlink w:anchor="aaA_011">
              <w:r>
                <w:rPr>
                  <w:rStyle w:val="InternetLink"/>
                  <w:sz w:val="20"/>
                </w:rPr>
                <w:t>Item 15.</w:t>
              </w:r>
            </w:hyperlink>
          </w:p>
        </w:tc>
        <w:tc>
          <w:tcPr>
            <w:tcW w:w="60" w:type="dxa"/>
            <w:tcBorders/>
            <w:shd w:fill="FFFFFF" w:val="clear"/>
            <w:vAlign w:val="center"/>
          </w:tcPr>
          <w:p>
            <w:pPr>
              <w:pStyle w:val="TableContents"/>
              <w:spacing w:before="0" w:after="283"/>
              <w:rPr/>
            </w:pPr>
            <w:r>
              <w:rPr/>
              <w:t> </w:t>
            </w:r>
          </w:p>
        </w:tc>
        <w:tc>
          <w:tcPr>
            <w:tcW w:w="8781" w:type="dxa"/>
            <w:tcBorders/>
            <w:shd w:fill="FFFFFF" w:val="clear"/>
            <w:vAlign w:val="center"/>
          </w:tcPr>
          <w:p>
            <w:pPr>
              <w:pStyle w:val="TableContents"/>
              <w:spacing w:before="0" w:after="283"/>
              <w:jc w:val="left"/>
              <w:rPr/>
            </w:pPr>
            <w:hyperlink w:anchor="aaA_011">
              <w:r>
                <w:rPr>
                  <w:rStyle w:val="InternetLink"/>
                  <w:sz w:val="20"/>
                </w:rPr>
                <w:t>Exhibits, Financial Statement Schedules</w:t>
              </w:r>
            </w:hyperlink>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jc w:val="left"/>
              <w:rPr/>
            </w:pPr>
            <w:r>
              <w:rPr/>
              <w:t> </w:t>
            </w:r>
          </w:p>
        </w:tc>
        <w:tc>
          <w:tcPr>
            <w:tcW w:w="409" w:type="dxa"/>
            <w:tcBorders/>
            <w:shd w:fill="FFFFFF" w:val="clear"/>
            <w:vAlign w:val="center"/>
          </w:tcPr>
          <w:p>
            <w:pPr>
              <w:pStyle w:val="TableContents"/>
              <w:spacing w:before="0" w:after="283"/>
              <w:jc w:val="center"/>
              <w:rPr/>
            </w:pPr>
            <w:hyperlink w:anchor="aaA_011">
              <w:r>
                <w:rPr>
                  <w:rStyle w:val="InternetLink"/>
                  <w:sz w:val="20"/>
                </w:rPr>
                <w:t>48</w:t>
              </w:r>
            </w:hyperlink>
          </w:p>
        </w:tc>
        <w:tc>
          <w:tcPr>
            <w:tcW w:w="76" w:type="dxa"/>
            <w:tcBorders/>
            <w:shd w:fill="FFFFFF" w:val="clear"/>
            <w:vAlign w:val="center"/>
          </w:tcPr>
          <w:p>
            <w:pPr>
              <w:pStyle w:val="TableContents"/>
              <w:spacing w:before="0" w:after="283"/>
              <w:ind w:left="0" w:right="0" w:hanging="180"/>
              <w:jc w:val="left"/>
              <w:rPr/>
            </w:pPr>
            <w:r>
              <w:rPr/>
              <w:t> </w:t>
            </w:r>
          </w:p>
        </w:tc>
      </w:tr>
      <w:tr>
        <w:trPr/>
        <w:tc>
          <w:tcPr>
            <w:tcW w:w="713" w:type="dxa"/>
            <w:tcBorders/>
            <w:shd w:fill="CCEEFF" w:val="clear"/>
            <w:vAlign w:val="center"/>
          </w:tcPr>
          <w:p>
            <w:pPr>
              <w:pStyle w:val="TableContents"/>
              <w:spacing w:before="0" w:after="283"/>
              <w:jc w:val="left"/>
              <w:rPr/>
            </w:pPr>
            <w:hyperlink w:anchor="aaA_012">
              <w:r>
                <w:rPr>
                  <w:rStyle w:val="InternetLink"/>
                  <w:sz w:val="20"/>
                </w:rPr>
                <w:t>Item 16.</w:t>
              </w:r>
            </w:hyperlink>
          </w:p>
        </w:tc>
        <w:tc>
          <w:tcPr>
            <w:tcW w:w="60" w:type="dxa"/>
            <w:tcBorders/>
            <w:shd w:fill="CCEEFF" w:val="clear"/>
            <w:vAlign w:val="center"/>
          </w:tcPr>
          <w:p>
            <w:pPr>
              <w:pStyle w:val="TableContents"/>
              <w:spacing w:before="0" w:after="283"/>
              <w:rPr/>
            </w:pPr>
            <w:r>
              <w:rPr/>
              <w:t> </w:t>
            </w:r>
          </w:p>
        </w:tc>
        <w:tc>
          <w:tcPr>
            <w:tcW w:w="8781" w:type="dxa"/>
            <w:tcBorders/>
            <w:shd w:fill="CCEEFF" w:val="clear"/>
            <w:vAlign w:val="center"/>
          </w:tcPr>
          <w:p>
            <w:pPr>
              <w:pStyle w:val="TableContents"/>
              <w:spacing w:before="0" w:after="283"/>
              <w:jc w:val="left"/>
              <w:rPr/>
            </w:pPr>
            <w:hyperlink w:anchor="aaA_012">
              <w:r>
                <w:rPr>
                  <w:rStyle w:val="InternetLink"/>
                  <w:sz w:val="20"/>
                </w:rPr>
                <w:t>Form 10-K Summary</w:t>
              </w:r>
            </w:hyperlink>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jc w:val="left"/>
              <w:rPr/>
            </w:pPr>
            <w:r>
              <w:rPr/>
              <w:t> </w:t>
            </w:r>
          </w:p>
        </w:tc>
        <w:tc>
          <w:tcPr>
            <w:tcW w:w="409" w:type="dxa"/>
            <w:tcBorders/>
            <w:shd w:fill="CCEEFF" w:val="clear"/>
            <w:vAlign w:val="center"/>
          </w:tcPr>
          <w:p>
            <w:pPr>
              <w:pStyle w:val="TableContents"/>
              <w:spacing w:before="0" w:after="283"/>
              <w:jc w:val="center"/>
              <w:rPr/>
            </w:pPr>
            <w:hyperlink w:anchor="aaA_012">
              <w:r>
                <w:rPr>
                  <w:rStyle w:val="InternetLink"/>
                  <w:sz w:val="20"/>
                </w:rPr>
                <w:t>48</w:t>
              </w:r>
            </w:hyperlink>
          </w:p>
        </w:tc>
        <w:tc>
          <w:tcPr>
            <w:tcW w:w="76"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iii</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ability to obtain funding for our continuing operations, including the development of our products utilizing our LIMITx™ and Impede® technologies;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can renegotiate the date by which we are required to obtain FDA acceptance, currently July 31, 2021, for an NDA for LTX-03 by our Agreement with AD Pharma on which we depend to finance operations;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whether our licensing partners will develop any additional products and utilize Acura for such development;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tc>
      </w:tr>
    </w:tbl>
    <w:tbl>
      <w:tblPr>
        <w:tblW w:w="5000" w:type="pct"/>
        <w:jc w:val="left"/>
        <w:tblInd w:w="0" w:type="dxa"/>
        <w:tblCellMar>
          <w:top w:w="0" w:type="dxa"/>
          <w:left w:w="0" w:type="dxa"/>
          <w:bottom w:w="0" w:type="dxa"/>
          <w:right w:w="0" w:type="dxa"/>
        </w:tblCellMar>
      </w:tblPr>
      <w:tblGrid>
        <w:gridCol w:w="44"/>
        <w:gridCol w:w="146"/>
        <w:gridCol w:w="10015"/>
      </w:tblGrid>
      <w:tr>
        <w:trPr/>
        <w:tc>
          <w:tcPr>
            <w:tcW w:w="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Symbol" w:hAnsi="Symbol"/>
              </w:rPr>
            </w:pPr>
            <w:r>
              <w:rPr>
                <w:rFonts w:ascii="Symbol" w:hAnsi="Symbol"/>
              </w:rPr>
              <w:t>·</w:t>
            </w:r>
          </w:p>
        </w:tc>
        <w:tc>
          <w:tcPr>
            <w:tcW w:w="10015" w:type="dxa"/>
            <w:tcBorders/>
            <w:shd w:fill="auto" w:val="clear"/>
            <w:vAlign w:val="center"/>
          </w:tcPr>
          <w:p>
            <w:pPr>
              <w:pStyle w:val="TableContents"/>
              <w:spacing w:before="0" w:after="283"/>
              <w:jc w:val="both"/>
              <w:rPr/>
            </w:pPr>
            <w:r>
              <w:rPr/>
              <w:t>whether LIMITx will retard the release of opioid active ingredients as dose levels increase;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whether the extent to which products formulated with the LIMITx Technology reduce respiratory depression will be determined sufficient by the FDA to support approval or labelling describing safety features;</w:t>
            </w:r>
          </w:p>
        </w:tc>
      </w:tr>
    </w:tbl>
    <w:tbl>
      <w:tblPr>
        <w:tblW w:w="5000" w:type="pct"/>
        <w:jc w:val="left"/>
        <w:tblInd w:w="0" w:type="dxa"/>
        <w:tblCellMar>
          <w:top w:w="0" w:type="dxa"/>
          <w:left w:w="0" w:type="dxa"/>
          <w:bottom w:w="0" w:type="dxa"/>
          <w:right w:w="0" w:type="dxa"/>
        </w:tblCellMar>
      </w:tblPr>
      <w:tblGrid>
        <w:gridCol w:w="46"/>
        <w:gridCol w:w="152"/>
        <w:gridCol w:w="10007"/>
      </w:tblGrid>
      <w:tr>
        <w:trPr/>
        <w:tc>
          <w:tcPr>
            <w:tcW w:w="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rFonts w:ascii="Symbol" w:hAnsi="Symbol"/>
              </w:rPr>
            </w:pPr>
            <w:r>
              <w:rPr>
                <w:rFonts w:ascii="Symbol" w:hAnsi="Symbol"/>
              </w:rPr>
              <w:t>·</w:t>
            </w:r>
          </w:p>
        </w:tc>
        <w:tc>
          <w:tcPr>
            <w:tcW w:w="10007" w:type="dxa"/>
            <w:tcBorders/>
            <w:shd w:fill="auto" w:val="clear"/>
            <w:vAlign w:val="center"/>
          </w:tcPr>
          <w:p>
            <w:pPr>
              <w:pStyle w:val="TableContents"/>
              <w:spacing w:before="0" w:after="283"/>
              <w:jc w:val="both"/>
              <w:rPr/>
            </w:pPr>
            <w:r>
              <w:rPr/>
              <w:t>whether our LIMITx Technology can be expanded into extended-release formulations;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and our licensee’s ability to successfully launch and commercialize our products and technologies, including Oxaydo® Tablets and our Nexafed® products;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results and timing of our development of our LIMITx Technology, including, but not limited to, the submission of a New Drug Application and/or FDA filing acceptance;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or our licensees’ ability to obtain necessary regulatory approvals and commercialize products utilizing our technologies;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market acceptance of, timing of commercial launch and competitive environment for any of our products;</w:t>
            </w:r>
          </w:p>
        </w:tc>
      </w:tr>
    </w:tbl>
    <w:tbl>
      <w:tblPr>
        <w:tblW w:w="5000" w:type="pct"/>
        <w:jc w:val="left"/>
        <w:tblInd w:w="0" w:type="dxa"/>
        <w:tblCellMar>
          <w:top w:w="0" w:type="dxa"/>
          <w:left w:w="0" w:type="dxa"/>
          <w:bottom w:w="0" w:type="dxa"/>
          <w:right w:w="0" w:type="dxa"/>
        </w:tblCellMar>
      </w:tblPr>
      <w:tblGrid>
        <w:gridCol w:w="63"/>
        <w:gridCol w:w="209"/>
        <w:gridCol w:w="9933"/>
      </w:tblGrid>
      <w:tr>
        <w:trPr/>
        <w:tc>
          <w:tcPr>
            <w:tcW w:w="6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rFonts w:ascii="Symbol" w:hAnsi="Symbol"/>
              </w:rPr>
            </w:pPr>
            <w:r>
              <w:rPr>
                <w:rFonts w:ascii="Symbol" w:hAnsi="Symbol"/>
              </w:rPr>
              <w:t>·</w:t>
            </w:r>
          </w:p>
        </w:tc>
        <w:tc>
          <w:tcPr>
            <w:tcW w:w="9933" w:type="dxa"/>
            <w:tcBorders/>
            <w:shd w:fill="auto" w:val="clear"/>
            <w:vAlign w:val="center"/>
          </w:tcPr>
          <w:p>
            <w:pPr>
              <w:pStyle w:val="TableContents"/>
              <w:spacing w:before="0" w:after="283"/>
              <w:jc w:val="both"/>
              <w:rPr/>
            </w:pPr>
            <w:r>
              <w:rPr/>
              <w:t>expectations regarding potential market share for our products;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ability to develop and enter into additional license agreements for our product candidates using our technologies;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our exposure to product liability and other lawsuits in connection with the commercialization of our products;</w:t>
            </w:r>
          </w:p>
        </w:tc>
      </w:tr>
    </w:tbl>
    <w:tbl>
      <w:tblPr>
        <w:tblW w:w="5000" w:type="pct"/>
        <w:jc w:val="left"/>
        <w:tblInd w:w="0" w:type="dxa"/>
        <w:tblCellMar>
          <w:top w:w="0" w:type="dxa"/>
          <w:left w:w="0" w:type="dxa"/>
          <w:bottom w:w="0" w:type="dxa"/>
          <w:right w:w="0" w:type="dxa"/>
        </w:tblCellMar>
      </w:tblPr>
      <w:tblGrid>
        <w:gridCol w:w="44"/>
        <w:gridCol w:w="146"/>
        <w:gridCol w:w="10015"/>
      </w:tblGrid>
      <w:tr>
        <w:trPr/>
        <w:tc>
          <w:tcPr>
            <w:tcW w:w="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Symbol" w:hAnsi="Symbol"/>
              </w:rPr>
            </w:pPr>
            <w:r>
              <w:rPr>
                <w:rFonts w:ascii="Symbol" w:hAnsi="Symbol"/>
              </w:rPr>
              <w:t>·</w:t>
            </w:r>
          </w:p>
        </w:tc>
        <w:tc>
          <w:tcPr>
            <w:tcW w:w="10015" w:type="dxa"/>
            <w:tcBorders/>
            <w:shd w:fill="auto" w:val="clear"/>
            <w:vAlign w:val="center"/>
          </w:tcPr>
          <w:p>
            <w:pPr>
              <w:pStyle w:val="TableContents"/>
              <w:spacing w:before="0" w:after="283"/>
              <w:jc w:val="both"/>
              <w:rPr/>
            </w:pPr>
            <w:r>
              <w:rPr/>
              <w:t>the increasing cost of insurance and the availability of product liability insurance coverage;</w:t>
            </w:r>
          </w:p>
        </w:tc>
      </w:tr>
    </w:tbl>
    <w:tbl>
      <w:tblPr>
        <w:tblW w:w="5000" w:type="pct"/>
        <w:jc w:val="left"/>
        <w:tblInd w:w="0" w:type="dxa"/>
        <w:tblCellMar>
          <w:top w:w="0" w:type="dxa"/>
          <w:left w:w="0" w:type="dxa"/>
          <w:bottom w:w="0" w:type="dxa"/>
          <w:right w:w="0" w:type="dxa"/>
        </w:tblCellMar>
      </w:tblPr>
      <w:tblGrid>
        <w:gridCol w:w="40"/>
        <w:gridCol w:w="135"/>
        <w:gridCol w:w="10030"/>
      </w:tblGrid>
      <w:tr>
        <w:trPr/>
        <w:tc>
          <w:tcPr>
            <w:tcW w:w="4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rFonts w:ascii="Symbol" w:hAnsi="Symbol"/>
              </w:rPr>
            </w:pPr>
            <w:r>
              <w:rPr>
                <w:rFonts w:ascii="Symbol" w:hAnsi="Symbol"/>
              </w:rPr>
              <w:t>·</w:t>
            </w:r>
          </w:p>
        </w:tc>
        <w:tc>
          <w:tcPr>
            <w:tcW w:w="10030" w:type="dxa"/>
            <w:tcBorders/>
            <w:shd w:fill="auto" w:val="clear"/>
            <w:vAlign w:val="center"/>
          </w:tcPr>
          <w:p>
            <w:pPr>
              <w:pStyle w:val="TableContents"/>
              <w:spacing w:before="0" w:after="283"/>
              <w:jc w:val="both"/>
              <w:rPr/>
            </w:pPr>
            <w:r>
              <w:rPr/>
              <w:t>the ability to avoid infringement of patents, trademarks and other proprietary rights of third parties;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ability of our patents to protect our products from generic competition and our ability to protect and enforce our patent rights in any paragraph IV patent infringement litigation;</w:t>
            </w:r>
          </w:p>
        </w:tc>
      </w:tr>
    </w:tbl>
    <w:tbl>
      <w:tblPr>
        <w:tblW w:w="5000" w:type="pct"/>
        <w:jc w:val="left"/>
        <w:tblInd w:w="0" w:type="dxa"/>
        <w:tblCellMar>
          <w:top w:w="0" w:type="dxa"/>
          <w:left w:w="0" w:type="dxa"/>
          <w:bottom w:w="0" w:type="dxa"/>
          <w:right w:w="0" w:type="dxa"/>
        </w:tblCellMar>
      </w:tblPr>
      <w:tblGrid>
        <w:gridCol w:w="42"/>
        <w:gridCol w:w="139"/>
        <w:gridCol w:w="10024"/>
      </w:tblGrid>
      <w:tr>
        <w:trPr/>
        <w:tc>
          <w:tcPr>
            <w:tcW w:w="4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rFonts w:ascii="Symbol" w:hAnsi="Symbol"/>
              </w:rPr>
            </w:pPr>
            <w:r>
              <w:rPr>
                <w:rFonts w:ascii="Symbol" w:hAnsi="Symbol"/>
              </w:rPr>
              <w:t>·</w:t>
            </w:r>
          </w:p>
        </w:tc>
        <w:tc>
          <w:tcPr>
            <w:tcW w:w="10024" w:type="dxa"/>
            <w:tcBorders/>
            <w:shd w:fill="auto" w:val="clear"/>
            <w:vAlign w:val="center"/>
          </w:tcPr>
          <w:p>
            <w:pPr>
              <w:pStyle w:val="TableContents"/>
              <w:spacing w:before="0" w:after="283"/>
              <w:jc w:val="both"/>
              <w:rPr/>
            </w:pPr>
            <w:r>
              <w:rPr/>
              <w:t>whether the FDA will agree with or accept the results of our studies for our product candidates;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adequacy of the development program for our product candidates, including whether additional clinical studies will be required to support FDA approval of our product candidates;</w:t>
            </w:r>
          </w:p>
        </w:tc>
      </w:tr>
    </w:tbl>
    <w:tbl>
      <w:tblPr>
        <w:tblW w:w="5000" w:type="pct"/>
        <w:jc w:val="left"/>
        <w:tblInd w:w="0" w:type="dxa"/>
        <w:tblCellMar>
          <w:top w:w="0" w:type="dxa"/>
          <w:left w:w="0" w:type="dxa"/>
          <w:bottom w:w="0" w:type="dxa"/>
          <w:right w:w="0" w:type="dxa"/>
        </w:tblCellMar>
      </w:tblPr>
      <w:tblGrid>
        <w:gridCol w:w="108"/>
        <w:gridCol w:w="359"/>
        <w:gridCol w:w="9738"/>
      </w:tblGrid>
      <w:tr>
        <w:trPr/>
        <w:tc>
          <w:tcPr>
            <w:tcW w:w="10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rFonts w:ascii="Symbol" w:hAnsi="Symbol"/>
              </w:rPr>
            </w:pPr>
            <w:r>
              <w:rPr>
                <w:rFonts w:ascii="Symbol" w:hAnsi="Symbol"/>
              </w:rPr>
              <w:t>·</w:t>
            </w:r>
          </w:p>
        </w:tc>
        <w:tc>
          <w:tcPr>
            <w:tcW w:w="9738" w:type="dxa"/>
            <w:tcBorders/>
            <w:shd w:fill="auto" w:val="clear"/>
            <w:vAlign w:val="center"/>
          </w:tcPr>
          <w:p>
            <w:pPr>
              <w:pStyle w:val="TableContents"/>
              <w:spacing w:before="0" w:after="283"/>
              <w:jc w:val="both"/>
              <w:rPr/>
            </w:pPr>
            <w:r>
              <w:rPr/>
              <w:t>changes in regulatory requirements;</w:t>
            </w:r>
          </w:p>
        </w:tc>
      </w:tr>
    </w:tbl>
    <w:tbl>
      <w:tblPr>
        <w:tblW w:w="5000" w:type="pct"/>
        <w:jc w:val="left"/>
        <w:tblInd w:w="0" w:type="dxa"/>
        <w:tblCellMar>
          <w:top w:w="0" w:type="dxa"/>
          <w:left w:w="0" w:type="dxa"/>
          <w:bottom w:w="0" w:type="dxa"/>
          <w:right w:w="0" w:type="dxa"/>
        </w:tblCellMar>
      </w:tblPr>
      <w:tblGrid>
        <w:gridCol w:w="39"/>
        <w:gridCol w:w="130"/>
        <w:gridCol w:w="10036"/>
      </w:tblGrid>
      <w:tr>
        <w:trPr/>
        <w:tc>
          <w:tcPr>
            <w:tcW w:w="3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rFonts w:ascii="Symbol" w:hAnsi="Symbol"/>
              </w:rPr>
            </w:pPr>
            <w:r>
              <w:rPr>
                <w:rFonts w:ascii="Symbol" w:hAnsi="Symbol"/>
              </w:rPr>
              <w:t>·</w:t>
            </w:r>
          </w:p>
        </w:tc>
        <w:tc>
          <w:tcPr>
            <w:tcW w:w="10036" w:type="dxa"/>
            <w:tcBorders/>
            <w:shd w:fill="auto" w:val="clear"/>
            <w:vAlign w:val="center"/>
          </w:tcPr>
          <w:p>
            <w:pPr>
              <w:pStyle w:val="TableContents"/>
              <w:spacing w:before="0" w:after="283"/>
              <w:jc w:val="both"/>
              <w:rPr/>
            </w:pPr>
            <w:r>
              <w:rPr/>
              <w:t>adverse safety findings relating to our commercialized products or product candidates in development;</w:t>
            </w:r>
          </w:p>
        </w:tc>
      </w:tr>
    </w:tbl>
    <w:tbl>
      <w:tblPr>
        <w:tblW w:w="5000" w:type="pct"/>
        <w:jc w:val="left"/>
        <w:tblInd w:w="0" w:type="dxa"/>
        <w:tblCellMar>
          <w:top w:w="0" w:type="dxa"/>
          <w:left w:w="0" w:type="dxa"/>
          <w:bottom w:w="0" w:type="dxa"/>
          <w:right w:w="0" w:type="dxa"/>
        </w:tblCellMar>
      </w:tblPr>
      <w:tblGrid>
        <w:gridCol w:w="47"/>
        <w:gridCol w:w="158"/>
        <w:gridCol w:w="10000"/>
      </w:tblGrid>
      <w:tr>
        <w:trPr/>
        <w:tc>
          <w:tcPr>
            <w:tcW w:w="4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rFonts w:ascii="Symbol" w:hAnsi="Symbol"/>
              </w:rPr>
            </w:pPr>
            <w:r>
              <w:rPr>
                <w:rFonts w:ascii="Symbol" w:hAnsi="Symbol"/>
              </w:rPr>
              <w:t>·</w:t>
            </w:r>
          </w:p>
        </w:tc>
        <w:tc>
          <w:tcPr>
            <w:tcW w:w="10000" w:type="dxa"/>
            <w:tcBorders/>
            <w:shd w:fill="auto" w:val="clear"/>
            <w:vAlign w:val="center"/>
          </w:tcPr>
          <w:p>
            <w:pPr>
              <w:pStyle w:val="TableContents"/>
              <w:spacing w:before="0" w:after="283"/>
              <w:jc w:val="both"/>
              <w:rPr/>
            </w:pPr>
            <w:r>
              <w:rPr/>
              <w:t>whether the FDA will agree with our analysis of our clinical and laboratory studies;</w:t>
            </w:r>
          </w:p>
        </w:tc>
      </w:tr>
    </w:tbl>
    <w:tbl>
      <w:tblPr>
        <w:tblW w:w="5000" w:type="pct"/>
        <w:jc w:val="left"/>
        <w:tblInd w:w="0" w:type="dxa"/>
        <w:tblCellMar>
          <w:top w:w="0" w:type="dxa"/>
          <w:left w:w="0" w:type="dxa"/>
          <w:bottom w:w="0" w:type="dxa"/>
          <w:right w:w="0" w:type="dxa"/>
        </w:tblCellMar>
      </w:tblPr>
      <w:tblGrid>
        <w:gridCol w:w="43"/>
        <w:gridCol w:w="144"/>
        <w:gridCol w:w="10018"/>
      </w:tblGrid>
      <w:tr>
        <w:trPr/>
        <w:tc>
          <w:tcPr>
            <w:tcW w:w="4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Symbol" w:hAnsi="Symbol"/>
              </w:rPr>
            </w:pPr>
            <w:r>
              <w:rPr>
                <w:rFonts w:ascii="Symbol" w:hAnsi="Symbol"/>
              </w:rPr>
              <w:t>·</w:t>
            </w:r>
          </w:p>
        </w:tc>
        <w:tc>
          <w:tcPr>
            <w:tcW w:w="10018" w:type="dxa"/>
            <w:tcBorders/>
            <w:shd w:fill="auto" w:val="clear"/>
            <w:vAlign w:val="center"/>
          </w:tcPr>
          <w:p>
            <w:pPr>
              <w:pStyle w:val="TableContents"/>
              <w:spacing w:before="0" w:after="283"/>
              <w:jc w:val="both"/>
              <w:rPr/>
            </w:pPr>
            <w:r>
              <w:rPr/>
              <w:t>whether further studies of our product candidates will be required to support FDA approval;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whether or when we are able to obtain FDA approval of labeling for our product candidates for the proposed indications and whether we will be able to promote the features of our technologies; and</w:t>
            </w:r>
          </w:p>
        </w:tc>
      </w:tr>
    </w:tbl>
    <w:tbl>
      <w:tblPr>
        <w:tblW w:w="5000" w:type="pct"/>
        <w:jc w:val="left"/>
        <w:tblInd w:w="0" w:type="dxa"/>
        <w:tblCellMar>
          <w:top w:w="0" w:type="dxa"/>
          <w:left w:w="0" w:type="dxa"/>
          <w:bottom w:w="0" w:type="dxa"/>
          <w:right w:w="0" w:type="dxa"/>
        </w:tblCellMar>
      </w:tblPr>
      <w:tblGrid>
        <w:gridCol w:w="44"/>
        <w:gridCol w:w="146"/>
        <w:gridCol w:w="10015"/>
      </w:tblGrid>
      <w:tr>
        <w:trPr/>
        <w:tc>
          <w:tcPr>
            <w:tcW w:w="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Symbol" w:hAnsi="Symbol"/>
              </w:rPr>
            </w:pPr>
            <w:r>
              <w:rPr>
                <w:rFonts w:ascii="Symbol" w:hAnsi="Symbol"/>
              </w:rPr>
              <w:t>·</w:t>
            </w:r>
          </w:p>
        </w:tc>
        <w:tc>
          <w:tcPr>
            <w:tcW w:w="10015" w:type="dxa"/>
            <w:tcBorders/>
            <w:shd w:fill="auto" w:val="clear"/>
            <w:vAlign w:val="center"/>
          </w:tcPr>
          <w:p>
            <w:pPr>
              <w:pStyle w:val="TableContents"/>
              <w:spacing w:before="0" w:after="283"/>
              <w:jc w:val="both"/>
              <w:rPr/>
            </w:pPr>
            <w:r>
              <w:rPr/>
              <w:t>whether our product candidates will ultimately perform as intended in commercial settings.</w:t>
            </w:r>
          </w:p>
        </w:tc>
      </w:tr>
    </w:tbl>
    <w:p>
      <w:pPr>
        <w:pStyle w:val="TextBody"/>
        <w:spacing w:before="0" w:after="0"/>
        <w:ind w:left="54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“anticipate,” “believe,” “continue,” “could,” “estimate,” “expect,” “indicate,” “intend,” “look forward to,” “may,” “plan,” “potential,” “predict,” “project,” “should,” “suggest,” “target,” “will,” “would,” and other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_007"/>
      <w:bookmarkEnd w:id="2"/>
      <w:r>
        <w:rPr>
          <w:rFonts w:ascii="Times New Roman;Times;Serif" w:hAnsi="Times New Roman;Times;Serif"/>
          <w:b/>
          <w:i w:val="false"/>
          <w:caps w:val="false"/>
          <w:smallCaps w:val="false"/>
          <w:sz w:val="20"/>
        </w:rPr>
        <w:t>PART I</w:t>
      </w:r>
    </w:p>
    <w:p>
      <w:pPr>
        <w:pStyle w:val="TextBody"/>
        <w:spacing w:before="0" w:after="0"/>
        <w:ind w:left="0" w:right="0" w:hanging="0"/>
        <w:jc w:val="both"/>
        <w:rPr>
          <w:rFonts w:ascii="Times New Roman;Times;Serif" w:hAnsi="Times New Roman;Times;Serif"/>
          <w:b/>
          <w:i w:val="false"/>
          <w:caps w:val="false"/>
          <w:smallCaps w:val="false"/>
          <w:sz w:val="20"/>
        </w:rPr>
      </w:pPr>
      <w:bookmarkStart w:id="3" w:name="a_008"/>
      <w:bookmarkEnd w:id="3"/>
      <w:r>
        <w:rPr>
          <w:rFonts w:ascii="Times New Roman;Times;Serif" w:hAnsi="Times New Roman;Times;Serif"/>
          <w:b/>
          <w:i w:val="false"/>
          <w:caps w:val="false"/>
          <w:smallCaps w:val="false"/>
          <w:sz w:val="20"/>
        </w:rPr>
        <w:t>ITEM 1. BUSINESS</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w:t>
        <w:tab/>
        <w:t>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License, Development and Commercialization Agreement, which was amended in October 2020, (“AD Pharma Agreement”) with Abuse Deterrent Pharma, LLC, a Kentucky limited liability company (“AD Pharma”), a special purpose company representing a consortium of investors that will finance Acura’s operations through July 2021 and reimburse us for development of LTX-03. The AD Pharma Agreement grants AD Pharma exclusive commercialization rights in the United States to LTX-03 as well as to LTX-02 (oxycodone/acetaminophen) and LTX-09 (alprazolam). At March 31, 2021 AD Pharma is delinquent in remitting monthly license payments for December, 2020 thru March, 2021 and approximately $100,000 of reimbursable LTX-03 development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we and Egalet US, Inc. and Egalet Ltd., each a subsidiary of Egalet Corporation (now known as Assertio Holdings Inc. and formerly known as Assertio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an entity controlled by Mr. Schutte, with Acura’s consent, all of its right, title and interest in the Agreement between MainPointe and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focus on addressing the safe use of pharmaceuticals by developing a broad portfolio of technologies and products with enhanced safety features and benefits. Specifically, we intend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05"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Capitalize on our experience and expertise in the research and development of innovative drug delivery technologies that address medication safety. </w:t>
            </w:r>
            <w:r>
              <w:rPr>
                <w:rFonts w:ascii="Times New Roman;Times;Serif" w:hAnsi="Times New Roman;Times;Serif"/>
                <w:b w:val="false"/>
                <w:i w:val="false"/>
                <w:caps w:val="false"/>
                <w:smallCaps w:val="false"/>
                <w:sz w:val="20"/>
              </w:rPr>
              <w:t>We have one FDA approved product containing our Aversion Technology commercially launched in the United States by our licensee, and two products commercially launched containing our Impede Technology. We are currently devoting our efforts to product candidates utilizing our LIMITx Technology, which we believe will offer a significant measure of safety to those who would intentionally or otherwise ingest excessive number of tablets.</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100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05"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Leverage our technologies by developing a full line of pharmaceutical products which utilize our proprietary technologies. </w:t>
            </w:r>
            <w:r>
              <w:rPr>
                <w:rFonts w:ascii="Times New Roman;Times;Serif" w:hAnsi="Times New Roman;Times;Serif"/>
                <w:b w:val="false"/>
                <w:i w:val="false"/>
                <w:caps w:val="false"/>
                <w:smallCaps w:val="false"/>
                <w:sz w:val="20"/>
              </w:rPr>
              <w:t>Medication abuse and misuse is not limited to single drugs but often pervades entire drug categories. We intend to develop or collaborate with strategically focused pharmaceutical companies to develop multiple products with our technologies, and are seeking licensing partners for products in development utilizing our LIMITx Technology.</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100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05"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Commercialize our products by licensing to strategically focused companies in the United States and other geographic territories. We have licensed our Oxaydo product to Assertio for commercialization, have licensed our Aversion Technology to KemPharm for use in certain of its prodrug products, have licensed our Nexafed products utilizing our Impede Technology to MainPointe/AD Pharma for commercialization (and granted MainPointe and AD Pharma options to other Impede products), and we entered into an agreement with AD Pharma that will finance Acura’s operations, through July, 2021, provide for the completion of development of LTX-03 and grants them exclusive commercialization rights in the United States to LTX-03. Additionally, we are seeking other licensing partners for other product candidates utilizing our LIMITx, Aversion and Impede technologies.</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100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05" w:type="dxa"/>
            <w:tcBorders/>
            <w:shd w:fill="auto" w:val="cle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Maintain an efficient internal cost structure. </w:t>
            </w:r>
            <w:r>
              <w:rPr>
                <w:rFonts w:ascii="Times New Roman;Times;Serif" w:hAnsi="Times New Roman;Times;Serif"/>
                <w:b w:val="false"/>
                <w:i w:val="false"/>
                <w:caps w:val="false"/>
                <w:smallCaps w:val="false"/>
                <w:sz w:val="20"/>
              </w:rPr>
              <w:t>Our internal cost structure is focused on discovering new technologies and developing product formulations using those technologies. We outsource many high cost elements of development and commercialization, such as clinical trials and commercial manufacturing that minimize required fixed overhead and capital investment and thereby reduces our business risk.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Misuse or Abuse of Prescription Opioid Products and Development of Risk Mitigation Formulations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there were 312,000 incidents of self-harm in the US. In 2019, suicides exceeded 47,000 with half the US states reporting a greater than 30% increase since 1999. For ages 15-24, suicide is the second leading cause of death and veterans die by suicide at a higher rate than the civilian population. Only 54% of suicide decedents had a prior diagnosis of a mental health issue and over 10% had chronic pain representing potential opioid patients. Suicide by poisoning, which would include overdose of prescription medications, make up over 10% of successful suicide attempts with those with prior diagnosed mental health issues twice as likely to die by poisoning.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Overdose is not limited to intentional acts of self-harm. In 2018, over 67,000 citizens died from accidental licit and illicit drug overdose, with the most prevalent licit drug classes being opioids, psychostimulants, benzodiazepines and antidepressants. The misuse and abuse of opioid analgesics continues to constitute a dynamic and challenging threat to the United States and in 2017, the US Government declared opioid abuse as an epidemic and national health emergency. In 2018, an estimated 9.9 million persons aged 12 years and older, reported opioid misuse in the past year. Overdoses involving opioids killed nearly 47,000 people in 2018 and 32% of those deaths involved prescription opioids.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CDC also identified rising overdose deaths resulting from “polysubstance” drug use. Polysubstance drug use occurs with exposure to more than one drug, with or without the person’s knowledge. This growing issue also means that an opioid-involved overdose often occurs in combination with exposure to other opioids and/or other non-opioid substances. Some examples of polysubstance exposures found in combination in overdose deaths include illicitly manufactured fentanyl (IMF) and heroin; illicitly manufactured fentanyl and cocaine; heroin and methamphetamine; and prescription or illicit opioids and benzodiazepines. Recent data indicate that the involvement of opioids in stimulant-involved deaths is increasing. Nearly three-quarters (72.7%) of cocaine-involved overdose deaths also involved an opioid in 2017.  Although increases in psychostimulant-involved deaths have occurred 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Oral Excessive Tablet Abuse (ETA). Generally recognized as the most prevalent route of administration by abusers, the abuser simply orally ingests more tablets (or capsules) than is recommended for pain relief.</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Oral Manipulated Tablet Abuse (MTA). Extended-release tablets or patches are sometimes crushed, chewed or otherwise physically or chemically manipulated to defeat the extended-release mechanism and provide an immediate-release of the opioid for oral ingestion.</w:t>
            </w:r>
          </w:p>
        </w:tc>
      </w:tr>
    </w:tbl>
    <w:tbl>
      <w:tblPr>
        <w:tblW w:w="5000" w:type="pct"/>
        <w:jc w:val="left"/>
        <w:tblInd w:w="0" w:type="dxa"/>
        <w:tblCellMar>
          <w:top w:w="0" w:type="dxa"/>
          <w:left w:w="0" w:type="dxa"/>
          <w:bottom w:w="0" w:type="dxa"/>
          <w:right w:w="0" w:type="dxa"/>
        </w:tblCellMar>
      </w:tblPr>
      <w:tblGrid>
        <w:gridCol w:w="41"/>
        <w:gridCol w:w="135"/>
        <w:gridCol w:w="10029"/>
      </w:tblGrid>
      <w:tr>
        <w:trPr/>
        <w:tc>
          <w:tcPr>
            <w:tcW w:w="4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rFonts w:ascii="Symbol" w:hAnsi="Symbol"/>
              </w:rPr>
            </w:pPr>
            <w:r>
              <w:rPr>
                <w:rFonts w:ascii="Symbol" w:hAnsi="Symbol"/>
              </w:rPr>
              <w:t>·</w:t>
            </w:r>
          </w:p>
        </w:tc>
        <w:tc>
          <w:tcPr>
            <w:tcW w:w="10029" w:type="dxa"/>
            <w:tcBorders/>
            <w:shd w:fill="auto" w:val="clear"/>
            <w:vAlign w:val="center"/>
          </w:tcPr>
          <w:p>
            <w:pPr>
              <w:pStyle w:val="TableContents"/>
              <w:spacing w:before="0" w:after="283"/>
              <w:jc w:val="both"/>
              <w:rPr/>
            </w:pPr>
            <w:r>
              <w:rPr/>
              <w:t>Nasal snorting. Crushed tablets are insufflated for absorption of the drug through the nasal tissues.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Injection. The opioid is physically or chemically removed from the dosage and injected into the vein using a syringe.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Poly-substance. Opioids are sometimes used in conjunction with alcohol, methamphetamine, or other drugs to accentuate the high.</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Overdose. Drug abusers may accidentally introduce excessive quantities of drugs in their systems or combine drugs that may heighten the chance of adverse effects of drugs. Some patients may over ingest drugs accidentally or with the express intent of suicide.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development products will be dependent on the results of and the acceptance by the FDA of our and our licensees’ studies for each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products use known active ingredients in approved dosage strengths, the safety and efficacy of the active ingredient(s) will need to be established by a series of pharmacokinetic studies demonstrating: (a) bioequivalence to an approved reference drug, (b) food effect of our formulations, (c) dose proportionality of our formulation, and (d) other external impacts to our unique formulations. A product candidate that does not achieve satisfactory pharmacokinetic results may require a phase III clinical efficacy study.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pStyle w:val="TextBody"/>
        <w:spacing w:before="0" w:after="0"/>
        <w:ind w:left="0" w:right="0" w:firstLine="63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Overdose Risk Mitigation - Products and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Abusers as well as legitimate pain patients are at risk of overdose. In some cases, overdose is accidental but anecdotal reports indicate suicide rates among pain patients are increasing presumably due to their inability to access the pain medications they need to manage their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2019, FDA issued a draft for public comment guidance on a Benefit-Risk Assessment Framework for Opioid Analgesic Drugs. The draft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of our LIMITx Technology products will likely also entail additional safety and/or efficacy assessment as may be identified by the FDA for each specific formulation during the Investigational New Drug application, or IND, or the NDA phase of development.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LIMITx™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LIMITx Technology Products in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have the following products in development utilizing our LIMITx Technology: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120" w:type="dxa"/>
          <w:left w:w="108" w:type="dxa"/>
          <w:bottom w:w="0" w:type="dxa"/>
          <w:right w:w="108" w:type="dxa"/>
        </w:tblCellMar>
      </w:tblPr>
      <w:tblGrid>
        <w:gridCol w:w="4502"/>
        <w:gridCol w:w="5703"/>
      </w:tblGrid>
      <w:tr>
        <w:trPr/>
        <w:tc>
          <w:tcPr>
            <w:tcW w:w="4502" w:type="dxa"/>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b/>
                <w:sz w:val="20"/>
              </w:rPr>
            </w:pPr>
            <w:r>
              <w:rPr>
                <w:b/>
                <w:sz w:val="20"/>
              </w:rPr>
              <w:t>LIMITx Technology Products</w:t>
            </w:r>
          </w:p>
        </w:tc>
        <w:tc>
          <w:tcPr>
            <w:tcW w:w="5703" w:type="dxa"/>
            <w:tcBorders>
              <w:top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Status</w:t>
            </w:r>
          </w:p>
        </w:tc>
      </w:tr>
      <w:tr>
        <w:trPr/>
        <w:tc>
          <w:tcPr>
            <w:tcW w:w="4502" w:type="dxa"/>
            <w:tcBorders>
              <w:top w:val="single" w:sz="8" w:space="0" w:color="000000"/>
              <w:left w:val="single" w:sz="8" w:space="0" w:color="000000"/>
              <w:bottom w:val="single" w:sz="8" w:space="0" w:color="000000"/>
              <w:right w:val="single" w:sz="8" w:space="0" w:color="000000"/>
            </w:tcBorders>
            <w:shd w:fill="CCEEFF" w:val="clear"/>
            <w:tcMar>
              <w:bottom w:w="28" w:type="dxa"/>
            </w:tcMar>
            <w:vAlign w:val="center"/>
          </w:tcPr>
          <w:p>
            <w:pPr>
              <w:pStyle w:val="TableContents"/>
              <w:spacing w:before="0" w:after="283"/>
              <w:rPr>
                <w:sz w:val="20"/>
              </w:rPr>
            </w:pPr>
            <w:r>
              <w:rPr>
                <w:sz w:val="20"/>
              </w:rPr>
              <w:t>Immediate-release hydrocodone bitartrate with acetaminophen (LTX-03)</w:t>
            </w:r>
          </w:p>
        </w:tc>
        <w:tc>
          <w:tcPr>
            <w:tcW w:w="5703" w:type="dxa"/>
            <w:tcBorders>
              <w:top w:val="single" w:sz="8" w:space="0" w:color="000000"/>
              <w:bottom w:val="single" w:sz="8" w:space="0" w:color="000000"/>
              <w:right w:val="single" w:sz="8" w:space="0" w:color="000000"/>
            </w:tcBorders>
            <w:shd w:fill="CCEEFF" w:val="clear"/>
            <w:tcMar>
              <w:top w:w="28" w:type="dxa"/>
              <w:left w:w="0" w:type="dxa"/>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registration/clinical batches complete in Feb. 2021 – quality assurance testing is pending.</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 updated Feb. 2021 with protocols for 3 human clinical studies.</w:t>
            </w:r>
          </w:p>
        </w:tc>
      </w:tr>
      <w:tr>
        <w:trPr/>
        <w:tc>
          <w:tcPr>
            <w:tcW w:w="4502"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spacing w:before="0" w:after="283"/>
              <w:rPr>
                <w:sz w:val="20"/>
              </w:rPr>
            </w:pPr>
            <w:r>
              <w:rPr>
                <w:sz w:val="20"/>
              </w:rPr>
              <w:t>Immediate-release oxycodone HCl (LTX-01) &amp; (LTX-02)</w:t>
            </w:r>
          </w:p>
        </w:tc>
        <w:tc>
          <w:tcPr>
            <w:tcW w:w="5703"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spacing w:before="0" w:after="283"/>
              <w:rPr>
                <w:sz w:val="20"/>
              </w:rPr>
            </w:pPr>
            <w:r>
              <w:rPr>
                <w:sz w:val="20"/>
              </w:rPr>
              <w:t>Formulation development in process</w:t>
            </w:r>
          </w:p>
        </w:tc>
      </w:tr>
      <w:tr>
        <w:trPr/>
        <w:tc>
          <w:tcPr>
            <w:tcW w:w="4502" w:type="dxa"/>
            <w:tcBorders>
              <w:left w:val="single" w:sz="8" w:space="0" w:color="000000"/>
              <w:bottom w:val="single" w:sz="8" w:space="0" w:color="000000"/>
              <w:right w:val="single" w:sz="8" w:space="0" w:color="000000"/>
            </w:tcBorders>
            <w:shd w:fill="CCEEFF" w:val="clear"/>
            <w:tcMar>
              <w:top w:w="0" w:type="dxa"/>
              <w:bottom w:w="28" w:type="dxa"/>
            </w:tcMar>
            <w:vAlign w:val="center"/>
          </w:tcPr>
          <w:p>
            <w:pPr>
              <w:pStyle w:val="TableContents"/>
              <w:spacing w:before="0" w:after="283"/>
              <w:rPr>
                <w:sz w:val="20"/>
              </w:rPr>
            </w:pPr>
            <w:r>
              <w:rPr>
                <w:sz w:val="20"/>
              </w:rPr>
              <w:t>Immediate-release non-opioid drug (LTX-09)</w:t>
            </w:r>
          </w:p>
        </w:tc>
        <w:tc>
          <w:tcPr>
            <w:tcW w:w="5703" w:type="dxa"/>
            <w:tcBorders>
              <w:bottom w:val="single" w:sz="8" w:space="0" w:color="000000"/>
              <w:right w:val="single" w:sz="8" w:space="0" w:color="000000"/>
            </w:tcBorders>
            <w:shd w:fill="CCEEFF" w:val="clear"/>
            <w:tcMar>
              <w:top w:w="0" w:type="dxa"/>
              <w:left w:w="0" w:type="dxa"/>
              <w:bottom w:w="28" w:type="dxa"/>
            </w:tcMar>
            <w:vAlign w:val="center"/>
          </w:tcPr>
          <w:p>
            <w:pPr>
              <w:pStyle w:val="TableContents"/>
              <w:spacing w:before="0" w:after="283"/>
              <w:rPr>
                <w:sz w:val="20"/>
              </w:rPr>
            </w:pPr>
            <w:r>
              <w:rPr>
                <w:sz w:val="20"/>
              </w:rPr>
              <w:t>Formulation development in process</w:t>
            </w:r>
          </w:p>
        </w:tc>
      </w:tr>
      <w:tr>
        <w:trPr/>
        <w:tc>
          <w:tcPr>
            <w:tcW w:w="4502"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spacing w:before="0" w:after="283"/>
              <w:rPr>
                <w:sz w:val="20"/>
              </w:rPr>
            </w:pPr>
            <w:r>
              <w:rPr>
                <w:sz w:val="20"/>
              </w:rPr>
              <w:t>Immediate-release hydromorphone HCI (LTX-04)</w:t>
            </w:r>
          </w:p>
        </w:tc>
        <w:tc>
          <w:tcPr>
            <w:tcW w:w="5703"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spacing w:before="0" w:after="283"/>
              <w:rPr>
                <w:sz w:val="20"/>
              </w:rPr>
            </w:pPr>
            <w:r>
              <w:rPr>
                <w:sz w:val="20"/>
              </w:rPr>
              <w:t>Two Phase I exploratory pharmacokinetic studies completed. IND no longer active.</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LTX-03 Development</w:t>
      </w:r>
    </w:p>
    <w:p>
      <w:pPr>
        <w:pStyle w:val="TextBody"/>
        <w:spacing w:before="0" w:after="0"/>
        <w:ind w:left="720" w:right="0" w:hanging="0"/>
        <w:rPr>
          <w:caps w:val="false"/>
          <w:smallCaps w:val="false"/>
        </w:rPr>
      </w:pPr>
      <w:r>
        <w:rPr>
          <w:caps w:val="false"/>
          <w:smallCaps w:val="false"/>
        </w:rPr>
        <w:t> </w:t>
      </w:r>
    </w:p>
    <w:p>
      <w:pPr>
        <w:pStyle w:val="TextBody"/>
        <w:spacing w:before="0" w:after="0"/>
        <w:ind w:left="576" w:right="0" w:firstLine="144"/>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Study 301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Study 301 identified a formulation that optimizes the balance between providing therapeutic blood levels of drug for pain relief at a single tablet dose while retarding the bioavailability of drug when higher buffer levels are ingested.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with AD Pharma, commercial scale-up of the LTX-03 manufacturing process at a contract manufacturing organization. In February 2021, we completed manufacturing three NDA required registration/clinical batches of the to-be-marketed LTX-03 formulation on the commercial scale manufacturing equipment with quality assurance testing of the product pending before these batches can be deemed successful and ready for use. We will be required to complete a six month shelf life study on these tablets for submission in the NDA which will start once the tablets are deemed acceptable.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an Investigational New Drug Application, or IND with respect to LTX-03, to the FDA in the first quarter of 2018, which became effective in April 2018. In February 2021, we submitted to the FDA an update to the LTX-03 IND with our proposed clinical protocols for further development of LTX-03. The clinical protocols includes:</w:t>
      </w:r>
    </w:p>
    <w:p>
      <w:pPr>
        <w:pStyle w:val="TextBody"/>
        <w:spacing w:before="0" w:after="0"/>
        <w:ind w:left="0" w:right="0" w:hanging="0"/>
        <w:jc w:val="both"/>
        <w:rPr>
          <w:caps w:val="false"/>
          <w:smallCaps w:val="false"/>
        </w:rPr>
      </w:pPr>
      <w:r>
        <w:rPr>
          <w:caps w:val="false"/>
          <w:smallCaps w:val="false"/>
        </w:rPr>
        <w:t> </w:t>
      </w:r>
    </w:p>
    <w:tbl>
      <w:tblPr>
        <w:tblW w:w="7450" w:type="dxa"/>
        <w:jc w:val="left"/>
        <w:tblInd w:w="0" w:type="dxa"/>
        <w:tblCellMar>
          <w:top w:w="0" w:type="dxa"/>
          <w:left w:w="0" w:type="dxa"/>
          <w:bottom w:w="0" w:type="dxa"/>
          <w:right w:w="0" w:type="dxa"/>
        </w:tblCellMar>
      </w:tblPr>
      <w:tblGrid>
        <w:gridCol w:w="75"/>
        <w:gridCol w:w="125"/>
        <w:gridCol w:w="7250"/>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72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 tablet, single dose pharmacokinetic study in fasted, healthy adult subjects;</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72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 5 and tablet single dose pharmacokinetic study in fasted, healthy adult subjects; and</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72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 tablet, single dose pharmacokinetic study in fed, healthy adult subjects.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studies also contains design components to evaluate certain pharmacologic data with respect to, among other things, acidic beverages and drug interactions. These design of these studies was based on advice letters received from the FDA but no guarantees can be made that these studies, even if successful, will be sufficient to warrant FDA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advance LTX-03 to clinical development for a New Drug Application (NDA).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Non-clinical Study APT-RDR-300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90%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Non-clinical Study APT-RDR-301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Study APT-RDR-301 was a non-clinical study of respiratory depression in which five groups of 10 Sprague-Dawley rats were orally administered doses of hydrocodone ranging from 100mg of drug per kg of body weight (mg/kg) up to 300 mg/kg and one group receiving placebo. Subjects in each group were measured for OIRD assessing peripheral oxygen saturation (SpO2) of the blood at 30-miniutes post-dose. After the 30-minute SpO2 reading, a blood sample was taken from each subject.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Study APT-RDR-301 all drug doses demonstrated with statistical significance (p&lt;.05) SpO2 measured OIRD at 30-minutes post-dosing. The mortality rate was correlated with higher doses with a lethal dose in 50% of the animals (LD50) consistent with study APT-RDR-300. A regression analysis of individual subjects demonstrated a statistically significant association between Cmax and SpO2 at the 30-minute timepoint.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non-clinical studies are to characterize the pharmacology of our tablet formulation and not the toxicologic safety of the active ingredients, these studies were not run in compliance with FDA’s current good laboratory practices.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 Pharma Agreement covering LTX-03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announced a License, Development and Commercialization Agreement, as amended in October 2020 (the "Agreement"), with Abuse Deterrent Pharma, LLC (“AD Pharma”), a special purpose company representing a consortium of investors that will finance Acura’s operations through July, 2021,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 AD Pharma also has licensed commercialization rights to LTX-02 (oxycodone/acetaminophen) and LTX-09 (alprazolam).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grants AD Pharma exclusive commercialization rights in the United States to LTX-03. Financial arrangements include monthly license payments by AD Pharma of $350,000 up to April 2020 and $200,000 thereafter until the earlier of July 31, 2021 or FDA’s acceptance of a New Drug Application (“NDA”) for LTX-03 and reimbursement by AD Pharma of Acura’s LTX-03 outside development expenses. Upon commercialization of LTX-03, Acura receives stepped royalties on sales and is eligible for certain sales related milestones. AD Pharma is delinquent in remitting monthly license payments for December, 2020 thru March, 2021 and approximately $100 thousand of reimbursable LTX-03 development expenses. Failure to make these payments are an event of default under the Agreement, as amended. Based upon representations by AD Pharma, we anticipate receipt of these past due amounts by April 30, 2021 and payment obligations through July, 2021, for which no assurance can be given.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Pharma may terminate the Agreement at any time. Additionally, if the NDA for LTX-03 is not accepted by the FDA by July 31, 2021, AD Pharma has the option to terminate the Agreement and take ownership of the LIMITx intellectual property. Should AD Pharma choose not to exercise this option to terminate and the NDA for LTX-03 is subsequently accepted by the FDA, such option expires. Acura expects the submission and FDA acceptance of the NDA for LTX-03 to now occur after July 31, 2021. Acura is currently in discussions with AD Pharma to amend the Agreement. There can be no assurance that AD Pharma will agree to extend the NDA filing acceptance date or that they will not take ownership of the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Schutte is our largest shareholder and directly owns approximately 44.8% of our common stock (after giving effect to the exercise of warrants he holds) as of February 15, 2021. Mr. Schutte also controls MainPointe and is an investor in AD Pharma.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Aversion Technology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Oxaydo Tablets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30% of subjects exposed to Oxaydo responded that they would not take the drug again compared to 5% of subjects exposed to immediate-release oxycodone;</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subjects taking Oxaydo reported a higher incidence of nasopharyngeal and facial adverse events compared to immediate-release oxycodone;</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 decreased ability to completely insufflate two crushed Oxaydo Tablets within a fixed time period (21 of 40 subjects), while all subjects were able to completely insufflate the entire dose of immediate-release oxycodone; and</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small numeric differences in the median and mean drug liking scores, which were lower in response to Oxaydo than immediate-release oxycodone.</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Assertio have a post-approval commitment with the FDA to perform an epidemiology study to assess the actual impact on abuse of Oxaydo Tablets.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We believe that Assertio has shifted focus to marketing other products in their portfolio and deemphasized the marketing Oxaydo.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Assertio Agreement Covering Oxaydo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2015, we and Egalet US, Inc. and Egalet Ltd., each a subsidiary of Egalet Corporation, (now known as Assertio Holdings Inc.),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Assertio Agreement, we and Assertio formed a joint steering committee to oversee commercialization strategies and the development of product line extensions. Assertio pays a significant portion of the expenses relating to (i) 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Assertio is responsible for all manufacturing and commercialization activities in the Territory for Oxaydo. Subject to certain exceptions, Assertio has final decision making authority with respect to all development and commercialization activities for Oxaydo, including pricing, subject to our co-promotion right. Assertio may develop Oxaydo for other countries and in additional strengths, in its discretion.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Assertio paid us an upfront payment of $5.0 million upon signing of the Assertio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2020 restructuring by Assertio, it is our understanding that they have decided to reduce selling efforts pertaining to Oxaydo and as such, we expect royalties to decline over the remainder of the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KemPharm Agreement Covering Opioid Prodrugs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2020 we are unaware of KemPharm’s use of our Aversion technology under the KemPharm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Aversion Technology Development Opioid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Abuse of Pseudoephedrine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CDC Drug Surveillance Report reported two million Americans aged 12 or older having used methamphetamine in the past year. From 2015-2018, an estimated 1.6 million U.S. adults aged ≥18 years, on average, reported past-year methamphetamine use. A 2018 study by researchers at Washington University in St. Louis found that methamphetamine use has increased significantly among people with an existing opioid use disorder (OUD). People with OUD in their study reported substituting methamphetamine for opioids when the latter are hard to obtain or are perceived as unsafe, or that they sought a synergistic high by combining them. People who purposefully combine heroin and cocaine or methamphetamine report that the stimulant helps to balance out the sedative effect of opioids, enabling them to function “normally.” However, the combination can enhance the drugs’ toxicity and lethality, by exacerbating their individual cardiovascular and respiratory effects.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Impede Technology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pStyle w:val="TextBody"/>
        <w:spacing w:before="0" w:after="0"/>
        <w:ind w:left="0" w:right="0" w:hanging="0"/>
        <w:rPr>
          <w:caps w:val="false"/>
          <w:smallCaps w:val="false"/>
        </w:rPr>
      </w:pPr>
      <w:r>
        <w:rPr>
          <w:caps w:val="false"/>
          <w:smallCaps w:val="false"/>
        </w:rPr>
        <w:t> </w:t>
      </w:r>
    </w:p>
    <w:tbl>
      <w:tblPr>
        <w:tblW w:w="7229" w:type="dxa"/>
        <w:jc w:val="center"/>
        <w:tblInd w:w="0" w:type="dxa"/>
        <w:tblCellMar>
          <w:top w:w="0" w:type="dxa"/>
          <w:left w:w="0" w:type="dxa"/>
          <w:bottom w:w="28" w:type="dxa"/>
          <w:right w:w="0" w:type="dxa"/>
        </w:tblCellMar>
      </w:tblPr>
      <w:tblGrid>
        <w:gridCol w:w="3350"/>
        <w:gridCol w:w="60"/>
        <w:gridCol w:w="1265"/>
        <w:gridCol w:w="60"/>
        <w:gridCol w:w="289"/>
        <w:gridCol w:w="1110"/>
        <w:gridCol w:w="185"/>
        <w:gridCol w:w="60"/>
        <w:gridCol w:w="134"/>
        <w:gridCol w:w="516"/>
        <w:gridCol w:w="200"/>
      </w:tblGrid>
      <w:tr>
        <w:trPr/>
        <w:tc>
          <w:tcPr>
            <w:tcW w:w="3350" w:type="dxa"/>
            <w:tcBorders>
              <w:bottom w:val="single" w:sz="8" w:space="0" w:color="000000"/>
            </w:tcBorders>
            <w:shd w:fill="auto" w:val="clear"/>
            <w:vAlign w:val="center"/>
          </w:tcPr>
          <w:p>
            <w:pPr>
              <w:pStyle w:val="TableContents"/>
              <w:spacing w:before="0" w:after="283"/>
              <w:jc w:val="both"/>
              <w:rPr>
                <w:b/>
                <w:sz w:val="20"/>
              </w:rPr>
            </w:pPr>
            <w:r>
              <w:rPr>
                <w:b/>
                <w:sz w:val="20"/>
              </w:rPr>
              <w:t>Product/Formulation</w:t>
            </w:r>
          </w:p>
        </w:tc>
        <w:tc>
          <w:tcPr>
            <w:tcW w:w="60" w:type="dxa"/>
            <w:tcBorders/>
            <w:shd w:fill="auto" w:val="clear"/>
            <w:tcMar>
              <w:bottom w:w="0" w:type="dxa"/>
            </w:tcMar>
            <w:vAlign w:val="center"/>
          </w:tcPr>
          <w:p>
            <w:pPr>
              <w:pStyle w:val="TableContents"/>
              <w:spacing w:before="0" w:after="283"/>
              <w:rPr/>
            </w:pPr>
            <w:r>
              <w:rPr/>
              <w:t> </w:t>
            </w:r>
          </w:p>
        </w:tc>
        <w:tc>
          <w:tcPr>
            <w:tcW w:w="1265" w:type="dxa"/>
            <w:tcBorders>
              <w:bottom w:val="single" w:sz="8" w:space="0" w:color="000000"/>
            </w:tcBorders>
            <w:shd w:fill="auto" w:val="clear"/>
            <w:vAlign w:val="center"/>
          </w:tcPr>
          <w:p>
            <w:pPr>
              <w:pStyle w:val="TableContents"/>
              <w:spacing w:before="0" w:after="283"/>
              <w:jc w:val="center"/>
              <w:rPr>
                <w:b/>
                <w:sz w:val="20"/>
              </w:rPr>
            </w:pPr>
            <w:r>
              <w:rPr>
                <w:b/>
                <w:sz w:val="20"/>
              </w:rPr>
              <w:t>Meth Resistant</w:t>
              <w:br/>
              <w:t>Technology</w:t>
            </w:r>
          </w:p>
        </w:tc>
        <w:tc>
          <w:tcPr>
            <w:tcW w:w="60" w:type="dxa"/>
            <w:tcBorders/>
            <w:shd w:fill="auto" w:val="clear"/>
            <w:tcMar>
              <w:bottom w:w="0" w:type="dxa"/>
            </w:tcMar>
            <w:vAlign w:val="center"/>
          </w:tcPr>
          <w:p>
            <w:pPr>
              <w:pStyle w:val="TableContents"/>
              <w:spacing w:before="0" w:after="283"/>
              <w:rPr/>
            </w:pPr>
            <w:r>
              <w:rPr/>
              <w:t> </w:t>
            </w:r>
          </w:p>
        </w:tc>
        <w:tc>
          <w:tcPr>
            <w:tcW w:w="1399" w:type="dxa"/>
            <w:gridSpan w:val="2"/>
            <w:tcBorders>
              <w:bottom w:val="single" w:sz="8" w:space="0" w:color="000000"/>
            </w:tcBorders>
            <w:shd w:fill="auto" w:val="clear"/>
            <w:vAlign w:val="center"/>
          </w:tcPr>
          <w:p>
            <w:pPr>
              <w:pStyle w:val="TableContents"/>
              <w:spacing w:before="0" w:after="283"/>
              <w:jc w:val="center"/>
              <w:rPr>
                <w:b/>
                <w:sz w:val="20"/>
              </w:rPr>
            </w:pPr>
            <w:r>
              <w:rPr>
                <w:b/>
                <w:sz w:val="20"/>
              </w:rPr>
              <w:br/>
              <w:t>Meth Recovery</w:t>
            </w:r>
            <w:r>
              <w:rPr>
                <w:b/>
                <w:position w:val="7"/>
                <w:sz w:val="16"/>
                <w:sz w:val="20"/>
              </w:rPr>
              <w:t>1</w:t>
            </w:r>
          </w:p>
        </w:tc>
        <w:tc>
          <w:tcPr>
            <w:tcW w:w="1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50" w:type="dxa"/>
            <w:gridSpan w:val="2"/>
            <w:tcBorders>
              <w:bottom w:val="single" w:sz="8" w:space="0" w:color="000000"/>
            </w:tcBorders>
            <w:shd w:fill="auto" w:val="clear"/>
            <w:vAlign w:val="center"/>
          </w:tcPr>
          <w:p>
            <w:pPr>
              <w:pStyle w:val="TableContents"/>
              <w:spacing w:before="0" w:after="283"/>
              <w:jc w:val="center"/>
              <w:rPr>
                <w:b/>
                <w:sz w:val="20"/>
              </w:rPr>
            </w:pPr>
            <w:r>
              <w:rPr>
                <w:b/>
                <w:sz w:val="20"/>
              </w:rPr>
              <w:br/>
              <w:t>Purity</w:t>
            </w:r>
            <w:r>
              <w:rPr>
                <w:b/>
                <w:position w:val="7"/>
                <w:sz w:val="16"/>
                <w:sz w:val="20"/>
              </w:rPr>
              <w:t>2</w:t>
            </w:r>
          </w:p>
        </w:tc>
        <w:tc>
          <w:tcPr>
            <w:tcW w:w="200" w:type="dxa"/>
            <w:tcBorders/>
            <w:shd w:fill="auto" w:val="clear"/>
            <w:tcMar>
              <w:bottom w:w="0" w:type="dxa"/>
            </w:tcMar>
            <w:vAlign w:val="center"/>
          </w:tcPr>
          <w:p>
            <w:pPr>
              <w:pStyle w:val="TableContents"/>
              <w:spacing w:before="0" w:after="283"/>
              <w:rPr/>
            </w:pPr>
            <w:r>
              <w:rPr/>
              <w:t> </w:t>
            </w:r>
          </w:p>
        </w:tc>
      </w:tr>
      <w:tr>
        <w:trPr/>
        <w:tc>
          <w:tcPr>
            <w:tcW w:w="3350" w:type="dxa"/>
            <w:tcBorders/>
            <w:shd w:fill="CCEEFF" w:val="clear"/>
            <w:tcMar>
              <w:bottom w:w="0" w:type="dxa"/>
            </w:tcMar>
            <w:vAlign w:val="center"/>
          </w:tcPr>
          <w:p>
            <w:pPr>
              <w:pStyle w:val="TableContents"/>
              <w:spacing w:before="0" w:after="283"/>
              <w:jc w:val="both"/>
              <w:rPr>
                <w:sz w:val="20"/>
              </w:rPr>
            </w:pPr>
            <w:r>
              <w:rPr>
                <w:sz w:val="20"/>
              </w:rPr>
              <w:t>Sudafed® 30mg Tablets</w:t>
            </w:r>
          </w:p>
        </w:tc>
        <w:tc>
          <w:tcPr>
            <w:tcW w:w="60" w:type="dxa"/>
            <w:tcBorders/>
            <w:shd w:fill="CCEEFF" w:val="clear"/>
            <w:tcMar>
              <w:bottom w:w="0" w:type="dxa"/>
            </w:tcMar>
            <w:vAlign w:val="center"/>
          </w:tcPr>
          <w:p>
            <w:pPr>
              <w:pStyle w:val="TableContents"/>
              <w:spacing w:before="0" w:after="283"/>
              <w:rPr/>
            </w:pPr>
            <w:r>
              <w:rPr/>
              <w:t> </w:t>
            </w:r>
          </w:p>
        </w:tc>
        <w:tc>
          <w:tcPr>
            <w:tcW w:w="1265" w:type="dxa"/>
            <w:tcBorders/>
            <w:shd w:fill="CCEEFF" w:val="clear"/>
            <w:tcMar>
              <w:bottom w:w="0" w:type="dxa"/>
            </w:tcMar>
            <w:vAlign w:val="center"/>
          </w:tcPr>
          <w:p>
            <w:pPr>
              <w:pStyle w:val="TableContents"/>
              <w:spacing w:before="0" w:after="283"/>
              <w:rPr>
                <w:sz w:val="20"/>
              </w:rPr>
            </w:pPr>
            <w:r>
              <w:rPr>
                <w:sz w:val="20"/>
              </w:rPr>
              <w:t>None</w:t>
            </w:r>
          </w:p>
        </w:tc>
        <w:tc>
          <w:tcPr>
            <w:tcW w:w="60" w:type="dxa"/>
            <w:tcBorders/>
            <w:shd w:fill="CCEEFF" w:val="clear"/>
            <w:tcMar>
              <w:bottom w:w="0" w:type="dxa"/>
            </w:tcMar>
            <w:vAlign w:val="center"/>
          </w:tcPr>
          <w:p>
            <w:pPr>
              <w:pStyle w:val="TableContents"/>
              <w:spacing w:before="0" w:after="283"/>
              <w:rPr/>
            </w:pPr>
            <w:r>
              <w:rPr/>
              <w:t> </w:t>
            </w:r>
          </w:p>
        </w:tc>
        <w:tc>
          <w:tcPr>
            <w:tcW w:w="289" w:type="dxa"/>
            <w:tcBorders/>
            <w:shd w:fill="CCEEFF" w:val="clear"/>
            <w:tcMar>
              <w:bottom w:w="0" w:type="dxa"/>
            </w:tcMar>
            <w:vAlign w:val="center"/>
          </w:tcPr>
          <w:p>
            <w:pPr>
              <w:pStyle w:val="TableContents"/>
              <w:spacing w:before="0" w:after="283"/>
              <w:jc w:val="left"/>
              <w:rPr/>
            </w:pPr>
            <w:r>
              <w:rPr/>
              <w:t> </w:t>
            </w:r>
          </w:p>
        </w:tc>
        <w:tc>
          <w:tcPr>
            <w:tcW w:w="1110" w:type="dxa"/>
            <w:tcBorders/>
            <w:shd w:fill="CCEEFF" w:val="clear"/>
            <w:tcMar>
              <w:bottom w:w="0" w:type="dxa"/>
            </w:tcMar>
            <w:vAlign w:val="center"/>
          </w:tcPr>
          <w:p>
            <w:pPr>
              <w:pStyle w:val="TableContents"/>
              <w:spacing w:before="0" w:after="283"/>
              <w:jc w:val="right"/>
              <w:rPr>
                <w:sz w:val="20"/>
              </w:rPr>
            </w:pPr>
            <w:r>
              <w:rPr>
                <w:sz w:val="20"/>
              </w:rPr>
              <w:t>67</w:t>
            </w:r>
          </w:p>
        </w:tc>
        <w:tc>
          <w:tcPr>
            <w:tcW w:w="185" w:type="dxa"/>
            <w:tcBorders/>
            <w:shd w:fill="CCEEFF" w:val="clear"/>
            <w:tcMar>
              <w:bottom w:w="0" w:type="dxa"/>
            </w:tcMar>
            <w:vAlign w:val="center"/>
          </w:tcPr>
          <w:p>
            <w:pPr>
              <w:pStyle w:val="TableContents"/>
              <w:spacing w:before="0" w:after="283"/>
              <w:jc w:val="left"/>
              <w:rPr>
                <w:sz w:val="20"/>
              </w:rPr>
            </w:pPr>
            <w:r>
              <w:rPr>
                <w:sz w:val="20"/>
              </w:rPr>
              <w:t>%</w:t>
            </w:r>
          </w:p>
        </w:tc>
        <w:tc>
          <w:tcPr>
            <w:tcW w:w="60" w:type="dxa"/>
            <w:tcBorders/>
            <w:shd w:fill="CCEEFF" w:val="clear"/>
            <w:tcMar>
              <w:bottom w:w="0" w:type="dxa"/>
            </w:tcMar>
            <w:vAlign w:val="center"/>
          </w:tcPr>
          <w:p>
            <w:pPr>
              <w:pStyle w:val="TableContents"/>
              <w:spacing w:before="0" w:after="283"/>
              <w:rPr/>
            </w:pPr>
            <w:r>
              <w:rPr/>
              <w:t> </w:t>
            </w:r>
          </w:p>
        </w:tc>
        <w:tc>
          <w:tcPr>
            <w:tcW w:w="134" w:type="dxa"/>
            <w:tcBorders/>
            <w:shd w:fill="CCEEFF" w:val="clear"/>
            <w:tcMar>
              <w:bottom w:w="0" w:type="dxa"/>
            </w:tcMar>
            <w:vAlign w:val="center"/>
          </w:tcPr>
          <w:p>
            <w:pPr>
              <w:pStyle w:val="TableContents"/>
              <w:spacing w:before="0" w:after="283"/>
              <w:jc w:val="left"/>
              <w:rPr/>
            </w:pPr>
            <w:r>
              <w:rPr/>
              <w:t> </w:t>
            </w:r>
          </w:p>
        </w:tc>
        <w:tc>
          <w:tcPr>
            <w:tcW w:w="516" w:type="dxa"/>
            <w:tcBorders/>
            <w:shd w:fill="CCEEFF" w:val="clear"/>
            <w:tcMar>
              <w:bottom w:w="0" w:type="dxa"/>
            </w:tcMar>
            <w:vAlign w:val="center"/>
          </w:tcPr>
          <w:p>
            <w:pPr>
              <w:pStyle w:val="TableContents"/>
              <w:spacing w:before="0" w:after="283"/>
              <w:jc w:val="right"/>
              <w:rPr>
                <w:sz w:val="20"/>
              </w:rPr>
            </w:pPr>
            <w:r>
              <w:rPr>
                <w:sz w:val="20"/>
              </w:rPr>
              <w:t>62</w:t>
            </w:r>
          </w:p>
        </w:tc>
        <w:tc>
          <w:tcPr>
            <w:tcW w:w="200" w:type="dxa"/>
            <w:tcBorders/>
            <w:shd w:fill="CCEEFF" w:val="clear"/>
            <w:tcMar>
              <w:bottom w:w="0" w:type="dxa"/>
            </w:tcMar>
            <w:vAlign w:val="center"/>
          </w:tcPr>
          <w:p>
            <w:pPr>
              <w:pStyle w:val="TableContents"/>
              <w:spacing w:before="0" w:after="283"/>
              <w:jc w:val="left"/>
              <w:rPr>
                <w:sz w:val="20"/>
              </w:rPr>
            </w:pPr>
            <w:r>
              <w:rPr>
                <w:sz w:val="20"/>
              </w:rPr>
              <w:t>%</w:t>
            </w:r>
          </w:p>
        </w:tc>
      </w:tr>
      <w:tr>
        <w:trPr/>
        <w:tc>
          <w:tcPr>
            <w:tcW w:w="3350" w:type="dxa"/>
            <w:tcBorders/>
            <w:shd w:fill="FFFFFF" w:val="clear"/>
            <w:tcMar>
              <w:bottom w:w="0" w:type="dxa"/>
            </w:tcMar>
            <w:vAlign w:val="center"/>
          </w:tcPr>
          <w:p>
            <w:pPr>
              <w:pStyle w:val="TableContents"/>
              <w:spacing w:before="0" w:after="283"/>
              <w:jc w:val="both"/>
              <w:rPr>
                <w:sz w:val="20"/>
              </w:rPr>
            </w:pPr>
            <w:r>
              <w:rPr>
                <w:sz w:val="20"/>
              </w:rPr>
              <w:t>Nexafed 30mg Technology</w:t>
            </w:r>
          </w:p>
        </w:tc>
        <w:tc>
          <w:tcPr>
            <w:tcW w:w="60" w:type="dxa"/>
            <w:tcBorders/>
            <w:shd w:fill="FFFFFF" w:val="clear"/>
            <w:tcMar>
              <w:bottom w:w="0" w:type="dxa"/>
            </w:tcMar>
            <w:vAlign w:val="center"/>
          </w:tcPr>
          <w:p>
            <w:pPr>
              <w:pStyle w:val="TableContents"/>
              <w:spacing w:before="0" w:after="283"/>
              <w:rPr/>
            </w:pPr>
            <w:r>
              <w:rPr/>
              <w:t> </w:t>
            </w:r>
          </w:p>
        </w:tc>
        <w:tc>
          <w:tcPr>
            <w:tcW w:w="1265" w:type="dxa"/>
            <w:tcBorders/>
            <w:shd w:fill="FFFFFF" w:val="clear"/>
            <w:tcMar>
              <w:bottom w:w="0" w:type="dxa"/>
            </w:tcMar>
            <w:vAlign w:val="center"/>
          </w:tcPr>
          <w:p>
            <w:pPr>
              <w:pStyle w:val="TableContents"/>
              <w:spacing w:before="0" w:after="283"/>
              <w:rPr>
                <w:sz w:val="20"/>
              </w:rPr>
            </w:pPr>
            <w:r>
              <w:rPr>
                <w:sz w:val="20"/>
              </w:rPr>
              <w:t>Impede® 1.0</w:t>
            </w:r>
          </w:p>
        </w:tc>
        <w:tc>
          <w:tcPr>
            <w:tcW w:w="60" w:type="dxa"/>
            <w:tcBorders/>
            <w:shd w:fill="FFFFFF" w:val="clear"/>
            <w:tcMar>
              <w:bottom w:w="0" w:type="dxa"/>
            </w:tcMar>
            <w:vAlign w:val="center"/>
          </w:tcPr>
          <w:p>
            <w:pPr>
              <w:pStyle w:val="TableContents"/>
              <w:spacing w:before="0" w:after="283"/>
              <w:rPr/>
            </w:pPr>
            <w:r>
              <w:rPr/>
              <w:t> </w:t>
            </w:r>
          </w:p>
        </w:tc>
        <w:tc>
          <w:tcPr>
            <w:tcW w:w="289" w:type="dxa"/>
            <w:tcBorders/>
            <w:shd w:fill="FFFFFF" w:val="clear"/>
            <w:tcMar>
              <w:bottom w:w="0" w:type="dxa"/>
            </w:tcMar>
            <w:vAlign w:val="center"/>
          </w:tcPr>
          <w:p>
            <w:pPr>
              <w:pStyle w:val="TableContents"/>
              <w:spacing w:before="0" w:after="283"/>
              <w:jc w:val="left"/>
              <w:rPr/>
            </w:pPr>
            <w:r>
              <w:rPr/>
              <w:t> </w:t>
            </w:r>
          </w:p>
        </w:tc>
        <w:tc>
          <w:tcPr>
            <w:tcW w:w="1110" w:type="dxa"/>
            <w:tcBorders/>
            <w:shd w:fill="FFFFFF" w:val="clear"/>
            <w:tcMar>
              <w:bottom w:w="0" w:type="dxa"/>
            </w:tcMar>
            <w:vAlign w:val="center"/>
          </w:tcPr>
          <w:p>
            <w:pPr>
              <w:pStyle w:val="TableContents"/>
              <w:spacing w:before="0" w:after="283"/>
              <w:jc w:val="right"/>
              <w:rPr>
                <w:sz w:val="20"/>
              </w:rPr>
            </w:pPr>
            <w:r>
              <w:rPr>
                <w:sz w:val="20"/>
              </w:rPr>
              <w:t>38</w:t>
            </w:r>
          </w:p>
        </w:tc>
        <w:tc>
          <w:tcPr>
            <w:tcW w:w="185" w:type="dxa"/>
            <w:tcBorders/>
            <w:shd w:fill="FFFFFF" w:val="clear"/>
            <w:tcMar>
              <w:bottom w:w="0" w:type="dxa"/>
            </w:tcMar>
            <w:vAlign w:val="center"/>
          </w:tcPr>
          <w:p>
            <w:pPr>
              <w:pStyle w:val="TableContents"/>
              <w:spacing w:before="0" w:after="283"/>
              <w:jc w:val="left"/>
              <w:rPr>
                <w:sz w:val="20"/>
              </w:rPr>
            </w:pPr>
            <w:r>
              <w:rPr>
                <w:sz w:val="20"/>
              </w:rPr>
              <w:t>%</w:t>
            </w:r>
          </w:p>
        </w:tc>
        <w:tc>
          <w:tcPr>
            <w:tcW w:w="60" w:type="dxa"/>
            <w:tcBorders/>
            <w:shd w:fill="FFFFFF" w:val="clear"/>
            <w:tcMar>
              <w:bottom w:w="0" w:type="dxa"/>
            </w:tcMar>
            <w:vAlign w:val="center"/>
          </w:tcPr>
          <w:p>
            <w:pPr>
              <w:pStyle w:val="TableContents"/>
              <w:spacing w:before="0" w:after="283"/>
              <w:rPr/>
            </w:pPr>
            <w:r>
              <w:rPr/>
              <w:t> </w:t>
            </w:r>
          </w:p>
        </w:tc>
        <w:tc>
          <w:tcPr>
            <w:tcW w:w="134"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sz w:val="20"/>
              </w:rPr>
            </w:pPr>
            <w:r>
              <w:rPr>
                <w:sz w:val="20"/>
              </w:rPr>
              <w:t>65</w:t>
            </w:r>
          </w:p>
        </w:tc>
        <w:tc>
          <w:tcPr>
            <w:tcW w:w="200" w:type="dxa"/>
            <w:tcBorders/>
            <w:shd w:fill="FFFFFF" w:val="clear"/>
            <w:tcMar>
              <w:bottom w:w="0" w:type="dxa"/>
            </w:tcMar>
            <w:vAlign w:val="center"/>
          </w:tcPr>
          <w:p>
            <w:pPr>
              <w:pStyle w:val="TableContents"/>
              <w:spacing w:before="0" w:after="283"/>
              <w:jc w:val="left"/>
              <w:rPr>
                <w:sz w:val="20"/>
              </w:rPr>
            </w:pPr>
            <w:r>
              <w:rPr>
                <w:sz w:val="20"/>
              </w:rPr>
              <w:t>%</w:t>
            </w:r>
          </w:p>
        </w:tc>
      </w:tr>
      <w:tr>
        <w:trPr/>
        <w:tc>
          <w:tcPr>
            <w:tcW w:w="3350" w:type="dxa"/>
            <w:tcBorders/>
            <w:shd w:fill="CCEEFF" w:val="clear"/>
            <w:tcMar>
              <w:bottom w:w="0" w:type="dxa"/>
            </w:tcMar>
            <w:vAlign w:val="center"/>
          </w:tcPr>
          <w:p>
            <w:pPr>
              <w:pStyle w:val="TableContents"/>
              <w:spacing w:before="0" w:after="283"/>
              <w:jc w:val="both"/>
              <w:rPr>
                <w:sz w:val="20"/>
              </w:rPr>
            </w:pPr>
            <w:r>
              <w:rPr>
                <w:sz w:val="20"/>
              </w:rPr>
              <w:t>Zephrex-D® 30mg Pills</w:t>
            </w:r>
          </w:p>
        </w:tc>
        <w:tc>
          <w:tcPr>
            <w:tcW w:w="60" w:type="dxa"/>
            <w:tcBorders/>
            <w:shd w:fill="CCEEFF" w:val="clear"/>
            <w:tcMar>
              <w:bottom w:w="0" w:type="dxa"/>
            </w:tcMar>
            <w:vAlign w:val="center"/>
          </w:tcPr>
          <w:p>
            <w:pPr>
              <w:pStyle w:val="TableContents"/>
              <w:spacing w:before="0" w:after="283"/>
              <w:rPr/>
            </w:pPr>
            <w:r>
              <w:rPr/>
              <w:t> </w:t>
            </w:r>
          </w:p>
        </w:tc>
        <w:tc>
          <w:tcPr>
            <w:tcW w:w="1265" w:type="dxa"/>
            <w:tcBorders/>
            <w:shd w:fill="CCEEFF" w:val="clear"/>
            <w:tcMar>
              <w:bottom w:w="0" w:type="dxa"/>
            </w:tcMar>
            <w:vAlign w:val="center"/>
          </w:tcPr>
          <w:p>
            <w:pPr>
              <w:pStyle w:val="TableContents"/>
              <w:spacing w:before="0" w:after="283"/>
              <w:rPr>
                <w:sz w:val="20"/>
              </w:rPr>
            </w:pPr>
            <w:r>
              <w:rPr>
                <w:sz w:val="20"/>
              </w:rPr>
              <w:t>Tarex®</w:t>
            </w:r>
          </w:p>
        </w:tc>
        <w:tc>
          <w:tcPr>
            <w:tcW w:w="60" w:type="dxa"/>
            <w:tcBorders/>
            <w:shd w:fill="CCEEFF" w:val="clear"/>
            <w:tcMar>
              <w:bottom w:w="0" w:type="dxa"/>
            </w:tcMar>
            <w:vAlign w:val="center"/>
          </w:tcPr>
          <w:p>
            <w:pPr>
              <w:pStyle w:val="TableContents"/>
              <w:spacing w:before="0" w:after="283"/>
              <w:rPr/>
            </w:pPr>
            <w:r>
              <w:rPr/>
              <w:t> </w:t>
            </w:r>
          </w:p>
        </w:tc>
        <w:tc>
          <w:tcPr>
            <w:tcW w:w="289" w:type="dxa"/>
            <w:tcBorders/>
            <w:shd w:fill="CCEEFF" w:val="clear"/>
            <w:tcMar>
              <w:bottom w:w="0" w:type="dxa"/>
            </w:tcMar>
            <w:vAlign w:val="center"/>
          </w:tcPr>
          <w:p>
            <w:pPr>
              <w:pStyle w:val="TableContents"/>
              <w:spacing w:before="0" w:after="283"/>
              <w:jc w:val="left"/>
              <w:rPr/>
            </w:pPr>
            <w:r>
              <w:rPr/>
              <w:t> </w:t>
            </w:r>
          </w:p>
        </w:tc>
        <w:tc>
          <w:tcPr>
            <w:tcW w:w="1110" w:type="dxa"/>
            <w:tcBorders/>
            <w:shd w:fill="CCEEFF" w:val="clear"/>
            <w:tcMar>
              <w:bottom w:w="0" w:type="dxa"/>
            </w:tcMar>
            <w:vAlign w:val="center"/>
          </w:tcPr>
          <w:p>
            <w:pPr>
              <w:pStyle w:val="TableContents"/>
              <w:spacing w:before="0" w:after="283"/>
              <w:jc w:val="right"/>
              <w:rPr>
                <w:sz w:val="20"/>
              </w:rPr>
            </w:pPr>
            <w:r>
              <w:rPr>
                <w:sz w:val="20"/>
              </w:rPr>
              <w:t>28</w:t>
            </w:r>
          </w:p>
        </w:tc>
        <w:tc>
          <w:tcPr>
            <w:tcW w:w="185" w:type="dxa"/>
            <w:tcBorders/>
            <w:shd w:fill="CCEEFF" w:val="clear"/>
            <w:tcMar>
              <w:bottom w:w="0" w:type="dxa"/>
            </w:tcMar>
            <w:vAlign w:val="center"/>
          </w:tcPr>
          <w:p>
            <w:pPr>
              <w:pStyle w:val="TableContents"/>
              <w:spacing w:before="0" w:after="283"/>
              <w:jc w:val="left"/>
              <w:rPr>
                <w:sz w:val="20"/>
              </w:rPr>
            </w:pPr>
            <w:r>
              <w:rPr>
                <w:sz w:val="20"/>
              </w:rPr>
              <w:t>%</w:t>
            </w:r>
          </w:p>
        </w:tc>
        <w:tc>
          <w:tcPr>
            <w:tcW w:w="60" w:type="dxa"/>
            <w:tcBorders/>
            <w:shd w:fill="CCEEFF" w:val="clear"/>
            <w:tcMar>
              <w:bottom w:w="0" w:type="dxa"/>
            </w:tcMar>
            <w:vAlign w:val="center"/>
          </w:tcPr>
          <w:p>
            <w:pPr>
              <w:pStyle w:val="TableContents"/>
              <w:spacing w:before="0" w:after="283"/>
              <w:rPr/>
            </w:pPr>
            <w:r>
              <w:rPr/>
              <w:t> </w:t>
            </w:r>
          </w:p>
        </w:tc>
        <w:tc>
          <w:tcPr>
            <w:tcW w:w="134" w:type="dxa"/>
            <w:tcBorders/>
            <w:shd w:fill="CCEEFF" w:val="clear"/>
            <w:tcMar>
              <w:bottom w:w="0" w:type="dxa"/>
            </w:tcMar>
            <w:vAlign w:val="center"/>
          </w:tcPr>
          <w:p>
            <w:pPr>
              <w:pStyle w:val="TableContents"/>
              <w:spacing w:before="0" w:after="283"/>
              <w:jc w:val="center"/>
              <w:rPr/>
            </w:pPr>
            <w:r>
              <w:rPr/>
              <w:t> </w:t>
            </w:r>
          </w:p>
        </w:tc>
        <w:tc>
          <w:tcPr>
            <w:tcW w:w="516" w:type="dxa"/>
            <w:tcBorders/>
            <w:shd w:fill="CCEEFF" w:val="clear"/>
            <w:tcMar>
              <w:bottom w:w="0" w:type="dxa"/>
            </w:tcMar>
            <w:vAlign w:val="center"/>
          </w:tcPr>
          <w:p>
            <w:pPr>
              <w:pStyle w:val="TableContents"/>
              <w:spacing w:before="0" w:after="283"/>
              <w:jc w:val="right"/>
              <w:rPr>
                <w:sz w:val="20"/>
              </w:rPr>
            </w:pPr>
            <w:r>
              <w:rPr>
                <w:sz w:val="20"/>
              </w:rPr>
              <w:t>51</w:t>
            </w:r>
          </w:p>
        </w:tc>
        <w:tc>
          <w:tcPr>
            <w:tcW w:w="200" w:type="dxa"/>
            <w:tcBorders/>
            <w:shd w:fill="CCEEFF" w:val="clear"/>
            <w:tcMar>
              <w:bottom w:w="0" w:type="dxa"/>
            </w:tcMar>
            <w:vAlign w:val="center"/>
          </w:tcPr>
          <w:p>
            <w:pPr>
              <w:pStyle w:val="TableContents"/>
              <w:spacing w:before="0" w:after="283"/>
              <w:jc w:val="left"/>
              <w:rPr>
                <w:sz w:val="20"/>
              </w:rPr>
            </w:pPr>
            <w:r>
              <w:rPr>
                <w:sz w:val="20"/>
              </w:rPr>
              <w:t>%</w:t>
            </w:r>
          </w:p>
        </w:tc>
      </w:tr>
      <w:tr>
        <w:trPr/>
        <w:tc>
          <w:tcPr>
            <w:tcW w:w="3350" w:type="dxa"/>
            <w:tcBorders/>
            <w:shd w:fill="FFFFFF" w:val="clear"/>
            <w:tcMar>
              <w:bottom w:w="0" w:type="dxa"/>
            </w:tcMar>
            <w:vAlign w:val="center"/>
          </w:tcPr>
          <w:p>
            <w:pPr>
              <w:pStyle w:val="TableContents"/>
              <w:spacing w:before="0" w:after="283"/>
              <w:jc w:val="both"/>
              <w:rPr>
                <w:sz w:val="20"/>
              </w:rPr>
            </w:pPr>
            <w:r>
              <w:rPr>
                <w:sz w:val="20"/>
              </w:rPr>
              <w:t>Nexafed 120mg Extended-release tablets</w:t>
            </w:r>
          </w:p>
        </w:tc>
        <w:tc>
          <w:tcPr>
            <w:tcW w:w="60" w:type="dxa"/>
            <w:tcBorders/>
            <w:shd w:fill="FFFFFF" w:val="clear"/>
            <w:tcMar>
              <w:bottom w:w="0" w:type="dxa"/>
            </w:tcMar>
            <w:vAlign w:val="center"/>
          </w:tcPr>
          <w:p>
            <w:pPr>
              <w:pStyle w:val="TableContents"/>
              <w:spacing w:before="0" w:after="283"/>
              <w:rPr/>
            </w:pPr>
            <w:r>
              <w:rPr/>
              <w:t> </w:t>
            </w:r>
          </w:p>
        </w:tc>
        <w:tc>
          <w:tcPr>
            <w:tcW w:w="1265" w:type="dxa"/>
            <w:tcBorders/>
            <w:shd w:fill="FFFFFF" w:val="clear"/>
            <w:tcMar>
              <w:bottom w:w="0" w:type="dxa"/>
            </w:tcMar>
            <w:vAlign w:val="center"/>
          </w:tcPr>
          <w:p>
            <w:pPr>
              <w:pStyle w:val="TableContents"/>
              <w:spacing w:before="0" w:after="283"/>
              <w:rPr>
                <w:sz w:val="20"/>
              </w:rPr>
            </w:pPr>
            <w:r>
              <w:rPr>
                <w:sz w:val="20"/>
              </w:rPr>
              <w:t>Impede® 2.0</w:t>
            </w:r>
          </w:p>
        </w:tc>
        <w:tc>
          <w:tcPr>
            <w:tcW w:w="60" w:type="dxa"/>
            <w:tcBorders/>
            <w:shd w:fill="FFFFFF" w:val="clear"/>
            <w:tcMar>
              <w:bottom w:w="0" w:type="dxa"/>
            </w:tcMar>
            <w:vAlign w:val="center"/>
          </w:tcPr>
          <w:p>
            <w:pPr>
              <w:pStyle w:val="TableContents"/>
              <w:spacing w:before="0" w:after="283"/>
              <w:rPr/>
            </w:pPr>
            <w:r>
              <w:rPr/>
              <w:t> </w:t>
            </w:r>
          </w:p>
        </w:tc>
        <w:tc>
          <w:tcPr>
            <w:tcW w:w="289" w:type="dxa"/>
            <w:tcBorders/>
            <w:shd w:fill="FFFFFF" w:val="clear"/>
            <w:tcMar>
              <w:bottom w:w="0" w:type="dxa"/>
            </w:tcMar>
            <w:vAlign w:val="center"/>
          </w:tcPr>
          <w:p>
            <w:pPr>
              <w:pStyle w:val="TableContents"/>
              <w:spacing w:before="0" w:after="283"/>
              <w:jc w:val="left"/>
              <w:rPr/>
            </w:pPr>
            <w:r>
              <w:rPr/>
              <w:t> </w:t>
            </w:r>
          </w:p>
        </w:tc>
        <w:tc>
          <w:tcPr>
            <w:tcW w:w="1110" w:type="dxa"/>
            <w:tcBorders/>
            <w:shd w:fill="FFFFFF" w:val="clear"/>
            <w:tcMar>
              <w:bottom w:w="0" w:type="dxa"/>
            </w:tcMar>
            <w:vAlign w:val="center"/>
          </w:tcPr>
          <w:p>
            <w:pPr>
              <w:pStyle w:val="TableContents"/>
              <w:spacing w:before="0" w:after="283"/>
              <w:jc w:val="right"/>
              <w:rPr>
                <w:sz w:val="20"/>
              </w:rPr>
            </w:pPr>
            <w:r>
              <w:rPr>
                <w:sz w:val="20"/>
              </w:rPr>
              <w:t>17</w:t>
            </w:r>
          </w:p>
        </w:tc>
        <w:tc>
          <w:tcPr>
            <w:tcW w:w="185" w:type="dxa"/>
            <w:tcBorders/>
            <w:shd w:fill="FFFFFF" w:val="clear"/>
            <w:tcMar>
              <w:bottom w:w="0" w:type="dxa"/>
            </w:tcMar>
            <w:vAlign w:val="center"/>
          </w:tcPr>
          <w:p>
            <w:pPr>
              <w:pStyle w:val="TableContents"/>
              <w:spacing w:before="0" w:after="283"/>
              <w:jc w:val="left"/>
              <w:rPr>
                <w:sz w:val="20"/>
              </w:rPr>
            </w:pPr>
            <w:r>
              <w:rPr>
                <w:sz w:val="20"/>
              </w:rPr>
              <w:t>%</w:t>
            </w:r>
          </w:p>
        </w:tc>
        <w:tc>
          <w:tcPr>
            <w:tcW w:w="60" w:type="dxa"/>
            <w:tcBorders/>
            <w:shd w:fill="FFFFFF" w:val="clear"/>
            <w:tcMar>
              <w:bottom w:w="0" w:type="dxa"/>
            </w:tcMar>
            <w:vAlign w:val="center"/>
          </w:tcPr>
          <w:p>
            <w:pPr>
              <w:pStyle w:val="TableContents"/>
              <w:spacing w:before="0" w:after="283"/>
              <w:rPr/>
            </w:pPr>
            <w:r>
              <w:rPr/>
              <w:t> </w:t>
            </w:r>
          </w:p>
        </w:tc>
        <w:tc>
          <w:tcPr>
            <w:tcW w:w="134"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sz w:val="20"/>
              </w:rPr>
            </w:pPr>
            <w:r>
              <w:rPr>
                <w:sz w:val="20"/>
              </w:rPr>
              <w:t>34</w:t>
            </w:r>
          </w:p>
        </w:tc>
        <w:tc>
          <w:tcPr>
            <w:tcW w:w="200" w:type="dxa"/>
            <w:tcBorders/>
            <w:shd w:fill="FFFFFF" w:val="clear"/>
            <w:tcMar>
              <w:bottom w:w="0" w:type="dxa"/>
            </w:tcMar>
            <w:vAlign w:val="center"/>
          </w:tcPr>
          <w:p>
            <w:pPr>
              <w:pStyle w:val="TableContents"/>
              <w:spacing w:before="0" w:after="283"/>
              <w:jc w:val="left"/>
              <w:rPr>
                <w:sz w:val="20"/>
              </w:rPr>
            </w:pPr>
            <w:r>
              <w:rPr>
                <w:sz w:val="20"/>
              </w:rPr>
              <w:t>%</w:t>
            </w:r>
          </w:p>
        </w:tc>
      </w:tr>
    </w:tbl>
    <w:p>
      <w:pPr>
        <w:pStyle w:val="TextBody"/>
        <w:spacing w:before="0" w:after="0"/>
        <w:ind w:left="900" w:right="0" w:hanging="180"/>
        <w:jc w:val="both"/>
        <w:rPr>
          <w:caps w:val="false"/>
          <w:smallCaps w:val="false"/>
          <w:position w:val="8"/>
          <w:sz w:val="19"/>
        </w:rPr>
      </w:pPr>
      <w:r>
        <w:rPr>
          <w:caps w:val="false"/>
          <w:smallCaps w:val="false"/>
          <w:position w:val="8"/>
          <w:sz w:val="19"/>
        </w:rPr>
        <w:t> </w:t>
      </w:r>
    </w:p>
    <w:p>
      <w:pPr>
        <w:pStyle w:val="TextBody"/>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Total methamphetamine HCl recovered from the equivalent of 100 PSE 30mg tablets divided by the maximum theoretical yield of 2.7 grams.</w:t>
      </w:r>
    </w:p>
    <w:p>
      <w:pPr>
        <w:pStyle w:val="TextBody"/>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Total methamphetamine HCl recovered from the equivalent of 100 PSE 30mg tablets divided by the total weight of powder recovered.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demonstrated in a pilot clinical study the bioequivalence of a formulation of our Nexafed extended release tablets utilizing our Impede 2.0 Technology to Sudafed® 12-hour Tablets.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Nexafed Products and the MainPointe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to the AD Pharma Agreement, this option and right was rescinded.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MainPointe assigned to AD Pharma, with Acura’s consent, all of its right, title and interest in the MainPointe Agreement between MainPointe and Acura dated March 16, 2017.</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Impede Technology Products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fragmented nature of the PSE market with products containing multiple active ingredients, we have developed additional products for our Nexafed franchise:</w:t>
      </w:r>
    </w:p>
    <w:p>
      <w:pPr>
        <w:pStyle w:val="TextBody"/>
        <w:spacing w:before="0" w:after="0"/>
        <w:ind w:left="0" w:right="0" w:hanging="0"/>
        <w:rPr/>
      </w:pPr>
      <w:r>
        <w:rPr>
          <w:caps w:val="false"/>
          <w:smallCaps w:val="false"/>
        </w:rPr>
        <w:t> </w:t>
      </w:r>
      <w:r>
        <w:rPr/>
        <w:t xml:space="preserve"> </w:t>
      </w:r>
    </w:p>
    <w:tbl>
      <w:tblPr>
        <w:tblW w:w="10205" w:type="dxa"/>
        <w:jc w:val="center"/>
        <w:tblInd w:w="0" w:type="dxa"/>
        <w:tblCellMar>
          <w:top w:w="28" w:type="dxa"/>
          <w:left w:w="28" w:type="dxa"/>
          <w:bottom w:w="28" w:type="dxa"/>
          <w:right w:w="28" w:type="dxa"/>
        </w:tblCellMar>
      </w:tblPr>
      <w:tblGrid>
        <w:gridCol w:w="3618"/>
        <w:gridCol w:w="6587"/>
      </w:tblGrid>
      <w:tr>
        <w:trPr/>
        <w:tc>
          <w:tcPr>
            <w:tcW w:w="361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sz w:val="20"/>
              </w:rPr>
            </w:pPr>
            <w:r>
              <w:rPr>
                <w:b/>
                <w:sz w:val="20"/>
              </w:rPr>
              <w:t>Impede Technology Products</w:t>
            </w:r>
          </w:p>
        </w:tc>
        <w:tc>
          <w:tcPr>
            <w:tcW w:w="658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 xml:space="preserve">Status </w:t>
            </w:r>
          </w:p>
        </w:tc>
      </w:tr>
      <w:tr>
        <w:trPr/>
        <w:tc>
          <w:tcPr>
            <w:tcW w:w="3618" w:type="dxa"/>
            <w:tcBorders>
              <w:left w:val="single" w:sz="8" w:space="0" w:color="000000"/>
              <w:bottom w:val="single" w:sz="8" w:space="0" w:color="000000"/>
              <w:right w:val="single" w:sz="8" w:space="0" w:color="000000"/>
            </w:tcBorders>
            <w:shd w:fill="CCEEFF" w:val="clear"/>
            <w:tcMar>
              <w:top w:w="0" w:type="dxa"/>
              <w:left w:w="188" w:type="dxa"/>
            </w:tcMar>
            <w:vAlign w:val="center"/>
          </w:tcPr>
          <w:p>
            <w:pPr>
              <w:pStyle w:val="TableContents"/>
              <w:spacing w:before="0" w:after="283"/>
              <w:rPr/>
            </w:pPr>
            <w:r>
              <w:rPr/>
              <w:t> </w:t>
            </w:r>
          </w:p>
        </w:tc>
        <w:tc>
          <w:tcPr>
            <w:tcW w:w="6587"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rPr/>
            </w:pPr>
            <w:r>
              <w:rPr/>
              <w:t> </w:t>
            </w:r>
          </w:p>
        </w:tc>
      </w:tr>
      <w:tr>
        <w:trPr/>
        <w:tc>
          <w:tcPr>
            <w:tcW w:w="3618" w:type="dxa"/>
            <w:tcBorders>
              <w:left w:val="single" w:sz="8" w:space="0" w:color="000000"/>
              <w:bottom w:val="single" w:sz="8" w:space="0" w:color="000000"/>
              <w:right w:val="single" w:sz="8" w:space="0" w:color="000000"/>
            </w:tcBorders>
            <w:shd w:fill="FFFFFF" w:val="clear"/>
            <w:tcMar>
              <w:top w:w="0" w:type="dxa"/>
              <w:left w:w="188" w:type="dxa"/>
            </w:tcMar>
            <w:vAlign w:val="center"/>
          </w:tcPr>
          <w:p>
            <w:pPr>
              <w:pStyle w:val="TableContents"/>
              <w:spacing w:before="0" w:after="283"/>
              <w:rPr>
                <w:sz w:val="20"/>
              </w:rPr>
            </w:pPr>
            <w:r>
              <w:rPr>
                <w:sz w:val="20"/>
              </w:rPr>
              <w:t>Extended-release formulation utilizing Impede 2.0 Technology</w:t>
            </w:r>
          </w:p>
        </w:tc>
        <w:tc>
          <w:tcPr>
            <w:tcW w:w="6587"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0"/>
              <w:ind w:left="218"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Pilot pharmacokinetic testing demonstrated bioequivalence to Sudafed® 12-hour Tablets. Pre-IND meeting held with the FDA</w:t>
            </w:r>
          </w:p>
          <w:p>
            <w:pPr>
              <w:pStyle w:val="TableContents"/>
              <w:spacing w:before="0" w:after="0"/>
              <w:ind w:left="218"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imminent development planned</w:t>
            </w:r>
          </w:p>
        </w:tc>
      </w:tr>
      <w:tr>
        <w:trPr/>
        <w:tc>
          <w:tcPr>
            <w:tcW w:w="3618" w:type="dxa"/>
            <w:tcBorders>
              <w:left w:val="single" w:sz="8" w:space="0" w:color="000000"/>
              <w:bottom w:val="single" w:sz="8" w:space="0" w:color="000000"/>
              <w:right w:val="single" w:sz="8" w:space="0" w:color="000000"/>
            </w:tcBorders>
            <w:shd w:fill="CCEEFF" w:val="clear"/>
            <w:tcMar>
              <w:top w:w="0" w:type="dxa"/>
              <w:left w:w="188" w:type="dxa"/>
            </w:tcMar>
            <w:vAlign w:val="center"/>
          </w:tcPr>
          <w:p>
            <w:pPr>
              <w:pStyle w:val="TableContents"/>
              <w:spacing w:before="0" w:after="283"/>
              <w:rPr>
                <w:sz w:val="20"/>
              </w:rPr>
            </w:pPr>
            <w:r>
              <w:rPr>
                <w:sz w:val="20"/>
              </w:rPr>
              <w:t>Extended-release combination products</w:t>
            </w:r>
          </w:p>
        </w:tc>
        <w:tc>
          <w:tcPr>
            <w:tcW w:w="6587"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rPr>
                <w:sz w:val="20"/>
              </w:rPr>
            </w:pPr>
            <w:r>
              <w:rPr>
                <w:sz w:val="20"/>
              </w:rPr>
              <w:t>No imminent development planned</w:t>
            </w:r>
          </w:p>
        </w:tc>
      </w:tr>
      <w:tr>
        <w:trPr/>
        <w:tc>
          <w:tcPr>
            <w:tcW w:w="3618" w:type="dxa"/>
            <w:tcBorders>
              <w:left w:val="single" w:sz="8" w:space="0" w:color="000000"/>
              <w:bottom w:val="single" w:sz="8" w:space="0" w:color="000000"/>
              <w:right w:val="single" w:sz="8" w:space="0" w:color="000000"/>
            </w:tcBorders>
            <w:shd w:fill="FFFFFF" w:val="clear"/>
            <w:tcMar>
              <w:top w:w="0" w:type="dxa"/>
              <w:left w:w="188" w:type="dxa"/>
            </w:tcMar>
            <w:vAlign w:val="center"/>
          </w:tcPr>
          <w:p>
            <w:pPr>
              <w:pStyle w:val="TableContents"/>
              <w:spacing w:before="0" w:after="283"/>
              <w:rPr>
                <w:sz w:val="20"/>
              </w:rPr>
            </w:pPr>
            <w:r>
              <w:rPr>
                <w:sz w:val="20"/>
              </w:rPr>
              <w:t>Loratadine with pseudoephedrine</w:t>
            </w:r>
          </w:p>
        </w:tc>
        <w:tc>
          <w:tcPr>
            <w:tcW w:w="6587"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rPr>
                <w:sz w:val="20"/>
              </w:rPr>
            </w:pPr>
            <w:r>
              <w:rPr>
                <w:sz w:val="20"/>
              </w:rPr>
              <w:t xml:space="preserve">No imminent development planned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Market Opportunity for Impede PSE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The top retail selling PSE OTC cold/allergy products are:</w:t>
      </w:r>
    </w:p>
    <w:p>
      <w:pPr>
        <w:pStyle w:val="TextBody"/>
        <w:spacing w:before="0" w:after="0"/>
        <w:ind w:left="0" w:right="0" w:hanging="0"/>
        <w:rPr>
          <w:caps w:val="false"/>
          <w:smallCaps w:val="false"/>
        </w:rPr>
      </w:pPr>
      <w:r>
        <w:rPr>
          <w:caps w:val="false"/>
          <w:smallCaps w:val="false"/>
        </w:rPr>
        <w:t> </w:t>
      </w:r>
    </w:p>
    <w:tbl>
      <w:tblPr>
        <w:tblW w:w="4785" w:type="dxa"/>
        <w:jc w:val="left"/>
        <w:tblInd w:w="0" w:type="dxa"/>
        <w:tblCellMar>
          <w:top w:w="28" w:type="dxa"/>
          <w:left w:w="108" w:type="dxa"/>
          <w:bottom w:w="28" w:type="dxa"/>
          <w:right w:w="108" w:type="dxa"/>
        </w:tblCellMar>
      </w:tblPr>
      <w:tblGrid>
        <w:gridCol w:w="1550"/>
        <w:gridCol w:w="1430"/>
        <w:gridCol w:w="1805"/>
      </w:tblGrid>
      <w:tr>
        <w:trPr/>
        <w:tc>
          <w:tcPr>
            <w:tcW w:w="155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b/>
                <w:sz w:val="20"/>
              </w:rPr>
            </w:pPr>
            <w:r>
              <w:rPr>
                <w:b/>
                <w:sz w:val="20"/>
              </w:rPr>
              <w:t>Reference Brand</w:t>
            </w:r>
            <w:r>
              <w:rPr>
                <w:b/>
                <w:position w:val="7"/>
                <w:sz w:val="16"/>
                <w:sz w:val="20"/>
              </w:rPr>
              <w:t>1</w:t>
            </w:r>
          </w:p>
        </w:tc>
        <w:tc>
          <w:tcPr>
            <w:tcW w:w="143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Brand Company</w:t>
            </w:r>
          </w:p>
        </w:tc>
        <w:tc>
          <w:tcPr>
            <w:tcW w:w="18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b/>
                <w:sz w:val="20"/>
              </w:rPr>
            </w:pPr>
            <w:r>
              <w:rPr>
                <w:b/>
                <w:sz w:val="20"/>
              </w:rPr>
              <w:t>Active</w:t>
              <w:br/>
              <w:t>Ingredient(s)</w:t>
            </w:r>
          </w:p>
        </w:tc>
      </w:tr>
      <w:tr>
        <w:trPr/>
        <w:tc>
          <w:tcPr>
            <w:tcW w:w="155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spacing w:before="0" w:after="283"/>
              <w:jc w:val="both"/>
              <w:rPr>
                <w:sz w:val="20"/>
              </w:rPr>
            </w:pPr>
            <w:r>
              <w:rPr>
                <w:sz w:val="20"/>
              </w:rPr>
              <w:t>Claritin-D</w:t>
            </w:r>
          </w:p>
        </w:tc>
        <w:tc>
          <w:tcPr>
            <w:tcW w:w="1430"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Bayer</w:t>
            </w:r>
          </w:p>
        </w:tc>
        <w:tc>
          <w:tcPr>
            <w:tcW w:w="1805"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PSE &amp; Loraditine</w:t>
            </w:r>
            <w:r>
              <w:rPr>
                <w:position w:val="7"/>
                <w:sz w:val="16"/>
                <w:sz w:val="20"/>
              </w:rPr>
              <w:t>2</w:t>
            </w:r>
          </w:p>
        </w:tc>
      </w:tr>
      <w:tr>
        <w:trPr/>
        <w:tc>
          <w:tcPr>
            <w:tcW w:w="155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spacing w:before="0" w:after="283"/>
              <w:jc w:val="both"/>
              <w:rPr>
                <w:sz w:val="20"/>
              </w:rPr>
            </w:pPr>
            <w:r>
              <w:rPr>
                <w:sz w:val="20"/>
              </w:rPr>
              <w:t>Allegra-D</w:t>
            </w:r>
          </w:p>
        </w:tc>
        <w:tc>
          <w:tcPr>
            <w:tcW w:w="1430"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Chattem</w:t>
            </w:r>
          </w:p>
        </w:tc>
        <w:tc>
          <w:tcPr>
            <w:tcW w:w="1805"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PSE &amp; Fexofenadine</w:t>
            </w:r>
            <w:r>
              <w:rPr>
                <w:position w:val="7"/>
                <w:sz w:val="16"/>
                <w:sz w:val="20"/>
              </w:rPr>
              <w:t>2</w:t>
            </w:r>
          </w:p>
        </w:tc>
      </w:tr>
      <w:tr>
        <w:trPr/>
        <w:tc>
          <w:tcPr>
            <w:tcW w:w="155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spacing w:before="0" w:after="283"/>
              <w:jc w:val="both"/>
              <w:rPr>
                <w:sz w:val="20"/>
              </w:rPr>
            </w:pPr>
            <w:r>
              <w:rPr>
                <w:sz w:val="20"/>
              </w:rPr>
              <w:t>Zyrtec-D</w:t>
            </w:r>
          </w:p>
        </w:tc>
        <w:tc>
          <w:tcPr>
            <w:tcW w:w="1430"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Pfizer</w:t>
            </w:r>
          </w:p>
        </w:tc>
        <w:tc>
          <w:tcPr>
            <w:tcW w:w="1805"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PSE &amp; Ceterizine</w:t>
            </w:r>
            <w:r>
              <w:rPr>
                <w:position w:val="7"/>
                <w:sz w:val="16"/>
                <w:sz w:val="20"/>
              </w:rPr>
              <w:t>2</w:t>
            </w:r>
          </w:p>
        </w:tc>
      </w:tr>
      <w:tr>
        <w:trPr/>
        <w:tc>
          <w:tcPr>
            <w:tcW w:w="155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spacing w:before="0" w:after="283"/>
              <w:jc w:val="both"/>
              <w:rPr>
                <w:sz w:val="20"/>
              </w:rPr>
            </w:pPr>
            <w:r>
              <w:rPr>
                <w:sz w:val="20"/>
              </w:rPr>
              <w:t>Advil Sinus</w:t>
            </w:r>
          </w:p>
        </w:tc>
        <w:tc>
          <w:tcPr>
            <w:tcW w:w="1430"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Pfizer</w:t>
            </w:r>
          </w:p>
        </w:tc>
        <w:tc>
          <w:tcPr>
            <w:tcW w:w="1805"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PSE &amp; Ibuprofen</w:t>
            </w:r>
          </w:p>
        </w:tc>
      </w:tr>
      <w:tr>
        <w:trPr/>
        <w:tc>
          <w:tcPr>
            <w:tcW w:w="155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spacing w:before="0" w:after="283"/>
              <w:jc w:val="both"/>
              <w:rPr>
                <w:sz w:val="20"/>
              </w:rPr>
            </w:pPr>
            <w:r>
              <w:rPr>
                <w:sz w:val="20"/>
              </w:rPr>
              <w:t>Sudafed 12 Hour</w:t>
            </w:r>
          </w:p>
        </w:tc>
        <w:tc>
          <w:tcPr>
            <w:tcW w:w="1430"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J&amp;J</w:t>
            </w:r>
          </w:p>
        </w:tc>
        <w:tc>
          <w:tcPr>
            <w:tcW w:w="1805" w:type="dxa"/>
            <w:tcBorders>
              <w:bottom w:val="single" w:sz="8" w:space="0" w:color="000000"/>
              <w:right w:val="single" w:sz="8" w:space="0" w:color="000000"/>
            </w:tcBorders>
            <w:shd w:fill="CCEEFF" w:val="clear"/>
            <w:tcMar>
              <w:top w:w="0" w:type="dxa"/>
              <w:left w:w="0" w:type="dxa"/>
            </w:tcMar>
            <w:vAlign w:val="center"/>
          </w:tcPr>
          <w:p>
            <w:pPr>
              <w:pStyle w:val="TableContents"/>
              <w:spacing w:before="0" w:after="283"/>
              <w:jc w:val="both"/>
              <w:rPr>
                <w:sz w:val="20"/>
              </w:rPr>
            </w:pPr>
            <w:r>
              <w:rPr>
                <w:sz w:val="20"/>
              </w:rPr>
              <w:t>PSE</w:t>
            </w:r>
            <w:r>
              <w:rPr>
                <w:position w:val="7"/>
                <w:sz w:val="16"/>
                <w:sz w:val="20"/>
              </w:rPr>
              <w:t>2</w:t>
            </w:r>
          </w:p>
        </w:tc>
      </w:tr>
      <w:tr>
        <w:trPr/>
        <w:tc>
          <w:tcPr>
            <w:tcW w:w="155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spacing w:before="0" w:after="283"/>
              <w:jc w:val="both"/>
              <w:rPr>
                <w:sz w:val="20"/>
              </w:rPr>
            </w:pPr>
            <w:r>
              <w:rPr>
                <w:sz w:val="20"/>
              </w:rPr>
              <w:t>Sudafed 30mg</w:t>
            </w:r>
          </w:p>
        </w:tc>
        <w:tc>
          <w:tcPr>
            <w:tcW w:w="1430"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J&amp;J</w:t>
            </w:r>
          </w:p>
        </w:tc>
        <w:tc>
          <w:tcPr>
            <w:tcW w:w="1805"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jc w:val="both"/>
              <w:rPr>
                <w:sz w:val="20"/>
              </w:rPr>
            </w:pPr>
            <w:r>
              <w:rPr>
                <w:sz w:val="20"/>
              </w:rPr>
              <w:t>PSE</w:t>
            </w:r>
          </w:p>
        </w:tc>
      </w:tr>
    </w:tbl>
    <w:p>
      <w:pPr>
        <w:pStyle w:val="TextBody"/>
        <w:spacing w:before="0" w:after="0"/>
        <w:ind w:left="0" w:right="0" w:hanging="0"/>
        <w:rPr>
          <w:caps w:val="false"/>
          <w:smallCaps w:val="false"/>
        </w:rPr>
      </w:pPr>
      <w:r>
        <w:rPr>
          <w:caps w:val="false"/>
          <w:smallCaps w:val="false"/>
        </w:rPr>
        <w:t> </w:t>
      </w:r>
      <w:r>
        <w:rPr>
          <w:caps w:val="false"/>
          <w:smallCaps w:val="false"/>
          <w:position w:val="8"/>
          <w:sz w:val="19"/>
        </w:rPr>
        <w:t> </w:t>
      </w:r>
    </w:p>
    <w:p>
      <w:pPr>
        <w:pStyle w:val="TextBody"/>
        <w:spacing w:before="0" w:after="0"/>
        <w:ind w:left="0" w:right="0" w:firstLine="31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Branded product only. Does not include store brand sales.</w:t>
      </w:r>
    </w:p>
    <w:p>
      <w:pPr>
        <w:pStyle w:val="TextBody"/>
        <w:spacing w:before="0" w:after="0"/>
        <w:ind w:left="0" w:right="0" w:firstLine="31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Extended release PSE formulations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Labeling for Impede Technology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Market Opportunity for Opioid Analgesic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Centers for Drug Control’s 2019 Drug Surveillance Report, opioid analgesics are one of the largest prescription drug markets in the United States with 153 million prescriptions dispensed in 2019 comprised of approximately 139 million and 14 million, immediate and extended release prescriptions, respectively. Further, it is estimated in 2018 that nationally, approximately 49.5 million people, across all age groups, received at least one opioid prescription. CDC data for 2016 identified hydrocodone and oxycodone as the most widely prescribed opioids with 6.2 billion hydrocodone pills/tablets and 5 billion oxycodone pills/tablets distributed in the US.</w:t>
      </w:r>
    </w:p>
    <w:p>
      <w:pPr>
        <w:pStyle w:val="TextBody"/>
        <w:spacing w:before="0" w:after="0"/>
        <w:ind w:left="0" w:right="0" w:hanging="0"/>
        <w:jc w:val="both"/>
        <w:rPr>
          <w:caps w:val="false"/>
          <w:smallCaps w:val="false"/>
          <w:position w:val="8"/>
          <w:sz w:val="19"/>
        </w:rPr>
      </w:pPr>
      <w:r>
        <w:rPr>
          <w:caps w:val="false"/>
          <w:smallCaps w:val="false"/>
          <w:position w:val="8"/>
          <w:sz w:val="19"/>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LIMITx Technology and Aversion opioid products, to compete primarily in the IR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w:t>
      </w:r>
    </w:p>
    <w:p>
      <w:pPr>
        <w:pStyle w:val="TextBody"/>
        <w:spacing w:before="0" w:after="0"/>
        <w:ind w:left="2520" w:right="0" w:hanging="1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Labeling for Products Using Our Technologies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 and Patent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following issued patents covering, among other things, our LIMITx Technology: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065"/>
        <w:gridCol w:w="60"/>
        <w:gridCol w:w="6360"/>
        <w:gridCol w:w="60"/>
        <w:gridCol w:w="775"/>
        <w:gridCol w:w="60"/>
        <w:gridCol w:w="825"/>
      </w:tblGrid>
      <w:tr>
        <w:trPr/>
        <w:tc>
          <w:tcPr>
            <w:tcW w:w="2065" w:type="dxa"/>
            <w:tcBorders>
              <w:bottom w:val="single" w:sz="8" w:space="0" w:color="000000"/>
            </w:tcBorders>
            <w:shd w:fill="FFFFFF" w:val="clear"/>
            <w:vAlign w:val="center"/>
          </w:tcPr>
          <w:p>
            <w:pPr>
              <w:pStyle w:val="TableContents"/>
              <w:spacing w:before="0" w:after="283"/>
              <w:jc w:val="left"/>
              <w:rPr>
                <w:b/>
                <w:sz w:val="20"/>
              </w:rPr>
            </w:pPr>
            <w:r>
              <w:rPr>
                <w:b/>
                <w:sz w:val="20"/>
              </w:rPr>
              <w:t>Patent No. (Jurisdiction)</w:t>
            </w:r>
          </w:p>
        </w:tc>
        <w:tc>
          <w:tcPr>
            <w:tcW w:w="60" w:type="dxa"/>
            <w:tcBorders/>
            <w:shd w:fill="FFFFFF" w:val="clear"/>
            <w:tcMar>
              <w:bottom w:w="0" w:type="dxa"/>
            </w:tcMar>
            <w:vAlign w:val="center"/>
          </w:tcPr>
          <w:p>
            <w:pPr>
              <w:pStyle w:val="TableContents"/>
              <w:spacing w:before="0" w:after="283"/>
              <w:rPr/>
            </w:pPr>
            <w:r>
              <w:rPr/>
              <w:t> </w:t>
            </w:r>
          </w:p>
        </w:tc>
        <w:tc>
          <w:tcPr>
            <w:tcW w:w="6360" w:type="dxa"/>
            <w:tcBorders>
              <w:bottom w:val="single" w:sz="8" w:space="0" w:color="000000"/>
            </w:tcBorders>
            <w:shd w:fill="FFFFFF" w:val="clear"/>
            <w:vAlign w:val="center"/>
          </w:tcPr>
          <w:p>
            <w:pPr>
              <w:pStyle w:val="TableContents"/>
              <w:spacing w:before="0" w:after="283"/>
              <w:jc w:val="center"/>
              <w:rPr>
                <w:b/>
                <w:sz w:val="20"/>
              </w:rPr>
            </w:pPr>
            <w:r>
              <w:rPr>
                <w:b/>
                <w:sz w:val="20"/>
              </w:rPr>
              <w:t>Subject matter</w:t>
            </w:r>
          </w:p>
        </w:tc>
        <w:tc>
          <w:tcPr>
            <w:tcW w:w="60" w:type="dxa"/>
            <w:tcBorders/>
            <w:shd w:fill="FFFFFF" w:val="clear"/>
            <w:tcMar>
              <w:bottom w:w="0" w:type="dxa"/>
            </w:tcMar>
            <w:vAlign w:val="center"/>
          </w:tcPr>
          <w:p>
            <w:pPr>
              <w:pStyle w:val="TableContents"/>
              <w:spacing w:before="0" w:after="283"/>
              <w:rPr/>
            </w:pPr>
            <w:r>
              <w:rPr/>
              <w:t> </w:t>
            </w:r>
          </w:p>
        </w:tc>
        <w:tc>
          <w:tcPr>
            <w:tcW w:w="775" w:type="dxa"/>
            <w:tcBorders>
              <w:bottom w:val="single" w:sz="8" w:space="0" w:color="000000"/>
            </w:tcBorders>
            <w:shd w:fill="FFFFFF" w:val="clear"/>
            <w:vAlign w:val="center"/>
          </w:tcPr>
          <w:p>
            <w:pPr>
              <w:pStyle w:val="TableContents"/>
              <w:spacing w:before="0" w:after="283"/>
              <w:jc w:val="center"/>
              <w:rPr>
                <w:b/>
                <w:sz w:val="20"/>
              </w:rPr>
            </w:pPr>
            <w:r>
              <w:rPr>
                <w:b/>
                <w:sz w:val="20"/>
              </w:rPr>
              <w:t>Issued</w:t>
            </w:r>
          </w:p>
        </w:tc>
        <w:tc>
          <w:tcPr>
            <w:tcW w:w="60" w:type="dxa"/>
            <w:tcBorders/>
            <w:shd w:fill="FFFFFF" w:val="clear"/>
            <w:tcMar>
              <w:bottom w:w="0" w:type="dxa"/>
            </w:tcMar>
            <w:vAlign w:val="center"/>
          </w:tcPr>
          <w:p>
            <w:pPr>
              <w:pStyle w:val="TableContents"/>
              <w:spacing w:before="0" w:after="283"/>
              <w:rPr/>
            </w:pPr>
            <w:r>
              <w:rPr/>
              <w:t> </w:t>
            </w:r>
          </w:p>
        </w:tc>
        <w:tc>
          <w:tcPr>
            <w:tcW w:w="825" w:type="dxa"/>
            <w:tcBorders>
              <w:bottom w:val="single" w:sz="8" w:space="0" w:color="000000"/>
            </w:tcBorders>
            <w:shd w:fill="FFFFFF" w:val="clear"/>
            <w:vAlign w:val="center"/>
          </w:tcPr>
          <w:p>
            <w:pPr>
              <w:pStyle w:val="TableContents"/>
              <w:spacing w:before="0" w:after="283"/>
              <w:jc w:val="center"/>
              <w:rPr>
                <w:b/>
                <w:sz w:val="20"/>
              </w:rPr>
            </w:pPr>
            <w:r>
              <w:rPr>
                <w:b/>
                <w:sz w:val="20"/>
              </w:rPr>
              <w:t>Expires</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9,101,636 (US)</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3 or more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Aug. 2015</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9,320,796 (US)</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3 or more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Apr. 2016</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9,662,393 (US)</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3 or more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May 2017</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10,441,657 (US)</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3 or more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Sept. 2019</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10,688,184</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3 or more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Jun. 2020</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2,892,908 (CAN)</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Apr. 2016</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5,922,851 (JAPAN)</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Apr. 2016</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ZL201380062421.0 (CHN)</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Jul. 2018</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201711090908.6 (CHN)</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Oct.2020</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2,925,304 (EUR)</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Sept. 2018</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2015124694 (RUS)</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Nov. 2018</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2013352162 (AUS)</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Dec. 2018</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CCEEFF" w:val="clear"/>
            <w:tcMar>
              <w:bottom w:w="0" w:type="dxa"/>
            </w:tcMar>
            <w:vAlign w:val="center"/>
          </w:tcPr>
          <w:p>
            <w:pPr>
              <w:pStyle w:val="TableContents"/>
              <w:spacing w:before="0" w:after="283"/>
              <w:jc w:val="left"/>
              <w:rPr>
                <w:sz w:val="20"/>
              </w:rPr>
            </w:pPr>
            <w:r>
              <w:rPr>
                <w:sz w:val="20"/>
              </w:rPr>
              <w:t>366159 (MEX)</w:t>
            </w:r>
          </w:p>
        </w:tc>
        <w:tc>
          <w:tcPr>
            <w:tcW w:w="60" w:type="dxa"/>
            <w:tcBorders/>
            <w:shd w:fill="CCEEFF" w:val="clear"/>
            <w:tcMar>
              <w:bottom w:w="0" w:type="dxa"/>
            </w:tcMar>
            <w:vAlign w:val="center"/>
          </w:tcPr>
          <w:p>
            <w:pPr>
              <w:pStyle w:val="TableContents"/>
              <w:spacing w:before="0" w:after="283"/>
              <w:rPr/>
            </w:pPr>
            <w:r>
              <w:rPr/>
              <w:t> </w:t>
            </w:r>
          </w:p>
        </w:tc>
        <w:tc>
          <w:tcPr>
            <w:tcW w:w="6360" w:type="dxa"/>
            <w:tcBorders/>
            <w:shd w:fill="CCEE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CCEEFF" w:val="clear"/>
            <w:tcMar>
              <w:bottom w:w="0" w:type="dxa"/>
            </w:tcMar>
            <w:vAlign w:val="center"/>
          </w:tcPr>
          <w:p>
            <w:pPr>
              <w:pStyle w:val="TableContents"/>
              <w:spacing w:before="0" w:after="283"/>
              <w:rPr/>
            </w:pPr>
            <w:r>
              <w:rPr/>
              <w:t> </w:t>
            </w:r>
          </w:p>
        </w:tc>
        <w:tc>
          <w:tcPr>
            <w:tcW w:w="775" w:type="dxa"/>
            <w:tcBorders/>
            <w:shd w:fill="CCEEFF" w:val="clear"/>
            <w:tcMar>
              <w:bottom w:w="0" w:type="dxa"/>
            </w:tcMar>
            <w:vAlign w:val="center"/>
          </w:tcPr>
          <w:p>
            <w:pPr>
              <w:pStyle w:val="TableContents"/>
              <w:spacing w:before="0" w:after="283"/>
              <w:jc w:val="center"/>
              <w:rPr>
                <w:sz w:val="20"/>
              </w:rPr>
            </w:pPr>
            <w:r>
              <w:rPr>
                <w:sz w:val="20"/>
              </w:rPr>
              <w:t>Jul. 2019</w:t>
            </w:r>
          </w:p>
        </w:tc>
        <w:tc>
          <w:tcPr>
            <w:tcW w:w="60" w:type="dxa"/>
            <w:tcBorders/>
            <w:shd w:fill="CCEEFF" w:val="clear"/>
            <w:tcMar>
              <w:bottom w:w="0" w:type="dxa"/>
            </w:tcMar>
            <w:vAlign w:val="center"/>
          </w:tcPr>
          <w:p>
            <w:pPr>
              <w:pStyle w:val="TableContents"/>
              <w:spacing w:before="0" w:after="283"/>
              <w:rPr/>
            </w:pPr>
            <w:r>
              <w:rPr/>
              <w:t> </w:t>
            </w:r>
          </w:p>
        </w:tc>
        <w:tc>
          <w:tcPr>
            <w:tcW w:w="825" w:type="dxa"/>
            <w:tcBorders/>
            <w:shd w:fill="CCEEFF" w:val="clear"/>
            <w:tcMar>
              <w:bottom w:w="0" w:type="dxa"/>
            </w:tcMar>
            <w:vAlign w:val="center"/>
          </w:tcPr>
          <w:p>
            <w:pPr>
              <w:pStyle w:val="TableContents"/>
              <w:spacing w:before="0" w:after="283"/>
              <w:jc w:val="center"/>
              <w:rPr>
                <w:sz w:val="20"/>
              </w:rPr>
            </w:pPr>
            <w:r>
              <w:rPr>
                <w:sz w:val="20"/>
              </w:rPr>
              <w:t>Nov. 2033</w:t>
            </w:r>
          </w:p>
        </w:tc>
      </w:tr>
      <w:tr>
        <w:trPr/>
        <w:tc>
          <w:tcPr>
            <w:tcW w:w="2065" w:type="dxa"/>
            <w:tcBorders/>
            <w:shd w:fill="FFFFFF" w:val="clear"/>
            <w:tcMar>
              <w:bottom w:w="0" w:type="dxa"/>
            </w:tcMar>
            <w:vAlign w:val="center"/>
          </w:tcPr>
          <w:p>
            <w:pPr>
              <w:pStyle w:val="TableContents"/>
              <w:spacing w:before="0" w:after="283"/>
              <w:jc w:val="left"/>
              <w:rPr>
                <w:sz w:val="20"/>
              </w:rPr>
            </w:pPr>
            <w:r>
              <w:rPr>
                <w:sz w:val="20"/>
              </w:rPr>
              <w:t>238713 (ISR)</w:t>
            </w:r>
          </w:p>
        </w:tc>
        <w:tc>
          <w:tcPr>
            <w:tcW w:w="60" w:type="dxa"/>
            <w:tcBorders/>
            <w:shd w:fill="FFFFFF" w:val="clear"/>
            <w:tcMar>
              <w:bottom w:w="0" w:type="dxa"/>
            </w:tcMar>
            <w:vAlign w:val="center"/>
          </w:tcPr>
          <w:p>
            <w:pPr>
              <w:pStyle w:val="TableContents"/>
              <w:spacing w:before="0" w:after="283"/>
              <w:rPr/>
            </w:pPr>
            <w:r>
              <w:rPr/>
              <w:t> </w:t>
            </w:r>
          </w:p>
        </w:tc>
        <w:tc>
          <w:tcPr>
            <w:tcW w:w="6360" w:type="dxa"/>
            <w:tcBorders/>
            <w:shd w:fill="FFFFFF" w:val="clear"/>
            <w:tcMar>
              <w:bottom w:w="0" w:type="dxa"/>
            </w:tcMar>
            <w:vAlign w:val="center"/>
          </w:tcPr>
          <w:p>
            <w:pPr>
              <w:pStyle w:val="TableContents"/>
              <w:spacing w:before="0" w:after="283"/>
              <w:jc w:val="left"/>
              <w:rPr>
                <w:sz w:val="20"/>
              </w:rPr>
            </w:pPr>
            <w:r>
              <w:rPr>
                <w:sz w:val="20"/>
              </w:rPr>
              <w:t>Abuse deterrent products wherein the release of active ingredient is retarded when excessive doses are consumed</w:t>
            </w:r>
          </w:p>
        </w:tc>
        <w:tc>
          <w:tcPr>
            <w:tcW w:w="60" w:type="dxa"/>
            <w:tcBorders/>
            <w:shd w:fill="FFFFFF" w:val="clear"/>
            <w:tcMar>
              <w:bottom w:w="0" w:type="dxa"/>
            </w:tcMar>
            <w:vAlign w:val="center"/>
          </w:tcPr>
          <w:p>
            <w:pPr>
              <w:pStyle w:val="TableContents"/>
              <w:spacing w:before="0" w:after="283"/>
              <w:rPr/>
            </w:pPr>
            <w:r>
              <w:rPr/>
              <w:t> </w:t>
            </w:r>
          </w:p>
        </w:tc>
        <w:tc>
          <w:tcPr>
            <w:tcW w:w="775" w:type="dxa"/>
            <w:tcBorders/>
            <w:shd w:fill="FFFFFF" w:val="clear"/>
            <w:tcMar>
              <w:bottom w:w="0" w:type="dxa"/>
            </w:tcMar>
            <w:vAlign w:val="center"/>
          </w:tcPr>
          <w:p>
            <w:pPr>
              <w:pStyle w:val="TableContents"/>
              <w:spacing w:before="0" w:after="283"/>
              <w:jc w:val="center"/>
              <w:rPr>
                <w:sz w:val="20"/>
              </w:rPr>
            </w:pPr>
            <w:r>
              <w:rPr>
                <w:sz w:val="20"/>
              </w:rPr>
              <w:t>Jul. 2019</w:t>
            </w:r>
          </w:p>
        </w:tc>
        <w:tc>
          <w:tcPr>
            <w:tcW w:w="60" w:type="dxa"/>
            <w:tcBorders/>
            <w:shd w:fill="FFFFFF" w:val="clear"/>
            <w:tcMar>
              <w:bottom w:w="0" w:type="dxa"/>
            </w:tcMar>
            <w:vAlign w:val="center"/>
          </w:tcPr>
          <w:p>
            <w:pPr>
              <w:pStyle w:val="TableContents"/>
              <w:spacing w:before="0" w:after="283"/>
              <w:rPr/>
            </w:pPr>
            <w:r>
              <w:rPr/>
              <w:t> </w:t>
            </w:r>
          </w:p>
        </w:tc>
        <w:tc>
          <w:tcPr>
            <w:tcW w:w="825" w:type="dxa"/>
            <w:tcBorders/>
            <w:shd w:fill="FFFFFF" w:val="clear"/>
            <w:tcMar>
              <w:bottom w:w="0" w:type="dxa"/>
            </w:tcMar>
            <w:vAlign w:val="center"/>
          </w:tcPr>
          <w:p>
            <w:pPr>
              <w:pStyle w:val="TableContents"/>
              <w:spacing w:before="0" w:after="283"/>
              <w:jc w:val="center"/>
              <w:rPr>
                <w:sz w:val="20"/>
              </w:rPr>
            </w:pPr>
            <w:r>
              <w:rPr>
                <w:sz w:val="20"/>
              </w:rPr>
              <w:t>Nov. 2033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following issued patents covering, among other things, Oxaydo and our Aversion Technology:</w:t>
      </w:r>
    </w:p>
    <w:p>
      <w:pPr>
        <w:pStyle w:val="TextBody"/>
        <w:spacing w:before="0" w:after="0"/>
        <w:ind w:left="0" w:right="0" w:firstLine="72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61"/>
        <w:gridCol w:w="60"/>
        <w:gridCol w:w="6674"/>
        <w:gridCol w:w="60"/>
        <w:gridCol w:w="763"/>
        <w:gridCol w:w="60"/>
        <w:gridCol w:w="827"/>
      </w:tblGrid>
      <w:tr>
        <w:trPr/>
        <w:tc>
          <w:tcPr>
            <w:tcW w:w="1761" w:type="dxa"/>
            <w:tcBorders>
              <w:bottom w:val="single" w:sz="8" w:space="0" w:color="000000"/>
            </w:tcBorders>
            <w:shd w:fill="FFFFFF" w:val="clear"/>
            <w:vAlign w:val="center"/>
          </w:tcPr>
          <w:p>
            <w:pPr>
              <w:pStyle w:val="TableContents"/>
              <w:spacing w:before="0" w:after="283"/>
              <w:jc w:val="center"/>
              <w:rPr>
                <w:b/>
                <w:sz w:val="20"/>
              </w:rPr>
            </w:pPr>
            <w:r>
              <w:rPr>
                <w:b/>
                <w:sz w:val="20"/>
              </w:rPr>
              <w:t>Patent No. (Jurisdiction)</w:t>
            </w:r>
          </w:p>
        </w:tc>
        <w:tc>
          <w:tcPr>
            <w:tcW w:w="60" w:type="dxa"/>
            <w:tcBorders/>
            <w:shd w:fill="FFFFFF" w:val="clear"/>
            <w:tcMar>
              <w:bottom w:w="0" w:type="dxa"/>
            </w:tcMar>
            <w:vAlign w:val="center"/>
          </w:tcPr>
          <w:p>
            <w:pPr>
              <w:pStyle w:val="TableContents"/>
              <w:spacing w:before="0" w:after="283"/>
              <w:rPr/>
            </w:pPr>
            <w:r>
              <w:rPr/>
              <w:t> </w:t>
            </w:r>
          </w:p>
        </w:tc>
        <w:tc>
          <w:tcPr>
            <w:tcW w:w="6674" w:type="dxa"/>
            <w:tcBorders>
              <w:bottom w:val="single" w:sz="8" w:space="0" w:color="000000"/>
            </w:tcBorders>
            <w:shd w:fill="FFFFFF" w:val="clear"/>
            <w:vAlign w:val="center"/>
          </w:tcPr>
          <w:p>
            <w:pPr>
              <w:pStyle w:val="TableContents"/>
              <w:spacing w:before="0" w:after="283"/>
              <w:jc w:val="center"/>
              <w:rPr>
                <w:b/>
                <w:sz w:val="20"/>
              </w:rPr>
            </w:pPr>
            <w:r>
              <w:rPr>
                <w:b/>
                <w:sz w:val="20"/>
              </w:rPr>
              <w:t>Subject Matter</w:t>
            </w:r>
          </w:p>
        </w:tc>
        <w:tc>
          <w:tcPr>
            <w:tcW w:w="60" w:type="dxa"/>
            <w:tcBorders/>
            <w:shd w:fill="FFFFFF" w:val="clear"/>
            <w:tcMar>
              <w:bottom w:w="0" w:type="dxa"/>
            </w:tcMar>
            <w:vAlign w:val="center"/>
          </w:tcPr>
          <w:p>
            <w:pPr>
              <w:pStyle w:val="TableContents"/>
              <w:spacing w:before="0" w:after="283"/>
              <w:rPr/>
            </w:pPr>
            <w:r>
              <w:rPr/>
              <w:t> </w:t>
            </w:r>
          </w:p>
        </w:tc>
        <w:tc>
          <w:tcPr>
            <w:tcW w:w="763" w:type="dxa"/>
            <w:tcBorders>
              <w:bottom w:val="single" w:sz="8" w:space="0" w:color="000000"/>
            </w:tcBorders>
            <w:shd w:fill="FFFFFF" w:val="clear"/>
            <w:vAlign w:val="center"/>
          </w:tcPr>
          <w:p>
            <w:pPr>
              <w:pStyle w:val="TableContents"/>
              <w:spacing w:before="0" w:after="283"/>
              <w:jc w:val="center"/>
              <w:rPr>
                <w:b/>
                <w:sz w:val="20"/>
              </w:rPr>
            </w:pPr>
            <w:r>
              <w:rPr>
                <w:b/>
                <w:sz w:val="20"/>
              </w:rPr>
              <w:t>Issued</w:t>
            </w:r>
          </w:p>
        </w:tc>
        <w:tc>
          <w:tcPr>
            <w:tcW w:w="60" w:type="dxa"/>
            <w:tcBorders/>
            <w:shd w:fill="FFFFFF" w:val="clear"/>
            <w:tcMar>
              <w:bottom w:w="0" w:type="dxa"/>
            </w:tcMar>
            <w:vAlign w:val="center"/>
          </w:tcPr>
          <w:p>
            <w:pPr>
              <w:pStyle w:val="TableContents"/>
              <w:spacing w:before="0" w:after="283"/>
              <w:rPr/>
            </w:pPr>
            <w:r>
              <w:rPr/>
              <w:t> </w:t>
            </w:r>
          </w:p>
        </w:tc>
        <w:tc>
          <w:tcPr>
            <w:tcW w:w="827" w:type="dxa"/>
            <w:tcBorders>
              <w:bottom w:val="single" w:sz="8" w:space="0" w:color="000000"/>
            </w:tcBorders>
            <w:shd w:fill="FFFFFF" w:val="clear"/>
            <w:vAlign w:val="center"/>
          </w:tcPr>
          <w:p>
            <w:pPr>
              <w:pStyle w:val="TableContents"/>
              <w:spacing w:before="0" w:after="283"/>
              <w:jc w:val="center"/>
              <w:rPr>
                <w:b/>
                <w:sz w:val="20"/>
              </w:rPr>
            </w:pPr>
            <w:r>
              <w:rPr>
                <w:b/>
                <w:sz w:val="20"/>
              </w:rPr>
              <w:t>Expires</w:t>
            </w:r>
          </w:p>
        </w:tc>
      </w:tr>
      <w:tr>
        <w:trPr/>
        <w:tc>
          <w:tcPr>
            <w:tcW w:w="1761" w:type="dxa"/>
            <w:tcBorders/>
            <w:shd w:fill="CCEEFF" w:val="clear"/>
            <w:tcMar>
              <w:bottom w:w="0" w:type="dxa"/>
            </w:tcMar>
            <w:vAlign w:val="center"/>
          </w:tcPr>
          <w:p>
            <w:pPr>
              <w:pStyle w:val="TableContents"/>
              <w:spacing w:before="0" w:after="283"/>
              <w:jc w:val="both"/>
              <w:rPr>
                <w:sz w:val="20"/>
              </w:rPr>
            </w:pPr>
            <w:r>
              <w:rPr>
                <w:sz w:val="20"/>
              </w:rPr>
              <w:t>7,201,920 (US)</w:t>
            </w:r>
          </w:p>
        </w:tc>
        <w:tc>
          <w:tcPr>
            <w:tcW w:w="60" w:type="dxa"/>
            <w:tcBorders/>
            <w:shd w:fill="CCEEFF" w:val="clear"/>
            <w:tcMar>
              <w:bottom w:w="0" w:type="dxa"/>
            </w:tcMar>
            <w:vAlign w:val="center"/>
          </w:tcPr>
          <w:p>
            <w:pPr>
              <w:pStyle w:val="TableContents"/>
              <w:spacing w:before="0" w:after="283"/>
              <w:rPr/>
            </w:pPr>
            <w:r>
              <w:rPr/>
              <w:t> </w:t>
            </w:r>
          </w:p>
        </w:tc>
        <w:tc>
          <w:tcPr>
            <w:tcW w:w="6674" w:type="dxa"/>
            <w:tcBorders/>
            <w:shd w:fill="CCEEFF" w:val="clear"/>
            <w:tcMar>
              <w:bottom w:w="0" w:type="dxa"/>
            </w:tcMar>
            <w:vAlign w:val="center"/>
          </w:tcPr>
          <w:p>
            <w:pPr>
              <w:pStyle w:val="TableContents"/>
              <w:spacing w:before="0" w:after="283"/>
              <w:jc w:val="both"/>
              <w:rPr>
                <w:sz w:val="20"/>
              </w:rPr>
            </w:pPr>
            <w:r>
              <w:rPr>
                <w:sz w:val="20"/>
              </w:rPr>
              <w:t>Pharmaceutical compositions including a mixture of functional inactive ingredients and specific opioid analgesics</w:t>
            </w:r>
          </w:p>
        </w:tc>
        <w:tc>
          <w:tcPr>
            <w:tcW w:w="60" w:type="dxa"/>
            <w:tcBorders/>
            <w:shd w:fill="CCEEFF" w:val="clear"/>
            <w:tcMar>
              <w:bottom w:w="0" w:type="dxa"/>
            </w:tcMar>
            <w:vAlign w:val="center"/>
          </w:tcPr>
          <w:p>
            <w:pPr>
              <w:pStyle w:val="TableContents"/>
              <w:spacing w:before="0" w:after="283"/>
              <w:rPr/>
            </w:pPr>
            <w:r>
              <w:rPr/>
              <w:t> </w:t>
            </w:r>
          </w:p>
        </w:tc>
        <w:tc>
          <w:tcPr>
            <w:tcW w:w="763" w:type="dxa"/>
            <w:tcBorders/>
            <w:shd w:fill="CCEEFF" w:val="clear"/>
            <w:tcMar>
              <w:bottom w:w="0" w:type="dxa"/>
            </w:tcMar>
            <w:vAlign w:val="center"/>
          </w:tcPr>
          <w:p>
            <w:pPr>
              <w:pStyle w:val="TableContents"/>
              <w:spacing w:before="0" w:after="283"/>
              <w:jc w:val="center"/>
              <w:rPr>
                <w:sz w:val="20"/>
              </w:rPr>
            </w:pPr>
            <w:r>
              <w:rPr>
                <w:sz w:val="20"/>
              </w:rPr>
              <w:t>Apr. 2007</w:t>
            </w:r>
          </w:p>
        </w:tc>
        <w:tc>
          <w:tcPr>
            <w:tcW w:w="60" w:type="dxa"/>
            <w:tcBorders/>
            <w:shd w:fill="CCEEFF" w:val="clear"/>
            <w:tcMar>
              <w:bottom w:w="0" w:type="dxa"/>
            </w:tcMar>
            <w:vAlign w:val="center"/>
          </w:tcPr>
          <w:p>
            <w:pPr>
              <w:pStyle w:val="TableContents"/>
              <w:spacing w:before="0" w:after="283"/>
              <w:rPr/>
            </w:pPr>
            <w:r>
              <w:rPr/>
              <w:t> </w:t>
            </w:r>
          </w:p>
        </w:tc>
        <w:tc>
          <w:tcPr>
            <w:tcW w:w="827" w:type="dxa"/>
            <w:tcBorders/>
            <w:shd w:fill="CCEEFF" w:val="clear"/>
            <w:tcMar>
              <w:bottom w:w="0" w:type="dxa"/>
            </w:tcMar>
            <w:vAlign w:val="center"/>
          </w:tcPr>
          <w:p>
            <w:pPr>
              <w:pStyle w:val="TableContents"/>
              <w:spacing w:before="0" w:after="283"/>
              <w:jc w:val="center"/>
              <w:rPr>
                <w:sz w:val="20"/>
              </w:rPr>
            </w:pPr>
            <w:r>
              <w:rPr>
                <w:sz w:val="20"/>
              </w:rPr>
              <w:t>Mar. 2025</w:t>
            </w:r>
          </w:p>
        </w:tc>
      </w:tr>
      <w:tr>
        <w:trPr/>
        <w:tc>
          <w:tcPr>
            <w:tcW w:w="1761" w:type="dxa"/>
            <w:tcBorders/>
            <w:shd w:fill="FFFFFF" w:val="clear"/>
            <w:tcMar>
              <w:bottom w:w="0" w:type="dxa"/>
            </w:tcMar>
            <w:vAlign w:val="center"/>
          </w:tcPr>
          <w:p>
            <w:pPr>
              <w:pStyle w:val="TableContents"/>
              <w:spacing w:before="0" w:after="283"/>
              <w:jc w:val="both"/>
              <w:rPr>
                <w:sz w:val="20"/>
              </w:rPr>
            </w:pPr>
            <w:r>
              <w:rPr>
                <w:sz w:val="20"/>
              </w:rPr>
              <w:t>7,510,726 (US)</w:t>
            </w:r>
          </w:p>
        </w:tc>
        <w:tc>
          <w:tcPr>
            <w:tcW w:w="60" w:type="dxa"/>
            <w:tcBorders/>
            <w:shd w:fill="FFFFFF" w:val="clear"/>
            <w:tcMar>
              <w:bottom w:w="0" w:type="dxa"/>
            </w:tcMar>
            <w:vAlign w:val="center"/>
          </w:tcPr>
          <w:p>
            <w:pPr>
              <w:pStyle w:val="TableContents"/>
              <w:spacing w:before="0" w:after="283"/>
              <w:rPr/>
            </w:pPr>
            <w:r>
              <w:rPr/>
              <w:t> </w:t>
            </w:r>
          </w:p>
        </w:tc>
        <w:tc>
          <w:tcPr>
            <w:tcW w:w="6674" w:type="dxa"/>
            <w:tcBorders/>
            <w:shd w:fill="FFFFFF" w:val="clear"/>
            <w:tcMar>
              <w:bottom w:w="0" w:type="dxa"/>
            </w:tcMar>
            <w:vAlign w:val="center"/>
          </w:tcPr>
          <w:p>
            <w:pPr>
              <w:pStyle w:val="TableContents"/>
              <w:spacing w:before="0" w:after="283"/>
              <w:jc w:val="both"/>
              <w:rPr>
                <w:sz w:val="20"/>
              </w:rPr>
            </w:pPr>
            <w:r>
              <w:rPr>
                <w:sz w:val="20"/>
              </w:rPr>
              <w:t>A wider range of compositions than those described in the 7,201,920 Patent</w:t>
            </w:r>
          </w:p>
        </w:tc>
        <w:tc>
          <w:tcPr>
            <w:tcW w:w="60" w:type="dxa"/>
            <w:tcBorders/>
            <w:shd w:fill="FFFFFF" w:val="clear"/>
            <w:tcMar>
              <w:bottom w:w="0" w:type="dxa"/>
            </w:tcMar>
            <w:vAlign w:val="center"/>
          </w:tcPr>
          <w:p>
            <w:pPr>
              <w:pStyle w:val="TableContents"/>
              <w:spacing w:before="0" w:after="283"/>
              <w:rPr/>
            </w:pPr>
            <w:r>
              <w:rPr/>
              <w:t> </w:t>
            </w:r>
          </w:p>
        </w:tc>
        <w:tc>
          <w:tcPr>
            <w:tcW w:w="763" w:type="dxa"/>
            <w:tcBorders/>
            <w:shd w:fill="FFFFFF" w:val="clear"/>
            <w:tcMar>
              <w:bottom w:w="0" w:type="dxa"/>
            </w:tcMar>
            <w:vAlign w:val="center"/>
          </w:tcPr>
          <w:p>
            <w:pPr>
              <w:pStyle w:val="TableContents"/>
              <w:spacing w:before="0" w:after="283"/>
              <w:jc w:val="center"/>
              <w:rPr>
                <w:sz w:val="20"/>
              </w:rPr>
            </w:pPr>
            <w:r>
              <w:rPr>
                <w:sz w:val="20"/>
              </w:rPr>
              <w:t>Mar. 2009</w:t>
            </w:r>
          </w:p>
        </w:tc>
        <w:tc>
          <w:tcPr>
            <w:tcW w:w="60" w:type="dxa"/>
            <w:tcBorders/>
            <w:shd w:fill="FFFFFF" w:val="clear"/>
            <w:tcMar>
              <w:bottom w:w="0" w:type="dxa"/>
            </w:tcMar>
            <w:vAlign w:val="center"/>
          </w:tcPr>
          <w:p>
            <w:pPr>
              <w:pStyle w:val="TableContents"/>
              <w:spacing w:before="0" w:after="283"/>
              <w:rPr/>
            </w:pPr>
            <w:r>
              <w:rPr/>
              <w:t> </w:t>
            </w:r>
          </w:p>
        </w:tc>
        <w:tc>
          <w:tcPr>
            <w:tcW w:w="827" w:type="dxa"/>
            <w:tcBorders/>
            <w:shd w:fill="FFFFFF" w:val="clear"/>
            <w:tcMar>
              <w:bottom w:w="0" w:type="dxa"/>
            </w:tcMar>
            <w:vAlign w:val="center"/>
          </w:tcPr>
          <w:p>
            <w:pPr>
              <w:pStyle w:val="TableContents"/>
              <w:spacing w:before="0" w:after="283"/>
              <w:jc w:val="center"/>
              <w:rPr>
                <w:sz w:val="20"/>
              </w:rPr>
            </w:pPr>
            <w:r>
              <w:rPr>
                <w:sz w:val="20"/>
              </w:rPr>
              <w:t>Nov. 2023</w:t>
            </w:r>
          </w:p>
        </w:tc>
      </w:tr>
      <w:tr>
        <w:trPr/>
        <w:tc>
          <w:tcPr>
            <w:tcW w:w="1761" w:type="dxa"/>
            <w:tcBorders/>
            <w:shd w:fill="CCEEFF" w:val="clear"/>
            <w:tcMar>
              <w:bottom w:w="0" w:type="dxa"/>
            </w:tcMar>
            <w:vAlign w:val="center"/>
          </w:tcPr>
          <w:p>
            <w:pPr>
              <w:pStyle w:val="TableContents"/>
              <w:spacing w:before="0" w:after="283"/>
              <w:jc w:val="both"/>
              <w:rPr>
                <w:sz w:val="20"/>
              </w:rPr>
            </w:pPr>
            <w:r>
              <w:rPr>
                <w:sz w:val="20"/>
              </w:rPr>
              <w:t>7,981,439 (US)</w:t>
            </w:r>
          </w:p>
        </w:tc>
        <w:tc>
          <w:tcPr>
            <w:tcW w:w="60" w:type="dxa"/>
            <w:tcBorders/>
            <w:shd w:fill="CCEEFF" w:val="clear"/>
            <w:tcMar>
              <w:bottom w:w="0" w:type="dxa"/>
            </w:tcMar>
            <w:vAlign w:val="center"/>
          </w:tcPr>
          <w:p>
            <w:pPr>
              <w:pStyle w:val="TableContents"/>
              <w:spacing w:before="0" w:after="283"/>
              <w:rPr/>
            </w:pPr>
            <w:r>
              <w:rPr/>
              <w:t> </w:t>
            </w:r>
          </w:p>
        </w:tc>
        <w:tc>
          <w:tcPr>
            <w:tcW w:w="6674" w:type="dxa"/>
            <w:tcBorders/>
            <w:shd w:fill="CCEEFF" w:val="clear"/>
            <w:tcMar>
              <w:bottom w:w="0" w:type="dxa"/>
            </w:tcMar>
            <w:vAlign w:val="center"/>
          </w:tcPr>
          <w:p>
            <w:pPr>
              <w:pStyle w:val="TableContents"/>
              <w:spacing w:before="0" w:after="283"/>
              <w:jc w:val="both"/>
              <w:rPr>
                <w:sz w:val="20"/>
              </w:rPr>
            </w:pPr>
            <w:r>
              <w:rPr>
                <w:sz w:val="20"/>
              </w:rPr>
              <w:t>Pharmaceutical compositions including any water soluble drug susceptible to abuse</w:t>
            </w:r>
          </w:p>
        </w:tc>
        <w:tc>
          <w:tcPr>
            <w:tcW w:w="60" w:type="dxa"/>
            <w:tcBorders/>
            <w:shd w:fill="CCEEFF" w:val="clear"/>
            <w:tcMar>
              <w:bottom w:w="0" w:type="dxa"/>
            </w:tcMar>
            <w:vAlign w:val="center"/>
          </w:tcPr>
          <w:p>
            <w:pPr>
              <w:pStyle w:val="TableContents"/>
              <w:spacing w:before="0" w:after="283"/>
              <w:rPr/>
            </w:pPr>
            <w:r>
              <w:rPr/>
              <w:t> </w:t>
            </w:r>
          </w:p>
        </w:tc>
        <w:tc>
          <w:tcPr>
            <w:tcW w:w="763" w:type="dxa"/>
            <w:tcBorders/>
            <w:shd w:fill="CCEEFF" w:val="clear"/>
            <w:tcMar>
              <w:bottom w:w="0" w:type="dxa"/>
            </w:tcMar>
            <w:vAlign w:val="center"/>
          </w:tcPr>
          <w:p>
            <w:pPr>
              <w:pStyle w:val="TableContents"/>
              <w:spacing w:before="0" w:after="283"/>
              <w:jc w:val="center"/>
              <w:rPr>
                <w:sz w:val="20"/>
              </w:rPr>
            </w:pPr>
            <w:r>
              <w:rPr>
                <w:sz w:val="20"/>
              </w:rPr>
              <w:t>Jul. 2011</w:t>
            </w:r>
          </w:p>
        </w:tc>
        <w:tc>
          <w:tcPr>
            <w:tcW w:w="60" w:type="dxa"/>
            <w:tcBorders/>
            <w:shd w:fill="CCEEFF" w:val="clear"/>
            <w:tcMar>
              <w:bottom w:w="0" w:type="dxa"/>
            </w:tcMar>
            <w:vAlign w:val="center"/>
          </w:tcPr>
          <w:p>
            <w:pPr>
              <w:pStyle w:val="TableContents"/>
              <w:spacing w:before="0" w:after="283"/>
              <w:rPr/>
            </w:pPr>
            <w:r>
              <w:rPr/>
              <w:t> </w:t>
            </w:r>
          </w:p>
        </w:tc>
        <w:tc>
          <w:tcPr>
            <w:tcW w:w="827" w:type="dxa"/>
            <w:tcBorders/>
            <w:shd w:fill="CCEEFF" w:val="clear"/>
            <w:tcMar>
              <w:bottom w:w="0" w:type="dxa"/>
            </w:tcMar>
            <w:vAlign w:val="center"/>
          </w:tcPr>
          <w:p>
            <w:pPr>
              <w:pStyle w:val="TableContents"/>
              <w:spacing w:before="0" w:after="283"/>
              <w:jc w:val="center"/>
              <w:rPr>
                <w:sz w:val="20"/>
              </w:rPr>
            </w:pPr>
            <w:r>
              <w:rPr>
                <w:sz w:val="20"/>
              </w:rPr>
              <w:t>Aug. 2024</w:t>
            </w:r>
          </w:p>
        </w:tc>
      </w:tr>
      <w:tr>
        <w:trPr/>
        <w:tc>
          <w:tcPr>
            <w:tcW w:w="1761" w:type="dxa"/>
            <w:tcBorders/>
            <w:shd w:fill="FFFFFF" w:val="clear"/>
            <w:tcMar>
              <w:bottom w:w="0" w:type="dxa"/>
            </w:tcMar>
            <w:vAlign w:val="center"/>
          </w:tcPr>
          <w:p>
            <w:pPr>
              <w:pStyle w:val="TableContents"/>
              <w:spacing w:before="0" w:after="283"/>
              <w:jc w:val="both"/>
              <w:rPr>
                <w:sz w:val="20"/>
              </w:rPr>
            </w:pPr>
            <w:r>
              <w:rPr>
                <w:sz w:val="20"/>
              </w:rPr>
              <w:t>8,409,616 (US)</w:t>
            </w:r>
          </w:p>
        </w:tc>
        <w:tc>
          <w:tcPr>
            <w:tcW w:w="60" w:type="dxa"/>
            <w:tcBorders/>
            <w:shd w:fill="FFFFFF" w:val="clear"/>
            <w:tcMar>
              <w:bottom w:w="0" w:type="dxa"/>
            </w:tcMar>
            <w:vAlign w:val="center"/>
          </w:tcPr>
          <w:p>
            <w:pPr>
              <w:pStyle w:val="TableContents"/>
              <w:spacing w:before="0" w:after="283"/>
              <w:rPr/>
            </w:pPr>
            <w:r>
              <w:rPr/>
              <w:t> </w:t>
            </w:r>
          </w:p>
        </w:tc>
        <w:tc>
          <w:tcPr>
            <w:tcW w:w="6674" w:type="dxa"/>
            <w:tcBorders/>
            <w:shd w:fill="FFFFFF" w:val="clear"/>
            <w:tcMar>
              <w:bottom w:w="0" w:type="dxa"/>
            </w:tcMar>
            <w:vAlign w:val="center"/>
          </w:tcPr>
          <w:p>
            <w:pPr>
              <w:pStyle w:val="TableContents"/>
              <w:spacing w:before="0" w:after="283"/>
              <w:jc w:val="both"/>
              <w:rPr>
                <w:sz w:val="20"/>
              </w:rPr>
            </w:pPr>
            <w:r>
              <w:rPr>
                <w:sz w:val="20"/>
              </w:rPr>
              <w:t>Pharmaceutical compositions of immediate-release abuse deterrent dosage forms</w:t>
            </w:r>
          </w:p>
        </w:tc>
        <w:tc>
          <w:tcPr>
            <w:tcW w:w="60" w:type="dxa"/>
            <w:tcBorders/>
            <w:shd w:fill="FFFFFF" w:val="clear"/>
            <w:tcMar>
              <w:bottom w:w="0" w:type="dxa"/>
            </w:tcMar>
            <w:vAlign w:val="center"/>
          </w:tcPr>
          <w:p>
            <w:pPr>
              <w:pStyle w:val="TableContents"/>
              <w:spacing w:before="0" w:after="283"/>
              <w:rPr/>
            </w:pPr>
            <w:r>
              <w:rPr/>
              <w:t> </w:t>
            </w:r>
          </w:p>
        </w:tc>
        <w:tc>
          <w:tcPr>
            <w:tcW w:w="763" w:type="dxa"/>
            <w:tcBorders/>
            <w:shd w:fill="FFFFFF" w:val="clear"/>
            <w:tcMar>
              <w:bottom w:w="0" w:type="dxa"/>
            </w:tcMar>
            <w:vAlign w:val="center"/>
          </w:tcPr>
          <w:p>
            <w:pPr>
              <w:pStyle w:val="TableContents"/>
              <w:spacing w:before="0" w:after="283"/>
              <w:jc w:val="center"/>
              <w:rPr>
                <w:sz w:val="20"/>
              </w:rPr>
            </w:pPr>
            <w:r>
              <w:rPr>
                <w:sz w:val="20"/>
              </w:rPr>
              <w:t>Apr. 2013</w:t>
            </w:r>
          </w:p>
        </w:tc>
        <w:tc>
          <w:tcPr>
            <w:tcW w:w="60" w:type="dxa"/>
            <w:tcBorders/>
            <w:shd w:fill="FFFFFF" w:val="clear"/>
            <w:tcMar>
              <w:bottom w:w="0" w:type="dxa"/>
            </w:tcMar>
            <w:vAlign w:val="center"/>
          </w:tcPr>
          <w:p>
            <w:pPr>
              <w:pStyle w:val="TableContents"/>
              <w:spacing w:before="0" w:after="283"/>
              <w:rPr/>
            </w:pPr>
            <w:r>
              <w:rPr/>
              <w:t> </w:t>
            </w:r>
          </w:p>
        </w:tc>
        <w:tc>
          <w:tcPr>
            <w:tcW w:w="827" w:type="dxa"/>
            <w:tcBorders/>
            <w:shd w:fill="FFFFFF" w:val="clear"/>
            <w:tcMar>
              <w:bottom w:w="0" w:type="dxa"/>
            </w:tcMar>
            <w:vAlign w:val="center"/>
          </w:tcPr>
          <w:p>
            <w:pPr>
              <w:pStyle w:val="TableContents"/>
              <w:spacing w:before="0" w:after="283"/>
              <w:jc w:val="center"/>
              <w:rPr>
                <w:sz w:val="20"/>
              </w:rPr>
            </w:pPr>
            <w:r>
              <w:rPr>
                <w:sz w:val="20"/>
              </w:rPr>
              <w:t>Nov. 2023</w:t>
            </w:r>
          </w:p>
        </w:tc>
      </w:tr>
      <w:tr>
        <w:trPr/>
        <w:tc>
          <w:tcPr>
            <w:tcW w:w="1761" w:type="dxa"/>
            <w:tcBorders/>
            <w:shd w:fill="CCEEFF" w:val="clear"/>
            <w:tcMar>
              <w:bottom w:w="0" w:type="dxa"/>
            </w:tcMar>
            <w:vAlign w:val="center"/>
          </w:tcPr>
          <w:p>
            <w:pPr>
              <w:pStyle w:val="TableContents"/>
              <w:spacing w:before="0" w:after="283"/>
              <w:jc w:val="both"/>
              <w:rPr>
                <w:sz w:val="20"/>
              </w:rPr>
            </w:pPr>
            <w:r>
              <w:rPr>
                <w:sz w:val="20"/>
              </w:rPr>
              <w:t>8,637,540 (US)</w:t>
            </w:r>
          </w:p>
        </w:tc>
        <w:tc>
          <w:tcPr>
            <w:tcW w:w="60" w:type="dxa"/>
            <w:tcBorders/>
            <w:shd w:fill="CCEEFF" w:val="clear"/>
            <w:tcMar>
              <w:bottom w:w="0" w:type="dxa"/>
            </w:tcMar>
            <w:vAlign w:val="center"/>
          </w:tcPr>
          <w:p>
            <w:pPr>
              <w:pStyle w:val="TableContents"/>
              <w:spacing w:before="0" w:after="283"/>
              <w:rPr/>
            </w:pPr>
            <w:r>
              <w:rPr/>
              <w:t> </w:t>
            </w:r>
          </w:p>
        </w:tc>
        <w:tc>
          <w:tcPr>
            <w:tcW w:w="6674" w:type="dxa"/>
            <w:tcBorders/>
            <w:shd w:fill="CCEEFF" w:val="clear"/>
            <w:tcMar>
              <w:bottom w:w="0" w:type="dxa"/>
            </w:tcMar>
            <w:vAlign w:val="center"/>
          </w:tcPr>
          <w:p>
            <w:pPr>
              <w:pStyle w:val="TableContents"/>
              <w:spacing w:before="0" w:after="283"/>
              <w:jc w:val="both"/>
              <w:rPr>
                <w:sz w:val="20"/>
              </w:rPr>
            </w:pPr>
            <w:r>
              <w:rPr>
                <w:sz w:val="20"/>
              </w:rPr>
              <w:t>Pharmaceutical compositions of immediate-release abuse deterrent opioid products</w:t>
            </w:r>
          </w:p>
        </w:tc>
        <w:tc>
          <w:tcPr>
            <w:tcW w:w="60" w:type="dxa"/>
            <w:tcBorders/>
            <w:shd w:fill="CCEEFF" w:val="clear"/>
            <w:tcMar>
              <w:bottom w:w="0" w:type="dxa"/>
            </w:tcMar>
            <w:vAlign w:val="center"/>
          </w:tcPr>
          <w:p>
            <w:pPr>
              <w:pStyle w:val="TableContents"/>
              <w:spacing w:before="0" w:after="283"/>
              <w:rPr/>
            </w:pPr>
            <w:r>
              <w:rPr/>
              <w:t> </w:t>
            </w:r>
          </w:p>
        </w:tc>
        <w:tc>
          <w:tcPr>
            <w:tcW w:w="763" w:type="dxa"/>
            <w:tcBorders/>
            <w:shd w:fill="CCEEFF" w:val="clear"/>
            <w:tcMar>
              <w:bottom w:w="0" w:type="dxa"/>
            </w:tcMar>
            <w:vAlign w:val="center"/>
          </w:tcPr>
          <w:p>
            <w:pPr>
              <w:pStyle w:val="TableContents"/>
              <w:spacing w:before="0" w:after="283"/>
              <w:jc w:val="center"/>
              <w:rPr>
                <w:sz w:val="20"/>
              </w:rPr>
            </w:pPr>
            <w:r>
              <w:rPr>
                <w:sz w:val="20"/>
              </w:rPr>
              <w:t>Jan. 2014</w:t>
            </w:r>
          </w:p>
        </w:tc>
        <w:tc>
          <w:tcPr>
            <w:tcW w:w="60" w:type="dxa"/>
            <w:tcBorders/>
            <w:shd w:fill="CCEEFF" w:val="clear"/>
            <w:tcMar>
              <w:bottom w:w="0" w:type="dxa"/>
            </w:tcMar>
            <w:vAlign w:val="center"/>
          </w:tcPr>
          <w:p>
            <w:pPr>
              <w:pStyle w:val="TableContents"/>
              <w:spacing w:before="0" w:after="283"/>
              <w:rPr/>
            </w:pPr>
            <w:r>
              <w:rPr/>
              <w:t> </w:t>
            </w:r>
          </w:p>
        </w:tc>
        <w:tc>
          <w:tcPr>
            <w:tcW w:w="827" w:type="dxa"/>
            <w:tcBorders/>
            <w:shd w:fill="CCEEFF" w:val="clear"/>
            <w:tcMar>
              <w:bottom w:w="0" w:type="dxa"/>
            </w:tcMar>
            <w:vAlign w:val="center"/>
          </w:tcPr>
          <w:p>
            <w:pPr>
              <w:pStyle w:val="TableContents"/>
              <w:spacing w:before="0" w:after="283"/>
              <w:jc w:val="center"/>
              <w:rPr>
                <w:sz w:val="20"/>
              </w:rPr>
            </w:pPr>
            <w:r>
              <w:rPr>
                <w:sz w:val="20"/>
              </w:rPr>
              <w:t>Nov. 2023</w:t>
            </w:r>
          </w:p>
        </w:tc>
      </w:tr>
      <w:tr>
        <w:trPr/>
        <w:tc>
          <w:tcPr>
            <w:tcW w:w="1761" w:type="dxa"/>
            <w:tcBorders/>
            <w:shd w:fill="FFFFFF" w:val="clear"/>
            <w:tcMar>
              <w:bottom w:w="0" w:type="dxa"/>
            </w:tcMar>
            <w:vAlign w:val="center"/>
          </w:tcPr>
          <w:p>
            <w:pPr>
              <w:pStyle w:val="TableContents"/>
              <w:spacing w:before="0" w:after="283"/>
              <w:jc w:val="both"/>
              <w:rPr>
                <w:sz w:val="20"/>
              </w:rPr>
            </w:pPr>
            <w:r>
              <w:rPr>
                <w:sz w:val="20"/>
              </w:rPr>
              <w:t>9,492,443 (US)</w:t>
            </w:r>
          </w:p>
        </w:tc>
        <w:tc>
          <w:tcPr>
            <w:tcW w:w="60" w:type="dxa"/>
            <w:tcBorders/>
            <w:shd w:fill="FFFFFF" w:val="clear"/>
            <w:tcMar>
              <w:bottom w:w="0" w:type="dxa"/>
            </w:tcMar>
            <w:vAlign w:val="center"/>
          </w:tcPr>
          <w:p>
            <w:pPr>
              <w:pStyle w:val="TableContents"/>
              <w:spacing w:before="0" w:after="283"/>
              <w:rPr/>
            </w:pPr>
            <w:r>
              <w:rPr/>
              <w:t> </w:t>
            </w:r>
          </w:p>
        </w:tc>
        <w:tc>
          <w:tcPr>
            <w:tcW w:w="6674" w:type="dxa"/>
            <w:tcBorders/>
            <w:shd w:fill="FFFFFF" w:val="clear"/>
            <w:tcMar>
              <w:bottom w:w="0" w:type="dxa"/>
            </w:tcMar>
            <w:vAlign w:val="center"/>
          </w:tcPr>
          <w:p>
            <w:pPr>
              <w:pStyle w:val="TableContents"/>
              <w:spacing w:before="0" w:after="283"/>
              <w:jc w:val="both"/>
              <w:rPr>
                <w:sz w:val="20"/>
              </w:rPr>
            </w:pPr>
            <w:r>
              <w:rPr>
                <w:sz w:val="20"/>
              </w:rPr>
              <w:t>Pharmaceutical compositions of immediate-release abuse deterrent opioid products</w:t>
            </w:r>
          </w:p>
        </w:tc>
        <w:tc>
          <w:tcPr>
            <w:tcW w:w="60" w:type="dxa"/>
            <w:tcBorders/>
            <w:shd w:fill="FFFFFF" w:val="clear"/>
            <w:tcMar>
              <w:bottom w:w="0" w:type="dxa"/>
            </w:tcMar>
            <w:vAlign w:val="center"/>
          </w:tcPr>
          <w:p>
            <w:pPr>
              <w:pStyle w:val="TableContents"/>
              <w:spacing w:before="0" w:after="283"/>
              <w:rPr/>
            </w:pPr>
            <w:r>
              <w:rPr/>
              <w:t> </w:t>
            </w:r>
          </w:p>
        </w:tc>
        <w:tc>
          <w:tcPr>
            <w:tcW w:w="763" w:type="dxa"/>
            <w:tcBorders/>
            <w:shd w:fill="FFFFFF" w:val="clear"/>
            <w:tcMar>
              <w:bottom w:w="0" w:type="dxa"/>
            </w:tcMar>
            <w:vAlign w:val="center"/>
          </w:tcPr>
          <w:p>
            <w:pPr>
              <w:pStyle w:val="TableContents"/>
              <w:spacing w:before="0" w:after="283"/>
              <w:jc w:val="center"/>
              <w:rPr>
                <w:sz w:val="20"/>
              </w:rPr>
            </w:pPr>
            <w:r>
              <w:rPr>
                <w:sz w:val="20"/>
              </w:rPr>
              <w:t>Nov. 2016</w:t>
            </w:r>
          </w:p>
        </w:tc>
        <w:tc>
          <w:tcPr>
            <w:tcW w:w="60" w:type="dxa"/>
            <w:tcBorders/>
            <w:shd w:fill="FFFFFF" w:val="clear"/>
            <w:tcMar>
              <w:bottom w:w="0" w:type="dxa"/>
            </w:tcMar>
            <w:vAlign w:val="center"/>
          </w:tcPr>
          <w:p>
            <w:pPr>
              <w:pStyle w:val="TableContents"/>
              <w:spacing w:before="0" w:after="283"/>
              <w:rPr/>
            </w:pPr>
            <w:r>
              <w:rPr/>
              <w:t> </w:t>
            </w:r>
          </w:p>
        </w:tc>
        <w:tc>
          <w:tcPr>
            <w:tcW w:w="827" w:type="dxa"/>
            <w:tcBorders/>
            <w:shd w:fill="FFFFFF" w:val="clear"/>
            <w:tcMar>
              <w:bottom w:w="0" w:type="dxa"/>
            </w:tcMar>
            <w:vAlign w:val="center"/>
          </w:tcPr>
          <w:p>
            <w:pPr>
              <w:pStyle w:val="TableContents"/>
              <w:spacing w:before="0" w:after="283"/>
              <w:jc w:val="center"/>
              <w:rPr>
                <w:sz w:val="20"/>
              </w:rPr>
            </w:pPr>
            <w:r>
              <w:rPr>
                <w:sz w:val="20"/>
              </w:rPr>
              <w:t>Nov.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following additional issued patents relating to our Aversion Technology: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98"/>
        <w:gridCol w:w="60"/>
        <w:gridCol w:w="6637"/>
        <w:gridCol w:w="60"/>
        <w:gridCol w:w="764"/>
        <w:gridCol w:w="60"/>
        <w:gridCol w:w="826"/>
      </w:tblGrid>
      <w:tr>
        <w:trPr/>
        <w:tc>
          <w:tcPr>
            <w:tcW w:w="1798" w:type="dxa"/>
            <w:tcBorders>
              <w:bottom w:val="single" w:sz="8" w:space="0" w:color="000000"/>
            </w:tcBorders>
            <w:shd w:fill="FFFFFF" w:val="clear"/>
            <w:vAlign w:val="center"/>
          </w:tcPr>
          <w:p>
            <w:pPr>
              <w:pStyle w:val="TableContents"/>
              <w:spacing w:before="0" w:after="283"/>
              <w:jc w:val="center"/>
              <w:rPr>
                <w:b/>
                <w:sz w:val="20"/>
              </w:rPr>
            </w:pPr>
            <w:r>
              <w:rPr>
                <w:b/>
                <w:sz w:val="20"/>
              </w:rPr>
              <w:t>Patent No. (Jurisdiction)</w:t>
            </w:r>
          </w:p>
        </w:tc>
        <w:tc>
          <w:tcPr>
            <w:tcW w:w="60" w:type="dxa"/>
            <w:tcBorders/>
            <w:shd w:fill="FFFFFF" w:val="clear"/>
            <w:tcMar>
              <w:bottom w:w="0" w:type="dxa"/>
            </w:tcMar>
            <w:vAlign w:val="center"/>
          </w:tcPr>
          <w:p>
            <w:pPr>
              <w:pStyle w:val="TableContents"/>
              <w:spacing w:before="0" w:after="283"/>
              <w:rPr/>
            </w:pPr>
            <w:r>
              <w:rPr/>
              <w:t> </w:t>
            </w:r>
          </w:p>
        </w:tc>
        <w:tc>
          <w:tcPr>
            <w:tcW w:w="6637" w:type="dxa"/>
            <w:tcBorders>
              <w:bottom w:val="single" w:sz="8" w:space="0" w:color="000000"/>
            </w:tcBorders>
            <w:shd w:fill="FFFFFF" w:val="clear"/>
            <w:vAlign w:val="center"/>
          </w:tcPr>
          <w:p>
            <w:pPr>
              <w:pStyle w:val="TableContents"/>
              <w:spacing w:before="0" w:after="283"/>
              <w:jc w:val="center"/>
              <w:rPr>
                <w:b/>
                <w:sz w:val="20"/>
              </w:rPr>
            </w:pPr>
            <w:r>
              <w:rPr>
                <w:b/>
                <w:sz w:val="20"/>
              </w:rPr>
              <w:t>Subject Matter</w:t>
            </w:r>
          </w:p>
        </w:tc>
        <w:tc>
          <w:tcPr>
            <w:tcW w:w="60" w:type="dxa"/>
            <w:tcBorders/>
            <w:shd w:fill="FFFFFF" w:val="clear"/>
            <w:tcMar>
              <w:bottom w:w="0" w:type="dxa"/>
            </w:tcMar>
            <w:vAlign w:val="center"/>
          </w:tcPr>
          <w:p>
            <w:pPr>
              <w:pStyle w:val="TableContents"/>
              <w:spacing w:before="0" w:after="283"/>
              <w:rPr/>
            </w:pPr>
            <w:r>
              <w:rPr/>
              <w:t> </w:t>
            </w:r>
          </w:p>
        </w:tc>
        <w:tc>
          <w:tcPr>
            <w:tcW w:w="764" w:type="dxa"/>
            <w:tcBorders>
              <w:bottom w:val="single" w:sz="8" w:space="0" w:color="000000"/>
            </w:tcBorders>
            <w:shd w:fill="FFFFFF" w:val="clear"/>
            <w:vAlign w:val="center"/>
          </w:tcPr>
          <w:p>
            <w:pPr>
              <w:pStyle w:val="TableContents"/>
              <w:spacing w:before="0" w:after="283"/>
              <w:jc w:val="center"/>
              <w:rPr>
                <w:b/>
                <w:sz w:val="20"/>
              </w:rPr>
            </w:pPr>
            <w:r>
              <w:rPr>
                <w:b/>
                <w:sz w:val="20"/>
              </w:rPr>
              <w:t>Issued</w:t>
            </w:r>
          </w:p>
        </w:tc>
        <w:tc>
          <w:tcPr>
            <w:tcW w:w="60" w:type="dxa"/>
            <w:tcBorders/>
            <w:shd w:fill="FFFFFF" w:val="clear"/>
            <w:tcMar>
              <w:bottom w:w="0" w:type="dxa"/>
            </w:tcMar>
            <w:vAlign w:val="center"/>
          </w:tcPr>
          <w:p>
            <w:pPr>
              <w:pStyle w:val="TableContents"/>
              <w:spacing w:before="0" w:after="283"/>
              <w:rPr/>
            </w:pPr>
            <w:r>
              <w:rPr/>
              <w:t> </w:t>
            </w:r>
          </w:p>
        </w:tc>
        <w:tc>
          <w:tcPr>
            <w:tcW w:w="826" w:type="dxa"/>
            <w:tcBorders>
              <w:bottom w:val="single" w:sz="8" w:space="0" w:color="000000"/>
            </w:tcBorders>
            <w:shd w:fill="FFFFFF" w:val="clear"/>
            <w:vAlign w:val="center"/>
          </w:tcPr>
          <w:p>
            <w:pPr>
              <w:pStyle w:val="TableContents"/>
              <w:spacing w:before="0" w:after="283"/>
              <w:jc w:val="center"/>
              <w:rPr>
                <w:b/>
                <w:sz w:val="20"/>
              </w:rPr>
            </w:pPr>
            <w:r>
              <w:rPr>
                <w:b/>
                <w:sz w:val="20"/>
              </w:rPr>
              <w:t>Expires</w:t>
            </w:r>
          </w:p>
        </w:tc>
      </w:tr>
      <w:tr>
        <w:trPr/>
        <w:tc>
          <w:tcPr>
            <w:tcW w:w="1798" w:type="dxa"/>
            <w:tcBorders/>
            <w:shd w:fill="CCEEFF" w:val="clear"/>
            <w:tcMar>
              <w:bottom w:w="0" w:type="dxa"/>
            </w:tcMar>
            <w:vAlign w:val="center"/>
          </w:tcPr>
          <w:p>
            <w:pPr>
              <w:pStyle w:val="TableContents"/>
              <w:spacing w:before="0" w:after="283"/>
              <w:jc w:val="both"/>
              <w:rPr>
                <w:sz w:val="20"/>
              </w:rPr>
            </w:pPr>
            <w:r>
              <w:rPr>
                <w:sz w:val="20"/>
              </w:rPr>
              <w:t>8,822,489 (US)</w:t>
            </w:r>
          </w:p>
        </w:tc>
        <w:tc>
          <w:tcPr>
            <w:tcW w:w="60" w:type="dxa"/>
            <w:tcBorders/>
            <w:shd w:fill="CCEEFF" w:val="clear"/>
            <w:tcMar>
              <w:bottom w:w="0" w:type="dxa"/>
            </w:tcMar>
            <w:vAlign w:val="center"/>
          </w:tcPr>
          <w:p>
            <w:pPr>
              <w:pStyle w:val="TableContents"/>
              <w:spacing w:before="0" w:after="283"/>
              <w:rPr/>
            </w:pPr>
            <w:r>
              <w:rPr/>
              <w:t> </w:t>
            </w:r>
          </w:p>
        </w:tc>
        <w:tc>
          <w:tcPr>
            <w:tcW w:w="6637" w:type="dxa"/>
            <w:tcBorders/>
            <w:shd w:fill="CCEEFF" w:val="clear"/>
            <w:tcMar>
              <w:bottom w:w="0" w:type="dxa"/>
            </w:tcMar>
            <w:vAlign w:val="center"/>
          </w:tcPr>
          <w:p>
            <w:pPr>
              <w:pStyle w:val="TableContents"/>
              <w:spacing w:before="0" w:after="283"/>
              <w:jc w:val="both"/>
              <w:rPr>
                <w:sz w:val="20"/>
              </w:rPr>
            </w:pPr>
            <w:r>
              <w:rPr>
                <w:sz w:val="20"/>
              </w:rPr>
              <w:t>Pharmaceutical compositions of certain abuse deterrent products that contain polymers, surfactant and polysorb 80</w:t>
            </w:r>
          </w:p>
        </w:tc>
        <w:tc>
          <w:tcPr>
            <w:tcW w:w="60" w:type="dxa"/>
            <w:tcBorders/>
            <w:shd w:fill="CCEEFF" w:val="clear"/>
            <w:tcMar>
              <w:bottom w:w="0" w:type="dxa"/>
            </w:tcMar>
            <w:vAlign w:val="center"/>
          </w:tcPr>
          <w:p>
            <w:pPr>
              <w:pStyle w:val="TableContents"/>
              <w:spacing w:before="0" w:after="283"/>
              <w:rPr/>
            </w:pPr>
            <w:r>
              <w:rPr/>
              <w:t> </w:t>
            </w:r>
          </w:p>
        </w:tc>
        <w:tc>
          <w:tcPr>
            <w:tcW w:w="764" w:type="dxa"/>
            <w:tcBorders/>
            <w:shd w:fill="CCEEFF" w:val="clear"/>
            <w:tcMar>
              <w:bottom w:w="0" w:type="dxa"/>
            </w:tcMar>
            <w:vAlign w:val="center"/>
          </w:tcPr>
          <w:p>
            <w:pPr>
              <w:pStyle w:val="TableContents"/>
              <w:spacing w:before="0" w:after="283"/>
              <w:jc w:val="center"/>
              <w:rPr>
                <w:sz w:val="20"/>
              </w:rPr>
            </w:pPr>
            <w:r>
              <w:rPr>
                <w:sz w:val="20"/>
              </w:rPr>
              <w:t>Jul. 2014</w:t>
            </w:r>
          </w:p>
        </w:tc>
        <w:tc>
          <w:tcPr>
            <w:tcW w:w="60" w:type="dxa"/>
            <w:tcBorders/>
            <w:shd w:fill="CCEEFF" w:val="clear"/>
            <w:tcMar>
              <w:bottom w:w="0" w:type="dxa"/>
            </w:tcMar>
            <w:vAlign w:val="center"/>
          </w:tcPr>
          <w:p>
            <w:pPr>
              <w:pStyle w:val="TableContents"/>
              <w:spacing w:before="0" w:after="283"/>
              <w:rPr/>
            </w:pPr>
            <w:r>
              <w:rPr/>
              <w:t> </w:t>
            </w:r>
          </w:p>
        </w:tc>
        <w:tc>
          <w:tcPr>
            <w:tcW w:w="826" w:type="dxa"/>
            <w:tcBorders/>
            <w:shd w:fill="CCEEFF" w:val="clear"/>
            <w:tcMar>
              <w:bottom w:w="0" w:type="dxa"/>
            </w:tcMar>
            <w:vAlign w:val="center"/>
          </w:tcPr>
          <w:p>
            <w:pPr>
              <w:pStyle w:val="TableContents"/>
              <w:spacing w:before="0" w:after="283"/>
              <w:jc w:val="center"/>
              <w:rPr>
                <w:sz w:val="20"/>
              </w:rPr>
            </w:pPr>
            <w:r>
              <w:rPr>
                <w:sz w:val="20"/>
              </w:rPr>
              <w:t>Nov. 2023</w:t>
            </w:r>
          </w:p>
        </w:tc>
      </w:tr>
      <w:tr>
        <w:trPr/>
        <w:tc>
          <w:tcPr>
            <w:tcW w:w="1798" w:type="dxa"/>
            <w:tcBorders/>
            <w:shd w:fill="FFFFFF" w:val="clear"/>
            <w:tcMar>
              <w:bottom w:w="0" w:type="dxa"/>
            </w:tcMar>
            <w:vAlign w:val="center"/>
          </w:tcPr>
          <w:p>
            <w:pPr>
              <w:pStyle w:val="TableContents"/>
              <w:spacing w:before="0" w:after="283"/>
              <w:jc w:val="both"/>
              <w:rPr>
                <w:sz w:val="20"/>
              </w:rPr>
            </w:pPr>
            <w:r>
              <w:rPr>
                <w:sz w:val="20"/>
              </w:rPr>
              <w:t>2,004,294,953 (AUS)</w:t>
            </w:r>
          </w:p>
        </w:tc>
        <w:tc>
          <w:tcPr>
            <w:tcW w:w="60" w:type="dxa"/>
            <w:tcBorders/>
            <w:shd w:fill="FFFFFF" w:val="clear"/>
            <w:tcMar>
              <w:bottom w:w="0" w:type="dxa"/>
            </w:tcMar>
            <w:vAlign w:val="center"/>
          </w:tcPr>
          <w:p>
            <w:pPr>
              <w:pStyle w:val="TableContents"/>
              <w:spacing w:before="0" w:after="283"/>
              <w:rPr/>
            </w:pPr>
            <w:r>
              <w:rPr/>
              <w:t> </w:t>
            </w:r>
          </w:p>
        </w:tc>
        <w:tc>
          <w:tcPr>
            <w:tcW w:w="6637" w:type="dxa"/>
            <w:tcBorders/>
            <w:shd w:fill="FFFF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FFFFFF" w:val="clear"/>
            <w:tcMar>
              <w:bottom w:w="0" w:type="dxa"/>
            </w:tcMar>
            <w:vAlign w:val="center"/>
          </w:tcPr>
          <w:p>
            <w:pPr>
              <w:pStyle w:val="TableContents"/>
              <w:spacing w:before="0" w:after="283"/>
              <w:rPr/>
            </w:pPr>
            <w:r>
              <w:rPr/>
              <w:t> </w:t>
            </w:r>
          </w:p>
        </w:tc>
        <w:tc>
          <w:tcPr>
            <w:tcW w:w="764" w:type="dxa"/>
            <w:tcBorders/>
            <w:shd w:fill="FFFFFF" w:val="clear"/>
            <w:tcMar>
              <w:bottom w:w="0" w:type="dxa"/>
            </w:tcMar>
            <w:vAlign w:val="center"/>
          </w:tcPr>
          <w:p>
            <w:pPr>
              <w:pStyle w:val="TableContents"/>
              <w:spacing w:before="0" w:after="283"/>
              <w:jc w:val="center"/>
              <w:rPr>
                <w:sz w:val="20"/>
              </w:rPr>
            </w:pPr>
            <w:r>
              <w:rPr>
                <w:sz w:val="20"/>
              </w:rPr>
              <w:t>Apr. 2010</w:t>
            </w:r>
          </w:p>
        </w:tc>
        <w:tc>
          <w:tcPr>
            <w:tcW w:w="60" w:type="dxa"/>
            <w:tcBorders/>
            <w:shd w:fill="FFFFFF" w:val="clear"/>
            <w:tcMar>
              <w:bottom w:w="0" w:type="dxa"/>
            </w:tcMar>
            <w:vAlign w:val="center"/>
          </w:tcPr>
          <w:p>
            <w:pPr>
              <w:pStyle w:val="TableContents"/>
              <w:spacing w:before="0" w:after="283"/>
              <w:rPr/>
            </w:pPr>
            <w:r>
              <w:rPr/>
              <w:t> </w:t>
            </w:r>
          </w:p>
        </w:tc>
        <w:tc>
          <w:tcPr>
            <w:tcW w:w="826" w:type="dxa"/>
            <w:tcBorders/>
            <w:shd w:fill="FFFFFF" w:val="clear"/>
            <w:tcMar>
              <w:bottom w:w="0" w:type="dxa"/>
            </w:tcMar>
            <w:vAlign w:val="center"/>
          </w:tcPr>
          <w:p>
            <w:pPr>
              <w:pStyle w:val="TableContents"/>
              <w:spacing w:before="0" w:after="283"/>
              <w:jc w:val="center"/>
              <w:rPr>
                <w:sz w:val="20"/>
              </w:rPr>
            </w:pPr>
            <w:r>
              <w:rPr>
                <w:sz w:val="20"/>
              </w:rPr>
              <w:t>Nov. 2024</w:t>
            </w:r>
          </w:p>
        </w:tc>
      </w:tr>
      <w:tr>
        <w:trPr/>
        <w:tc>
          <w:tcPr>
            <w:tcW w:w="1798" w:type="dxa"/>
            <w:tcBorders/>
            <w:shd w:fill="CCEEFF" w:val="clear"/>
            <w:tcMar>
              <w:bottom w:w="0" w:type="dxa"/>
            </w:tcMar>
            <w:vAlign w:val="center"/>
          </w:tcPr>
          <w:p>
            <w:pPr>
              <w:pStyle w:val="TableContents"/>
              <w:spacing w:before="0" w:after="283"/>
              <w:jc w:val="both"/>
              <w:rPr>
                <w:sz w:val="20"/>
              </w:rPr>
            </w:pPr>
            <w:r>
              <w:rPr>
                <w:sz w:val="20"/>
              </w:rPr>
              <w:t>2,010,200,979 (AUS)</w:t>
            </w:r>
          </w:p>
        </w:tc>
        <w:tc>
          <w:tcPr>
            <w:tcW w:w="60" w:type="dxa"/>
            <w:tcBorders/>
            <w:shd w:fill="CCEEFF" w:val="clear"/>
            <w:tcMar>
              <w:bottom w:w="0" w:type="dxa"/>
            </w:tcMar>
            <w:vAlign w:val="center"/>
          </w:tcPr>
          <w:p>
            <w:pPr>
              <w:pStyle w:val="TableContents"/>
              <w:spacing w:before="0" w:after="283"/>
              <w:rPr/>
            </w:pPr>
            <w:r>
              <w:rPr/>
              <w:t> </w:t>
            </w:r>
          </w:p>
        </w:tc>
        <w:tc>
          <w:tcPr>
            <w:tcW w:w="6637" w:type="dxa"/>
            <w:tcBorders/>
            <w:shd w:fill="CCEE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CCEEFF" w:val="clear"/>
            <w:tcMar>
              <w:bottom w:w="0" w:type="dxa"/>
            </w:tcMar>
            <w:vAlign w:val="center"/>
          </w:tcPr>
          <w:p>
            <w:pPr>
              <w:pStyle w:val="TableContents"/>
              <w:spacing w:before="0" w:after="283"/>
              <w:rPr/>
            </w:pPr>
            <w:r>
              <w:rPr/>
              <w:t> </w:t>
            </w:r>
          </w:p>
        </w:tc>
        <w:tc>
          <w:tcPr>
            <w:tcW w:w="764" w:type="dxa"/>
            <w:tcBorders/>
            <w:shd w:fill="CCEEFF" w:val="clear"/>
            <w:tcMar>
              <w:bottom w:w="0" w:type="dxa"/>
            </w:tcMar>
            <w:vAlign w:val="center"/>
          </w:tcPr>
          <w:p>
            <w:pPr>
              <w:pStyle w:val="TableContents"/>
              <w:spacing w:before="0" w:after="283"/>
              <w:jc w:val="center"/>
              <w:rPr>
                <w:sz w:val="20"/>
              </w:rPr>
            </w:pPr>
            <w:r>
              <w:rPr>
                <w:sz w:val="20"/>
              </w:rPr>
              <w:t>Aug. 2010</w:t>
            </w:r>
          </w:p>
        </w:tc>
        <w:tc>
          <w:tcPr>
            <w:tcW w:w="60" w:type="dxa"/>
            <w:tcBorders/>
            <w:shd w:fill="CCEEFF" w:val="clear"/>
            <w:tcMar>
              <w:bottom w:w="0" w:type="dxa"/>
            </w:tcMar>
            <w:vAlign w:val="center"/>
          </w:tcPr>
          <w:p>
            <w:pPr>
              <w:pStyle w:val="TableContents"/>
              <w:spacing w:before="0" w:after="283"/>
              <w:rPr/>
            </w:pPr>
            <w:r>
              <w:rPr/>
              <w:t> </w:t>
            </w:r>
          </w:p>
        </w:tc>
        <w:tc>
          <w:tcPr>
            <w:tcW w:w="826" w:type="dxa"/>
            <w:tcBorders/>
            <w:shd w:fill="CCEEFF" w:val="clear"/>
            <w:tcMar>
              <w:bottom w:w="0" w:type="dxa"/>
            </w:tcMar>
            <w:vAlign w:val="center"/>
          </w:tcPr>
          <w:p>
            <w:pPr>
              <w:pStyle w:val="TableContents"/>
              <w:spacing w:before="0" w:after="283"/>
              <w:jc w:val="center"/>
              <w:rPr>
                <w:sz w:val="20"/>
              </w:rPr>
            </w:pPr>
            <w:r>
              <w:rPr>
                <w:sz w:val="20"/>
              </w:rPr>
              <w:t>Nov. 2024</w:t>
            </w:r>
          </w:p>
        </w:tc>
      </w:tr>
      <w:tr>
        <w:trPr/>
        <w:tc>
          <w:tcPr>
            <w:tcW w:w="1798" w:type="dxa"/>
            <w:tcBorders/>
            <w:shd w:fill="FFFFFF" w:val="clear"/>
            <w:tcMar>
              <w:bottom w:w="0" w:type="dxa"/>
            </w:tcMar>
            <w:vAlign w:val="center"/>
          </w:tcPr>
          <w:p>
            <w:pPr>
              <w:pStyle w:val="TableContents"/>
              <w:spacing w:before="0" w:after="283"/>
              <w:jc w:val="both"/>
              <w:rPr>
                <w:sz w:val="20"/>
              </w:rPr>
            </w:pPr>
            <w:r>
              <w:rPr>
                <w:sz w:val="20"/>
              </w:rPr>
              <w:t>2,547,334 (CAN)</w:t>
            </w:r>
          </w:p>
        </w:tc>
        <w:tc>
          <w:tcPr>
            <w:tcW w:w="60" w:type="dxa"/>
            <w:tcBorders/>
            <w:shd w:fill="FFFFFF" w:val="clear"/>
            <w:tcMar>
              <w:bottom w:w="0" w:type="dxa"/>
            </w:tcMar>
            <w:vAlign w:val="center"/>
          </w:tcPr>
          <w:p>
            <w:pPr>
              <w:pStyle w:val="TableContents"/>
              <w:spacing w:before="0" w:after="283"/>
              <w:rPr/>
            </w:pPr>
            <w:r>
              <w:rPr/>
              <w:t> </w:t>
            </w:r>
          </w:p>
        </w:tc>
        <w:tc>
          <w:tcPr>
            <w:tcW w:w="6637" w:type="dxa"/>
            <w:tcBorders/>
            <w:shd w:fill="FFFF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FFFFFF" w:val="clear"/>
            <w:tcMar>
              <w:bottom w:w="0" w:type="dxa"/>
            </w:tcMar>
            <w:vAlign w:val="center"/>
          </w:tcPr>
          <w:p>
            <w:pPr>
              <w:pStyle w:val="TableContents"/>
              <w:spacing w:before="0" w:after="283"/>
              <w:rPr/>
            </w:pPr>
            <w:r>
              <w:rPr/>
              <w:t> </w:t>
            </w:r>
          </w:p>
        </w:tc>
        <w:tc>
          <w:tcPr>
            <w:tcW w:w="764" w:type="dxa"/>
            <w:tcBorders/>
            <w:shd w:fill="FFFFFF" w:val="clear"/>
            <w:tcMar>
              <w:bottom w:w="0" w:type="dxa"/>
            </w:tcMar>
            <w:vAlign w:val="center"/>
          </w:tcPr>
          <w:p>
            <w:pPr>
              <w:pStyle w:val="TableContents"/>
              <w:spacing w:before="0" w:after="283"/>
              <w:jc w:val="center"/>
              <w:rPr>
                <w:sz w:val="20"/>
              </w:rPr>
            </w:pPr>
            <w:r>
              <w:rPr>
                <w:sz w:val="20"/>
              </w:rPr>
              <w:t>Aug. 2010</w:t>
            </w:r>
          </w:p>
        </w:tc>
        <w:tc>
          <w:tcPr>
            <w:tcW w:w="60" w:type="dxa"/>
            <w:tcBorders/>
            <w:shd w:fill="FFFFFF" w:val="clear"/>
            <w:tcMar>
              <w:bottom w:w="0" w:type="dxa"/>
            </w:tcMar>
            <w:vAlign w:val="center"/>
          </w:tcPr>
          <w:p>
            <w:pPr>
              <w:pStyle w:val="TableContents"/>
              <w:spacing w:before="0" w:after="283"/>
              <w:rPr/>
            </w:pPr>
            <w:r>
              <w:rPr/>
              <w:t> </w:t>
            </w:r>
          </w:p>
        </w:tc>
        <w:tc>
          <w:tcPr>
            <w:tcW w:w="826" w:type="dxa"/>
            <w:tcBorders/>
            <w:shd w:fill="FFFFFF" w:val="clear"/>
            <w:tcMar>
              <w:bottom w:w="0" w:type="dxa"/>
            </w:tcMar>
            <w:vAlign w:val="center"/>
          </w:tcPr>
          <w:p>
            <w:pPr>
              <w:pStyle w:val="TableContents"/>
              <w:spacing w:before="0" w:after="283"/>
              <w:jc w:val="center"/>
              <w:rPr>
                <w:sz w:val="20"/>
              </w:rPr>
            </w:pPr>
            <w:r>
              <w:rPr>
                <w:sz w:val="20"/>
              </w:rPr>
              <w:t>Nov. 2024</w:t>
            </w:r>
          </w:p>
        </w:tc>
      </w:tr>
      <w:tr>
        <w:trPr/>
        <w:tc>
          <w:tcPr>
            <w:tcW w:w="1798" w:type="dxa"/>
            <w:tcBorders/>
            <w:shd w:fill="CCEEFF" w:val="clear"/>
            <w:tcMar>
              <w:bottom w:w="0" w:type="dxa"/>
            </w:tcMar>
            <w:vAlign w:val="center"/>
          </w:tcPr>
          <w:p>
            <w:pPr>
              <w:pStyle w:val="TableContents"/>
              <w:spacing w:before="0" w:after="283"/>
              <w:jc w:val="both"/>
              <w:rPr>
                <w:sz w:val="20"/>
              </w:rPr>
            </w:pPr>
            <w:r>
              <w:rPr>
                <w:sz w:val="20"/>
              </w:rPr>
              <w:t>2,647,360 (CAN)</w:t>
            </w:r>
          </w:p>
        </w:tc>
        <w:tc>
          <w:tcPr>
            <w:tcW w:w="60" w:type="dxa"/>
            <w:tcBorders/>
            <w:shd w:fill="CCEEFF" w:val="clear"/>
            <w:tcMar>
              <w:bottom w:w="0" w:type="dxa"/>
            </w:tcMar>
            <w:vAlign w:val="center"/>
          </w:tcPr>
          <w:p>
            <w:pPr>
              <w:pStyle w:val="TableContents"/>
              <w:spacing w:before="0" w:after="283"/>
              <w:rPr/>
            </w:pPr>
            <w:r>
              <w:rPr/>
              <w:t> </w:t>
            </w:r>
          </w:p>
        </w:tc>
        <w:tc>
          <w:tcPr>
            <w:tcW w:w="6637" w:type="dxa"/>
            <w:tcBorders/>
            <w:shd w:fill="CCEE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CCEEFF" w:val="clear"/>
            <w:tcMar>
              <w:bottom w:w="0" w:type="dxa"/>
            </w:tcMar>
            <w:vAlign w:val="center"/>
          </w:tcPr>
          <w:p>
            <w:pPr>
              <w:pStyle w:val="TableContents"/>
              <w:spacing w:before="0" w:after="283"/>
              <w:rPr/>
            </w:pPr>
            <w:r>
              <w:rPr/>
              <w:t> </w:t>
            </w:r>
          </w:p>
        </w:tc>
        <w:tc>
          <w:tcPr>
            <w:tcW w:w="764" w:type="dxa"/>
            <w:tcBorders/>
            <w:shd w:fill="CCEEFF" w:val="clear"/>
            <w:tcMar>
              <w:bottom w:w="0" w:type="dxa"/>
            </w:tcMar>
            <w:vAlign w:val="center"/>
          </w:tcPr>
          <w:p>
            <w:pPr>
              <w:pStyle w:val="TableContents"/>
              <w:spacing w:before="0" w:after="283"/>
              <w:jc w:val="center"/>
              <w:rPr>
                <w:sz w:val="20"/>
              </w:rPr>
            </w:pPr>
            <w:r>
              <w:rPr>
                <w:sz w:val="20"/>
              </w:rPr>
              <w:t>May 2012</w:t>
            </w:r>
          </w:p>
        </w:tc>
        <w:tc>
          <w:tcPr>
            <w:tcW w:w="60" w:type="dxa"/>
            <w:tcBorders/>
            <w:shd w:fill="CCEEFF" w:val="clear"/>
            <w:tcMar>
              <w:bottom w:w="0" w:type="dxa"/>
            </w:tcMar>
            <w:vAlign w:val="center"/>
          </w:tcPr>
          <w:p>
            <w:pPr>
              <w:pStyle w:val="TableContents"/>
              <w:spacing w:before="0" w:after="283"/>
              <w:rPr/>
            </w:pPr>
            <w:r>
              <w:rPr/>
              <w:t> </w:t>
            </w:r>
          </w:p>
        </w:tc>
        <w:tc>
          <w:tcPr>
            <w:tcW w:w="826" w:type="dxa"/>
            <w:tcBorders/>
            <w:shd w:fill="CCEEFF" w:val="clear"/>
            <w:tcMar>
              <w:bottom w:w="0" w:type="dxa"/>
            </w:tcMar>
            <w:vAlign w:val="center"/>
          </w:tcPr>
          <w:p>
            <w:pPr>
              <w:pStyle w:val="TableContents"/>
              <w:spacing w:before="0" w:after="283"/>
              <w:jc w:val="center"/>
              <w:rPr>
                <w:sz w:val="20"/>
              </w:rPr>
            </w:pPr>
            <w:r>
              <w:rPr>
                <w:sz w:val="20"/>
              </w:rPr>
              <w:t>Apr. 2027</w:t>
            </w:r>
          </w:p>
        </w:tc>
      </w:tr>
      <w:tr>
        <w:trPr/>
        <w:tc>
          <w:tcPr>
            <w:tcW w:w="1798" w:type="dxa"/>
            <w:tcBorders/>
            <w:shd w:fill="FFFFFF" w:val="clear"/>
            <w:tcMar>
              <w:bottom w:w="0" w:type="dxa"/>
            </w:tcMar>
            <w:vAlign w:val="center"/>
          </w:tcPr>
          <w:p>
            <w:pPr>
              <w:pStyle w:val="TableContents"/>
              <w:spacing w:before="0" w:after="283"/>
              <w:jc w:val="both"/>
              <w:rPr>
                <w:sz w:val="20"/>
              </w:rPr>
            </w:pPr>
            <w:r>
              <w:rPr>
                <w:sz w:val="20"/>
              </w:rPr>
              <w:t>175,863 (ISR)</w:t>
            </w:r>
          </w:p>
        </w:tc>
        <w:tc>
          <w:tcPr>
            <w:tcW w:w="60" w:type="dxa"/>
            <w:tcBorders/>
            <w:shd w:fill="FFFFFF" w:val="clear"/>
            <w:tcMar>
              <w:bottom w:w="0" w:type="dxa"/>
            </w:tcMar>
            <w:vAlign w:val="center"/>
          </w:tcPr>
          <w:p>
            <w:pPr>
              <w:pStyle w:val="TableContents"/>
              <w:spacing w:before="0" w:after="283"/>
              <w:rPr/>
            </w:pPr>
            <w:r>
              <w:rPr/>
              <w:t> </w:t>
            </w:r>
          </w:p>
        </w:tc>
        <w:tc>
          <w:tcPr>
            <w:tcW w:w="6637" w:type="dxa"/>
            <w:tcBorders/>
            <w:shd w:fill="FFFF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FFFFFF" w:val="clear"/>
            <w:tcMar>
              <w:bottom w:w="0" w:type="dxa"/>
            </w:tcMar>
            <w:vAlign w:val="center"/>
          </w:tcPr>
          <w:p>
            <w:pPr>
              <w:pStyle w:val="TableContents"/>
              <w:spacing w:before="0" w:after="283"/>
              <w:rPr/>
            </w:pPr>
            <w:r>
              <w:rPr/>
              <w:t> </w:t>
            </w:r>
          </w:p>
        </w:tc>
        <w:tc>
          <w:tcPr>
            <w:tcW w:w="764" w:type="dxa"/>
            <w:tcBorders/>
            <w:shd w:fill="FFFFFF" w:val="clear"/>
            <w:tcMar>
              <w:bottom w:w="0" w:type="dxa"/>
            </w:tcMar>
            <w:vAlign w:val="center"/>
          </w:tcPr>
          <w:p>
            <w:pPr>
              <w:pStyle w:val="TableContents"/>
              <w:spacing w:before="0" w:after="283"/>
              <w:jc w:val="center"/>
              <w:rPr>
                <w:sz w:val="20"/>
              </w:rPr>
            </w:pPr>
            <w:r>
              <w:rPr>
                <w:sz w:val="20"/>
              </w:rPr>
              <w:t>Nov. 2004</w:t>
            </w:r>
          </w:p>
        </w:tc>
        <w:tc>
          <w:tcPr>
            <w:tcW w:w="60" w:type="dxa"/>
            <w:tcBorders/>
            <w:shd w:fill="FFFFFF" w:val="clear"/>
            <w:tcMar>
              <w:bottom w:w="0" w:type="dxa"/>
            </w:tcMar>
            <w:vAlign w:val="center"/>
          </w:tcPr>
          <w:p>
            <w:pPr>
              <w:pStyle w:val="TableContents"/>
              <w:spacing w:before="0" w:after="283"/>
              <w:rPr/>
            </w:pPr>
            <w:r>
              <w:rPr/>
              <w:t> </w:t>
            </w:r>
          </w:p>
        </w:tc>
        <w:tc>
          <w:tcPr>
            <w:tcW w:w="826" w:type="dxa"/>
            <w:tcBorders/>
            <w:shd w:fill="FFFFFF" w:val="clear"/>
            <w:tcMar>
              <w:bottom w:w="0" w:type="dxa"/>
            </w:tcMar>
            <w:vAlign w:val="center"/>
          </w:tcPr>
          <w:p>
            <w:pPr>
              <w:pStyle w:val="TableContents"/>
              <w:spacing w:before="0" w:after="283"/>
              <w:jc w:val="center"/>
              <w:rPr>
                <w:sz w:val="20"/>
              </w:rPr>
            </w:pPr>
            <w:r>
              <w:rPr>
                <w:sz w:val="20"/>
              </w:rPr>
              <w:t>Nov. 2024</w:t>
            </w:r>
          </w:p>
        </w:tc>
      </w:tr>
      <w:tr>
        <w:trPr/>
        <w:tc>
          <w:tcPr>
            <w:tcW w:w="1798" w:type="dxa"/>
            <w:tcBorders/>
            <w:shd w:fill="CCEEFF" w:val="clear"/>
            <w:tcMar>
              <w:bottom w:w="0" w:type="dxa"/>
            </w:tcMar>
            <w:vAlign w:val="center"/>
          </w:tcPr>
          <w:p>
            <w:pPr>
              <w:pStyle w:val="TableContents"/>
              <w:spacing w:before="0" w:after="283"/>
              <w:jc w:val="both"/>
              <w:rPr>
                <w:sz w:val="20"/>
              </w:rPr>
            </w:pPr>
            <w:r>
              <w:rPr>
                <w:sz w:val="20"/>
              </w:rPr>
              <w:t>221,018 (ISR)</w:t>
            </w:r>
          </w:p>
        </w:tc>
        <w:tc>
          <w:tcPr>
            <w:tcW w:w="60" w:type="dxa"/>
            <w:tcBorders/>
            <w:shd w:fill="CCEEFF" w:val="clear"/>
            <w:tcMar>
              <w:bottom w:w="0" w:type="dxa"/>
            </w:tcMar>
            <w:vAlign w:val="center"/>
          </w:tcPr>
          <w:p>
            <w:pPr>
              <w:pStyle w:val="TableContents"/>
              <w:spacing w:before="0" w:after="283"/>
              <w:rPr/>
            </w:pPr>
            <w:r>
              <w:rPr/>
              <w:t> </w:t>
            </w:r>
          </w:p>
        </w:tc>
        <w:tc>
          <w:tcPr>
            <w:tcW w:w="6637" w:type="dxa"/>
            <w:tcBorders/>
            <w:shd w:fill="CCEE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CCEEFF" w:val="clear"/>
            <w:tcMar>
              <w:bottom w:w="0" w:type="dxa"/>
            </w:tcMar>
            <w:vAlign w:val="center"/>
          </w:tcPr>
          <w:p>
            <w:pPr>
              <w:pStyle w:val="TableContents"/>
              <w:spacing w:before="0" w:after="283"/>
              <w:rPr/>
            </w:pPr>
            <w:r>
              <w:rPr/>
              <w:t> </w:t>
            </w:r>
          </w:p>
        </w:tc>
        <w:tc>
          <w:tcPr>
            <w:tcW w:w="764" w:type="dxa"/>
            <w:tcBorders/>
            <w:shd w:fill="CCEEFF" w:val="clear"/>
            <w:tcMar>
              <w:bottom w:w="0" w:type="dxa"/>
            </w:tcMar>
            <w:vAlign w:val="center"/>
          </w:tcPr>
          <w:p>
            <w:pPr>
              <w:pStyle w:val="TableContents"/>
              <w:spacing w:before="0" w:after="283"/>
              <w:jc w:val="center"/>
              <w:rPr>
                <w:sz w:val="20"/>
              </w:rPr>
            </w:pPr>
            <w:r>
              <w:rPr>
                <w:sz w:val="20"/>
              </w:rPr>
              <w:t>Nov. 2004</w:t>
            </w:r>
          </w:p>
        </w:tc>
        <w:tc>
          <w:tcPr>
            <w:tcW w:w="60" w:type="dxa"/>
            <w:tcBorders/>
            <w:shd w:fill="CCEEFF" w:val="clear"/>
            <w:tcMar>
              <w:bottom w:w="0" w:type="dxa"/>
            </w:tcMar>
            <w:vAlign w:val="center"/>
          </w:tcPr>
          <w:p>
            <w:pPr>
              <w:pStyle w:val="TableContents"/>
              <w:spacing w:before="0" w:after="283"/>
              <w:rPr/>
            </w:pPr>
            <w:r>
              <w:rPr/>
              <w:t> </w:t>
            </w:r>
          </w:p>
        </w:tc>
        <w:tc>
          <w:tcPr>
            <w:tcW w:w="826" w:type="dxa"/>
            <w:tcBorders/>
            <w:shd w:fill="CCEEFF" w:val="clear"/>
            <w:tcMar>
              <w:bottom w:w="0" w:type="dxa"/>
            </w:tcMar>
            <w:vAlign w:val="center"/>
          </w:tcPr>
          <w:p>
            <w:pPr>
              <w:pStyle w:val="TableContents"/>
              <w:spacing w:before="0" w:after="283"/>
              <w:jc w:val="center"/>
              <w:rPr>
                <w:sz w:val="20"/>
              </w:rPr>
            </w:pPr>
            <w:r>
              <w:rPr>
                <w:sz w:val="20"/>
              </w:rPr>
              <w:t>Nov. 2024</w:t>
            </w:r>
          </w:p>
        </w:tc>
      </w:tr>
      <w:tr>
        <w:trPr/>
        <w:tc>
          <w:tcPr>
            <w:tcW w:w="1798" w:type="dxa"/>
            <w:tcBorders/>
            <w:shd w:fill="FFFFFF" w:val="clear"/>
            <w:tcMar>
              <w:bottom w:w="0" w:type="dxa"/>
            </w:tcMar>
            <w:vAlign w:val="center"/>
          </w:tcPr>
          <w:p>
            <w:pPr>
              <w:pStyle w:val="TableContents"/>
              <w:spacing w:before="0" w:after="283"/>
              <w:jc w:val="both"/>
              <w:rPr>
                <w:sz w:val="20"/>
              </w:rPr>
            </w:pPr>
            <w:r>
              <w:rPr>
                <w:sz w:val="20"/>
              </w:rPr>
              <w:t>1694260 (EUR)</w:t>
            </w:r>
          </w:p>
        </w:tc>
        <w:tc>
          <w:tcPr>
            <w:tcW w:w="60" w:type="dxa"/>
            <w:tcBorders/>
            <w:shd w:fill="FFFFFF" w:val="clear"/>
            <w:tcMar>
              <w:bottom w:w="0" w:type="dxa"/>
            </w:tcMar>
            <w:vAlign w:val="center"/>
          </w:tcPr>
          <w:p>
            <w:pPr>
              <w:pStyle w:val="TableContents"/>
              <w:spacing w:before="0" w:after="283"/>
              <w:rPr/>
            </w:pPr>
            <w:r>
              <w:rPr/>
              <w:t> </w:t>
            </w:r>
          </w:p>
        </w:tc>
        <w:tc>
          <w:tcPr>
            <w:tcW w:w="6637" w:type="dxa"/>
            <w:tcBorders/>
            <w:shd w:fill="FFFFFF" w:val="clear"/>
            <w:tcMar>
              <w:bottom w:w="0" w:type="dxa"/>
            </w:tcMar>
            <w:vAlign w:val="center"/>
          </w:tcPr>
          <w:p>
            <w:pPr>
              <w:pStyle w:val="TableContents"/>
              <w:spacing w:before="0" w:after="283"/>
              <w:jc w:val="both"/>
              <w:rPr>
                <w:sz w:val="20"/>
              </w:rPr>
            </w:pPr>
            <w:r>
              <w:rPr>
                <w:sz w:val="20"/>
              </w:rPr>
              <w:t>Abuse deterrent pharmaceuticals</w:t>
            </w:r>
          </w:p>
        </w:tc>
        <w:tc>
          <w:tcPr>
            <w:tcW w:w="60" w:type="dxa"/>
            <w:tcBorders/>
            <w:shd w:fill="FFFFFF" w:val="clear"/>
            <w:tcMar>
              <w:bottom w:w="0" w:type="dxa"/>
            </w:tcMar>
            <w:vAlign w:val="center"/>
          </w:tcPr>
          <w:p>
            <w:pPr>
              <w:pStyle w:val="TableContents"/>
              <w:spacing w:before="0" w:after="283"/>
              <w:rPr/>
            </w:pPr>
            <w:r>
              <w:rPr/>
              <w:t> </w:t>
            </w:r>
          </w:p>
        </w:tc>
        <w:tc>
          <w:tcPr>
            <w:tcW w:w="764" w:type="dxa"/>
            <w:tcBorders/>
            <w:shd w:fill="FFFFFF" w:val="clear"/>
            <w:tcMar>
              <w:bottom w:w="0" w:type="dxa"/>
            </w:tcMar>
            <w:vAlign w:val="center"/>
          </w:tcPr>
          <w:p>
            <w:pPr>
              <w:pStyle w:val="TableContents"/>
              <w:spacing w:before="0" w:after="283"/>
              <w:jc w:val="center"/>
              <w:rPr>
                <w:sz w:val="20"/>
              </w:rPr>
            </w:pPr>
            <w:r>
              <w:rPr>
                <w:sz w:val="20"/>
              </w:rPr>
              <w:t>Nov. 2004</w:t>
            </w:r>
          </w:p>
        </w:tc>
        <w:tc>
          <w:tcPr>
            <w:tcW w:w="60" w:type="dxa"/>
            <w:tcBorders/>
            <w:shd w:fill="FFFFFF" w:val="clear"/>
            <w:tcMar>
              <w:bottom w:w="0" w:type="dxa"/>
            </w:tcMar>
            <w:vAlign w:val="center"/>
          </w:tcPr>
          <w:p>
            <w:pPr>
              <w:pStyle w:val="TableContents"/>
              <w:spacing w:before="0" w:after="283"/>
              <w:rPr/>
            </w:pPr>
            <w:r>
              <w:rPr/>
              <w:t> </w:t>
            </w:r>
          </w:p>
        </w:tc>
        <w:tc>
          <w:tcPr>
            <w:tcW w:w="826" w:type="dxa"/>
            <w:tcBorders/>
            <w:shd w:fill="FFFFFF" w:val="clear"/>
            <w:tcMar>
              <w:bottom w:w="0" w:type="dxa"/>
            </w:tcMar>
            <w:vAlign w:val="center"/>
          </w:tcPr>
          <w:p>
            <w:pPr>
              <w:pStyle w:val="TableContents"/>
              <w:spacing w:before="0" w:after="283"/>
              <w:jc w:val="center"/>
              <w:rPr>
                <w:sz w:val="20"/>
              </w:rPr>
            </w:pPr>
            <w:r>
              <w:rPr>
                <w:sz w:val="20"/>
              </w:rPr>
              <w:t>Nov. 2024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following issued patents covering, among other things, our Nexafed product line and Impede 1.0 and 2.0 technologies:</w:t>
      </w:r>
    </w:p>
    <w:p>
      <w:pPr>
        <w:pStyle w:val="TextBody"/>
        <w:spacing w:before="0" w:after="0"/>
        <w:ind w:left="0" w:right="0" w:firstLine="72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846"/>
        <w:gridCol w:w="60"/>
        <w:gridCol w:w="6521"/>
        <w:gridCol w:w="60"/>
        <w:gridCol w:w="803"/>
        <w:gridCol w:w="60"/>
        <w:gridCol w:w="855"/>
      </w:tblGrid>
      <w:tr>
        <w:trPr/>
        <w:tc>
          <w:tcPr>
            <w:tcW w:w="1846" w:type="dxa"/>
            <w:tcBorders>
              <w:bottom w:val="single" w:sz="8" w:space="0" w:color="000000"/>
            </w:tcBorders>
            <w:shd w:fill="FFFFFF" w:val="clear"/>
            <w:vAlign w:val="center"/>
          </w:tcPr>
          <w:p>
            <w:pPr>
              <w:pStyle w:val="TableContents"/>
              <w:spacing w:before="0" w:after="283"/>
              <w:jc w:val="center"/>
              <w:rPr>
                <w:b/>
                <w:sz w:val="20"/>
              </w:rPr>
            </w:pPr>
            <w:r>
              <w:rPr>
                <w:b/>
                <w:sz w:val="20"/>
              </w:rPr>
              <w:t>Patent No. (Jurisdiction)</w:t>
            </w:r>
          </w:p>
        </w:tc>
        <w:tc>
          <w:tcPr>
            <w:tcW w:w="60" w:type="dxa"/>
            <w:tcBorders/>
            <w:shd w:fill="FFFFFF" w:val="clear"/>
            <w:tcMar>
              <w:bottom w:w="0" w:type="dxa"/>
            </w:tcMar>
            <w:vAlign w:val="center"/>
          </w:tcPr>
          <w:p>
            <w:pPr>
              <w:pStyle w:val="TableContents"/>
              <w:spacing w:before="0" w:after="283"/>
              <w:rPr/>
            </w:pPr>
            <w:r>
              <w:rPr/>
              <w:t> </w:t>
            </w:r>
          </w:p>
        </w:tc>
        <w:tc>
          <w:tcPr>
            <w:tcW w:w="6521" w:type="dxa"/>
            <w:tcBorders>
              <w:bottom w:val="single" w:sz="8" w:space="0" w:color="000000"/>
            </w:tcBorders>
            <w:shd w:fill="FFFFFF" w:val="clear"/>
            <w:vAlign w:val="center"/>
          </w:tcPr>
          <w:p>
            <w:pPr>
              <w:pStyle w:val="TableContents"/>
              <w:spacing w:before="0" w:after="283"/>
              <w:jc w:val="center"/>
              <w:rPr>
                <w:b/>
                <w:sz w:val="20"/>
              </w:rPr>
            </w:pPr>
            <w:r>
              <w:rPr>
                <w:b/>
                <w:sz w:val="20"/>
              </w:rPr>
              <w:t>Subject Matter</w:t>
            </w:r>
          </w:p>
        </w:tc>
        <w:tc>
          <w:tcPr>
            <w:tcW w:w="60" w:type="dxa"/>
            <w:tcBorders/>
            <w:shd w:fill="FFFFFF" w:val="clear"/>
            <w:tcMar>
              <w:bottom w:w="0" w:type="dxa"/>
            </w:tcMar>
            <w:vAlign w:val="center"/>
          </w:tcPr>
          <w:p>
            <w:pPr>
              <w:pStyle w:val="TableContents"/>
              <w:spacing w:before="0" w:after="283"/>
              <w:rPr/>
            </w:pPr>
            <w:r>
              <w:rPr/>
              <w:t> </w:t>
            </w:r>
          </w:p>
        </w:tc>
        <w:tc>
          <w:tcPr>
            <w:tcW w:w="803" w:type="dxa"/>
            <w:tcBorders>
              <w:bottom w:val="single" w:sz="8" w:space="0" w:color="000000"/>
            </w:tcBorders>
            <w:shd w:fill="FFFFFF" w:val="clear"/>
            <w:vAlign w:val="center"/>
          </w:tcPr>
          <w:p>
            <w:pPr>
              <w:pStyle w:val="TableContents"/>
              <w:spacing w:before="0" w:after="283"/>
              <w:jc w:val="center"/>
              <w:rPr>
                <w:b/>
                <w:sz w:val="20"/>
              </w:rPr>
            </w:pPr>
            <w:r>
              <w:rPr>
                <w:b/>
                <w:sz w:val="20"/>
              </w:rPr>
              <w:t>Issued</w:t>
            </w:r>
          </w:p>
        </w:tc>
        <w:tc>
          <w:tcPr>
            <w:tcW w:w="60" w:type="dxa"/>
            <w:tcBorders/>
            <w:shd w:fill="FFFFFF" w:val="clear"/>
            <w:tcMar>
              <w:bottom w:w="0" w:type="dxa"/>
            </w:tcMar>
            <w:vAlign w:val="center"/>
          </w:tcPr>
          <w:p>
            <w:pPr>
              <w:pStyle w:val="TableContents"/>
              <w:spacing w:before="0" w:after="283"/>
              <w:rPr/>
            </w:pPr>
            <w:r>
              <w:rPr/>
              <w:t> </w:t>
            </w:r>
          </w:p>
        </w:tc>
        <w:tc>
          <w:tcPr>
            <w:tcW w:w="855" w:type="dxa"/>
            <w:tcBorders>
              <w:bottom w:val="single" w:sz="8" w:space="0" w:color="000000"/>
            </w:tcBorders>
            <w:shd w:fill="FFFFFF" w:val="clear"/>
            <w:vAlign w:val="center"/>
          </w:tcPr>
          <w:p>
            <w:pPr>
              <w:pStyle w:val="TableContents"/>
              <w:spacing w:before="0" w:after="283"/>
              <w:jc w:val="center"/>
              <w:rPr>
                <w:b/>
                <w:sz w:val="20"/>
              </w:rPr>
            </w:pPr>
            <w:r>
              <w:rPr>
                <w:b/>
                <w:sz w:val="20"/>
              </w:rPr>
              <w:t>Expires</w:t>
            </w:r>
          </w:p>
        </w:tc>
      </w:tr>
      <w:tr>
        <w:trPr/>
        <w:tc>
          <w:tcPr>
            <w:tcW w:w="1846" w:type="dxa"/>
            <w:tcBorders/>
            <w:shd w:fill="CCEEFF" w:val="clear"/>
            <w:tcMar>
              <w:bottom w:w="0" w:type="dxa"/>
            </w:tcMar>
            <w:vAlign w:val="center"/>
          </w:tcPr>
          <w:p>
            <w:pPr>
              <w:pStyle w:val="TableContents"/>
              <w:spacing w:before="0" w:after="283"/>
              <w:jc w:val="both"/>
              <w:rPr>
                <w:sz w:val="20"/>
              </w:rPr>
            </w:pPr>
            <w:r>
              <w:rPr>
                <w:sz w:val="20"/>
              </w:rPr>
              <w:t>8,901,113 (US)</w:t>
            </w:r>
          </w:p>
        </w:tc>
        <w:tc>
          <w:tcPr>
            <w:tcW w:w="60" w:type="dxa"/>
            <w:tcBorders/>
            <w:shd w:fill="CCEEFF" w:val="clear"/>
            <w:tcMar>
              <w:bottom w:w="0" w:type="dxa"/>
            </w:tcMar>
            <w:vAlign w:val="center"/>
          </w:tcPr>
          <w:p>
            <w:pPr>
              <w:pStyle w:val="TableContents"/>
              <w:spacing w:before="0" w:after="283"/>
              <w:rPr/>
            </w:pPr>
            <w:r>
              <w:rPr/>
              <w:t> </w:t>
            </w:r>
          </w:p>
        </w:tc>
        <w:tc>
          <w:tcPr>
            <w:tcW w:w="6521" w:type="dxa"/>
            <w:tcBorders/>
            <w:shd w:fill="CCEE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CCEEFF" w:val="clear"/>
            <w:tcMar>
              <w:bottom w:w="0" w:type="dxa"/>
            </w:tcMar>
            <w:vAlign w:val="center"/>
          </w:tcPr>
          <w:p>
            <w:pPr>
              <w:pStyle w:val="TableContents"/>
              <w:spacing w:before="0" w:after="283"/>
              <w:rPr/>
            </w:pPr>
            <w:r>
              <w:rPr/>
              <w:t> </w:t>
            </w:r>
          </w:p>
        </w:tc>
        <w:tc>
          <w:tcPr>
            <w:tcW w:w="803" w:type="dxa"/>
            <w:tcBorders/>
            <w:shd w:fill="CCEEFF" w:val="clear"/>
            <w:tcMar>
              <w:bottom w:w="0" w:type="dxa"/>
            </w:tcMar>
            <w:vAlign w:val="center"/>
          </w:tcPr>
          <w:p>
            <w:pPr>
              <w:pStyle w:val="TableContents"/>
              <w:spacing w:before="0" w:after="283"/>
              <w:jc w:val="center"/>
              <w:rPr>
                <w:sz w:val="20"/>
              </w:rPr>
            </w:pPr>
            <w:r>
              <w:rPr>
                <w:sz w:val="20"/>
              </w:rPr>
              <w:t>Dec. 2014</w:t>
            </w:r>
          </w:p>
        </w:tc>
        <w:tc>
          <w:tcPr>
            <w:tcW w:w="60" w:type="dxa"/>
            <w:tcBorders/>
            <w:shd w:fill="CCEEFF" w:val="clear"/>
            <w:tcMar>
              <w:bottom w:w="0" w:type="dxa"/>
            </w:tcMar>
            <w:vAlign w:val="center"/>
          </w:tcPr>
          <w:p>
            <w:pPr>
              <w:pStyle w:val="TableContents"/>
              <w:spacing w:before="0" w:after="283"/>
              <w:rPr/>
            </w:pPr>
            <w:r>
              <w:rPr/>
              <w:t> </w:t>
            </w:r>
          </w:p>
        </w:tc>
        <w:tc>
          <w:tcPr>
            <w:tcW w:w="855" w:type="dxa"/>
            <w:tcBorders/>
            <w:shd w:fill="CCEEFF" w:val="clear"/>
            <w:tcMar>
              <w:bottom w:w="0" w:type="dxa"/>
            </w:tcMar>
            <w:vAlign w:val="center"/>
          </w:tcPr>
          <w:p>
            <w:pPr>
              <w:pStyle w:val="TableContents"/>
              <w:spacing w:before="0" w:after="283"/>
              <w:jc w:val="center"/>
              <w:rPr>
                <w:sz w:val="20"/>
              </w:rPr>
            </w:pPr>
            <w:r>
              <w:rPr>
                <w:sz w:val="20"/>
              </w:rPr>
              <w:t>Feb. 2032</w:t>
            </w:r>
          </w:p>
        </w:tc>
      </w:tr>
      <w:tr>
        <w:trPr/>
        <w:tc>
          <w:tcPr>
            <w:tcW w:w="1846" w:type="dxa"/>
            <w:tcBorders/>
            <w:shd w:fill="FFFFFF" w:val="clear"/>
            <w:tcMar>
              <w:bottom w:w="0" w:type="dxa"/>
            </w:tcMar>
            <w:vAlign w:val="center"/>
          </w:tcPr>
          <w:p>
            <w:pPr>
              <w:pStyle w:val="TableContents"/>
              <w:spacing w:before="0" w:after="283"/>
              <w:jc w:val="both"/>
              <w:rPr>
                <w:sz w:val="20"/>
              </w:rPr>
            </w:pPr>
            <w:r>
              <w:rPr>
                <w:sz w:val="20"/>
              </w:rPr>
              <w:t>9,757,466 (US)</w:t>
            </w:r>
          </w:p>
        </w:tc>
        <w:tc>
          <w:tcPr>
            <w:tcW w:w="60" w:type="dxa"/>
            <w:tcBorders/>
            <w:shd w:fill="FFFFFF" w:val="clear"/>
            <w:tcMar>
              <w:bottom w:w="0" w:type="dxa"/>
            </w:tcMar>
            <w:vAlign w:val="center"/>
          </w:tcPr>
          <w:p>
            <w:pPr>
              <w:pStyle w:val="TableContents"/>
              <w:spacing w:before="0" w:after="283"/>
              <w:rPr/>
            </w:pPr>
            <w:r>
              <w:rPr/>
              <w:t> </w:t>
            </w:r>
          </w:p>
        </w:tc>
        <w:tc>
          <w:tcPr>
            <w:tcW w:w="6521" w:type="dxa"/>
            <w:tcBorders/>
            <w:shd w:fill="FFFF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FFFFFF" w:val="clear"/>
            <w:tcMar>
              <w:bottom w:w="0" w:type="dxa"/>
            </w:tcMar>
            <w:vAlign w:val="center"/>
          </w:tcPr>
          <w:p>
            <w:pPr>
              <w:pStyle w:val="TableContents"/>
              <w:spacing w:before="0" w:after="283"/>
              <w:rPr/>
            </w:pPr>
            <w:r>
              <w:rPr/>
              <w:t> </w:t>
            </w:r>
          </w:p>
        </w:tc>
        <w:tc>
          <w:tcPr>
            <w:tcW w:w="803" w:type="dxa"/>
            <w:tcBorders/>
            <w:shd w:fill="FFFFFF" w:val="clear"/>
            <w:tcMar>
              <w:bottom w:w="0" w:type="dxa"/>
            </w:tcMar>
            <w:vAlign w:val="center"/>
          </w:tcPr>
          <w:p>
            <w:pPr>
              <w:pStyle w:val="TableContents"/>
              <w:spacing w:before="0" w:after="283"/>
              <w:jc w:val="center"/>
              <w:rPr>
                <w:sz w:val="20"/>
              </w:rPr>
            </w:pPr>
            <w:r>
              <w:rPr>
                <w:sz w:val="20"/>
              </w:rPr>
              <w:t>Sept. 2017</w:t>
            </w:r>
          </w:p>
        </w:tc>
        <w:tc>
          <w:tcPr>
            <w:tcW w:w="60" w:type="dxa"/>
            <w:tcBorders/>
            <w:shd w:fill="FFFFFF" w:val="clear"/>
            <w:tcMar>
              <w:bottom w:w="0" w:type="dxa"/>
            </w:tcMar>
            <w:vAlign w:val="center"/>
          </w:tcPr>
          <w:p>
            <w:pPr>
              <w:pStyle w:val="TableContents"/>
              <w:spacing w:before="0" w:after="283"/>
              <w:rPr/>
            </w:pPr>
            <w:r>
              <w:rPr/>
              <w:t> </w:t>
            </w:r>
          </w:p>
        </w:tc>
        <w:tc>
          <w:tcPr>
            <w:tcW w:w="855" w:type="dxa"/>
            <w:tcBorders/>
            <w:shd w:fill="FFFFFF" w:val="clear"/>
            <w:tcMar>
              <w:bottom w:w="0" w:type="dxa"/>
            </w:tcMar>
            <w:vAlign w:val="center"/>
          </w:tcPr>
          <w:p>
            <w:pPr>
              <w:pStyle w:val="TableContents"/>
              <w:spacing w:before="0" w:after="283"/>
              <w:jc w:val="center"/>
              <w:rPr>
                <w:sz w:val="20"/>
              </w:rPr>
            </w:pPr>
            <w:r>
              <w:rPr>
                <w:sz w:val="20"/>
              </w:rPr>
              <w:t>Feb. 2032</w:t>
            </w:r>
          </w:p>
        </w:tc>
      </w:tr>
      <w:tr>
        <w:trPr/>
        <w:tc>
          <w:tcPr>
            <w:tcW w:w="1846" w:type="dxa"/>
            <w:tcBorders/>
            <w:shd w:fill="CCEEFF" w:val="clear"/>
            <w:tcMar>
              <w:bottom w:w="0" w:type="dxa"/>
            </w:tcMar>
            <w:vAlign w:val="center"/>
          </w:tcPr>
          <w:p>
            <w:pPr>
              <w:pStyle w:val="TableContents"/>
              <w:spacing w:before="0" w:after="283"/>
              <w:jc w:val="both"/>
              <w:rPr>
                <w:sz w:val="20"/>
              </w:rPr>
            </w:pPr>
            <w:r>
              <w:rPr>
                <w:sz w:val="20"/>
              </w:rPr>
              <w:t>10,004,699 (US)</w:t>
            </w:r>
          </w:p>
        </w:tc>
        <w:tc>
          <w:tcPr>
            <w:tcW w:w="60" w:type="dxa"/>
            <w:tcBorders/>
            <w:shd w:fill="CCEEFF" w:val="clear"/>
            <w:tcMar>
              <w:bottom w:w="0" w:type="dxa"/>
            </w:tcMar>
            <w:vAlign w:val="center"/>
          </w:tcPr>
          <w:p>
            <w:pPr>
              <w:pStyle w:val="TableContents"/>
              <w:spacing w:before="0" w:after="283"/>
              <w:rPr/>
            </w:pPr>
            <w:r>
              <w:rPr/>
              <w:t> </w:t>
            </w:r>
          </w:p>
        </w:tc>
        <w:tc>
          <w:tcPr>
            <w:tcW w:w="6521" w:type="dxa"/>
            <w:tcBorders/>
            <w:shd w:fill="CCEEFF" w:val="clear"/>
            <w:tcMar>
              <w:bottom w:w="0" w:type="dxa"/>
            </w:tcMar>
            <w:vAlign w:val="center"/>
          </w:tcPr>
          <w:p>
            <w:pPr>
              <w:pStyle w:val="TableContents"/>
              <w:spacing w:before="0" w:after="283"/>
              <w:jc w:val="left"/>
              <w:rPr>
                <w:sz w:val="20"/>
              </w:rPr>
            </w:pPr>
            <w:r>
              <w:rPr>
                <w:sz w:val="20"/>
              </w:rPr>
              <w:t>Methods and compositions for interfering with extraction or conversion of a drug susceptible to abuse</w:t>
            </w:r>
          </w:p>
        </w:tc>
        <w:tc>
          <w:tcPr>
            <w:tcW w:w="60" w:type="dxa"/>
            <w:tcBorders/>
            <w:shd w:fill="CCEEFF" w:val="clear"/>
            <w:tcMar>
              <w:bottom w:w="0" w:type="dxa"/>
            </w:tcMar>
            <w:vAlign w:val="center"/>
          </w:tcPr>
          <w:p>
            <w:pPr>
              <w:pStyle w:val="TableContents"/>
              <w:spacing w:before="0" w:after="283"/>
              <w:rPr/>
            </w:pPr>
            <w:r>
              <w:rPr/>
              <w:t> </w:t>
            </w:r>
          </w:p>
        </w:tc>
        <w:tc>
          <w:tcPr>
            <w:tcW w:w="803" w:type="dxa"/>
            <w:tcBorders/>
            <w:shd w:fill="CCEEFF" w:val="clear"/>
            <w:tcMar>
              <w:bottom w:w="0" w:type="dxa"/>
            </w:tcMar>
            <w:vAlign w:val="center"/>
          </w:tcPr>
          <w:p>
            <w:pPr>
              <w:pStyle w:val="TableContents"/>
              <w:spacing w:before="0" w:after="283"/>
              <w:jc w:val="center"/>
              <w:rPr>
                <w:sz w:val="20"/>
              </w:rPr>
            </w:pPr>
            <w:r>
              <w:rPr>
                <w:sz w:val="20"/>
              </w:rPr>
              <w:t>Jun. 2018</w:t>
            </w:r>
          </w:p>
        </w:tc>
        <w:tc>
          <w:tcPr>
            <w:tcW w:w="60" w:type="dxa"/>
            <w:tcBorders/>
            <w:shd w:fill="CCEEFF" w:val="clear"/>
            <w:tcMar>
              <w:bottom w:w="0" w:type="dxa"/>
            </w:tcMar>
            <w:vAlign w:val="center"/>
          </w:tcPr>
          <w:p>
            <w:pPr>
              <w:pStyle w:val="TableContents"/>
              <w:spacing w:before="0" w:after="283"/>
              <w:rPr/>
            </w:pPr>
            <w:r>
              <w:rPr/>
              <w:t> </w:t>
            </w:r>
          </w:p>
        </w:tc>
        <w:tc>
          <w:tcPr>
            <w:tcW w:w="855" w:type="dxa"/>
            <w:tcBorders/>
            <w:shd w:fill="CCEEFF" w:val="clear"/>
            <w:tcMar>
              <w:bottom w:w="0" w:type="dxa"/>
            </w:tcMar>
            <w:vAlign w:val="center"/>
          </w:tcPr>
          <w:p>
            <w:pPr>
              <w:pStyle w:val="TableContents"/>
              <w:spacing w:before="0" w:after="283"/>
              <w:jc w:val="center"/>
              <w:rPr>
                <w:sz w:val="20"/>
              </w:rPr>
            </w:pPr>
            <w:r>
              <w:rPr>
                <w:sz w:val="20"/>
              </w:rPr>
              <w:t>Dec. 2035</w:t>
            </w:r>
          </w:p>
        </w:tc>
      </w:tr>
      <w:tr>
        <w:trPr/>
        <w:tc>
          <w:tcPr>
            <w:tcW w:w="1846" w:type="dxa"/>
            <w:tcBorders/>
            <w:shd w:fill="FFFFFF" w:val="clear"/>
            <w:tcMar>
              <w:bottom w:w="0" w:type="dxa"/>
            </w:tcMar>
            <w:vAlign w:val="center"/>
          </w:tcPr>
          <w:p>
            <w:pPr>
              <w:pStyle w:val="TableContents"/>
              <w:spacing w:before="0" w:after="283"/>
              <w:jc w:val="both"/>
              <w:rPr>
                <w:sz w:val="20"/>
              </w:rPr>
            </w:pPr>
            <w:r>
              <w:rPr>
                <w:sz w:val="20"/>
              </w:rPr>
              <w:t>10,155,044 (US)</w:t>
            </w:r>
          </w:p>
        </w:tc>
        <w:tc>
          <w:tcPr>
            <w:tcW w:w="60" w:type="dxa"/>
            <w:tcBorders/>
            <w:shd w:fill="FFFFFF" w:val="clear"/>
            <w:tcMar>
              <w:bottom w:w="0" w:type="dxa"/>
            </w:tcMar>
            <w:vAlign w:val="center"/>
          </w:tcPr>
          <w:p>
            <w:pPr>
              <w:pStyle w:val="TableContents"/>
              <w:spacing w:before="0" w:after="283"/>
              <w:rPr/>
            </w:pPr>
            <w:r>
              <w:rPr/>
              <w:t> </w:t>
            </w:r>
          </w:p>
        </w:tc>
        <w:tc>
          <w:tcPr>
            <w:tcW w:w="6521" w:type="dxa"/>
            <w:tcBorders/>
            <w:shd w:fill="FFFF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FFFFFF" w:val="clear"/>
            <w:tcMar>
              <w:bottom w:w="0" w:type="dxa"/>
            </w:tcMar>
            <w:vAlign w:val="center"/>
          </w:tcPr>
          <w:p>
            <w:pPr>
              <w:pStyle w:val="TableContents"/>
              <w:spacing w:before="0" w:after="283"/>
              <w:rPr/>
            </w:pPr>
            <w:r>
              <w:rPr/>
              <w:t> </w:t>
            </w:r>
          </w:p>
        </w:tc>
        <w:tc>
          <w:tcPr>
            <w:tcW w:w="803" w:type="dxa"/>
            <w:tcBorders/>
            <w:shd w:fill="FFFFFF" w:val="clear"/>
            <w:tcMar>
              <w:bottom w:w="0" w:type="dxa"/>
            </w:tcMar>
            <w:vAlign w:val="center"/>
          </w:tcPr>
          <w:p>
            <w:pPr>
              <w:pStyle w:val="TableContents"/>
              <w:spacing w:before="0" w:after="283"/>
              <w:jc w:val="center"/>
              <w:rPr>
                <w:sz w:val="20"/>
              </w:rPr>
            </w:pPr>
            <w:r>
              <w:rPr>
                <w:sz w:val="20"/>
              </w:rPr>
              <w:t>Dec. 2018</w:t>
            </w:r>
          </w:p>
        </w:tc>
        <w:tc>
          <w:tcPr>
            <w:tcW w:w="60" w:type="dxa"/>
            <w:tcBorders/>
            <w:shd w:fill="FFFFFF" w:val="clear"/>
            <w:tcMar>
              <w:bottom w:w="0" w:type="dxa"/>
            </w:tcMar>
            <w:vAlign w:val="center"/>
          </w:tcPr>
          <w:p>
            <w:pPr>
              <w:pStyle w:val="TableContents"/>
              <w:spacing w:before="0" w:after="283"/>
              <w:rPr/>
            </w:pPr>
            <w:r>
              <w:rPr/>
              <w:t> </w:t>
            </w:r>
          </w:p>
        </w:tc>
        <w:tc>
          <w:tcPr>
            <w:tcW w:w="855" w:type="dxa"/>
            <w:tcBorders/>
            <w:shd w:fill="FFFFFF" w:val="clear"/>
            <w:tcMar>
              <w:bottom w:w="0" w:type="dxa"/>
            </w:tcMar>
            <w:vAlign w:val="center"/>
          </w:tcPr>
          <w:p>
            <w:pPr>
              <w:pStyle w:val="TableContents"/>
              <w:spacing w:before="0" w:after="283"/>
              <w:jc w:val="center"/>
              <w:rPr>
                <w:sz w:val="20"/>
              </w:rPr>
            </w:pPr>
            <w:r>
              <w:rPr>
                <w:sz w:val="20"/>
              </w:rPr>
              <w:t>Feb. 2032</w:t>
            </w:r>
          </w:p>
        </w:tc>
      </w:tr>
      <w:tr>
        <w:trPr/>
        <w:tc>
          <w:tcPr>
            <w:tcW w:w="1846" w:type="dxa"/>
            <w:tcBorders/>
            <w:shd w:fill="CCEEFF" w:val="clear"/>
            <w:tcMar>
              <w:bottom w:w="0" w:type="dxa"/>
            </w:tcMar>
            <w:vAlign w:val="center"/>
          </w:tcPr>
          <w:p>
            <w:pPr>
              <w:pStyle w:val="TableContents"/>
              <w:spacing w:before="0" w:after="283"/>
              <w:jc w:val="both"/>
              <w:rPr>
                <w:sz w:val="20"/>
              </w:rPr>
            </w:pPr>
            <w:r>
              <w:rPr>
                <w:sz w:val="20"/>
              </w:rPr>
              <w:t>2010300641 (AUS)</w:t>
            </w:r>
          </w:p>
        </w:tc>
        <w:tc>
          <w:tcPr>
            <w:tcW w:w="60" w:type="dxa"/>
            <w:tcBorders/>
            <w:shd w:fill="CCEEFF" w:val="clear"/>
            <w:tcMar>
              <w:bottom w:w="0" w:type="dxa"/>
            </w:tcMar>
            <w:vAlign w:val="center"/>
          </w:tcPr>
          <w:p>
            <w:pPr>
              <w:pStyle w:val="TableContents"/>
              <w:spacing w:before="0" w:after="283"/>
              <w:rPr/>
            </w:pPr>
            <w:r>
              <w:rPr/>
              <w:t> </w:t>
            </w:r>
          </w:p>
        </w:tc>
        <w:tc>
          <w:tcPr>
            <w:tcW w:w="6521" w:type="dxa"/>
            <w:tcBorders/>
            <w:shd w:fill="CCEE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CCEEFF" w:val="clear"/>
            <w:tcMar>
              <w:bottom w:w="0" w:type="dxa"/>
            </w:tcMar>
            <w:vAlign w:val="center"/>
          </w:tcPr>
          <w:p>
            <w:pPr>
              <w:pStyle w:val="TableContents"/>
              <w:spacing w:before="0" w:after="283"/>
              <w:rPr/>
            </w:pPr>
            <w:r>
              <w:rPr/>
              <w:t> </w:t>
            </w:r>
          </w:p>
        </w:tc>
        <w:tc>
          <w:tcPr>
            <w:tcW w:w="803" w:type="dxa"/>
            <w:tcBorders/>
            <w:shd w:fill="CCEEFF" w:val="clear"/>
            <w:tcMar>
              <w:bottom w:w="0" w:type="dxa"/>
            </w:tcMar>
            <w:vAlign w:val="center"/>
          </w:tcPr>
          <w:p>
            <w:pPr>
              <w:pStyle w:val="TableContents"/>
              <w:spacing w:before="0" w:after="283"/>
              <w:jc w:val="center"/>
              <w:rPr>
                <w:sz w:val="20"/>
              </w:rPr>
            </w:pPr>
            <w:r>
              <w:rPr>
                <w:sz w:val="20"/>
              </w:rPr>
              <w:t>Jun. 2016</w:t>
            </w:r>
          </w:p>
        </w:tc>
        <w:tc>
          <w:tcPr>
            <w:tcW w:w="60" w:type="dxa"/>
            <w:tcBorders/>
            <w:shd w:fill="CCEEFF" w:val="clear"/>
            <w:tcMar>
              <w:bottom w:w="0" w:type="dxa"/>
            </w:tcMar>
            <w:vAlign w:val="center"/>
          </w:tcPr>
          <w:p>
            <w:pPr>
              <w:pStyle w:val="TableContents"/>
              <w:spacing w:before="0" w:after="283"/>
              <w:rPr/>
            </w:pPr>
            <w:r>
              <w:rPr/>
              <w:t> </w:t>
            </w:r>
          </w:p>
        </w:tc>
        <w:tc>
          <w:tcPr>
            <w:tcW w:w="855" w:type="dxa"/>
            <w:tcBorders/>
            <w:shd w:fill="CCEEFF" w:val="clear"/>
            <w:tcMar>
              <w:bottom w:w="0" w:type="dxa"/>
            </w:tcMar>
            <w:vAlign w:val="center"/>
          </w:tcPr>
          <w:p>
            <w:pPr>
              <w:pStyle w:val="TableContents"/>
              <w:spacing w:before="0" w:after="283"/>
              <w:jc w:val="center"/>
              <w:rPr>
                <w:sz w:val="20"/>
              </w:rPr>
            </w:pPr>
            <w:r>
              <w:rPr>
                <w:sz w:val="20"/>
              </w:rPr>
              <w:t>Sept. 2030</w:t>
            </w:r>
          </w:p>
        </w:tc>
      </w:tr>
      <w:tr>
        <w:trPr/>
        <w:tc>
          <w:tcPr>
            <w:tcW w:w="1846" w:type="dxa"/>
            <w:tcBorders/>
            <w:shd w:fill="FFFFFF" w:val="clear"/>
            <w:tcMar>
              <w:bottom w:w="0" w:type="dxa"/>
            </w:tcMar>
            <w:vAlign w:val="center"/>
          </w:tcPr>
          <w:p>
            <w:pPr>
              <w:pStyle w:val="TableContents"/>
              <w:spacing w:before="0" w:after="283"/>
              <w:jc w:val="both"/>
              <w:rPr>
                <w:sz w:val="20"/>
              </w:rPr>
            </w:pPr>
            <w:r>
              <w:rPr>
                <w:sz w:val="20"/>
              </w:rPr>
              <w:t>2,775,890 (CAN)</w:t>
            </w:r>
          </w:p>
        </w:tc>
        <w:tc>
          <w:tcPr>
            <w:tcW w:w="60" w:type="dxa"/>
            <w:tcBorders/>
            <w:shd w:fill="FFFFFF" w:val="clear"/>
            <w:tcMar>
              <w:bottom w:w="0" w:type="dxa"/>
            </w:tcMar>
            <w:vAlign w:val="center"/>
          </w:tcPr>
          <w:p>
            <w:pPr>
              <w:pStyle w:val="TableContents"/>
              <w:spacing w:before="0" w:after="283"/>
              <w:rPr/>
            </w:pPr>
            <w:r>
              <w:rPr/>
              <w:t> </w:t>
            </w:r>
          </w:p>
        </w:tc>
        <w:tc>
          <w:tcPr>
            <w:tcW w:w="6521" w:type="dxa"/>
            <w:tcBorders/>
            <w:shd w:fill="FFFF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FFFFFF" w:val="clear"/>
            <w:tcMar>
              <w:bottom w:w="0" w:type="dxa"/>
            </w:tcMar>
            <w:vAlign w:val="center"/>
          </w:tcPr>
          <w:p>
            <w:pPr>
              <w:pStyle w:val="TableContents"/>
              <w:spacing w:before="0" w:after="283"/>
              <w:rPr/>
            </w:pPr>
            <w:r>
              <w:rPr/>
              <w:t> </w:t>
            </w:r>
          </w:p>
        </w:tc>
        <w:tc>
          <w:tcPr>
            <w:tcW w:w="803" w:type="dxa"/>
            <w:tcBorders/>
            <w:shd w:fill="FFFFFF" w:val="clear"/>
            <w:tcMar>
              <w:bottom w:w="0" w:type="dxa"/>
            </w:tcMar>
            <w:vAlign w:val="center"/>
          </w:tcPr>
          <w:p>
            <w:pPr>
              <w:pStyle w:val="TableContents"/>
              <w:spacing w:before="0" w:after="283"/>
              <w:jc w:val="center"/>
              <w:rPr>
                <w:sz w:val="20"/>
              </w:rPr>
            </w:pPr>
            <w:r>
              <w:rPr>
                <w:sz w:val="20"/>
              </w:rPr>
              <w:t>Jun. 2016</w:t>
            </w:r>
          </w:p>
        </w:tc>
        <w:tc>
          <w:tcPr>
            <w:tcW w:w="60" w:type="dxa"/>
            <w:tcBorders/>
            <w:shd w:fill="FFFFFF" w:val="clear"/>
            <w:tcMar>
              <w:bottom w:w="0" w:type="dxa"/>
            </w:tcMar>
            <w:vAlign w:val="center"/>
          </w:tcPr>
          <w:p>
            <w:pPr>
              <w:pStyle w:val="TableContents"/>
              <w:spacing w:before="0" w:after="283"/>
              <w:rPr/>
            </w:pPr>
            <w:r>
              <w:rPr/>
              <w:t> </w:t>
            </w:r>
          </w:p>
        </w:tc>
        <w:tc>
          <w:tcPr>
            <w:tcW w:w="855" w:type="dxa"/>
            <w:tcBorders/>
            <w:shd w:fill="FFFFFF" w:val="clear"/>
            <w:tcMar>
              <w:bottom w:w="0" w:type="dxa"/>
            </w:tcMar>
            <w:vAlign w:val="center"/>
          </w:tcPr>
          <w:p>
            <w:pPr>
              <w:pStyle w:val="TableContents"/>
              <w:spacing w:before="0" w:after="283"/>
              <w:jc w:val="center"/>
              <w:rPr>
                <w:sz w:val="20"/>
              </w:rPr>
            </w:pPr>
            <w:r>
              <w:rPr>
                <w:sz w:val="20"/>
              </w:rPr>
              <w:t>Sept. 2030</w:t>
            </w:r>
          </w:p>
        </w:tc>
      </w:tr>
      <w:tr>
        <w:trPr/>
        <w:tc>
          <w:tcPr>
            <w:tcW w:w="1846" w:type="dxa"/>
            <w:tcBorders/>
            <w:shd w:fill="CCEEFF" w:val="clear"/>
            <w:tcMar>
              <w:bottom w:w="0" w:type="dxa"/>
            </w:tcMar>
            <w:vAlign w:val="center"/>
          </w:tcPr>
          <w:p>
            <w:pPr>
              <w:pStyle w:val="TableContents"/>
              <w:spacing w:before="0" w:after="283"/>
              <w:jc w:val="both"/>
              <w:rPr>
                <w:sz w:val="20"/>
              </w:rPr>
            </w:pPr>
            <w:r>
              <w:rPr>
                <w:sz w:val="20"/>
              </w:rPr>
              <w:t>2,488,029 (EUR)</w:t>
            </w:r>
          </w:p>
        </w:tc>
        <w:tc>
          <w:tcPr>
            <w:tcW w:w="60" w:type="dxa"/>
            <w:tcBorders/>
            <w:shd w:fill="CCEEFF" w:val="clear"/>
            <w:tcMar>
              <w:bottom w:w="0" w:type="dxa"/>
            </w:tcMar>
            <w:vAlign w:val="center"/>
          </w:tcPr>
          <w:p>
            <w:pPr>
              <w:pStyle w:val="TableContents"/>
              <w:spacing w:before="0" w:after="283"/>
              <w:rPr/>
            </w:pPr>
            <w:r>
              <w:rPr/>
              <w:t> </w:t>
            </w:r>
          </w:p>
        </w:tc>
        <w:tc>
          <w:tcPr>
            <w:tcW w:w="6521" w:type="dxa"/>
            <w:tcBorders/>
            <w:shd w:fill="CCEE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CCEEFF" w:val="clear"/>
            <w:tcMar>
              <w:bottom w:w="0" w:type="dxa"/>
            </w:tcMar>
            <w:vAlign w:val="center"/>
          </w:tcPr>
          <w:p>
            <w:pPr>
              <w:pStyle w:val="TableContents"/>
              <w:spacing w:before="0" w:after="283"/>
              <w:rPr/>
            </w:pPr>
            <w:r>
              <w:rPr/>
              <w:t> </w:t>
            </w:r>
          </w:p>
        </w:tc>
        <w:tc>
          <w:tcPr>
            <w:tcW w:w="803" w:type="dxa"/>
            <w:tcBorders/>
            <w:shd w:fill="CCEEFF" w:val="clear"/>
            <w:tcMar>
              <w:bottom w:w="0" w:type="dxa"/>
            </w:tcMar>
            <w:vAlign w:val="center"/>
          </w:tcPr>
          <w:p>
            <w:pPr>
              <w:pStyle w:val="TableContents"/>
              <w:spacing w:before="0" w:after="283"/>
              <w:jc w:val="center"/>
              <w:rPr>
                <w:sz w:val="20"/>
              </w:rPr>
            </w:pPr>
            <w:r>
              <w:rPr>
                <w:sz w:val="20"/>
              </w:rPr>
              <w:t>Mar. 2016</w:t>
            </w:r>
          </w:p>
        </w:tc>
        <w:tc>
          <w:tcPr>
            <w:tcW w:w="60" w:type="dxa"/>
            <w:tcBorders/>
            <w:shd w:fill="CCEEFF" w:val="clear"/>
            <w:tcMar>
              <w:bottom w:w="0" w:type="dxa"/>
            </w:tcMar>
            <w:vAlign w:val="center"/>
          </w:tcPr>
          <w:p>
            <w:pPr>
              <w:pStyle w:val="TableContents"/>
              <w:spacing w:before="0" w:after="283"/>
              <w:rPr/>
            </w:pPr>
            <w:r>
              <w:rPr/>
              <w:t> </w:t>
            </w:r>
          </w:p>
        </w:tc>
        <w:tc>
          <w:tcPr>
            <w:tcW w:w="855" w:type="dxa"/>
            <w:tcBorders/>
            <w:shd w:fill="CCEEFF" w:val="clear"/>
            <w:tcMar>
              <w:bottom w:w="0" w:type="dxa"/>
            </w:tcMar>
            <w:vAlign w:val="center"/>
          </w:tcPr>
          <w:p>
            <w:pPr>
              <w:pStyle w:val="TableContents"/>
              <w:spacing w:before="0" w:after="283"/>
              <w:jc w:val="center"/>
              <w:rPr>
                <w:sz w:val="20"/>
              </w:rPr>
            </w:pPr>
            <w:r>
              <w:rPr>
                <w:sz w:val="20"/>
              </w:rPr>
              <w:t>Sept. 2030</w:t>
            </w:r>
          </w:p>
        </w:tc>
      </w:tr>
      <w:tr>
        <w:trPr/>
        <w:tc>
          <w:tcPr>
            <w:tcW w:w="1846" w:type="dxa"/>
            <w:tcBorders/>
            <w:shd w:fill="FFFFFF" w:val="clear"/>
            <w:tcMar>
              <w:bottom w:w="0" w:type="dxa"/>
            </w:tcMar>
            <w:vAlign w:val="center"/>
          </w:tcPr>
          <w:p>
            <w:pPr>
              <w:pStyle w:val="TableContents"/>
              <w:spacing w:before="0" w:after="283"/>
              <w:jc w:val="both"/>
              <w:rPr>
                <w:sz w:val="20"/>
              </w:rPr>
            </w:pPr>
            <w:r>
              <w:rPr>
                <w:sz w:val="20"/>
              </w:rPr>
              <w:t>218533 (ISR)</w:t>
            </w:r>
          </w:p>
        </w:tc>
        <w:tc>
          <w:tcPr>
            <w:tcW w:w="60" w:type="dxa"/>
            <w:tcBorders/>
            <w:shd w:fill="FFFFFF" w:val="clear"/>
            <w:tcMar>
              <w:bottom w:w="0" w:type="dxa"/>
            </w:tcMar>
            <w:vAlign w:val="center"/>
          </w:tcPr>
          <w:p>
            <w:pPr>
              <w:pStyle w:val="TableContents"/>
              <w:spacing w:before="0" w:after="283"/>
              <w:rPr/>
            </w:pPr>
            <w:r>
              <w:rPr/>
              <w:t> </w:t>
            </w:r>
          </w:p>
        </w:tc>
        <w:tc>
          <w:tcPr>
            <w:tcW w:w="6521" w:type="dxa"/>
            <w:tcBorders/>
            <w:shd w:fill="FFFF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FFFFFF" w:val="clear"/>
            <w:tcMar>
              <w:bottom w:w="0" w:type="dxa"/>
            </w:tcMar>
            <w:vAlign w:val="center"/>
          </w:tcPr>
          <w:p>
            <w:pPr>
              <w:pStyle w:val="TableContents"/>
              <w:spacing w:before="0" w:after="283"/>
              <w:rPr/>
            </w:pPr>
            <w:r>
              <w:rPr/>
              <w:t> </w:t>
            </w:r>
          </w:p>
        </w:tc>
        <w:tc>
          <w:tcPr>
            <w:tcW w:w="803" w:type="dxa"/>
            <w:tcBorders/>
            <w:shd w:fill="FFFFFF" w:val="clear"/>
            <w:tcMar>
              <w:bottom w:w="0" w:type="dxa"/>
            </w:tcMar>
            <w:vAlign w:val="center"/>
          </w:tcPr>
          <w:p>
            <w:pPr>
              <w:pStyle w:val="TableContents"/>
              <w:spacing w:before="0" w:after="283"/>
              <w:jc w:val="center"/>
              <w:rPr>
                <w:sz w:val="20"/>
              </w:rPr>
            </w:pPr>
            <w:r>
              <w:rPr>
                <w:sz w:val="20"/>
              </w:rPr>
              <w:t>Jan. 2016</w:t>
            </w:r>
          </w:p>
        </w:tc>
        <w:tc>
          <w:tcPr>
            <w:tcW w:w="60" w:type="dxa"/>
            <w:tcBorders/>
            <w:shd w:fill="FFFFFF" w:val="clear"/>
            <w:tcMar>
              <w:bottom w:w="0" w:type="dxa"/>
            </w:tcMar>
            <w:vAlign w:val="center"/>
          </w:tcPr>
          <w:p>
            <w:pPr>
              <w:pStyle w:val="TableContents"/>
              <w:spacing w:before="0" w:after="283"/>
              <w:rPr/>
            </w:pPr>
            <w:r>
              <w:rPr/>
              <w:t> </w:t>
            </w:r>
          </w:p>
        </w:tc>
        <w:tc>
          <w:tcPr>
            <w:tcW w:w="855" w:type="dxa"/>
            <w:tcBorders/>
            <w:shd w:fill="FFFFFF" w:val="clear"/>
            <w:tcMar>
              <w:bottom w:w="0" w:type="dxa"/>
            </w:tcMar>
            <w:vAlign w:val="center"/>
          </w:tcPr>
          <w:p>
            <w:pPr>
              <w:pStyle w:val="TableContents"/>
              <w:spacing w:before="0" w:after="283"/>
              <w:jc w:val="center"/>
              <w:rPr>
                <w:sz w:val="20"/>
              </w:rPr>
            </w:pPr>
            <w:r>
              <w:rPr>
                <w:sz w:val="20"/>
              </w:rPr>
              <w:t>Sept. 2030</w:t>
            </w:r>
          </w:p>
        </w:tc>
      </w:tr>
      <w:tr>
        <w:trPr/>
        <w:tc>
          <w:tcPr>
            <w:tcW w:w="1846" w:type="dxa"/>
            <w:tcBorders/>
            <w:shd w:fill="CCEEFF" w:val="clear"/>
            <w:tcMar>
              <w:bottom w:w="0" w:type="dxa"/>
            </w:tcMar>
            <w:vAlign w:val="center"/>
          </w:tcPr>
          <w:p>
            <w:pPr>
              <w:pStyle w:val="TableContents"/>
              <w:spacing w:before="0" w:after="283"/>
              <w:rPr>
                <w:sz w:val="20"/>
              </w:rPr>
            </w:pPr>
            <w:r>
              <w:rPr>
                <w:sz w:val="20"/>
              </w:rPr>
              <w:t>2015274936 (AUS)</w:t>
            </w:r>
          </w:p>
        </w:tc>
        <w:tc>
          <w:tcPr>
            <w:tcW w:w="60" w:type="dxa"/>
            <w:tcBorders/>
            <w:shd w:fill="CCEEFF" w:val="clear"/>
            <w:tcMar>
              <w:bottom w:w="0" w:type="dxa"/>
            </w:tcMar>
            <w:vAlign w:val="center"/>
          </w:tcPr>
          <w:p>
            <w:pPr>
              <w:pStyle w:val="TableContents"/>
              <w:spacing w:before="0" w:after="283"/>
              <w:rPr/>
            </w:pPr>
            <w:r>
              <w:rPr/>
              <w:t> </w:t>
            </w:r>
          </w:p>
        </w:tc>
        <w:tc>
          <w:tcPr>
            <w:tcW w:w="6521" w:type="dxa"/>
            <w:tcBorders/>
            <w:shd w:fill="CCEEFF" w:val="clear"/>
            <w:tcMar>
              <w:bottom w:w="0" w:type="dxa"/>
            </w:tcMar>
            <w:vAlign w:val="center"/>
          </w:tcPr>
          <w:p>
            <w:pPr>
              <w:pStyle w:val="TableContents"/>
              <w:spacing w:before="0" w:after="283"/>
              <w:jc w:val="left"/>
              <w:rPr>
                <w:sz w:val="20"/>
              </w:rPr>
            </w:pPr>
            <w:r>
              <w:rPr>
                <w:sz w:val="20"/>
              </w:rPr>
              <w:t>Methods and compositions for interfering with extraction or conversion of a drug susceptible to abuse</w:t>
            </w:r>
          </w:p>
        </w:tc>
        <w:tc>
          <w:tcPr>
            <w:tcW w:w="60" w:type="dxa"/>
            <w:tcBorders/>
            <w:shd w:fill="CCEEFF" w:val="clear"/>
            <w:tcMar>
              <w:bottom w:w="0" w:type="dxa"/>
            </w:tcMar>
            <w:vAlign w:val="center"/>
          </w:tcPr>
          <w:p>
            <w:pPr>
              <w:pStyle w:val="TableContents"/>
              <w:spacing w:before="0" w:after="283"/>
              <w:rPr/>
            </w:pPr>
            <w:r>
              <w:rPr/>
              <w:t> </w:t>
            </w:r>
          </w:p>
        </w:tc>
        <w:tc>
          <w:tcPr>
            <w:tcW w:w="803" w:type="dxa"/>
            <w:tcBorders/>
            <w:shd w:fill="CCEEFF" w:val="clear"/>
            <w:tcMar>
              <w:bottom w:w="0" w:type="dxa"/>
            </w:tcMar>
            <w:vAlign w:val="center"/>
          </w:tcPr>
          <w:p>
            <w:pPr>
              <w:pStyle w:val="TableContents"/>
              <w:spacing w:before="0" w:after="283"/>
              <w:jc w:val="center"/>
              <w:rPr>
                <w:sz w:val="20"/>
              </w:rPr>
            </w:pPr>
            <w:r>
              <w:rPr>
                <w:sz w:val="20"/>
              </w:rPr>
              <w:t>Sept. 2018</w:t>
            </w:r>
          </w:p>
        </w:tc>
        <w:tc>
          <w:tcPr>
            <w:tcW w:w="60" w:type="dxa"/>
            <w:tcBorders/>
            <w:shd w:fill="CCEEFF" w:val="clear"/>
            <w:tcMar>
              <w:bottom w:w="0" w:type="dxa"/>
            </w:tcMar>
            <w:vAlign w:val="center"/>
          </w:tcPr>
          <w:p>
            <w:pPr>
              <w:pStyle w:val="TableContents"/>
              <w:spacing w:before="0" w:after="283"/>
              <w:rPr/>
            </w:pPr>
            <w:r>
              <w:rPr/>
              <w:t> </w:t>
            </w:r>
          </w:p>
        </w:tc>
        <w:tc>
          <w:tcPr>
            <w:tcW w:w="855" w:type="dxa"/>
            <w:tcBorders/>
            <w:shd w:fill="CCEEFF" w:val="clear"/>
            <w:tcMar>
              <w:bottom w:w="0" w:type="dxa"/>
            </w:tcMar>
            <w:vAlign w:val="center"/>
          </w:tcPr>
          <w:p>
            <w:pPr>
              <w:pStyle w:val="TableContents"/>
              <w:spacing w:before="0" w:after="283"/>
              <w:jc w:val="center"/>
              <w:rPr>
                <w:sz w:val="20"/>
              </w:rPr>
            </w:pPr>
            <w:r>
              <w:rPr>
                <w:sz w:val="20"/>
              </w:rPr>
              <w:t>Jun. 2035</w:t>
            </w:r>
          </w:p>
        </w:tc>
      </w:tr>
      <w:tr>
        <w:trPr/>
        <w:tc>
          <w:tcPr>
            <w:tcW w:w="1846" w:type="dxa"/>
            <w:tcBorders/>
            <w:shd w:fill="FFFFFF" w:val="clear"/>
            <w:tcMar>
              <w:bottom w:w="0" w:type="dxa"/>
            </w:tcMar>
            <w:vAlign w:val="center"/>
          </w:tcPr>
          <w:p>
            <w:pPr>
              <w:pStyle w:val="TableContents"/>
              <w:spacing w:before="0" w:after="283"/>
              <w:jc w:val="both"/>
              <w:rPr>
                <w:sz w:val="20"/>
              </w:rPr>
            </w:pPr>
            <w:r>
              <w:rPr>
                <w:sz w:val="20"/>
              </w:rPr>
              <w:t>13102020.5 (HK)</w:t>
            </w:r>
          </w:p>
        </w:tc>
        <w:tc>
          <w:tcPr>
            <w:tcW w:w="60" w:type="dxa"/>
            <w:tcBorders/>
            <w:shd w:fill="FFFFFF" w:val="clear"/>
            <w:tcMar>
              <w:bottom w:w="0" w:type="dxa"/>
            </w:tcMar>
            <w:vAlign w:val="center"/>
          </w:tcPr>
          <w:p>
            <w:pPr>
              <w:pStyle w:val="TableContents"/>
              <w:spacing w:before="0" w:after="283"/>
              <w:rPr/>
            </w:pPr>
            <w:r>
              <w:rPr/>
              <w:t> </w:t>
            </w:r>
          </w:p>
        </w:tc>
        <w:tc>
          <w:tcPr>
            <w:tcW w:w="6521" w:type="dxa"/>
            <w:tcBorders/>
            <w:shd w:fill="FFFFFF" w:val="clear"/>
            <w:tcMar>
              <w:bottom w:w="0" w:type="dxa"/>
            </w:tcMar>
            <w:vAlign w:val="center"/>
          </w:tcPr>
          <w:p>
            <w:pPr>
              <w:pStyle w:val="TableContents"/>
              <w:spacing w:before="0" w:after="283"/>
              <w:jc w:val="left"/>
              <w:rPr>
                <w:sz w:val="20"/>
              </w:rPr>
            </w:pPr>
            <w:r>
              <w:rPr>
                <w:sz w:val="20"/>
              </w:rPr>
              <w:t>Pharmaceutical compositions suitable for reducing the chemical conversion of precursor compounds</w:t>
            </w:r>
          </w:p>
        </w:tc>
        <w:tc>
          <w:tcPr>
            <w:tcW w:w="60" w:type="dxa"/>
            <w:tcBorders/>
            <w:shd w:fill="FFFFFF" w:val="clear"/>
            <w:tcMar>
              <w:bottom w:w="0" w:type="dxa"/>
            </w:tcMar>
            <w:vAlign w:val="center"/>
          </w:tcPr>
          <w:p>
            <w:pPr>
              <w:pStyle w:val="TableContents"/>
              <w:spacing w:before="0" w:after="283"/>
              <w:rPr/>
            </w:pPr>
            <w:r>
              <w:rPr/>
              <w:t> </w:t>
            </w:r>
          </w:p>
        </w:tc>
        <w:tc>
          <w:tcPr>
            <w:tcW w:w="803" w:type="dxa"/>
            <w:tcBorders/>
            <w:shd w:fill="FFFFFF" w:val="clear"/>
            <w:tcMar>
              <w:bottom w:w="0" w:type="dxa"/>
            </w:tcMar>
            <w:vAlign w:val="center"/>
          </w:tcPr>
          <w:p>
            <w:pPr>
              <w:pStyle w:val="TableContents"/>
              <w:spacing w:before="0" w:after="283"/>
              <w:jc w:val="center"/>
              <w:rPr>
                <w:sz w:val="20"/>
              </w:rPr>
            </w:pPr>
            <w:r>
              <w:rPr>
                <w:sz w:val="20"/>
              </w:rPr>
              <w:t>Oct. 2016</w:t>
            </w:r>
          </w:p>
        </w:tc>
        <w:tc>
          <w:tcPr>
            <w:tcW w:w="60" w:type="dxa"/>
            <w:tcBorders/>
            <w:shd w:fill="FFFFFF" w:val="clear"/>
            <w:tcMar>
              <w:bottom w:w="0" w:type="dxa"/>
            </w:tcMar>
            <w:vAlign w:val="center"/>
          </w:tcPr>
          <w:p>
            <w:pPr>
              <w:pStyle w:val="TableContents"/>
              <w:spacing w:before="0" w:after="283"/>
              <w:rPr/>
            </w:pPr>
            <w:r>
              <w:rPr/>
              <w:t> </w:t>
            </w:r>
          </w:p>
        </w:tc>
        <w:tc>
          <w:tcPr>
            <w:tcW w:w="855" w:type="dxa"/>
            <w:tcBorders/>
            <w:shd w:fill="FFFFFF" w:val="clear"/>
            <w:tcMar>
              <w:bottom w:w="0" w:type="dxa"/>
            </w:tcMar>
            <w:vAlign w:val="center"/>
          </w:tcPr>
          <w:p>
            <w:pPr>
              <w:pStyle w:val="TableContents"/>
              <w:spacing w:before="0" w:after="283"/>
              <w:jc w:val="center"/>
              <w:rPr>
                <w:sz w:val="20"/>
              </w:rPr>
            </w:pPr>
            <w:r>
              <w:rPr>
                <w:sz w:val="20"/>
              </w:rPr>
              <w:t>Sept. 2030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Agreement and in the patent infringement settlement agreements described below, we have retained all intellectual property rights to our Aversion Technology, Impede Technology, LIMITx Technology and related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pStyle w:val="TextBody"/>
        <w:spacing w:before="0" w:after="0"/>
        <w:ind w:left="0" w:right="0" w:firstLine="725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2016, we, Purdue Pharma L.P. and Assertio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Risk Factors contained in this Report on Form 10-K for the year ended December 31, 2020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Manufacturing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Assertio is responsible for commercial manufacture of Oxaydo under the Assertio Agreement. We expect that future opioid product candidates developed and licensed by us will be commercially manufactured by our licensees or other qualified third party contract manufacturers.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entering into the MainPointe Agreement, we relied on two contract manufacturers to manufacture, package and supply our commercial quantities of Nexafed and Nexafed Sinus Pressure + Pain products. We assigned our existing supply agreement to MainPointe in accordance with the terms of the MainPointe Agreement. Although we believe there are alternate sources of supply that can satisfy MainPointe’s anticipated commercial requirements, replacing or adding a contract manufacturer may cause an interruption in supply and could adversely impact our royalties from MainPointe on the net sales of the Nexafed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potential competitors may be developing opioid abuse deterrent technologies and products. Such potential competitors include, but may not be limited to, Pfizer Inc., Purdue Pharma, Atlantic Pharmaceuticals, KemPharm, Shionogi, Pisgah Labs, Ensysce Biopharma, Inspirion Delivery Sciences and Collegium Pharmaceuticals.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brand Cold and Sinus, as well as generic/store brand formulations of such products manufactured by Perrigo Company and others. A competing product from Perrigo is being marketed with claims of methamphetamine-resistance.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license agreement with MainPointe/AD Pharma, we may consider licensing our Impede Technology or other products utilizing such technology for commercialization.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Government Regulation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as well as the manufacturing suitability of the product. In addition to providing required safety and effectiveness data for FDA approval, a drug manufacturer’s practices and procedures must comply with current Good Manufacturing Practices (“cGMPs”), which apply to manufacturing, receiving, holding and shipping, and include, among other things, demonstration of product purity, consistent manufacturing and quality and at least six months of data supporting product expiration dating based on clinical registration batches.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FDA Drug Approval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are typically conducted in three phases that may sometimes overlap or be combined: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1</w:t>
      </w:r>
      <w:r>
        <w:rPr>
          <w:rFonts w:ascii="Times New Roman;Times;Serif" w:hAnsi="Times New Roman;Times;Serif"/>
          <w:b w:val="false"/>
          <w:i w:val="false"/>
          <w:caps w:val="false"/>
          <w:smallCaps w:val="false"/>
          <w:sz w:val="20"/>
        </w:rPr>
        <w:t>: This phase is typically the first involving human participants, and involves the smallest number of human participants (typically, 20-50). The investigational drug is initially introduced into healthy human subjects or patients and tested for safety, dosage tolerance, absorption, metabolism, distribution and excretion. In addition, it is sometimes possible to gain a preliminary indication of efficacy.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2</w:t>
      </w:r>
      <w:r>
        <w:rPr>
          <w:rFonts w:ascii="Times New Roman;Times;Serif" w:hAnsi="Times New Roman;Times;Serif"/>
          <w:b w:val="false"/>
          <w:i w:val="false"/>
          <w:caps w:val="false"/>
          <w:smallCaps w:val="false"/>
          <w:sz w:val="20"/>
        </w:rPr>
        <w:t>: Once the preliminary safety and tolerability of the drug in humans is confirmed during phase 1, phase 2 involves studies in a somewhat 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3</w:t>
      </w:r>
      <w:r>
        <w:rPr>
          <w:rFonts w:ascii="Times New Roman;Times;Serif" w:hAnsi="Times New Roman;Times;Serif"/>
          <w:b w:val="false"/>
          <w:i w:val="false"/>
          <w:caps w:val="false"/>
          <w:smallCaps w:val="false"/>
          <w:sz w:val="20"/>
        </w:rPr>
        <w:t>: Phase 3 trials typically involve a large numbers of patients affected by the disease or condition for which the product candidate is being 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4 or Post-Marketing Requirements</w:t>
      </w:r>
      <w:r>
        <w:rPr>
          <w:rFonts w:ascii="Times New Roman;Times;Serif" w:hAnsi="Times New Roman;Times;Serif"/>
          <w:b w:val="false"/>
          <w:i w:val="false"/>
          <w:caps w:val="false"/>
          <w:smallCaps w:val="false"/>
          <w:sz w:val="20"/>
        </w:rPr>
        <w:t>: Phase 4 trials may be required by FDA after the approval of the NDA for the product, as a condition of 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clinical trials have been completed, and if they were considered successful, the sponsor may submit a NDA or Abbreviated New Drug Application, or ANDA, to the FDA including the results of the preclinical and clinical testing, together with, and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Prescription Drug User Fee Amendments of 2017, PDUFA VI, the FDA collects two types of fees associated with NDAs – (i) a fee collected at the time applications are submitted, and (ii) prescription drug program fees (accounting for 80% of the total), which are collected annually for certain prescription drugs. Exceptions to the application fee include previously filed applications and applications for drugs designated as orphan drugs for a rare disease.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FDA’s fee schedule, posted on August 3, 2020, for the 2021 fiscal year, the user fee for an application fee requiring clinical data, such as an NDA is $</w:t>
      </w:r>
      <w:r>
        <w:rPr>
          <w:rFonts w:ascii="Times New Roman;Times;Serif" w:hAnsi="Times New Roman;Times;Serif"/>
          <w:b w:val="false"/>
          <w:i w:val="false"/>
          <w:caps w:val="false"/>
          <w:smallCaps w:val="false"/>
          <w:color w:val="333333"/>
          <w:sz w:val="20"/>
          <w:highlight w:val="white"/>
        </w:rPr>
        <w:t>2,875,842</w:t>
      </w:r>
      <w:r>
        <w:rPr>
          <w:rFonts w:ascii="Times New Roman;Times;Serif" w:hAnsi="Times New Roman;Times;Serif"/>
          <w:b w:val="false"/>
          <w:i w:val="false"/>
          <w:caps w:val="false"/>
          <w:smallCaps w:val="false"/>
          <w:sz w:val="20"/>
        </w:rPr>
        <w:t>. The FDA adjusts PDUFA user fees on an annual basis. A written request can be submitted for a waiver of the application fee for the first human drug application that is filed by a small business. Where we are subject to these fees, they are significant expenditures that may be incurred in the future and must be paid at the time of submission of each application to FDA.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program fees, subject to certain exceptions, each sponsor is required to pay the annual fee for each new prescription drug approved as of 1 October of each fiscal year (for 2021 such fee is $</w:t>
      </w:r>
      <w:r>
        <w:rPr>
          <w:rFonts w:ascii="Times New Roman;Times;Serif" w:hAnsi="Times New Roman;Times;Serif"/>
          <w:b w:val="false"/>
          <w:i w:val="false"/>
          <w:caps w:val="false"/>
          <w:smallCaps w:val="false"/>
          <w:color w:val="333333"/>
          <w:sz w:val="20"/>
          <w:highlight w:val="white"/>
        </w:rPr>
        <w:t>336,432</w:t>
      </w:r>
      <w:r>
        <w:rPr>
          <w:rFonts w:ascii="Times New Roman;Times;Serif" w:hAnsi="Times New Roman;Times;Serif"/>
          <w:b w:val="false"/>
          <w:i w:val="false"/>
          <w:caps w:val="false"/>
          <w:smallCaps w:val="false"/>
          <w:sz w:val="20"/>
        </w:rPr>
        <w:t xml:space="preserve"> per product strength), but applicants may not be assessed more than five prescription drug program fees for a fiscal year, for prescription drugs identified in a single application. For example, an applicant that has 10 drug products identified in an approved NDA for 10 different strengths of tablet dosage form products is eligible for an assessment for a maximum of 5 program fees. PDUFA VI also eliminated fees for drug application supplements and establishment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The FDA has determined that a REMS is necessary for immediate release opioid analgesics and has begun the process of incorporating immediate-release opioids into this class-wide REMS program.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FDA’s OTC Monograph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conditions set forth for OTC Monograph products include, among other things:</w:t>
      </w:r>
    </w:p>
    <w:p>
      <w:pPr>
        <w:pStyle w:val="TextBody"/>
        <w:spacing w:before="0" w:after="0"/>
        <w:ind w:left="0" w:right="0" w:firstLine="720"/>
        <w:jc w:val="both"/>
        <w:rPr>
          <w:caps w:val="false"/>
          <w:smallCaps w:val="false"/>
        </w:rPr>
      </w:pPr>
      <w:r>
        <w:rPr>
          <w:caps w:val="false"/>
          <w:smallCaps w:val="false"/>
        </w:rPr>
        <w:t> </w:t>
      </w:r>
    </w:p>
    <w:tbl>
      <w:tblPr>
        <w:tblW w:w="9190" w:type="dxa"/>
        <w:jc w:val="left"/>
        <w:tblInd w:w="0" w:type="dxa"/>
        <w:tblCellMar>
          <w:top w:w="0" w:type="dxa"/>
          <w:left w:w="0" w:type="dxa"/>
          <w:bottom w:w="0" w:type="dxa"/>
          <w:right w:w="0" w:type="dxa"/>
        </w:tblCellMar>
      </w:tblPr>
      <w:tblGrid>
        <w:gridCol w:w="135"/>
        <w:gridCol w:w="125"/>
        <w:gridCol w:w="8930"/>
      </w:tblGrid>
      <w:tr>
        <w:trPr/>
        <w:tc>
          <w:tcPr>
            <w:tcW w:w="13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8930" w:type="dxa"/>
            <w:tcBorders/>
            <w:shd w:fill="auto" w:val="clear"/>
            <w:vAlign w:val="center"/>
          </w:tcPr>
          <w:p>
            <w:pPr>
              <w:pStyle w:val="TableContents"/>
              <w:spacing w:before="0" w:after="283"/>
              <w:jc w:val="both"/>
              <w:rPr/>
            </w:pPr>
            <w:r>
              <w:rPr/>
              <w:t>the product is manufactured at FDA registered establishments and in accordance with cGMPs;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the product label meets applicable format and content requirements including permissible “Indications” and all required dosing instructions and limitations, warnings, precautions and contraindications that have been established in an applicable OTC Monograph;</w:t>
            </w:r>
          </w:p>
        </w:tc>
      </w:tr>
    </w:tbl>
    <w:p>
      <w:pPr>
        <w:pStyle w:val="TextBody"/>
        <w:spacing w:before="0" w:after="0"/>
        <w:ind w:left="0" w:right="0" w:firstLine="720"/>
        <w:jc w:val="both"/>
        <w:rPr>
          <w:caps w:val="false"/>
          <w:smallCaps w:val="false"/>
        </w:rPr>
      </w:pPr>
      <w:r>
        <w:rPr>
          <w:caps w:val="false"/>
          <w:smallCaps w:val="false"/>
        </w:rPr>
        <w:t> </w:t>
      </w:r>
    </w:p>
    <w:tbl>
      <w:tblPr>
        <w:tblW w:w="9468" w:type="dxa"/>
        <w:jc w:val="left"/>
        <w:tblInd w:w="0" w:type="dxa"/>
        <w:tblCellMar>
          <w:top w:w="0" w:type="dxa"/>
          <w:left w:w="0" w:type="dxa"/>
          <w:bottom w:w="0" w:type="dxa"/>
          <w:right w:w="0" w:type="dxa"/>
        </w:tblCellMar>
      </w:tblPr>
      <w:tblGrid>
        <w:gridCol w:w="38"/>
        <w:gridCol w:w="125"/>
        <w:gridCol w:w="930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9305" w:type="dxa"/>
            <w:tcBorders/>
            <w:shd w:fill="auto" w:val="clear"/>
            <w:vAlign w:val="center"/>
          </w:tcPr>
          <w:p>
            <w:pPr>
              <w:pStyle w:val="TableContents"/>
              <w:spacing w:before="0" w:after="283"/>
              <w:jc w:val="both"/>
              <w:rPr/>
            </w:pPr>
            <w:r>
              <w:rPr/>
              <w:t>the product contains only permissible active ingredients in permissible strengths and dosage forms;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the product contains only suitable inactive ingredients which are safe in the amounts administered and do not interfere with the effectiveness of the preparation; and</w:t>
            </w:r>
          </w:p>
        </w:tc>
      </w:tr>
    </w:tbl>
    <w:p>
      <w:pPr>
        <w:pStyle w:val="TextBody"/>
        <w:spacing w:before="0" w:after="0"/>
        <w:ind w:left="0" w:right="0" w:firstLine="720"/>
        <w:jc w:val="both"/>
        <w:rPr>
          <w:caps w:val="false"/>
          <w:smallCaps w:val="false"/>
        </w:rPr>
      </w:pPr>
      <w:r>
        <w:rPr>
          <w:caps w:val="false"/>
          <w:smallCaps w:val="false"/>
        </w:rPr>
        <w:t> </w:t>
      </w:r>
    </w:p>
    <w:tbl>
      <w:tblPr>
        <w:tblW w:w="7293" w:type="dxa"/>
        <w:jc w:val="left"/>
        <w:tblInd w:w="0" w:type="dxa"/>
        <w:tblCellMar>
          <w:top w:w="0" w:type="dxa"/>
          <w:left w:w="0" w:type="dxa"/>
          <w:bottom w:w="0" w:type="dxa"/>
          <w:right w:w="0" w:type="dxa"/>
        </w:tblCellMar>
      </w:tblPr>
      <w:tblGrid>
        <w:gridCol w:w="38"/>
        <w:gridCol w:w="125"/>
        <w:gridCol w:w="713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7130" w:type="dxa"/>
            <w:tcBorders/>
            <w:shd w:fill="auto" w:val="clear"/>
            <w:vAlign w:val="center"/>
          </w:tcPr>
          <w:p>
            <w:pPr>
              <w:pStyle w:val="TableContents"/>
              <w:spacing w:before="0" w:after="283"/>
              <w:jc w:val="both"/>
              <w:rPr/>
            </w:pPr>
            <w:r>
              <w:rPr/>
              <w:t>the product container and container components meet FDA’s requirements.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DEA Regulation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Oxaydo product is,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Each entity distributing controlled substances is responsible for monitoring the use of such products to identify and control diversion and misuse.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also regulate controlled substances and List I Chemicals, and we or our licensees are subject to such regulation by several states with respect to the manufacture and future distribution of these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 Coverage, Pricing and Reimbursement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center"/>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An annual, nondeductible fee on any entity that manufactures or imports certain branded prescription drugs and biologic agents;</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center"/>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 new Medicare Part D coverage gap discount program, in which pharmaceutical manufacturers who wish to have their drugs covered under Part D must offer discounts to eligible beneficiaries during their coverage gap period (the “donut hole”); and</w:t>
            </w:r>
          </w:p>
        </w:tc>
      </w:tr>
    </w:tbl>
    <w:p>
      <w:pPr>
        <w:pStyle w:val="TextBody"/>
        <w:spacing w:before="0" w:after="0"/>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center"/>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 new formula that increases the rebates a manufacturer must pay under the Medicaid Drug Rebate Program.</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enactment, there have been judicial and Congressional challenges to certain aspects of the Healthcare Reform Law, and we expect there will be additional challenges and amendments to the Healthcare Reform Law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or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Healthcare Laws and Compliance Requirements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one business segment; the research, development and commercialization of technologies and products intended to address safe use of medications.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Compliance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12 full-time employees and 1 part-time employee, 9 of whom are engaged in the research, development and manufacture of product candidates utilizing our proprietary Aversion, Impede, and LIMITx Technologies. The remaining employees are engaged in administrative, legal, accounting, finance, market research, and business development activities. All of our senior management and most of our other employees have prior experience in pharmaceutical or biotechnology companies. We strive to maintain a safe, healthy and respectful workplace. We offer competitive compensation coupled with attractive health benefits. The average tenure of our employees is approximately 20 years. Since 2018, two employees have separated from the Company and neither were replaced. We believe engaging experienced pharmaceutical scientists in our Culver, IN facility could be difficult given its less populated geography and lack of other pharmaceutical companies in the immediate area.</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of Directors has the primary responsibility of overseeing our human capital management activities (including assessing the effectiveness of employee programs and advising management with regard to the quality of the workforce to carry out our strategic goals and overall human resource strategies). Within management, our Human Resources function has management responsibility for advising and assisting the business on human resource matters and executing our overall human capital management strategies. We have had no turnover in our Board since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COVID-19 pandemic, we quickly implemented safety and health standards and protocols, including social distancing, limiting density, reporting and documenting exposures and providing for working from home as appropriate, all as recommended by the Centers for Disease Control or mandated by local regulations.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ethics policy in place which is sent to all employees annually which encourages communication of any matter of concern to the Board of Directors through a process delineated in the ethics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 w:name="a_009"/>
      <w:bookmarkEnd w:id="4"/>
      <w:r>
        <w:rPr>
          <w:rFonts w:ascii="Times New Roman;Times;Serif" w:hAnsi="Times New Roman;Times;Serif"/>
          <w:b/>
          <w:i w:val="false"/>
          <w:caps w:val="false"/>
          <w:smallCaps w:val="false"/>
          <w:sz w:val="20"/>
        </w:rPr>
        <w:t xml:space="preserve">ITEM 1A. RISK FACTORS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Before purchasing our common stock, you should carefully consider the following risk factors as well as all other information contained in this Report, including our consolidated financial statements and the related notes. The risks and uncertainties described below are not the only ones facing us. Additional risks and uncertainties that we are unaware of,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 xml:space="preserve">We have a history of operating losses and may not be able to generate a positive return on shareholders’ investment; there is substantial doubt as to our ability to continue as a going concern: </w:t>
      </w:r>
      <w:r>
        <w:rPr>
          <w:rFonts w:ascii="Times New Roman;Times;Serif" w:hAnsi="Times New Roman;Times;Serif"/>
          <w:b w:val="false"/>
          <w:i w:val="false"/>
          <w:caps w:val="false"/>
          <w:smallCaps w:val="false"/>
          <w:sz w:val="20"/>
        </w:rPr>
        <w:t>We had a net loss of $1.2 million, $3.8 million, and $5.7 million for the years ended December 31, 2020, 2019 and 2018, respectively. As of March 30, 2021 we had approximately $350 thousand of cash. The Agreement with AD Pharma, as amended, provided us a monthly license payment of $350,000 from AD Pharma for a period from inception up to April 2020 at which time the payment became $200,000 per month through July 2021. However, AD Pharma has the right to terminate the Agreement at any time for convenience and such action would substantially and adversely affect our ability to fund continuing operations. Our future viability will depend on several factors, including:</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 the receipt of monthly license payments from AD Pharma for the entire period ending July 31, 2021; (ii) our receipt of milestone payments and royalties relating to our LIMITx Technology products in development from AD Pharma and future licensees, of which no assurance can be given; (iii) renegotiation of the AD Pharma Agreement to extend the FDA Filing Acceptance Date beyond July 2021; and (iv) the receipt of FDA approval and the successful commercialization by future licensees, yet to be identified and obtained, of products utilizing our LIMITx Technology and our ability to commercialize all our Impede and LIMITx Technology products without infringing the patents and other intellectual property rights of third parties, of which no assurance can be given.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focused primarily on the development of our lead LIMITx product candidate, LTX-03, as well as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self-supporting resulting in significant doubt as to our ability to sustain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and AD Pharma succeed in developing and commercializing one or more of our pipeline LIMITx Technology products, we expect to continue using cash reserves for the foreseeable future. Our expenses may increase in the foreseeable future as a result of continued research and development of these and other product candidates, maintaining and expanding the scope of our intellectual property, and hiring of additional research and development staff. We will need to generate revenues from royalties on sales to achieve and maintain liquidity. If we or AD Pharma cannot successfully develop, obtain regulatory approval and commercialize our LIMITx product candidates in development, specifically LTX-03, we will not be able to generate such royalty revenues or achieve future profitability. Our failure to achieve or maintain profitability would have a material adverse impact on our operations, financial condition and on the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 xml:space="preserve">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 </w:t>
      </w:r>
      <w:r>
        <w:rPr>
          <w:rFonts w:ascii="Times New Roman;Times;Serif" w:hAnsi="Times New Roman;Times;Serif"/>
          <w:b w:val="false"/>
          <w:i w:val="false"/>
          <w:caps w:val="false"/>
          <w:smallCaps w:val="false"/>
          <w:sz w:val="20"/>
        </w:rPr>
        <w:t>Our operations to date have consumed substantial amounts of cash. Negative cash flows from our operations are expected to continue until such time as royalties from AD Pharma’s sale of LTX-03 occur which is not expected until 2023 at the earliest. Our cash utilization amount is highly dependent on the progress of our product development programs, particularly, the results of our preclinical and clinical studies and the cost, timing and outcomes of regulatory approval for our LIMITx product candidates. As of March 30, 2021 our cash balance was approximately $350 thousand. Additionally, the Agreement with AD Pharma, as amended, provided us a monthly license payment of $350,000 from AD Pharma for a period from inception up to April 2020 at which time the payment is $200,000 per month through July 2021 and as well as their payment of all outside development costs for LTX-03. AD Pharma is delinquent in remitting the required monthly license payments for December, 2020 thru March, 2021 as well as approximately $100,000 of reimbursable LTX-03 development expenses. Based upon representations by AD Pharma, we anticipate receipt of these past due amounts by April 30, 2021 and payment obligations through July, 2021, for which no assurance can be given. To fund further operations, we must raise additional financing or enter into license or collaboration agreements with third parties relating to our technologies.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COVID-19 may materially and adversely affect our business and financial results:</w:t>
      </w:r>
      <w:r>
        <w:rPr>
          <w:rFonts w:ascii="Times New Roman;Times;Serif" w:hAnsi="Times New Roman;Times;Serif"/>
          <w:b w:val="false"/>
          <w:i w:val="false"/>
          <w:caps w:val="false"/>
          <w:smallCaps w:val="false"/>
          <w:sz w:val="20"/>
        </w:rPr>
        <w:t xml:space="preserve"> Our business could be adversely affected by health epidemics in regions </w:t>
      </w:r>
      <w:r>
        <w:rPr>
          <w:rFonts w:ascii="Times New Roman;Times;Serif" w:hAnsi="Times New Roman;Times;Serif"/>
          <w:b w:val="false"/>
          <w:i/>
          <w:caps w:val="false"/>
          <w:smallCaps w:val="false"/>
          <w:sz w:val="20"/>
        </w:rPr>
        <w:t>w</w:t>
      </w:r>
      <w:r>
        <w:rPr>
          <w:rFonts w:ascii="Times New Roman;Times;Serif" w:hAnsi="Times New Roman;Times;Serif"/>
          <w:b w:val="false"/>
          <w:i w:val="false"/>
          <w:caps w:val="false"/>
          <w:smallCaps w:val="false"/>
          <w:sz w:val="20"/>
        </w:rPr>
        <w:t>here third parties for which we rely, such a CROs or CMOs, have concentrations of clinical trial sites or other business operations, and could cause significant disruption in the operations of third-party manufacturers and CROs upon whom we rely. On January 30, 2020, the World Health Organization (“WHO”) announced a global health emergency because of a new strain of novel coronavirus originating in Wuhan, China (the “COVID-19 outbreak”)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our business and delay our clinical programs and timelines.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Any manufacturing supply interruption of materials could adversely affect our ability to conduct ongoing and future research and manufacturing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clinical trials may be affected by the COVID-19 pandemic. Clinical site initiation and patient enrollment may be delayed due to prioritization of resources toward the pandemic.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may adversely impact our clinical trial operations. 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If we fail to comply with the covenants and other obligations under our loan with AD Pharma, LLC they may accelerate amounts owed and may foreclose upon the security interest in all of our assets securing our obligation:</w:t>
      </w:r>
      <w:r>
        <w:rPr>
          <w:rFonts w:ascii="Times New Roman;Times;Serif" w:hAnsi="Times New Roman;Times;Serif"/>
          <w:b w:val="false"/>
          <w:i w:val="false"/>
          <w:caps w:val="false"/>
          <w:smallCaps w:val="false"/>
          <w:sz w:val="20"/>
        </w:rPr>
        <w:t xml:space="preserve"> At June 28, 2019, we (including our wholly-owned subsidiary Acura Pharmaceutical Technologies, Inc. (“APT”)), entered into a Promissory Note and Security Agreement with John Schutte (Mr. Schutte) that consolidated existing promissory notes into a single Note for $6.0 million (after including accrued interest). Subsequently, Mr. Schutte assigned and transferred this Note to Abuse Deterrent Pharma, LLC (“AD Pharma”) (an entity controlled by him). This Note includes a security interest in all of our assets. Our failure to comply with the terms of the loan agreement, if we file bankruptcy, failure to pay interest and principal when due on July 1, 2023, or upon failure to meet certain timelines as defined in the License, Development and Commercialization Agreement could result in the acceleration of payment of our loan, foreclosure on our assets, and other adverse results. Any declaration of an event of default by AD Pharma could result in the transfer of our business to AD Pharma without additional consideration and the loss by our shareholders of their entire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failure to meet the development timelines in the AD Pharma License Agreement, as amended, including FDA acceptance of NDA submission for LTX-03 by July 31, 2021, will allow AD Pharma the option to terminate the Agreement and take ownership of the LIMITx intellectual property which will adversely impact our ability to develop, market and sell our LIMITx Technology products and our revenues and business will be materially adversely affected:</w:t>
      </w:r>
      <w:r>
        <w:rPr>
          <w:rFonts w:ascii="Times New Roman;Times;Serif" w:hAnsi="Times New Roman;Times;Serif"/>
          <w:b w:val="false"/>
          <w:i w:val="false"/>
          <w:caps w:val="false"/>
          <w:smallCaps w:val="false"/>
          <w:sz w:val="20"/>
        </w:rPr>
        <w:t xml:space="preserve"> The License Agreement with AD Pharma requires that the new drug application for LTX-03 be accepted by the FDA by July 31, 2021. Failure to do so gives AD Pharma the option to terminate this Agreement and take ownership of the LIMITx intellectual property. Acura expects the submission and FDA acceptance of the NDA for LTX-03 to now occur after July 31, 2021 and will need to be renegotiated with AD Pharma. Failure to amend the License Agreement would allow AD Pharma to seize the LIMITx IP which would have a material adverse impact our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are largely dependent on our successful development of LIMITx product candidates which are unproven and may not be approved by the FDA:</w:t>
      </w:r>
      <w:r>
        <w:rPr>
          <w:rFonts w:ascii="Times New Roman;Times;Serif" w:hAnsi="Times New Roman;Times;Serif"/>
          <w:b w:val="false"/>
          <w:i w:val="false"/>
          <w:caps w:val="false"/>
          <w:smallCaps w:val="false"/>
          <w:sz w:val="20"/>
        </w:rPr>
        <w:t xml:space="preserve"> We expect that a substantial portion of our efforts and expenditures over the next few years, if we obtain additional funding, will be devoted to our lead LIMITx product candidate, LTX-03, and other LIMITx product candidates in development. Accordingly, our business is currently substantially dependent on the successful development, clinical testing, regulatory approval and commercialization of our LIMITx product candidates, which may never occur. If our clinical studies for LTX-03 are not successful we may determine that further clinical development of LTX-03 or other LIMITx product candidates should be discontinued. Also, the failure of clinical studies for LTX-03 may cause AD Pharma to terminate the Agreement. We expect that any revenues from our LIMITx product candidates, specifically LTX-03 will be derived from upfront payments, milestone payments and royalties under license agreements with AD Pharma, of which no assurance can be given.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and our licensees’ ability to market and promote LIMITx Technology products by describing the beneficial features of such products will be determined by the FDA approved label for such products:</w:t>
      </w:r>
      <w:r>
        <w:rPr>
          <w:rFonts w:ascii="Times New Roman;Times;Serif" w:hAnsi="Times New Roman;Times;Serif"/>
          <w:b w:val="false"/>
          <w:i w:val="false"/>
          <w:caps w:val="false"/>
          <w:smallCaps w:val="false"/>
          <w:sz w:val="20"/>
        </w:rPr>
        <w:t xml:space="preserve"> The commercial success of our LIMITx Technology products in development will depend upon our and our licensees’ ability to obtain FDA approved labeling describing such products’ benefits. Our or our licensees’ failure to achieve FDA approval of product labeling containing such information will prevent or substantially limit our and our licensees’ advertising and promotion of such beneficial features in order to differentiate our products from other immediate release opioid products containing the same active ingredients, and would have a material adverse impact on our business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r>
        <w:rPr>
          <w:rFonts w:ascii="Times New Roman;Times;Serif" w:hAnsi="Times New Roman;Times;Serif"/>
          <w:b w:val="false"/>
          <w:i w:val="false"/>
          <w:caps w:val="false"/>
          <w:smallCaps w:val="false"/>
          <w:sz w:val="20"/>
        </w:rPr>
        <w:t xml:space="preserve"> 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 Even if our clinical trials and laboratory testing are completed as planned, their results may not support commercially viable product label claims or be interpreted by the FDA differently than our perspective. The clinical trial process may fail to demonstrate that our product candidates are safe and effective for their intended use. Such failure may cause us or our licensees to abandon a product candidate and may delay the development of other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have no commercial manufacturing capacity and rely on third-party contract manufacturers to produce commercial quantities of our products:</w:t>
      </w:r>
      <w:r>
        <w:rPr>
          <w:rFonts w:ascii="Times New Roman;Times;Serif" w:hAnsi="Times New Roman;Times;Serif"/>
          <w:b w:val="false"/>
          <w:i w:val="false"/>
          <w:caps w:val="false"/>
          <w:smallCaps w:val="false"/>
          <w:sz w:val="20"/>
        </w:rPr>
        <w:t xml:space="preserve"> 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or our licensees may not obtain required FDA approval; the FDA approval process is time-consuming and expensive:</w:t>
      </w:r>
      <w:r>
        <w:rPr>
          <w:rFonts w:ascii="Times New Roman;Times;Serif" w:hAnsi="Times New Roman;Times;Serif"/>
          <w:b w:val="false"/>
          <w:i w:val="false"/>
          <w:caps w:val="false"/>
          <w:smallCaps w:val="false"/>
          <w:sz w:val="20"/>
        </w:rPr>
        <w:t xml:space="preserve"> 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 In addition, we cannot predict the likelihood, nature or extent of government regulation that may arise from future legislation or administrative or executive action, either in the United States or abroad. If these executive actions impose constraints on the FDA’s ability to engage in oversight and implementation activities in the normal course, our business may be negatively impacted.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Further, the terms of approval of any NDA, including the product labeling, may be more restrictive than we or our licensees desire and could affect the marketability of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r>
        <w:rPr>
          <w:rFonts w:ascii="Times New Roman;Times;Serif" w:hAnsi="Times New Roman;Times;Serif"/>
          <w:b w:val="false"/>
          <w:i w:val="false"/>
          <w:caps w:val="false"/>
          <w:smallCaps w:val="false"/>
          <w:sz w:val="20"/>
        </w:rPr>
        <w:t xml:space="preserve"> We have equipment and procedures necessary to manufacture clinical trial supplies of our product candidates in tablet formulations at our Culver, Indiana facility. To be used in clinical trials, all of our product candidates must be manufactured, packaged, labeled and stored in conformity with cGMP regulations.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develop our products, and manufacture clinical and commercial supplies, at a single location. Any disruption at these facilities could adversely affect our business and results of operations:</w:t>
      </w:r>
      <w:r>
        <w:rPr>
          <w:rFonts w:ascii="Times New Roman;Times;Serif" w:hAnsi="Times New Roman;Times;Serif"/>
          <w:b w:val="false"/>
          <w:i w:val="false"/>
          <w:caps w:val="false"/>
          <w:smallCaps w:val="false"/>
          <w:sz w:val="20"/>
        </w:rPr>
        <w:t xml:space="preserve"> We rely on our Culver, Indiana facility for developing our product candidates and the manufacture of clinical supplies of our product candidates. Our marketed products are manufactured at a single contract manufacturing organization. If any of these facilities are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Any disruptions or delays to our clinical or commercial supplies could impair our ability to develop our product candidates, which could adversely affect our business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operations are subject to environmental, health and safety, and other laws and regulations, with which compliance is costly and which exposes us to penalties for non-compliance:</w:t>
      </w:r>
      <w:r>
        <w:rPr>
          <w:rFonts w:ascii="Times New Roman;Times;Serif" w:hAnsi="Times New Roman;Times;Serif"/>
          <w:b w:val="false"/>
          <w:i w:val="false"/>
          <w:caps w:val="false"/>
          <w:smallCaps w:val="false"/>
          <w:sz w:val="20"/>
        </w:rPr>
        <w:t xml:space="preserve"> 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failure to successfully establish new license agreements with pharmaceutical companies for the development and commercialization of our other products in development may adversely impair our ability to develop, market and sell such products:</w:t>
      </w:r>
      <w:r>
        <w:rPr>
          <w:rFonts w:ascii="Times New Roman;Times;Serif" w:hAnsi="Times New Roman;Times;Serif"/>
          <w:b w:val="false"/>
          <w:i w:val="false"/>
          <w:caps w:val="false"/>
          <w:smallCaps w:val="false"/>
          <w:sz w:val="20"/>
        </w:rPr>
        <w:t xml:space="preserve"> The AD Pharma Agreement grants AD Pharma an exclusive license to develop and commercialize LTX-03 in the US. The Assertio Agreement grants Assertio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AD Pharma Agreement, Assertio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If our licensees do not satisfy their obligations, we will be unable to develop our licensed product candidates:</w:t>
      </w:r>
      <w:r>
        <w:rPr>
          <w:rFonts w:ascii="Times New Roman;Times;Serif" w:hAnsi="Times New Roman;Times;Serif"/>
          <w:b w:val="false"/>
          <w:i w:val="false"/>
          <w:caps w:val="false"/>
          <w:smallCaps w:val="false"/>
          <w:sz w:val="20"/>
        </w:rPr>
        <w:t xml:space="preserv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licensees.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it may be necessary for us to license a significant portion of our product candidates for a single technology to a single company, thereby eliminating our opportunity to commercialize other product candidates with other licensees.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The market may not be receptive to products incorporating our LIMITx Technology:</w:t>
      </w:r>
      <w:r>
        <w:rPr>
          <w:rFonts w:ascii="Times New Roman;Times;Serif" w:hAnsi="Times New Roman;Times;Serif"/>
          <w:b w:val="false"/>
          <w:i w:val="false"/>
          <w:caps w:val="false"/>
          <w:smallCaps w:val="false"/>
          <w:sz w:val="20"/>
        </w:rPr>
        <w:t xml:space="preserve"> The commercial success of our products will depend on acceptance by health care providers and others that such products are clinically useful, cost-effective and safe. There can be no assurance given that our products utilizing the LIMITx Technology will be accepted by health care providers and others. Factors that may materially affect market acceptance of our product candidates include but are not limited to:</w:t>
      </w:r>
    </w:p>
    <w:p>
      <w:pPr>
        <w:pStyle w:val="TextBody"/>
        <w:spacing w:before="0" w:after="0"/>
        <w:ind w:left="0" w:right="0" w:hanging="0"/>
        <w:jc w:val="both"/>
        <w:rPr>
          <w:caps w:val="false"/>
          <w:smallCaps w:val="false"/>
        </w:rPr>
      </w:pPr>
      <w:r>
        <w:rPr>
          <w:caps w:val="false"/>
          <w:smallCaps w:val="false"/>
        </w:rPr>
        <w:t> </w:t>
      </w:r>
    </w:p>
    <w:tbl>
      <w:tblPr>
        <w:tblW w:w="8928" w:type="dxa"/>
        <w:jc w:val="left"/>
        <w:tblInd w:w="0" w:type="dxa"/>
        <w:tblCellMar>
          <w:top w:w="0" w:type="dxa"/>
          <w:left w:w="0" w:type="dxa"/>
          <w:bottom w:w="0" w:type="dxa"/>
          <w:right w:w="0" w:type="dxa"/>
        </w:tblCellMar>
      </w:tblPr>
      <w:tblGrid>
        <w:gridCol w:w="38"/>
        <w:gridCol w:w="110"/>
        <w:gridCol w:w="87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780" w:type="dxa"/>
            <w:tcBorders/>
            <w:shd w:fill="auto" w:val="clear"/>
            <w:vAlign w:val="center"/>
          </w:tcPr>
          <w:p>
            <w:pPr>
              <w:pStyle w:val="TableContents"/>
              <w:spacing w:before="0" w:after="283"/>
              <w:rPr/>
            </w:pPr>
            <w:r>
              <w:rPr/>
              <w:t>the relative advantages and disadvantages of our products compared to competitive products;</w:t>
            </w:r>
          </w:p>
        </w:tc>
      </w:tr>
    </w:tbl>
    <w:tbl>
      <w:tblPr>
        <w:tblW w:w="8778" w:type="dxa"/>
        <w:jc w:val="left"/>
        <w:tblInd w:w="0" w:type="dxa"/>
        <w:tblCellMar>
          <w:top w:w="0" w:type="dxa"/>
          <w:left w:w="0" w:type="dxa"/>
          <w:bottom w:w="0" w:type="dxa"/>
          <w:right w:w="0" w:type="dxa"/>
        </w:tblCellMar>
      </w:tblPr>
      <w:tblGrid>
        <w:gridCol w:w="38"/>
        <w:gridCol w:w="110"/>
        <w:gridCol w:w="86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630" w:type="dxa"/>
            <w:tcBorders/>
            <w:shd w:fill="auto" w:val="clear"/>
            <w:vAlign w:val="center"/>
          </w:tcPr>
          <w:p>
            <w:pPr>
              <w:pStyle w:val="TableContents"/>
              <w:spacing w:before="0" w:after="283"/>
              <w:rPr/>
            </w:pPr>
            <w:r>
              <w:rPr/>
              <w:t>the relative timing to commercial launch of our products compared to competitive products;</w:t>
            </w:r>
          </w:p>
        </w:tc>
      </w:tr>
    </w:tbl>
    <w:tbl>
      <w:tblPr>
        <w:tblW w:w="7863" w:type="dxa"/>
        <w:jc w:val="left"/>
        <w:tblInd w:w="0" w:type="dxa"/>
        <w:tblCellMar>
          <w:top w:w="0" w:type="dxa"/>
          <w:left w:w="0" w:type="dxa"/>
          <w:bottom w:w="0" w:type="dxa"/>
          <w:right w:w="0" w:type="dxa"/>
        </w:tblCellMar>
      </w:tblPr>
      <w:tblGrid>
        <w:gridCol w:w="38"/>
        <w:gridCol w:w="110"/>
        <w:gridCol w:w="771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7715" w:type="dxa"/>
            <w:tcBorders/>
            <w:shd w:fill="auto" w:val="clear"/>
            <w:vAlign w:val="center"/>
          </w:tcPr>
          <w:p>
            <w:pPr>
              <w:pStyle w:val="TableContents"/>
              <w:spacing w:before="0" w:after="283"/>
              <w:rPr/>
            </w:pPr>
            <w:r>
              <w:rPr/>
              <w:t>the relative safety and efficacy of our products compared to competitive products;</w:t>
            </w:r>
          </w:p>
        </w:tc>
      </w:tr>
    </w:tbl>
    <w:tbl>
      <w:tblPr>
        <w:tblW w:w="5778" w:type="dxa"/>
        <w:jc w:val="left"/>
        <w:tblInd w:w="0" w:type="dxa"/>
        <w:tblCellMar>
          <w:top w:w="0" w:type="dxa"/>
          <w:left w:w="0" w:type="dxa"/>
          <w:bottom w:w="0" w:type="dxa"/>
          <w:right w:w="0" w:type="dxa"/>
        </w:tblCellMar>
      </w:tblPr>
      <w:tblGrid>
        <w:gridCol w:w="38"/>
        <w:gridCol w:w="110"/>
        <w:gridCol w:w="563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5630" w:type="dxa"/>
            <w:tcBorders/>
            <w:shd w:fill="auto" w:val="clear"/>
            <w:vAlign w:val="center"/>
          </w:tcPr>
          <w:p>
            <w:pPr>
              <w:pStyle w:val="TableContents"/>
              <w:spacing w:before="0" w:after="283"/>
              <w:rPr/>
            </w:pPr>
            <w:r>
              <w:rPr/>
              <w:t>the product labeling approved by the FDA for our products</w:t>
            </w:r>
          </w:p>
        </w:tc>
      </w:tr>
    </w:tbl>
    <w:tbl>
      <w:tblPr>
        <w:tblW w:w="6738" w:type="dxa"/>
        <w:jc w:val="left"/>
        <w:tblInd w:w="0" w:type="dxa"/>
        <w:tblCellMar>
          <w:top w:w="0" w:type="dxa"/>
          <w:left w:w="0" w:type="dxa"/>
          <w:bottom w:w="0" w:type="dxa"/>
          <w:right w:w="0" w:type="dxa"/>
        </w:tblCellMar>
      </w:tblPr>
      <w:tblGrid>
        <w:gridCol w:w="38"/>
        <w:gridCol w:w="110"/>
        <w:gridCol w:w="659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6590" w:type="dxa"/>
            <w:tcBorders/>
            <w:shd w:fill="auto" w:val="clear"/>
            <w:vAlign w:val="center"/>
          </w:tcPr>
          <w:p>
            <w:pPr>
              <w:pStyle w:val="TableContents"/>
              <w:spacing w:before="0" w:after="283"/>
              <w:rPr/>
            </w:pPr>
            <w:r>
              <w:rPr/>
              <w:t>the product’s ability to perform as tested under real world conditions;;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rPr/>
            </w:pPr>
            <w:r>
              <w:rPr/>
              <w:t>the perception of health care providers of unique benefits of our products and their willingness to prescribe our products and their willingness to undertake administrative processes that may be invoked by third party payers; the willingness of third party payers to reimburse for our prescription products;</w:t>
            </w:r>
          </w:p>
        </w:tc>
      </w:tr>
    </w:tbl>
    <w:tbl>
      <w:tblPr>
        <w:tblW w:w="7173" w:type="dxa"/>
        <w:jc w:val="left"/>
        <w:tblInd w:w="0" w:type="dxa"/>
        <w:tblCellMar>
          <w:top w:w="0" w:type="dxa"/>
          <w:left w:w="0" w:type="dxa"/>
          <w:bottom w:w="0" w:type="dxa"/>
          <w:right w:w="0" w:type="dxa"/>
        </w:tblCellMar>
      </w:tblPr>
      <w:tblGrid>
        <w:gridCol w:w="38"/>
        <w:gridCol w:w="110"/>
        <w:gridCol w:w="702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7025" w:type="dxa"/>
            <w:tcBorders/>
            <w:shd w:fill="auto" w:val="clear"/>
            <w:vAlign w:val="center"/>
          </w:tcPr>
          <w:p>
            <w:pPr>
              <w:pStyle w:val="TableContents"/>
              <w:spacing w:before="0" w:after="283"/>
              <w:rPr/>
            </w:pPr>
            <w:r>
              <w:rPr/>
              <w:t>the willingness of pharmacy chains and wholesalers to stock our products;</w:t>
            </w:r>
          </w:p>
        </w:tc>
      </w:tr>
    </w:tbl>
    <w:tbl>
      <w:tblPr>
        <w:tblW w:w="8733" w:type="dxa"/>
        <w:jc w:val="left"/>
        <w:tblInd w:w="0" w:type="dxa"/>
        <w:tblCellMar>
          <w:top w:w="0" w:type="dxa"/>
          <w:left w:w="0" w:type="dxa"/>
          <w:bottom w:w="0" w:type="dxa"/>
          <w:right w:w="0" w:type="dxa"/>
        </w:tblCellMar>
      </w:tblPr>
      <w:tblGrid>
        <w:gridCol w:w="38"/>
        <w:gridCol w:w="110"/>
        <w:gridCol w:w="858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8585" w:type="dxa"/>
            <w:tcBorders/>
            <w:shd w:fill="auto" w:val="clear"/>
            <w:vAlign w:val="center"/>
          </w:tcPr>
          <w:p>
            <w:pPr>
              <w:pStyle w:val="TableContents"/>
              <w:spacing w:before="0" w:after="283"/>
              <w:rPr/>
            </w:pPr>
            <w:r>
              <w:rPr/>
              <w:t>the willingness of pharmacists to recommend our Nexafed products to their customers; and</w:t>
            </w:r>
          </w:p>
        </w:tc>
      </w:tr>
    </w:tbl>
    <w:tbl>
      <w:tblPr>
        <w:tblW w:w="6228" w:type="dxa"/>
        <w:jc w:val="left"/>
        <w:tblInd w:w="0" w:type="dxa"/>
        <w:tblCellMar>
          <w:top w:w="0" w:type="dxa"/>
          <w:left w:w="0" w:type="dxa"/>
          <w:bottom w:w="0" w:type="dxa"/>
          <w:right w:w="0" w:type="dxa"/>
        </w:tblCellMar>
      </w:tblPr>
      <w:tblGrid>
        <w:gridCol w:w="38"/>
        <w:gridCol w:w="110"/>
        <w:gridCol w:w="608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6080" w:type="dxa"/>
            <w:tcBorders/>
            <w:shd w:fill="auto" w:val="clear"/>
            <w:vAlign w:val="center"/>
          </w:tcPr>
          <w:p>
            <w:pPr>
              <w:pStyle w:val="TableContents"/>
              <w:spacing w:before="0" w:after="283"/>
              <w:rPr/>
            </w:pPr>
            <w:r>
              <w:rPr/>
              <w:t>the willingness of consumers to utilize and pay for our products.</w:t>
            </w:r>
          </w:p>
        </w:tc>
      </w:tr>
    </w:tbl>
    <w:p>
      <w:pPr>
        <w:pStyle w:val="TextBody"/>
        <w:rPr/>
      </w:pPr>
      <w:r>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u w:val="single"/>
        </w:rPr>
        <w:t>If we, our licensees or others identify serious adverse events or deaths relating to any of our products once on the market, we may be required to withdraw our products from the market, which would hinder or preclude our ability to generate revenues:</w:t>
      </w:r>
      <w:r>
        <w:rPr>
          <w:rFonts w:ascii="Times New Roman;Times;Serif" w:hAnsi="Times New Roman;Times;Serif"/>
          <w:b w:val="false"/>
          <w:i w:val="false"/>
          <w:caps w:val="false"/>
          <w:smallCaps w:val="false"/>
          <w:sz w:val="20"/>
        </w:rPr>
        <w:t xml:space="preserve"> We or our licensees are required to report to relevant regulatory authorities all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revenues may be adversely affected if we fail to obtain insurance coverage or adequate reimbursement for our products from third-party payers:</w:t>
      </w:r>
      <w:r>
        <w:rPr>
          <w:rFonts w:ascii="Times New Roman;Times;Serif" w:hAnsi="Times New Roman;Times;Serif"/>
          <w:b w:val="false"/>
          <w:i w:val="false"/>
          <w:caps w:val="false"/>
          <w:smallCaps w:val="false"/>
          <w:sz w:val="20"/>
        </w:rPr>
        <w:t xml:space="preserve"> 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technologies. Third party payers and administrators, including state Medicaid programs and Medicare, are challenging the prices charged for pharmaceutical products. Government and other third-party payers may limit coverage, reduce reimbursement, and/or impose administrative processes for our products. Third-party insurance coverage may not be available to patients for any of our product candidates. The continuing efforts of government and third-party payers to contain or reduce the costs of health care may limit our commercial opportunity. If government and other third party payers do not provide adequate coverage and reimbursement for any product utilizing our technologies or impose burdensome administrative processes,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Federal and foreign legislation may be enacted that may seriously impact the commercial viability and acceptance of the products we have licensed and are developing:</w:t>
      </w:r>
      <w:r>
        <w:rPr>
          <w:rFonts w:ascii="Times New Roman;Times;Serif" w:hAnsi="Times New Roman;Times;Serif"/>
          <w:b w:val="false"/>
          <w:i w:val="false"/>
          <w:caps w:val="false"/>
          <w:smallCaps w:val="false"/>
          <w:sz w:val="20"/>
        </w:rPr>
        <w:t xml:space="preserve"> 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 annual, nondeductible fee on any entity that manufactures or imports certain branded prescription drugs and biologic agents;</w:t>
            </w:r>
          </w:p>
        </w:tc>
      </w:tr>
    </w:tbl>
    <w:tbl>
      <w:tblPr>
        <w:tblW w:w="5000" w:type="pct"/>
        <w:jc w:val="left"/>
        <w:tblInd w:w="0" w:type="dxa"/>
        <w:tblCellMar>
          <w:top w:w="0" w:type="dxa"/>
          <w:left w:w="0" w:type="dxa"/>
          <w:bottom w:w="0" w:type="dxa"/>
          <w:right w:w="0" w:type="dxa"/>
        </w:tblCellMar>
      </w:tblPr>
      <w:tblGrid>
        <w:gridCol w:w="38"/>
        <w:gridCol w:w="127"/>
        <w:gridCol w:w="10040"/>
      </w:tblGrid>
      <w:tr>
        <w:trPr/>
        <w:tc>
          <w:tcPr>
            <w:tcW w:w="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rFonts w:ascii="Symbol" w:hAnsi="Symbol"/>
              </w:rPr>
            </w:pPr>
            <w:r>
              <w:rPr>
                <w:rFonts w:ascii="Symbol" w:hAnsi="Symbol"/>
              </w:rPr>
              <w:t>·</w:t>
            </w:r>
          </w:p>
        </w:tc>
        <w:tc>
          <w:tcPr>
            <w:tcW w:w="10040" w:type="dxa"/>
            <w:tcBorders/>
            <w:shd w:fill="auto" w:val="clear"/>
            <w:vAlign w:val="center"/>
          </w:tcPr>
          <w:p>
            <w:pPr>
              <w:pStyle w:val="TableContents"/>
              <w:spacing w:before="0" w:after="283"/>
              <w:jc w:val="both"/>
              <w:rPr/>
            </w:pPr>
            <w:r>
              <w:rPr/>
              <w:t>An increase in the minimum rebates a manufacturer must pay under the Medicaid Drug Rebate Program;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Extension of a manufacturer’s Medicaid rebate liability to covered drugs dispensed to individuals who are enrolled in Medicaid managed care organizations;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 new Patient-Centered Outcomes Research Institute to oversee, identify priorities in, and conduct comparative clinical effectiveness research;</w:t>
            </w:r>
          </w:p>
        </w:tc>
      </w:tr>
    </w:tbl>
    <w:tbl>
      <w:tblPr>
        <w:tblW w:w="5000" w:type="pct"/>
        <w:jc w:val="left"/>
        <w:tblInd w:w="0" w:type="dxa"/>
        <w:tblCellMar>
          <w:top w:w="0" w:type="dxa"/>
          <w:left w:w="0" w:type="dxa"/>
          <w:bottom w:w="0" w:type="dxa"/>
          <w:right w:w="0" w:type="dxa"/>
        </w:tblCellMar>
      </w:tblPr>
      <w:tblGrid>
        <w:gridCol w:w="45"/>
        <w:gridCol w:w="152"/>
        <w:gridCol w:w="10008"/>
      </w:tblGrid>
      <w:tr>
        <w:trPr/>
        <w:tc>
          <w:tcPr>
            <w:tcW w:w="4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rFonts w:ascii="Symbol" w:hAnsi="Symbol"/>
              </w:rPr>
            </w:pPr>
            <w:r>
              <w:rPr>
                <w:rFonts w:ascii="Symbol" w:hAnsi="Symbol"/>
              </w:rPr>
              <w:t>·</w:t>
            </w:r>
          </w:p>
        </w:tc>
        <w:tc>
          <w:tcPr>
            <w:tcW w:w="10008" w:type="dxa"/>
            <w:tcBorders/>
            <w:shd w:fill="auto" w:val="clear"/>
            <w:vAlign w:val="center"/>
          </w:tcPr>
          <w:p>
            <w:pPr>
              <w:pStyle w:val="TableContents"/>
              <w:spacing w:before="0" w:after="283"/>
              <w:jc w:val="both"/>
              <w:rPr/>
            </w:pPr>
            <w:r>
              <w:rPr/>
              <w:t>A revision to the definition of “average manufacturer price” for reporting purposes;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Encouragement for the development of comparative effectiveness research, which may reduce the extent of reimbursement for our products if such research results in any adverse findings.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 In addition, since its enactment, there have been judicial and Congressional challenges to certain aspects of the Healthcare Reform Law, and we expect there will be additional challenges and amendments to the Affordable Care Act in the future.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Consolidation in the healthcare industry could lead to demands for price concessions or for the exclusion of some suppliers from certain of our markets, which could have an adverse effect on our business, financial condition or results of operations:</w:t>
      </w:r>
      <w:r>
        <w:rPr>
          <w:rFonts w:ascii="Times New Roman;Times;Serif" w:hAnsi="Times New Roman;Times;Serif"/>
          <w:b w:val="false"/>
          <w:i w:val="false"/>
          <w:caps w:val="false"/>
          <w:smallCaps w:val="false"/>
          <w:sz w:val="20"/>
        </w:rPr>
        <w:t xml:space="preserve"> 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 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Assertio Agreement, the KemPharm Agreement, the MainPointe Agreement and AD Pharma Agreement, our licensees control (or will control in the case of AD Pharma for LTLX-03)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success depends on our ability to protect our intellectual property:</w:t>
      </w:r>
      <w:r>
        <w:rPr>
          <w:rFonts w:ascii="Times New Roman;Times;Serif" w:hAnsi="Times New Roman;Times;Serif"/>
          <w:b w:val="false"/>
          <w:i w:val="false"/>
          <w:caps w:val="false"/>
          <w:smallCaps w:val="false"/>
          <w:sz w:val="20"/>
        </w:rPr>
        <w:t xml:space="preserve"> 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r>
        <w:rPr>
          <w:rFonts w:ascii="Times New Roman;Times;Serif" w:hAnsi="Times New Roman;Times;Serif"/>
          <w:b w:val="false"/>
          <w:i w:val="false"/>
          <w:caps w:val="false"/>
          <w:smallCaps w:val="false"/>
          <w:sz w:val="20"/>
        </w:rPr>
        <w:t xml:space="preserve"> 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litigation or other proceedings we or our licensee(s) may initiate against third parties to enforce our patent rights or other intellectual property rights, including the submission of drug applications to the FDA certifying a challenge to our patents (Paragraph IV Proceedings);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litigation or other proceedings we or our licensee(s) may initiate against third parties seeking to invalidate the patents held by such third parties or to obtain a judgment that our products do not infringe such third parties’ patents;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litigation or other proceedings third parties may initiate against us or our licensee(s) to seek to invalidate our patents or to obtain a judgment that third party products do not infringe our patents;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if third parties initiate litigation claiming that our products infringe their patent or other intellectual property rights, we will need to defend against such proceedings.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resolving any patent litigation, including the Paragraph IV Proceedings, or other intellectual property proceedings,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competitor infringes upon our patent or other intellectual property rights, enforcing those rights may be costly, difficult and time consuming. We may not have sufficient resources to enforce our intellectual property rights or to defend our patent or other intellectual property rights against a challenge. If we are unsuccessful in enforcing and protecting our intellectual property rights and protecting our products, it would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we may require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 We cannot assure you that our technologies, products and/or actions in developing our products will not infringe third party patents. Our failure to avoid infringing third-party patents and intellectual property rights in the development and commercialization of our products would have a material adverse effect on our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may be exposed to product liability claims and claims regarding marketing of products and may not be able to obtain or maintain adequate product liability insurance and some claims may not be covered by insurance:</w:t>
      </w:r>
      <w:r>
        <w:rPr>
          <w:rFonts w:ascii="Times New Roman;Times;Serif" w:hAnsi="Times New Roman;Times;Serif"/>
          <w:b w:val="false"/>
          <w:i w:val="false"/>
          <w:caps w:val="false"/>
          <w:smallCaps w:val="false"/>
          <w:sz w:val="20"/>
        </w:rPr>
        <w:t xml:space="preserve"> Our business exposes us to potential product liability risks, which are inherent in the testing, manufacturing, marketing and sale of pharmaceutical products, and in particular opioid products. Manufacturers and distributors of prescription opioid medications, are the subject of lawsuits and have received subpoenas and other requests for information from various state and local government agencies regarding the sales and marketing of opioid medications. Product liability claims or marketing related claims might be made by patients, health care providers or others that sell or consume our products or insurance companies that insure those affected by our products. These claims may be made even with respect to those products that possess regulatory approval for commercial sale. We currently have clinical trial product liability insurance on a claims-made basis for our subject clinical trials and have product liability insurance for the Nexafed and Oxaydo products. Our product liability insurance may not cover claims against products sold by our predecessor company, Halsey Drug Co., which were discontinued over 20 years ago. This coverage may not be adequate to cover any product liability claims. Product liability coverage and other insurance is expensive. In the future, we may not be able to maintain such product liability insurance or other insurance at a reasonable cost or in sufficient amounts to protect us against losses due to product liability claims or other claims. In addition our insurance may not cover certain marketing related claims and excludes certain products from product liability coverage. Any claims that are not covered by product liability insurance or other insurance could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face significant competition, which may result in others developing or commercializing products before or more successfully than we do:</w:t>
      </w:r>
      <w:r>
        <w:rPr>
          <w:rFonts w:ascii="Times New Roman;Times;Serif" w:hAnsi="Times New Roman;Times;Serif"/>
          <w:b w:val="false"/>
          <w:i w:val="false"/>
          <w:caps w:val="false"/>
          <w:smallCaps w:val="false"/>
          <w:sz w:val="20"/>
        </w:rPr>
        <w:t xml:space="preserve"> 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concentrating a substantial majority of our efforts and resources on developing product candidates utilizing our LIMITx Technologies. The commercial success of products utilizing such technology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Technology. Alternative technologies and non-opioid products are being developed to improve or replace the use of opioid analgesics. In the event that such alternatives to opioid analgesics are widely adopted, then the market for products utilizing our LIMITx Technology may be substantially decreased, thus reducing our ability to generate future revenues and adversely affecting our ability to generate a profit.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Key personnel are critical to our business and our success depends on our ability to retain them:</w:t>
      </w:r>
      <w:r>
        <w:rPr>
          <w:rFonts w:ascii="Times New Roman;Times;Serif" w:hAnsi="Times New Roman;Times;Serif"/>
          <w:b w:val="false"/>
          <w:i w:val="false"/>
          <w:caps w:val="false"/>
          <w:smallCaps w:val="false"/>
          <w:sz w:val="20"/>
        </w:rPr>
        <w:t xml:space="preserve"> We are dependent on our management and scientific team, including Robert Jones, our President and Chief Executive Officer, Peter A. Clemens, our Chief Financial Officer, and Albert W. Brzeczko, Ph.D., our Vice President of Pharmaceutical Sciences. We may not be able to retain the services of key personnel or attract and retain personnel on acceptable terms given the competition for such personnel among biotechnology, pharmaceutical and healthcare companies, universities and non-profit research institutions. While we have employment agreements with our CEO and CFO, all of our other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products are subject to regulation by the U.S. Drug Enforcement Administration, or DEA, and such regulation may affect the development and sale of our products</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xml:space="preserve"> 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 Further, many of our raw ingredients and manufacturing equipment comes from international sources. Trade agreements and/or disagreements or other unforeseen disruptions to international supply chains may have an adverse impact on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Social issues around the abuse of opioids, including law enforcement concerns over diversion of opioid and regulatory efforts to combat abuse, could decrease the potential market for our LIMITx product candidates:</w:t>
      </w:r>
      <w:r>
        <w:rPr>
          <w:rFonts w:ascii="Times New Roman;Times;Serif" w:hAnsi="Times New Roman;Times;Serif"/>
          <w:b w:val="false"/>
          <w:i w:val="false"/>
          <w:caps w:val="false"/>
          <w:smallCaps w:val="false"/>
          <w:sz w:val="20"/>
        </w:rPr>
        <w:t xml:space="preserve"> Media stories regarding prescription drug abuse and the diversion of opioids and other controlled substances are commonplace. Law enforcement and regulatory agencies may apply policies that seek to limit the availability of opioids. Aggressive enforcement and unfavorable publicity regarding, for example, the use or misuse of oxycodone or other opioid drugs, the limitations of abuse resistant formulations, public inquiries and investigations into prescription drug abuse, litigation or regulatory activity, sales, marketing, distribution or storage of our drug products could harm our reputation. Such negative publicity could reduce the potential size of the market for our product candidates and decrease the revenues and royalties we are able to generate from their sale.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efforts by the FDA and other regulatory bodies to combat abuse of opioids may negatively impact the market for our product candidates. For example, in February 2016, as part of a broader initiative led by U.S. Department of Health and Human Services to address opioid-related overdose, death and dependence,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Many of these changes could require our licensing partner and us to expend additional resources in developing and commercializing Oxaydo and our product candidates to meet additional requirements. In October 2017, the acting director of HHS under the directive of the President, declared the opioid crisis a national health emergency and initiated a five point plan including (i) improving access to prevention, treatment, and recovery support services; (ii) targeting the availability and distribution of overdose-reversing drugs; (iii) strengthening public health data reporting and collection; (iv) supporting cutting-edge research on addiction and pain; and (v) advancing the practice of pain management. The impact that this five point plan will have on us and our licensing partners is unclear at this time.</w:t>
      </w:r>
    </w:p>
    <w:p>
      <w:pPr>
        <w:pStyle w:val="TextBody"/>
        <w:spacing w:before="0" w:after="0"/>
        <w:ind w:left="144" w:right="144"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are increasingly dependent on information technology and our systems and infrastructure face certain risks, including cybersecurity and data storage risks:</w:t>
      </w:r>
      <w:r>
        <w:rPr>
          <w:rFonts w:ascii="Times New Roman;Times;Serif" w:hAnsi="Times New Roman;Times;Serif"/>
          <w:b w:val="false"/>
          <w:i w:val="false"/>
          <w:caps w:val="false"/>
          <w:smallCaps w:val="false"/>
          <w:sz w:val="20"/>
        </w:rPr>
        <w:t xml:space="preserve"> 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Prior ownership changes have limited our ability to use our tax net operating loss carryforwards as part of a corporate restructure or reorganization:</w:t>
      </w:r>
      <w:r>
        <w:rPr>
          <w:rFonts w:ascii="Times New Roman;Times;Serif" w:hAnsi="Times New Roman;Times;Serif"/>
          <w:b w:val="false"/>
          <w:i w:val="false"/>
          <w:caps w:val="false"/>
          <w:smallCaps w:val="false"/>
          <w:sz w:val="20"/>
        </w:rPr>
        <w:t xml:space="preserve"> Significant equity restructuring often results in an Internal Revenue Section 382 ownership change that limits the future use of Net Operating Loss (“NOL”), carryforwards and other tax attributes. In addition, under the Tax Cuts and Jobs Act of 2017, NOL usage in any given year will be limited to 80% of taxable income, without regard to the NOL deduction, and losses incurred in 2018 and forward may not be carried back but can be carried forward indefinitely, but losses incurred prior to 2018 can only be carried forward for 20 years. We have determined that we have undergone ownership changes in both 2004 and 2017 (as defined by Section 382 of the Internal Revenue Code) and as a result, our use of NOL carryforwards on an annual basis will be very limited. As such, an entity that may seek to acquire the Company would likely be limited in the amount of NOLs they may be able to utilize.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results of operations will fluctuate, and these fluctuations could cause our stock price to decline:</w:t>
      </w:r>
      <w:r>
        <w:rPr>
          <w:rFonts w:ascii="Times New Roman;Times;Serif" w:hAnsi="Times New Roman;Times;Serif"/>
          <w:b w:val="false"/>
          <w:i w:val="false"/>
          <w:caps w:val="false"/>
          <w:smallCaps w:val="false"/>
          <w:sz w:val="20"/>
        </w:rPr>
        <w:t xml:space="preserve"> 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periods, our clinical, financial or operating results may not meet the expectations of securities analysts and investors, which could result in a decline in the price of our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stock price has been and may continue to be volatile, and the value of an investment in our common stock may decline:</w:t>
      </w:r>
      <w:r>
        <w:rPr>
          <w:rFonts w:ascii="Times New Roman;Times;Serif" w:hAnsi="Times New Roman;Times;Serif"/>
          <w:b w:val="false"/>
          <w:i w:val="false"/>
          <w:caps w:val="false"/>
          <w:smallCaps w:val="false"/>
          <w:sz w:val="20"/>
        </w:rPr>
        <w:t xml:space="preserve"> During 2020, our stock traded as high as $0.43 per share and as low as $0.14 per share. The trading price of our common stock is likely to continue to exhibit wide fluctuations in response to various factors, some of which are beyond our control. These factors could include: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results from our pre-clinical and clinical development programs, including our LIMITx product candidates;</w:t>
            </w:r>
          </w:p>
        </w:tc>
      </w:tr>
    </w:tbl>
    <w:tbl>
      <w:tblPr>
        <w:tblW w:w="5000" w:type="pct"/>
        <w:jc w:val="left"/>
        <w:tblInd w:w="0" w:type="dxa"/>
        <w:tblCellMar>
          <w:top w:w="0" w:type="dxa"/>
          <w:left w:w="0" w:type="dxa"/>
          <w:bottom w:w="0" w:type="dxa"/>
          <w:right w:w="0" w:type="dxa"/>
        </w:tblCellMar>
      </w:tblPr>
      <w:tblGrid>
        <w:gridCol w:w="75"/>
        <w:gridCol w:w="247"/>
        <w:gridCol w:w="9883"/>
      </w:tblGrid>
      <w:tr>
        <w:trPr/>
        <w:tc>
          <w:tcPr>
            <w:tcW w:w="7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3" w:type="dxa"/>
            <w:tcBorders/>
            <w:shd w:fill="auto" w:val="clear"/>
            <w:vAlign w:val="center"/>
          </w:tcPr>
          <w:p>
            <w:pPr>
              <w:pStyle w:val="TableContents"/>
              <w:spacing w:before="0" w:after="283"/>
              <w:jc w:val="both"/>
              <w:rPr/>
            </w:pPr>
            <w:r>
              <w:rPr/>
              <w:t>FDA actions related to our products in development;</w:t>
            </w:r>
          </w:p>
        </w:tc>
      </w:tr>
    </w:tbl>
    <w:tbl>
      <w:tblPr>
        <w:tblW w:w="5000" w:type="pct"/>
        <w:jc w:val="left"/>
        <w:tblInd w:w="0" w:type="dxa"/>
        <w:tblCellMar>
          <w:top w:w="0" w:type="dxa"/>
          <w:left w:w="0" w:type="dxa"/>
          <w:bottom w:w="0" w:type="dxa"/>
          <w:right w:w="0" w:type="dxa"/>
        </w:tblCellMar>
      </w:tblPr>
      <w:tblGrid>
        <w:gridCol w:w="74"/>
        <w:gridCol w:w="247"/>
        <w:gridCol w:w="9884"/>
      </w:tblGrid>
      <w:tr>
        <w:trPr/>
        <w:tc>
          <w:tcPr>
            <w:tcW w:w="7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rFonts w:ascii="Symbol" w:hAnsi="Symbol"/>
              </w:rPr>
            </w:pPr>
            <w:r>
              <w:rPr>
                <w:rFonts w:ascii="Symbol" w:hAnsi="Symbol"/>
              </w:rPr>
              <w:t>·</w:t>
            </w:r>
          </w:p>
        </w:tc>
        <w:tc>
          <w:tcPr>
            <w:tcW w:w="9884" w:type="dxa"/>
            <w:tcBorders/>
            <w:shd w:fill="auto" w:val="clear"/>
            <w:vAlign w:val="center"/>
          </w:tcPr>
          <w:p>
            <w:pPr>
              <w:pStyle w:val="TableContents"/>
              <w:spacing w:before="0" w:after="283"/>
              <w:jc w:val="both"/>
              <w:rPr/>
            </w:pPr>
            <w:r>
              <w:rPr/>
              <w:t>FDA actions related to any of our potential products;</w:t>
            </w:r>
          </w:p>
        </w:tc>
      </w:tr>
    </w:tbl>
    <w:tbl>
      <w:tblPr>
        <w:tblW w:w="5000" w:type="pct"/>
        <w:jc w:val="left"/>
        <w:tblInd w:w="0" w:type="dxa"/>
        <w:tblCellMar>
          <w:top w:w="0" w:type="dxa"/>
          <w:left w:w="0" w:type="dxa"/>
          <w:bottom w:w="0" w:type="dxa"/>
          <w:right w:w="0" w:type="dxa"/>
        </w:tblCellMar>
      </w:tblPr>
      <w:tblGrid>
        <w:gridCol w:w="50"/>
        <w:gridCol w:w="167"/>
        <w:gridCol w:w="9988"/>
      </w:tblGrid>
      <w:tr>
        <w:trPr/>
        <w:tc>
          <w:tcPr>
            <w:tcW w:w="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rFonts w:ascii="Symbol" w:hAnsi="Symbol"/>
              </w:rPr>
            </w:pPr>
            <w:r>
              <w:rPr>
                <w:rFonts w:ascii="Symbol" w:hAnsi="Symbol"/>
              </w:rPr>
              <w:t>·</w:t>
            </w:r>
          </w:p>
        </w:tc>
        <w:tc>
          <w:tcPr>
            <w:tcW w:w="9988" w:type="dxa"/>
            <w:tcBorders/>
            <w:shd w:fill="auto" w:val="clear"/>
            <w:vAlign w:val="center"/>
          </w:tcPr>
          <w:p>
            <w:pPr>
              <w:pStyle w:val="TableContents"/>
              <w:spacing w:before="0" w:after="283"/>
              <w:jc w:val="both"/>
              <w:rPr/>
            </w:pPr>
            <w:r>
              <w:rPr/>
              <w:t>announcements regarding the progress of our preclinical and clinical programs;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announcements regarding the execution of license agreements with third parties for our products or product candidates;</w:t>
            </w:r>
          </w:p>
        </w:tc>
      </w:tr>
    </w:tbl>
    <w:tbl>
      <w:tblPr>
        <w:tblW w:w="5000" w:type="pct"/>
        <w:jc w:val="left"/>
        <w:tblInd w:w="0" w:type="dxa"/>
        <w:tblCellMar>
          <w:top w:w="0" w:type="dxa"/>
          <w:left w:w="0" w:type="dxa"/>
          <w:bottom w:w="0" w:type="dxa"/>
          <w:right w:w="0" w:type="dxa"/>
        </w:tblCellMar>
      </w:tblPr>
      <w:tblGrid>
        <w:gridCol w:w="44"/>
        <w:gridCol w:w="146"/>
        <w:gridCol w:w="10015"/>
      </w:tblGrid>
      <w:tr>
        <w:trPr/>
        <w:tc>
          <w:tcPr>
            <w:tcW w:w="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Symbol" w:hAnsi="Symbol"/>
              </w:rPr>
            </w:pPr>
            <w:r>
              <w:rPr>
                <w:rFonts w:ascii="Symbol" w:hAnsi="Symbol"/>
              </w:rPr>
              <w:t>·</w:t>
            </w:r>
          </w:p>
        </w:tc>
        <w:tc>
          <w:tcPr>
            <w:tcW w:w="10015" w:type="dxa"/>
            <w:tcBorders/>
            <w:shd w:fill="auto" w:val="clear"/>
            <w:vAlign w:val="center"/>
          </w:tcPr>
          <w:p>
            <w:pPr>
              <w:pStyle w:val="TableContents"/>
              <w:spacing w:before="0" w:after="283"/>
              <w:jc w:val="both"/>
              <w:rPr/>
            </w:pPr>
            <w:r>
              <w:rPr/>
              <w:t>failure of any of our products in development, if approved, to achieve commercial success;</w:t>
            </w:r>
          </w:p>
        </w:tc>
      </w:tr>
    </w:tbl>
    <w:tbl>
      <w:tblPr>
        <w:tblW w:w="5000" w:type="pct"/>
        <w:jc w:val="left"/>
        <w:tblInd w:w="0" w:type="dxa"/>
        <w:tblCellMar>
          <w:top w:w="0" w:type="dxa"/>
          <w:left w:w="0" w:type="dxa"/>
          <w:bottom w:w="0" w:type="dxa"/>
          <w:right w:w="0" w:type="dxa"/>
        </w:tblCellMar>
      </w:tblPr>
      <w:tblGrid>
        <w:gridCol w:w="53"/>
        <w:gridCol w:w="176"/>
        <w:gridCol w:w="9976"/>
      </w:tblGrid>
      <w:tr>
        <w:trPr/>
        <w:tc>
          <w:tcPr>
            <w:tcW w:w="5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rFonts w:ascii="Symbol" w:hAnsi="Symbol"/>
              </w:rPr>
            </w:pPr>
            <w:r>
              <w:rPr>
                <w:rFonts w:ascii="Symbol" w:hAnsi="Symbol"/>
              </w:rPr>
              <w:t>·</w:t>
            </w:r>
          </w:p>
        </w:tc>
        <w:tc>
          <w:tcPr>
            <w:tcW w:w="9976" w:type="dxa"/>
            <w:tcBorders/>
            <w:shd w:fill="auto" w:val="clear"/>
            <w:vAlign w:val="center"/>
          </w:tcPr>
          <w:p>
            <w:pPr>
              <w:pStyle w:val="TableContents"/>
              <w:spacing w:before="0" w:after="283"/>
              <w:jc w:val="both"/>
              <w:rPr/>
            </w:pPr>
            <w:r>
              <w:rPr/>
              <w:t>quarterly variations in our results of operations or those of our competitors;</w:t>
            </w:r>
          </w:p>
        </w:tc>
      </w:tr>
    </w:tbl>
    <w:tbl>
      <w:tblPr>
        <w:tblW w:w="5000" w:type="pct"/>
        <w:jc w:val="left"/>
        <w:tblInd w:w="0" w:type="dxa"/>
        <w:tblCellMar>
          <w:top w:w="0" w:type="dxa"/>
          <w:left w:w="0" w:type="dxa"/>
          <w:bottom w:w="0" w:type="dxa"/>
          <w:right w:w="0" w:type="dxa"/>
        </w:tblCellMar>
      </w:tblPr>
      <w:tblGrid>
        <w:gridCol w:w="50"/>
        <w:gridCol w:w="165"/>
        <w:gridCol w:w="9990"/>
      </w:tblGrid>
      <w:tr>
        <w:trPr/>
        <w:tc>
          <w:tcPr>
            <w:tcW w:w="5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rFonts w:ascii="Symbol" w:hAnsi="Symbol"/>
              </w:rPr>
            </w:pPr>
            <w:r>
              <w:rPr>
                <w:rFonts w:ascii="Symbol" w:hAnsi="Symbol"/>
              </w:rPr>
              <w:t>·</w:t>
            </w:r>
          </w:p>
        </w:tc>
        <w:tc>
          <w:tcPr>
            <w:tcW w:w="9990" w:type="dxa"/>
            <w:tcBorders/>
            <w:shd w:fill="auto" w:val="clear"/>
            <w:vAlign w:val="center"/>
          </w:tcPr>
          <w:p>
            <w:pPr>
              <w:pStyle w:val="TableContents"/>
              <w:spacing w:before="0" w:after="283"/>
              <w:jc w:val="both"/>
              <w:rPr/>
            </w:pPr>
            <w:r>
              <w:rPr/>
              <w:t>our ability to develop and market new and enhanced products on a timely basis;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announcements by us or our competitors of acquisitions, regulatory approvals, clinical milestones, new products, significant contracts, commercial relationships or capital commitments;</w:t>
            </w:r>
          </w:p>
        </w:tc>
      </w:tr>
    </w:tbl>
    <w:tbl>
      <w:tblPr>
        <w:tblW w:w="5000" w:type="pct"/>
        <w:jc w:val="left"/>
        <w:tblInd w:w="0" w:type="dxa"/>
        <w:tblCellMar>
          <w:top w:w="0" w:type="dxa"/>
          <w:left w:w="0" w:type="dxa"/>
          <w:bottom w:w="0" w:type="dxa"/>
          <w:right w:w="0" w:type="dxa"/>
        </w:tblCellMar>
      </w:tblPr>
      <w:tblGrid>
        <w:gridCol w:w="80"/>
        <w:gridCol w:w="266"/>
        <w:gridCol w:w="9859"/>
      </w:tblGrid>
      <w:tr>
        <w:trPr/>
        <w:tc>
          <w:tcPr>
            <w:tcW w:w="8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rFonts w:ascii="Symbol" w:hAnsi="Symbol"/>
              </w:rPr>
            </w:pPr>
            <w:r>
              <w:rPr>
                <w:rFonts w:ascii="Symbol" w:hAnsi="Symbol"/>
              </w:rPr>
              <w:t>·</w:t>
            </w:r>
          </w:p>
        </w:tc>
        <w:tc>
          <w:tcPr>
            <w:tcW w:w="9859" w:type="dxa"/>
            <w:tcBorders/>
            <w:shd w:fill="auto" w:val="clear"/>
            <w:vAlign w:val="center"/>
          </w:tcPr>
          <w:p>
            <w:pPr>
              <w:pStyle w:val="TableContents"/>
              <w:spacing w:before="0" w:after="283"/>
              <w:jc w:val="both"/>
              <w:rPr/>
            </w:pPr>
            <w:r>
              <w:rPr/>
              <w:t>third-party coverage and reimbursement policies;</w:t>
            </w:r>
          </w:p>
        </w:tc>
      </w:tr>
    </w:tbl>
    <w:tbl>
      <w:tblPr>
        <w:tblW w:w="5000" w:type="pct"/>
        <w:jc w:val="left"/>
        <w:tblInd w:w="0" w:type="dxa"/>
        <w:tblCellMar>
          <w:top w:w="0" w:type="dxa"/>
          <w:left w:w="0" w:type="dxa"/>
          <w:bottom w:w="0" w:type="dxa"/>
          <w:right w:w="0" w:type="dxa"/>
        </w:tblCellMar>
      </w:tblPr>
      <w:tblGrid>
        <w:gridCol w:w="95"/>
        <w:gridCol w:w="316"/>
        <w:gridCol w:w="9794"/>
      </w:tblGrid>
      <w:tr>
        <w:trPr/>
        <w:tc>
          <w:tcPr>
            <w:tcW w:w="9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rFonts w:ascii="Symbol" w:hAnsi="Symbol"/>
              </w:rPr>
            </w:pPr>
            <w:r>
              <w:rPr>
                <w:rFonts w:ascii="Symbol" w:hAnsi="Symbol"/>
              </w:rPr>
              <w:t>·</w:t>
            </w:r>
          </w:p>
        </w:tc>
        <w:tc>
          <w:tcPr>
            <w:tcW w:w="9794" w:type="dxa"/>
            <w:tcBorders/>
            <w:shd w:fill="auto" w:val="clear"/>
            <w:vAlign w:val="center"/>
          </w:tcPr>
          <w:p>
            <w:pPr>
              <w:pStyle w:val="TableContents"/>
              <w:spacing w:before="0" w:after="283"/>
              <w:jc w:val="both"/>
              <w:rPr/>
            </w:pPr>
            <w:r>
              <w:rPr/>
              <w:t>additions or departures of key personnel;</w:t>
            </w:r>
          </w:p>
        </w:tc>
      </w:tr>
    </w:tbl>
    <w:tbl>
      <w:tblPr>
        <w:tblW w:w="5000" w:type="pct"/>
        <w:jc w:val="left"/>
        <w:tblInd w:w="0" w:type="dxa"/>
        <w:tblCellMar>
          <w:top w:w="0" w:type="dxa"/>
          <w:left w:w="0" w:type="dxa"/>
          <w:bottom w:w="0" w:type="dxa"/>
          <w:right w:w="0" w:type="dxa"/>
        </w:tblCellMar>
      </w:tblPr>
      <w:tblGrid>
        <w:gridCol w:w="75"/>
        <w:gridCol w:w="250"/>
        <w:gridCol w:w="9880"/>
      </w:tblGrid>
      <w:tr>
        <w:trPr/>
        <w:tc>
          <w:tcPr>
            <w:tcW w:w="7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rFonts w:ascii="Symbol" w:hAnsi="Symbol"/>
              </w:rPr>
            </w:pPr>
            <w:r>
              <w:rPr>
                <w:rFonts w:ascii="Symbol" w:hAnsi="Symbol"/>
              </w:rPr>
              <w:t>·</w:t>
            </w:r>
          </w:p>
        </w:tc>
        <w:tc>
          <w:tcPr>
            <w:tcW w:w="9880" w:type="dxa"/>
            <w:tcBorders/>
            <w:shd w:fill="auto" w:val="clear"/>
            <w:vAlign w:val="center"/>
          </w:tcPr>
          <w:p>
            <w:pPr>
              <w:pStyle w:val="TableContents"/>
              <w:spacing w:before="0" w:after="283"/>
              <w:jc w:val="both"/>
              <w:rPr/>
            </w:pPr>
            <w:r>
              <w:rPr/>
              <w:t>commencement of, or our involvement in, litigation;</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inability of our contract manufacturers to provide us with adequate commercial supplies of our products;</w:t>
            </w:r>
          </w:p>
        </w:tc>
      </w:tr>
    </w:tbl>
    <w:tbl>
      <w:tblPr>
        <w:tblW w:w="5000" w:type="pct"/>
        <w:jc w:val="left"/>
        <w:tblInd w:w="0" w:type="dxa"/>
        <w:tblCellMar>
          <w:top w:w="0" w:type="dxa"/>
          <w:left w:w="0" w:type="dxa"/>
          <w:bottom w:w="0" w:type="dxa"/>
          <w:right w:w="0" w:type="dxa"/>
        </w:tblCellMar>
      </w:tblPr>
      <w:tblGrid>
        <w:gridCol w:w="49"/>
        <w:gridCol w:w="165"/>
        <w:gridCol w:w="9991"/>
      </w:tblGrid>
      <w:tr>
        <w:trPr/>
        <w:tc>
          <w:tcPr>
            <w:tcW w:w="4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rFonts w:ascii="Symbol" w:hAnsi="Symbol"/>
              </w:rPr>
            </w:pPr>
            <w:r>
              <w:rPr>
                <w:rFonts w:ascii="Symbol" w:hAnsi="Symbol"/>
              </w:rPr>
              <w:t>·</w:t>
            </w:r>
          </w:p>
        </w:tc>
        <w:tc>
          <w:tcPr>
            <w:tcW w:w="9991" w:type="dxa"/>
            <w:tcBorders/>
            <w:shd w:fill="auto" w:val="clear"/>
            <w:vAlign w:val="center"/>
          </w:tcPr>
          <w:p>
            <w:pPr>
              <w:pStyle w:val="TableContents"/>
              <w:spacing w:before="0" w:after="283"/>
              <w:jc w:val="both"/>
              <w:rPr/>
            </w:pPr>
            <w:r>
              <w:rPr/>
              <w:t>changes in governmental regulations or in the status of our regulatory approvals;</w:t>
            </w:r>
          </w:p>
        </w:tc>
      </w:tr>
    </w:tbl>
    <w:tbl>
      <w:tblPr>
        <w:tblW w:w="5000" w:type="pct"/>
        <w:jc w:val="left"/>
        <w:tblInd w:w="0" w:type="dxa"/>
        <w:tblCellMar>
          <w:top w:w="0" w:type="dxa"/>
          <w:left w:w="0" w:type="dxa"/>
          <w:bottom w:w="0" w:type="dxa"/>
          <w:right w:w="0" w:type="dxa"/>
        </w:tblCellMar>
      </w:tblPr>
      <w:tblGrid>
        <w:gridCol w:w="54"/>
        <w:gridCol w:w="181"/>
        <w:gridCol w:w="9970"/>
      </w:tblGrid>
      <w:tr>
        <w:trPr/>
        <w:tc>
          <w:tcPr>
            <w:tcW w:w="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rFonts w:ascii="Symbol" w:hAnsi="Symbol"/>
              </w:rPr>
            </w:pPr>
            <w:r>
              <w:rPr>
                <w:rFonts w:ascii="Symbol" w:hAnsi="Symbol"/>
              </w:rPr>
              <w:t>·</w:t>
            </w:r>
          </w:p>
        </w:tc>
        <w:tc>
          <w:tcPr>
            <w:tcW w:w="9970" w:type="dxa"/>
            <w:tcBorders/>
            <w:shd w:fill="auto" w:val="clear"/>
            <w:vAlign w:val="center"/>
          </w:tcPr>
          <w:p>
            <w:pPr>
              <w:pStyle w:val="TableContents"/>
              <w:spacing w:before="0" w:after="283"/>
              <w:jc w:val="both"/>
              <w:rPr/>
            </w:pPr>
            <w:r>
              <w:rPr/>
              <w:t>changes in earnings estimates or recommendations by securities analysts;</w:t>
            </w:r>
          </w:p>
        </w:tc>
      </w:tr>
    </w:tbl>
    <w:tbl>
      <w:tblPr>
        <w:tblW w:w="5000" w:type="pct"/>
        <w:jc w:val="left"/>
        <w:tblInd w:w="0" w:type="dxa"/>
        <w:tblCellMar>
          <w:top w:w="0" w:type="dxa"/>
          <w:left w:w="0" w:type="dxa"/>
          <w:bottom w:w="0" w:type="dxa"/>
          <w:right w:w="0" w:type="dxa"/>
        </w:tblCellMar>
      </w:tblPr>
      <w:tblGrid>
        <w:gridCol w:w="83"/>
        <w:gridCol w:w="273"/>
        <w:gridCol w:w="9849"/>
      </w:tblGrid>
      <w:tr>
        <w:trPr/>
        <w:tc>
          <w:tcPr>
            <w:tcW w:w="8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rFonts w:ascii="Symbol" w:hAnsi="Symbol"/>
              </w:rPr>
            </w:pPr>
            <w:r>
              <w:rPr>
                <w:rFonts w:ascii="Symbol" w:hAnsi="Symbol"/>
              </w:rPr>
              <w:t>·</w:t>
            </w:r>
          </w:p>
        </w:tc>
        <w:tc>
          <w:tcPr>
            <w:tcW w:w="9849" w:type="dxa"/>
            <w:tcBorders/>
            <w:shd w:fill="auto" w:val="clear"/>
            <w:vAlign w:val="center"/>
          </w:tcPr>
          <w:p>
            <w:pPr>
              <w:pStyle w:val="TableContents"/>
              <w:spacing w:before="0" w:after="283"/>
              <w:jc w:val="both"/>
              <w:rPr/>
            </w:pPr>
            <w:r>
              <w:rPr/>
              <w:t>any major change in our board or management;</w:t>
            </w:r>
          </w:p>
        </w:tc>
      </w:tr>
    </w:tbl>
    <w:tbl>
      <w:tblPr>
        <w:tblW w:w="5000" w:type="pct"/>
        <w:jc w:val="left"/>
        <w:tblInd w:w="0" w:type="dxa"/>
        <w:tblCellMar>
          <w:top w:w="0" w:type="dxa"/>
          <w:left w:w="0" w:type="dxa"/>
          <w:bottom w:w="0" w:type="dxa"/>
          <w:right w:w="0" w:type="dxa"/>
        </w:tblCellMar>
      </w:tblPr>
      <w:tblGrid>
        <w:gridCol w:w="51"/>
        <w:gridCol w:w="171"/>
        <w:gridCol w:w="9983"/>
      </w:tblGrid>
      <w:tr>
        <w:trPr/>
        <w:tc>
          <w:tcPr>
            <w:tcW w:w="5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rFonts w:ascii="Symbol" w:hAnsi="Symbol"/>
              </w:rPr>
            </w:pPr>
            <w:r>
              <w:rPr>
                <w:rFonts w:ascii="Symbol" w:hAnsi="Symbol"/>
              </w:rPr>
              <w:t>·</w:t>
            </w:r>
          </w:p>
        </w:tc>
        <w:tc>
          <w:tcPr>
            <w:tcW w:w="9983" w:type="dxa"/>
            <w:tcBorders/>
            <w:shd w:fill="auto" w:val="clear"/>
            <w:vAlign w:val="center"/>
          </w:tcPr>
          <w:p>
            <w:pPr>
              <w:pStyle w:val="TableContents"/>
              <w:spacing w:before="0" w:after="283"/>
              <w:jc w:val="both"/>
              <w:rPr/>
            </w:pPr>
            <w:r>
              <w:rPr/>
              <w:t>general economic conditions and slow or negative growth of our market; and</w:t>
            </w:r>
          </w:p>
        </w:tc>
      </w:tr>
    </w:tbl>
    <w:tbl>
      <w:tblPr>
        <w:tblW w:w="5000" w:type="pct"/>
        <w:jc w:val="left"/>
        <w:tblInd w:w="0" w:type="dxa"/>
        <w:tblCellMar>
          <w:top w:w="0" w:type="dxa"/>
          <w:left w:w="0" w:type="dxa"/>
          <w:bottom w:w="0" w:type="dxa"/>
          <w:right w:w="0" w:type="dxa"/>
        </w:tblCellMar>
      </w:tblPr>
      <w:tblGrid>
        <w:gridCol w:w="59"/>
        <w:gridCol w:w="194"/>
        <w:gridCol w:w="9952"/>
      </w:tblGrid>
      <w:tr>
        <w:trPr/>
        <w:tc>
          <w:tcPr>
            <w:tcW w:w="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2" w:type="dxa"/>
            <w:tcBorders/>
            <w:shd w:fill="auto" w:val="clear"/>
            <w:vAlign w:val="center"/>
          </w:tcPr>
          <w:p>
            <w:pPr>
              <w:pStyle w:val="TableContents"/>
              <w:spacing w:before="0" w:after="283"/>
              <w:jc w:val="both"/>
              <w:rPr/>
            </w:pPr>
            <w:r>
              <w:rPr/>
              <w:t>political instability, natural disasters, war and/or events of terrorism.</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do not have a history of paying dividends on our common stock:</w:t>
      </w:r>
      <w:r>
        <w:rPr>
          <w:rFonts w:ascii="Times New Roman;Times;Serif" w:hAnsi="Times New Roman;Times;Serif"/>
          <w:b w:val="false"/>
          <w:i w:val="false"/>
          <w:caps w:val="false"/>
          <w:smallCaps w:val="false"/>
          <w:sz w:val="20"/>
        </w:rPr>
        <w:t xml:space="preserve"> 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Any future sale of a substantial number of shares in a capital raising transaction could depress the trading price of our stock:</w:t>
      </w:r>
      <w:r>
        <w:rPr>
          <w:rFonts w:ascii="Times New Roman;Times;Serif" w:hAnsi="Times New Roman;Times;Serif"/>
          <w:b w:val="false"/>
          <w:i w:val="false"/>
          <w:caps w:val="false"/>
          <w:smallCaps w:val="false"/>
          <w:sz w:val="20"/>
        </w:rPr>
        <w:t xml:space="preserve"> 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 As of February 15, 2021, our two largest shareholders own an aggregate of 12,651,582 shares (including 1,782,531 shares underlying warrants) (representing approximately 53.0% of our outstanding shares, including shares issuable upon exercise of these warrants but not including any other warrants, options or convertible debt outstanding to other entities). If some or all of such shares are sold by such stockholders, it may have the effect of depressing the trading price of our common stock and could make it more difficult for us to raise capital if needed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As of February 15, 2021, approximately 44.8% of our common stock, after giving effect to exercise of a warrant, is owned by a single individual, who is also a principal of AD Pharma LLC and MainPointe Pharmaceuticals LLC, and that individual has right to designate a director:</w:t>
      </w:r>
      <w:r>
        <w:rPr>
          <w:rFonts w:ascii="Times New Roman;Times;Serif" w:hAnsi="Times New Roman;Times;Serif"/>
          <w:b w:val="false"/>
          <w:i w:val="false"/>
          <w:caps w:val="false"/>
          <w:smallCaps w:val="false"/>
          <w:sz w:val="20"/>
        </w:rPr>
        <w:t xml:space="preserve"> A significant amount of our common stock is owned by a single individual, Mr. Schutte. On July 24, 2017, we completed a $4.0 million private placement with him for the sale of 8,912,655 shares and warrants to purchase 1,782,531 shares at an exercise price of $0.528 and expiring on July 24, 2022. Mr. Schutte is a principal of MainPointe. In March 2017, we granted MainPointe an exclusive license to our Impede Technology to commercialize our Nexafed® and Nexafed® Sinus Pressure + Pain Products in the United States and Canada. MainPointe also has options to expand the territory and products covered for additional sums. Further, Mr. Schutte has the right to designate a director (he has not done so). During 2018 and through June 28, 2019, Mr. Schutte had lent us an aggregate of $6.0 million (including accrued interest) on a secured basis with a security interest in all of our assets, including our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28, 2019, we entered into a Promissory Note with Mr. Schutte that consolidated existing promissory notes into a single Note with a principal amount of $6.0 million (after including accrued and unpaid interest through that date). To secure our performance of our obligations under the Note, we granted Mr. Schutte a security interest in all of our assets. Terms of the consolidated Note provide for a July 1, 2023 maturity date rather than the previous maturity date of January 2, 2020, interest at fixed rate of 7.5% per annum with all payments of principal and interest deferred to maturity. The Note is convertible into Acura common stock at $0.16 per share. As additional consideration, Mr. Schutte received a warrant to purchase 10 million shares of the Company’s common stock at a price of $0.01 per share. With our consent, Mr. Schutte assigned and transferred to AD Pharma, effective June 28, 2019, all of his right, title and interest in this Note, its associated Security Agreement and the Warrant to purchase 10 million common shares of our stock. Mr. Schutte is an investor in AD Pharma.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combination of Mr. Schutte’s direct share ownership, control of one of our key licensing partners, the right to designate a director to oversee the long-term affairs of our company, his ownership interest in AD Pharma LLC and the security interest AD Pharma has in all of our assets gives him considerable influence over our business and affairs. </w:t>
      </w:r>
      <w:r>
        <w:rPr>
          <w:rFonts w:ascii="Times New Roman;Times;Serif" w:hAnsi="Times New Roman;Times;Serif"/>
          <w:b w:val="false"/>
          <w:i w:val="false"/>
          <w:caps w:val="false"/>
          <w:smallCaps w:val="false"/>
          <w:sz w:val="20"/>
          <w:highlight w:val="white"/>
        </w:rPr>
        <w:t>As a result, Mr. Schutte, as a practical matter, is able to control all matters requiring approval by our shareholders, including the approval or rejection of mergers, sales or licenses of all or substantially all of our assets, or other business combination transactions. The interests of Mr. Schutte as a shareholder and creditor may not always coincide with the interests of our other shareholders and as such he may and cause the Company to take action to advance his interests to the detriment of our other shareholders. Accordingly, you may not be able to influence any action we take or consider taking, even if it requires a shareholder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common stock is deemed a “penny stock,” which would make it more difficult for our investors to sell their shares:</w:t>
      </w:r>
      <w:r>
        <w:rPr>
          <w:rFonts w:ascii="Times New Roman;Times;Serif" w:hAnsi="Times New Roman;Times;Serif"/>
          <w:b w:val="false"/>
          <w:i w:val="false"/>
          <w:caps w:val="false"/>
          <w:smallCaps w:val="false"/>
          <w:sz w:val="20"/>
        </w:rPr>
        <w:t xml:space="preserve"> Our common stock is subject to the “penny stock” rules adopted under the Exchange Act. The penny stock rules generally apply to companies whose common stock is not listed on the NASDAQ Stock Market or other national securities exchange and trades at less than $5.00 per share, other than companies that have had average revenue of at least $6,000,000 for the last three years or that have net tangible assets of at least $5,000,000 ($2,000,000 if the company (such as Acura)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Our shares of common stock have been thinly traded, so you may be unable to sell at or near ask prices or even at all if you need to sell your shares to raise money or otherwise desire to liquidate your shares:</w:t>
      </w:r>
      <w:r>
        <w:rPr>
          <w:rFonts w:ascii="Times New Roman;Times;Serif" w:hAnsi="Times New Roman;Times;Serif"/>
          <w:b w:val="false"/>
          <w:i w:val="false"/>
          <w:caps w:val="false"/>
          <w:smallCaps w:val="false"/>
          <w:sz w:val="20"/>
        </w:rPr>
        <w:t xml:space="preserve"> Our common stock is quoted on the OTCQB Market. Our common stock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In addition, certain institutions are prohibited or limited from trading in shares priced at less than specified levels, including the prices at which our shares currently trade.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We are a smaller reporting company, and we cannot be certain if the reduced disclosure requirements applicable to smaller reporting companies will make our common stock less attractive to investors:</w:t>
      </w:r>
      <w:r>
        <w:rPr>
          <w:rFonts w:ascii="Times New Roman;Times;Serif" w:hAnsi="Times New Roman;Times;Serif"/>
          <w:b w:val="false"/>
          <w:i w:val="false"/>
          <w:caps w:val="false"/>
          <w:smallCaps w:val="false"/>
          <w:sz w:val="20"/>
        </w:rPr>
        <w:t xml:space="preserve"> We are currently a “smaller reporting company,” meaning that we are not an investment company, an asset- backed issuer, or a majority-owned subsidiary of a parent company that is not a smaller reporting company and have a public float of less than $250 million.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 w:name="item1b_001"/>
      <w:bookmarkEnd w:id="5"/>
      <w:r>
        <w:rPr>
          <w:rFonts w:ascii="Times New Roman;Times;Serif" w:hAnsi="Times New Roman;Times;Serif"/>
          <w:b/>
          <w:i w:val="false"/>
          <w:caps w:val="false"/>
          <w:smallCaps w:val="false"/>
          <w:sz w:val="20"/>
        </w:rPr>
        <w:t>ITEM 1B. 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no written comments regarding periodic or current reports from the staff of the SEC that were issued 180 days or more preceding the end of its 2020 fiscal year that remain unresolved.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6" w:name="item2_002"/>
      <w:bookmarkEnd w:id="6"/>
      <w:r>
        <w:rPr>
          <w:rFonts w:ascii="Times New Roman;Times;Serif" w:hAnsi="Times New Roman;Times;Serif"/>
          <w:b/>
          <w:i w:val="false"/>
          <w:caps w:val="false"/>
          <w:smallCaps w:val="false"/>
          <w:sz w:val="20"/>
        </w:rPr>
        <w:t>ITEM 2. PROPERTIES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rent from an unaffiliated Lessor, approximately 1,600 square feet of administrative office space at 616 N. North Court, Suite 120, Palatine, Illinois 60067 on a month-to-month basis. The lease agreement provides for rent, property taxes, common area maintenance, and janitorial services of approximately $2 thousand per month. We utilize this lease space for our administrative and business development functions.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research, development, laboratory, development scale manufacturing and other activities relating to developing product candidates using Aversion, Impede and LIMITx Technologies at the facility we own (through a wholly owned subsidiary) located at 16235 State Road 17, Culver, Indiana. At this location is a 25,000 square foot facility with 7,000 square feet of warehouse, 8,000 square feet of manufacturing space, 4,000 square feet of research and development labs and 6,000 square feet of administrative and storage space. The facility is located on 28 acres of land.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7" w:name="item3_003"/>
      <w:bookmarkEnd w:id="7"/>
      <w:r>
        <w:rPr>
          <w:rFonts w:ascii="Times New Roman;Times;Serif" w:hAnsi="Times New Roman;Times;Serif"/>
          <w:b/>
          <w:i w:val="false"/>
          <w:caps w:val="false"/>
          <w:smallCaps w:val="false"/>
          <w:sz w:val="20"/>
        </w:rPr>
        <w:t>ITEM 3.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576"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 w:name="item4_004"/>
      <w:bookmarkEnd w:id="8"/>
      <w:r>
        <w:rPr>
          <w:rFonts w:ascii="Times New Roman;Times;Serif" w:hAnsi="Times New Roman;Times;Serif"/>
          <w:b/>
          <w:i w:val="false"/>
          <w:caps w:val="false"/>
          <w:smallCaps w:val="false"/>
          <w:sz w:val="20"/>
        </w:rPr>
        <w:t>ITEM 4. MINE SAFETY DISCLOSURES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 w:name="a_010"/>
      <w:bookmarkEnd w:id="9"/>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0" w:name="item5_005"/>
      <w:bookmarkEnd w:id="10"/>
      <w:r>
        <w:rPr>
          <w:rFonts w:ascii="Times New Roman;Times;Serif" w:hAnsi="Times New Roman;Times;Serif"/>
          <w:b/>
          <w:i w:val="false"/>
          <w:caps w:val="false"/>
          <w:smallCaps w:val="false"/>
          <w:sz w:val="20"/>
        </w:rPr>
        <w:t xml:space="preserve">ITEM 5. MARKET FOR REGISTRANT’S COMMON EQUITY, RELATED STOCKHOLDER MATTERS AND ISSUER PURCHASES OF EQUITY SECURITIES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Market Prices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2018 fiscal year and through May 20, 2019 our common stock was quoted on the OTCQB under the symbol “ACUR”. However, commencing May 20, 2019 as a result of late filing of our 2018 Annual Report on Form 10-K our common stock was relegated to the OTC Markets OTC Pink tier. The Company regained compliance with the OTCQB in March, 2020 and effective March 23, 2020 it was quoted on the OTCQB.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for the period indicated are the high and low sales prices for our common stock in the OTC Market of OTCQB and Pink tier.</w:t>
      </w:r>
    </w:p>
    <w:p>
      <w:pPr>
        <w:pStyle w:val="TextBody"/>
        <w:spacing w:before="0" w:after="0"/>
        <w:ind w:left="0" w:right="0" w:firstLine="720"/>
        <w:jc w:val="both"/>
        <w:rPr>
          <w:caps w:val="false"/>
          <w:smallCaps w:val="false"/>
        </w:rPr>
      </w:pPr>
      <w:r>
        <w:rPr>
          <w:caps w:val="false"/>
          <w:smallCaps w:val="false"/>
        </w:rPr>
        <w:t> </w:t>
      </w:r>
    </w:p>
    <w:tbl>
      <w:tblPr>
        <w:tblW w:w="6107" w:type="dxa"/>
        <w:jc w:val="left"/>
        <w:tblInd w:w="0" w:type="dxa"/>
        <w:tblCellMar>
          <w:top w:w="0" w:type="dxa"/>
          <w:left w:w="0" w:type="dxa"/>
          <w:bottom w:w="0" w:type="dxa"/>
          <w:right w:w="0" w:type="dxa"/>
        </w:tblCellMar>
      </w:tblPr>
      <w:tblGrid>
        <w:gridCol w:w="4184"/>
        <w:gridCol w:w="91"/>
        <w:gridCol w:w="190"/>
        <w:gridCol w:w="578"/>
        <w:gridCol w:w="91"/>
        <w:gridCol w:w="91"/>
        <w:gridCol w:w="190"/>
        <w:gridCol w:w="578"/>
        <w:gridCol w:w="114"/>
      </w:tblGrid>
      <w:tr>
        <w:trPr/>
        <w:tc>
          <w:tcPr>
            <w:tcW w:w="418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pPr>
            <w:r>
              <w:rPr/>
              <w:t> </w:t>
            </w:r>
          </w:p>
        </w:tc>
        <w:tc>
          <w:tcPr>
            <w:tcW w:w="1718"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Sales Prices</w:t>
            </w:r>
          </w:p>
        </w:tc>
        <w:tc>
          <w:tcPr>
            <w:tcW w:w="114" w:type="dxa"/>
            <w:tcBorders/>
            <w:shd w:fill="auto" w:val="clear"/>
            <w:vAlign w:val="center"/>
          </w:tcPr>
          <w:p>
            <w:pPr>
              <w:pStyle w:val="TableContents"/>
              <w:spacing w:before="0" w:after="283"/>
              <w:rPr/>
            </w:pPr>
            <w:r>
              <w:rPr/>
              <w:t> </w:t>
            </w:r>
          </w:p>
        </w:tc>
      </w:tr>
      <w:tr>
        <w:trPr/>
        <w:tc>
          <w:tcPr>
            <w:tcW w:w="4184" w:type="dxa"/>
            <w:tcBorders>
              <w:bottom w:val="single" w:sz="8" w:space="0" w:color="000000"/>
            </w:tcBorders>
            <w:shd w:fill="auto" w:val="clear"/>
            <w:tcMar>
              <w:bottom w:w="28" w:type="dxa"/>
            </w:tcMar>
            <w:vAlign w:val="center"/>
          </w:tcPr>
          <w:p>
            <w:pPr>
              <w:pStyle w:val="TableContents"/>
              <w:spacing w:before="0" w:after="283"/>
              <w:rPr>
                <w:b/>
                <w:sz w:val="20"/>
              </w:rPr>
            </w:pPr>
            <w:r>
              <w:rPr>
                <w:b/>
                <w:sz w:val="20"/>
              </w:rPr>
              <w:t>Period</w:t>
            </w:r>
          </w:p>
        </w:tc>
        <w:tc>
          <w:tcPr>
            <w:tcW w:w="91" w:type="dxa"/>
            <w:tcBorders/>
            <w:shd w:fill="auto" w:val="clear"/>
            <w:vAlign w:val="center"/>
          </w:tcPr>
          <w:p>
            <w:pPr>
              <w:pStyle w:val="TableContents"/>
              <w:spacing w:before="0" w:after="283"/>
              <w:rPr/>
            </w:pPr>
            <w:r>
              <w:rPr/>
              <w:t> </w:t>
            </w:r>
          </w:p>
        </w:tc>
        <w:tc>
          <w:tcPr>
            <w:tcW w:w="768"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High</w:t>
            </w:r>
          </w:p>
        </w:tc>
        <w:tc>
          <w:tcPr>
            <w:tcW w:w="91"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768"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Low</w:t>
            </w:r>
          </w:p>
        </w:tc>
        <w:tc>
          <w:tcPr>
            <w:tcW w:w="114" w:type="dxa"/>
            <w:tcBorders/>
            <w:shd w:fill="auto" w:val="clear"/>
            <w:vAlign w:val="center"/>
          </w:tcPr>
          <w:p>
            <w:pPr>
              <w:pStyle w:val="TableContents"/>
              <w:spacing w:before="0" w:after="283"/>
              <w:rPr/>
            </w:pPr>
            <w:r>
              <w:rPr/>
              <w:t> </w:t>
            </w:r>
          </w:p>
        </w:tc>
      </w:tr>
      <w:tr>
        <w:trPr/>
        <w:tc>
          <w:tcPr>
            <w:tcW w:w="4184" w:type="dxa"/>
            <w:tcBorders/>
            <w:shd w:fill="CCEEFF" w:val="clear"/>
            <w:vAlign w:val="center"/>
          </w:tcPr>
          <w:p>
            <w:pPr>
              <w:pStyle w:val="TableContents"/>
              <w:spacing w:before="0" w:after="283"/>
              <w:rPr>
                <w:sz w:val="20"/>
              </w:rPr>
            </w:pPr>
            <w:r>
              <w:rPr>
                <w:sz w:val="20"/>
              </w:rPr>
              <w:t>2020 Fiscal Year</w:t>
            </w:r>
          </w:p>
        </w:tc>
        <w:tc>
          <w:tcPr>
            <w:tcW w:w="91" w:type="dxa"/>
            <w:tcBorders/>
            <w:shd w:fill="CCEEFF" w:val="clear"/>
            <w:vAlign w:val="center"/>
          </w:tcPr>
          <w:p>
            <w:pPr>
              <w:pStyle w:val="TableContents"/>
              <w:spacing w:before="0" w:after="283"/>
              <w:rPr/>
            </w:pPr>
            <w:r>
              <w:rPr/>
              <w:t> </w:t>
            </w:r>
          </w:p>
        </w:tc>
        <w:tc>
          <w:tcPr>
            <w:tcW w:w="768" w:type="dxa"/>
            <w:gridSpan w:val="2"/>
            <w:tcBorders/>
            <w:shd w:fill="CCEEFF" w:val="clear"/>
            <w:vAlign w:val="center"/>
          </w:tcPr>
          <w:p>
            <w:pPr>
              <w:pStyle w:val="TableContents"/>
              <w:spacing w:before="0" w:after="283"/>
              <w:jc w:val="center"/>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68" w:type="dxa"/>
            <w:gridSpan w:val="2"/>
            <w:tcBorders/>
            <w:shd w:fill="CCEEFF" w:val="clear"/>
            <w:vAlign w:val="center"/>
          </w:tcPr>
          <w:p>
            <w:pPr>
              <w:pStyle w:val="TableContents"/>
              <w:spacing w:before="0" w:after="283"/>
              <w:jc w:val="center"/>
              <w:rPr/>
            </w:pPr>
            <w:r>
              <w:rPr/>
              <w:t> </w:t>
            </w:r>
          </w:p>
        </w:tc>
        <w:tc>
          <w:tcPr>
            <w:tcW w:w="114" w:type="dxa"/>
            <w:tcBorders/>
            <w:shd w:fill="CCEEFF" w:val="clear"/>
            <w:vAlign w:val="center"/>
          </w:tcPr>
          <w:p>
            <w:pPr>
              <w:pStyle w:val="TableContents"/>
              <w:spacing w:before="0" w:after="283"/>
              <w:rPr/>
            </w:pPr>
            <w:r>
              <w:rPr/>
              <w:t> </w:t>
            </w:r>
          </w:p>
        </w:tc>
      </w:tr>
      <w:tr>
        <w:trPr/>
        <w:tc>
          <w:tcPr>
            <w:tcW w:w="4184" w:type="dxa"/>
            <w:tcBorders/>
            <w:shd w:fill="FFFFFF" w:val="clear"/>
            <w:vAlign w:val="center"/>
          </w:tcPr>
          <w:p>
            <w:pPr>
              <w:pStyle w:val="TableContents"/>
              <w:spacing w:before="0" w:after="283"/>
              <w:jc w:val="left"/>
              <w:rPr>
                <w:sz w:val="20"/>
              </w:rPr>
            </w:pPr>
            <w:r>
              <w:rPr>
                <w:sz w:val="20"/>
              </w:rPr>
              <w:t>First Quarter</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0.43</w:t>
            </w:r>
          </w:p>
        </w:tc>
        <w:tc>
          <w:tcPr>
            <w:tcW w:w="91" w:type="dxa"/>
            <w:tcBorders/>
            <w:shd w:fill="FFFFFF" w:val="clear"/>
            <w:vAlign w:val="center"/>
          </w:tcPr>
          <w:p>
            <w:pPr>
              <w:pStyle w:val="TableContents"/>
              <w:spacing w:before="0" w:after="283"/>
              <w:jc w:val="left"/>
              <w:rPr/>
            </w:pPr>
            <w:r>
              <w:rPr/>
              <w:t> </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0.22</w:t>
            </w:r>
          </w:p>
        </w:tc>
        <w:tc>
          <w:tcPr>
            <w:tcW w:w="114" w:type="dxa"/>
            <w:tcBorders/>
            <w:shd w:fill="FFFFFF" w:val="clear"/>
            <w:vAlign w:val="center"/>
          </w:tcPr>
          <w:p>
            <w:pPr>
              <w:pStyle w:val="TableContents"/>
              <w:spacing w:before="0" w:after="283"/>
              <w:jc w:val="left"/>
              <w:rPr/>
            </w:pPr>
            <w:r>
              <w:rPr/>
              <w:t> </w:t>
            </w:r>
          </w:p>
        </w:tc>
      </w:tr>
      <w:tr>
        <w:trPr/>
        <w:tc>
          <w:tcPr>
            <w:tcW w:w="4184" w:type="dxa"/>
            <w:tcBorders/>
            <w:shd w:fill="CCEEFF" w:val="clear"/>
            <w:vAlign w:val="center"/>
          </w:tcPr>
          <w:p>
            <w:pPr>
              <w:pStyle w:val="TableContents"/>
              <w:spacing w:before="0" w:after="283"/>
              <w:jc w:val="left"/>
              <w:rPr>
                <w:sz w:val="20"/>
              </w:rPr>
            </w:pPr>
            <w:r>
              <w:rPr>
                <w:sz w:val="20"/>
              </w:rPr>
              <w:t>Second Quarter</w:t>
            </w:r>
          </w:p>
        </w:tc>
        <w:tc>
          <w:tcPr>
            <w:tcW w:w="91" w:type="dxa"/>
            <w:tcBorders/>
            <w:shd w:fill="CCEEFF" w:val="clear"/>
            <w:vAlign w:val="center"/>
          </w:tcPr>
          <w:p>
            <w:pPr>
              <w:pStyle w:val="TableContents"/>
              <w:spacing w:before="0" w:after="283"/>
              <w:rPr/>
            </w:pPr>
            <w:r>
              <w:rPr/>
              <w:t> </w:t>
            </w:r>
          </w:p>
        </w:tc>
        <w:tc>
          <w:tcPr>
            <w:tcW w:w="190"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0.40</w:t>
            </w:r>
          </w:p>
        </w:tc>
        <w:tc>
          <w:tcPr>
            <w:tcW w:w="91" w:type="dxa"/>
            <w:tcBorders/>
            <w:shd w:fill="CCEEFF" w:val="clear"/>
            <w:vAlign w:val="center"/>
          </w:tcPr>
          <w:p>
            <w:pPr>
              <w:pStyle w:val="TableContents"/>
              <w:spacing w:before="0" w:after="283"/>
              <w:jc w:val="left"/>
              <w:rPr/>
            </w:pPr>
            <w:r>
              <w:rPr/>
              <w:t> </w:t>
            </w:r>
          </w:p>
        </w:tc>
        <w:tc>
          <w:tcPr>
            <w:tcW w:w="91" w:type="dxa"/>
            <w:tcBorders/>
            <w:shd w:fill="CCEEFF" w:val="clear"/>
            <w:vAlign w:val="center"/>
          </w:tcPr>
          <w:p>
            <w:pPr>
              <w:pStyle w:val="TableContents"/>
              <w:spacing w:before="0" w:after="283"/>
              <w:rPr/>
            </w:pPr>
            <w:r>
              <w:rPr/>
              <w:t> </w:t>
            </w:r>
          </w:p>
        </w:tc>
        <w:tc>
          <w:tcPr>
            <w:tcW w:w="190"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0.14</w:t>
            </w:r>
          </w:p>
        </w:tc>
        <w:tc>
          <w:tcPr>
            <w:tcW w:w="114" w:type="dxa"/>
            <w:tcBorders/>
            <w:shd w:fill="CCEEFF" w:val="clear"/>
            <w:vAlign w:val="center"/>
          </w:tcPr>
          <w:p>
            <w:pPr>
              <w:pStyle w:val="TableContents"/>
              <w:spacing w:before="0" w:after="283"/>
              <w:jc w:val="left"/>
              <w:rPr/>
            </w:pPr>
            <w:r>
              <w:rPr/>
              <w:t> </w:t>
            </w:r>
          </w:p>
        </w:tc>
      </w:tr>
      <w:tr>
        <w:trPr/>
        <w:tc>
          <w:tcPr>
            <w:tcW w:w="4184" w:type="dxa"/>
            <w:tcBorders/>
            <w:shd w:fill="FFFFFF" w:val="clear"/>
            <w:vAlign w:val="center"/>
          </w:tcPr>
          <w:p>
            <w:pPr>
              <w:pStyle w:val="TableContents"/>
              <w:spacing w:before="0" w:after="283"/>
              <w:jc w:val="left"/>
              <w:rPr>
                <w:sz w:val="20"/>
              </w:rPr>
            </w:pPr>
            <w:r>
              <w:rPr>
                <w:sz w:val="20"/>
              </w:rPr>
              <w:t>Third Quarter</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0.35</w:t>
            </w:r>
          </w:p>
        </w:tc>
        <w:tc>
          <w:tcPr>
            <w:tcW w:w="91" w:type="dxa"/>
            <w:tcBorders/>
            <w:shd w:fill="FFFFFF" w:val="clear"/>
            <w:vAlign w:val="center"/>
          </w:tcPr>
          <w:p>
            <w:pPr>
              <w:pStyle w:val="TableContents"/>
              <w:spacing w:before="0" w:after="283"/>
              <w:jc w:val="left"/>
              <w:rPr/>
            </w:pPr>
            <w:r>
              <w:rPr/>
              <w:t> </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0.22</w:t>
            </w:r>
          </w:p>
        </w:tc>
        <w:tc>
          <w:tcPr>
            <w:tcW w:w="114" w:type="dxa"/>
            <w:tcBorders/>
            <w:shd w:fill="FFFFFF" w:val="clear"/>
            <w:vAlign w:val="center"/>
          </w:tcPr>
          <w:p>
            <w:pPr>
              <w:pStyle w:val="TableContents"/>
              <w:spacing w:before="0" w:after="283"/>
              <w:jc w:val="left"/>
              <w:rPr/>
            </w:pPr>
            <w:r>
              <w:rPr/>
              <w:t> </w:t>
            </w:r>
          </w:p>
        </w:tc>
      </w:tr>
      <w:tr>
        <w:trPr/>
        <w:tc>
          <w:tcPr>
            <w:tcW w:w="4184" w:type="dxa"/>
            <w:tcBorders/>
            <w:shd w:fill="CCEEFF" w:val="clear"/>
            <w:vAlign w:val="center"/>
          </w:tcPr>
          <w:p>
            <w:pPr>
              <w:pStyle w:val="TableContents"/>
              <w:spacing w:before="0" w:after="283"/>
              <w:jc w:val="left"/>
              <w:rPr>
                <w:sz w:val="20"/>
              </w:rPr>
            </w:pPr>
            <w:r>
              <w:rPr>
                <w:sz w:val="20"/>
              </w:rPr>
              <w:t>Fourth Quarter</w:t>
            </w:r>
          </w:p>
        </w:tc>
        <w:tc>
          <w:tcPr>
            <w:tcW w:w="91" w:type="dxa"/>
            <w:tcBorders/>
            <w:shd w:fill="CCEEFF" w:val="clear"/>
            <w:vAlign w:val="center"/>
          </w:tcPr>
          <w:p>
            <w:pPr>
              <w:pStyle w:val="TableContents"/>
              <w:spacing w:before="0" w:after="283"/>
              <w:rPr/>
            </w:pPr>
            <w:r>
              <w:rPr/>
              <w:t> </w:t>
            </w:r>
          </w:p>
        </w:tc>
        <w:tc>
          <w:tcPr>
            <w:tcW w:w="190"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0.30</w:t>
            </w:r>
          </w:p>
        </w:tc>
        <w:tc>
          <w:tcPr>
            <w:tcW w:w="91" w:type="dxa"/>
            <w:tcBorders/>
            <w:shd w:fill="CCEEFF" w:val="clear"/>
            <w:vAlign w:val="center"/>
          </w:tcPr>
          <w:p>
            <w:pPr>
              <w:pStyle w:val="TableContents"/>
              <w:spacing w:before="0" w:after="283"/>
              <w:jc w:val="left"/>
              <w:rPr/>
            </w:pPr>
            <w:r>
              <w:rPr/>
              <w:t> </w:t>
            </w:r>
          </w:p>
        </w:tc>
        <w:tc>
          <w:tcPr>
            <w:tcW w:w="91" w:type="dxa"/>
            <w:tcBorders/>
            <w:shd w:fill="CCEEFF" w:val="clear"/>
            <w:vAlign w:val="center"/>
          </w:tcPr>
          <w:p>
            <w:pPr>
              <w:pStyle w:val="TableContents"/>
              <w:spacing w:before="0" w:after="283"/>
              <w:rPr/>
            </w:pPr>
            <w:r>
              <w:rPr/>
              <w:t> </w:t>
            </w:r>
          </w:p>
        </w:tc>
        <w:tc>
          <w:tcPr>
            <w:tcW w:w="190"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0.18</w:t>
            </w:r>
          </w:p>
        </w:tc>
        <w:tc>
          <w:tcPr>
            <w:tcW w:w="114" w:type="dxa"/>
            <w:tcBorders/>
            <w:shd w:fill="CCEEFF" w:val="clear"/>
            <w:vAlign w:val="center"/>
          </w:tcPr>
          <w:p>
            <w:pPr>
              <w:pStyle w:val="TableContents"/>
              <w:spacing w:before="0" w:after="283"/>
              <w:jc w:val="left"/>
              <w:rPr/>
            </w:pPr>
            <w:r>
              <w:rPr/>
              <w:t> </w:t>
            </w:r>
          </w:p>
        </w:tc>
      </w:tr>
      <w:tr>
        <w:trPr/>
        <w:tc>
          <w:tcPr>
            <w:tcW w:w="4184"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91"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114" w:type="dxa"/>
            <w:tcBorders/>
            <w:shd w:fill="FFFFFF" w:val="clear"/>
            <w:vAlign w:val="center"/>
          </w:tcPr>
          <w:p>
            <w:pPr>
              <w:pStyle w:val="TableContents"/>
              <w:spacing w:before="0" w:after="283"/>
              <w:jc w:val="left"/>
              <w:rPr/>
            </w:pPr>
            <w:r>
              <w:rPr/>
              <w:t> </w:t>
            </w:r>
          </w:p>
        </w:tc>
      </w:tr>
      <w:tr>
        <w:trPr/>
        <w:tc>
          <w:tcPr>
            <w:tcW w:w="4184" w:type="dxa"/>
            <w:tcBorders/>
            <w:shd w:fill="CCEEFF" w:val="clear"/>
            <w:vAlign w:val="center"/>
          </w:tcPr>
          <w:p>
            <w:pPr>
              <w:pStyle w:val="TableContents"/>
              <w:spacing w:before="0" w:after="283"/>
              <w:jc w:val="left"/>
              <w:rPr>
                <w:sz w:val="20"/>
              </w:rPr>
            </w:pPr>
            <w:r>
              <w:rPr>
                <w:sz w:val="20"/>
              </w:rPr>
              <w:t>2021 Fiscal Year</w:t>
            </w:r>
          </w:p>
        </w:tc>
        <w:tc>
          <w:tcPr>
            <w:tcW w:w="9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91"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114" w:type="dxa"/>
            <w:tcBorders/>
            <w:shd w:fill="CCEEFF" w:val="clear"/>
            <w:vAlign w:val="center"/>
          </w:tcPr>
          <w:p>
            <w:pPr>
              <w:pStyle w:val="TableContents"/>
              <w:spacing w:before="0" w:after="283"/>
              <w:jc w:val="left"/>
              <w:rPr/>
            </w:pPr>
            <w:r>
              <w:rPr/>
              <w:t> </w:t>
            </w:r>
          </w:p>
        </w:tc>
      </w:tr>
      <w:tr>
        <w:trPr/>
        <w:tc>
          <w:tcPr>
            <w:tcW w:w="4184" w:type="dxa"/>
            <w:tcBorders/>
            <w:shd w:fill="FFFFFF" w:val="clear"/>
            <w:vAlign w:val="center"/>
          </w:tcPr>
          <w:p>
            <w:pPr>
              <w:pStyle w:val="TableContents"/>
              <w:spacing w:before="0" w:after="283"/>
              <w:rPr>
                <w:sz w:val="20"/>
              </w:rPr>
            </w:pPr>
            <w:r>
              <w:rPr>
                <w:sz w:val="20"/>
              </w:rPr>
              <w:t>First Quarter thru March 15, 2021</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0.50</w:t>
            </w:r>
          </w:p>
        </w:tc>
        <w:tc>
          <w:tcPr>
            <w:tcW w:w="91" w:type="dxa"/>
            <w:tcBorders/>
            <w:shd w:fill="FFFFFF" w:val="clear"/>
            <w:vAlign w:val="center"/>
          </w:tcPr>
          <w:p>
            <w:pPr>
              <w:pStyle w:val="TableContents"/>
              <w:spacing w:before="0" w:after="283"/>
              <w:jc w:val="left"/>
              <w:rPr/>
            </w:pPr>
            <w:r>
              <w:rPr/>
              <w:t> </w:t>
            </w:r>
          </w:p>
        </w:tc>
        <w:tc>
          <w:tcPr>
            <w:tcW w:w="91" w:type="dxa"/>
            <w:tcBorders/>
            <w:shd w:fill="FFFFFF" w:val="clear"/>
            <w:vAlign w:val="center"/>
          </w:tcPr>
          <w:p>
            <w:pPr>
              <w:pStyle w:val="TableContents"/>
              <w:spacing w:before="0" w:after="283"/>
              <w:rPr/>
            </w:pPr>
            <w:r>
              <w:rPr/>
              <w:t> </w:t>
            </w:r>
          </w:p>
        </w:tc>
        <w:tc>
          <w:tcPr>
            <w:tcW w:w="190"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0.15</w:t>
            </w:r>
          </w:p>
        </w:tc>
        <w:tc>
          <w:tcPr>
            <w:tcW w:w="114" w:type="dxa"/>
            <w:tcBorders/>
            <w:shd w:fill="FFFFFF" w:val="clear"/>
            <w:vAlign w:val="center"/>
          </w:tcPr>
          <w:p>
            <w:pPr>
              <w:pStyle w:val="TableContents"/>
              <w:spacing w:before="0" w:after="283"/>
              <w:jc w:val="left"/>
              <w:rPr/>
            </w:pPr>
            <w:r>
              <w:rPr/>
              <w:t> </w:t>
            </w:r>
          </w:p>
        </w:tc>
      </w:tr>
      <w:tr>
        <w:trPr/>
        <w:tc>
          <w:tcPr>
            <w:tcW w:w="6107" w:type="dxa"/>
            <w:gridSpan w:val="9"/>
            <w:tcBorders/>
            <w:shd w:fill="CCEEFF" w:val="clear"/>
            <w:vAlign w:val="center"/>
          </w:tcPr>
          <w:p>
            <w:pPr>
              <w:pStyle w:val="TableContents"/>
              <w:spacing w:before="0" w:after="283"/>
              <w:jc w:val="both"/>
              <w:rPr/>
            </w:pPr>
            <w:r>
              <w:rPr/>
              <w:t> </w:t>
            </w:r>
          </w:p>
        </w:tc>
      </w:tr>
      <w:tr>
        <w:trPr/>
        <w:tc>
          <w:tcPr>
            <w:tcW w:w="6107" w:type="dxa"/>
            <w:gridSpan w:val="9"/>
            <w:tcBorders/>
            <w:shd w:fill="FFFFFF" w:val="clear"/>
            <w:vAlign w:val="center"/>
          </w:tcPr>
          <w:p>
            <w:pPr>
              <w:pStyle w:val="TableContents"/>
              <w:spacing w:before="0" w:after="283"/>
              <w:rPr>
                <w:sz w:val="4"/>
                <w:szCs w:val="4"/>
              </w:rPr>
            </w:pPr>
            <w:r>
              <w:rPr>
                <w:sz w:val="4"/>
                <w:szCs w:val="4"/>
              </w:rPr>
            </w:r>
          </w:p>
        </w:tc>
      </w:tr>
      <w:tr>
        <w:trPr/>
        <w:tc>
          <w:tcPr>
            <w:tcW w:w="6107" w:type="dxa"/>
            <w:gridSpan w:val="9"/>
            <w:tcBorders/>
            <w:shd w:fill="FFFFFF" w:val="clear"/>
            <w:vAlign w:val="center"/>
          </w:tcPr>
          <w:p>
            <w:pPr>
              <w:pStyle w:val="TableContents"/>
              <w:spacing w:before="0" w:after="283"/>
              <w:jc w:val="both"/>
              <w:rPr>
                <w:sz w:val="20"/>
              </w:rPr>
            </w:pPr>
            <w:r>
              <w:rPr>
                <w:sz w:val="20"/>
              </w:rPr>
              <w:t>On March 15, 2021 the closing sales price of our common stock was $0.33.</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approximately 240 holders of record of our common stock as of March 17, 2021 including approximately 80 holders who were nominees for an undetermined number of beneficial owners based upon a review of a securities position listing provided by our transfer agent in September 2017. There were approximately 4,400 beneficial holders of our common stock as of January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cash dividends is subject to the discretion of our Board of Directors and is dependent upon many factors, including our earnings, our capital needs and our general financial condition. Historically, we have not paid any cash 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1" w:name="item6_006"/>
      <w:bookmarkEnd w:id="11"/>
      <w:r>
        <w:rPr>
          <w:rFonts w:ascii="Times New Roman;Times;Serif" w:hAnsi="Times New Roman;Times;Serif"/>
          <w:b/>
          <w:i w:val="false"/>
          <w:caps w:val="false"/>
          <w:smallCaps w:val="false"/>
          <w:sz w:val="20"/>
        </w:rPr>
        <w:t xml:space="preserve">ITEM 6. SELECTED FINANCIAL DATA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2" w:name="item7_007"/>
      <w:bookmarkEnd w:id="12"/>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Company’s Present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2020, we had cash of $413 thousand compared to $862 thousand of cash at December 31, 2019. We had an accumulated deficit of approximately $389.2 million and $388 million at December 31, 2020 and December 31, 2019, respectively. We had a loss from operations of $758 thousand and a net loss of $1.2 million for the year ended December 31, 2020, compared to a loss from operations of $725 thousand and a net loss of $3.8 million for the year ended December 31,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License, Development and Commercialization Agreement (the "Agreement") with Abuse Deterrent Pharma, LLC, which was amended in October 2020. The Agreement, as amended, grants AD Pharma exclusive commercialization rights in the United States to LTX-03. Financial arrangements include monthly license payments to Acura by AD Pharma of $350,000 from inception through April 2020 and $200,000 thereafter until July 31, 2021 or FDA’s acceptance of a New Drug Application (“NDA”) for LTX-03 and reimbursement by AD Pharma of Acura’s LTX-03 outside development expenses. Upon commercialization of LTX-03, Acura will be entitled to stepped royalties on sales and is eligible for certain sales related milestones. However, if the NDA application for LTX-03 is not accepted by the FDA by July 31, 2021, AD Pharma has the option of terminating the Agreement and taking ownership of the intellectual property. Acura currently expects the submission and FDA acceptance of the NDA to occur after July 31, 2021 and has notified AD Pharma of this revised timeline. Acura is currently in discussions with AD Pharma to amend the Agreement. There can be no assurance that AD Pharma will agree to extend the NDA filing acceptance date or that they will not take ownership of the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Assertio Agreement. Sales and marketing expenses include costs associated with the Nexafed product line advertising incurred prior to our entering into the MainPointe Agreement, salaries and other personnel-related costs include the stock-based compensation associated with stock options and restricted stock units granted to employees and non-employee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impact of the COVID-19 pandemic is highly uncertain and we do not yet know the full extent of potential delays or impacts on our business, our clinical trials, healthcare systems or the global economy as a whole. As such, it is uncertain as to the full magnitude that the pandemic will have on the Company’s financial condition, liquidity, and future results of operations. (See further COVID-19 discussion in Note 1 to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the Years Ended December 31, 2020 and 2019.</w:t>
      </w:r>
    </w:p>
    <w:p>
      <w:pPr>
        <w:pStyle w:val="TextBody"/>
        <w:spacing w:before="0" w:after="0"/>
        <w:ind w:left="0" w:right="0" w:hanging="0"/>
        <w:jc w:val="both"/>
        <w:rPr>
          <w:caps w:val="false"/>
          <w:smallCaps w:val="false"/>
        </w:rPr>
      </w:pPr>
      <w:r>
        <w:rPr>
          <w:caps w:val="false"/>
          <w:smallCaps w:val="false"/>
        </w:rPr>
        <w:t> </w:t>
      </w:r>
    </w:p>
    <w:tbl>
      <w:tblPr>
        <w:tblW w:w="6585" w:type="dxa"/>
        <w:jc w:val="left"/>
        <w:tblInd w:w="0" w:type="dxa"/>
        <w:tblCellMar>
          <w:top w:w="0" w:type="dxa"/>
          <w:left w:w="0" w:type="dxa"/>
          <w:bottom w:w="0" w:type="dxa"/>
          <w:right w:w="0" w:type="dxa"/>
        </w:tblCellMar>
      </w:tblPr>
      <w:tblGrid>
        <w:gridCol w:w="3170"/>
        <w:gridCol w:w="60"/>
        <w:gridCol w:w="125"/>
        <w:gridCol w:w="545"/>
        <w:gridCol w:w="80"/>
        <w:gridCol w:w="60"/>
        <w:gridCol w:w="125"/>
        <w:gridCol w:w="545"/>
        <w:gridCol w:w="80"/>
        <w:gridCol w:w="60"/>
        <w:gridCol w:w="125"/>
        <w:gridCol w:w="545"/>
        <w:gridCol w:w="80"/>
        <w:gridCol w:w="60"/>
        <w:gridCol w:w="87"/>
        <w:gridCol w:w="578"/>
        <w:gridCol w:w="260"/>
      </w:tblGrid>
      <w:tr>
        <w:trPr/>
        <w:tc>
          <w:tcPr>
            <w:tcW w:w="3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0"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6"/>
            <w:tcBorders/>
            <w:shd w:fill="auto" w:val="clear"/>
            <w:vAlign w:val="center"/>
          </w:tcPr>
          <w:p>
            <w:pPr>
              <w:pStyle w:val="TableContents"/>
              <w:spacing w:before="0" w:after="283"/>
              <w:jc w:val="center"/>
              <w:rPr/>
            </w:pPr>
            <w:r>
              <w:rPr/>
              <w:t> </w:t>
            </w:r>
          </w:p>
        </w:tc>
        <w:tc>
          <w:tcPr>
            <w:tcW w:w="260" w:type="dxa"/>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Change</w:t>
            </w:r>
          </w:p>
        </w:tc>
        <w:tc>
          <w:tcPr>
            <w:tcW w:w="260" w:type="dxa"/>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6"/>
            <w:tcBorders/>
            <w:shd w:fill="auto" w:val="clear"/>
            <w:vAlign w:val="center"/>
          </w:tcPr>
          <w:p>
            <w:pPr>
              <w:pStyle w:val="TableContents"/>
              <w:spacing w:before="0" w:after="283"/>
              <w:jc w:val="center"/>
              <w:rPr/>
            </w:pPr>
            <w:r>
              <w:rPr/>
              <w:t> </w:t>
            </w:r>
          </w:p>
        </w:tc>
        <w:tc>
          <w:tcPr>
            <w:tcW w:w="260" w:type="dxa"/>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80"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$000’s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$000’s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Percent</w:t>
            </w:r>
          </w:p>
        </w:tc>
        <w:tc>
          <w:tcPr>
            <w:tcW w:w="260"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283"/>
              <w:rPr>
                <w:sz w:val="20"/>
              </w:rPr>
            </w:pPr>
            <w:r>
              <w:rPr>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rPr/>
            </w:pPr>
            <w:r>
              <w:rPr/>
              <w:t>   </w:t>
            </w:r>
            <w:r>
              <w:rPr>
                <w:sz w:val="20"/>
              </w:rPr>
              <w:t>Royalties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372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(263</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(71</w:t>
            </w:r>
          </w:p>
        </w:tc>
        <w:tc>
          <w:tcPr>
            <w:tcW w:w="260" w:type="dxa"/>
            <w:tcBorders/>
            <w:shd w:fill="FFFFFF" w:val="clear"/>
            <w:vAlign w:val="center"/>
          </w:tcPr>
          <w:p>
            <w:pPr>
              <w:pStyle w:val="TableContents"/>
              <w:spacing w:before="0" w:after="283"/>
              <w:jc w:val="left"/>
              <w:rPr>
                <w:sz w:val="20"/>
              </w:rPr>
            </w:pPr>
            <w:r>
              <w:rPr>
                <w:sz w:val="20"/>
              </w:rPr>
              <w:t>)%</w:t>
            </w:r>
          </w:p>
        </w:tc>
      </w:tr>
      <w:tr>
        <w:trPr/>
        <w:tc>
          <w:tcPr>
            <w:tcW w:w="3170" w:type="dxa"/>
            <w:tcBorders/>
            <w:shd w:fill="CCEEFF" w:val="clear"/>
            <w:vAlign w:val="center"/>
          </w:tcPr>
          <w:p>
            <w:pPr>
              <w:pStyle w:val="TableContents"/>
              <w:spacing w:before="0" w:after="283"/>
              <w:jc w:val="left"/>
              <w:rPr/>
            </w:pPr>
            <w:r>
              <w:rPr/>
              <w:t>   </w:t>
            </w:r>
            <w:r>
              <w:rPr>
                <w:sz w:val="20"/>
              </w:rPr>
              <w:t>Collaboration from related party</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238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185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29</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pPr>
            <w:r>
              <w:rPr/>
              <w:t>   </w:t>
            </w:r>
            <w:r>
              <w:rPr>
                <w:sz w:val="20"/>
              </w:rPr>
              <w:t>License fees from related party</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2,100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900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43</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jc w:val="left"/>
              <w:rPr/>
            </w:pPr>
            <w:r>
              <w:rPr/>
              <w:t>   </w:t>
            </w:r>
            <w:r>
              <w:rPr>
                <w:sz w:val="20"/>
              </w:rPr>
              <w:t>Product sales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sz w:val="20"/>
              </w:rPr>
            </w:pPr>
            <w:r>
              <w:rPr>
                <w:sz w:val="20"/>
              </w:rPr>
              <w:t>Total revenues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3,570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2,657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913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34</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rPr>
                <w:sz w:val="20"/>
              </w:rPr>
            </w:pPr>
            <w:r>
              <w:rPr>
                <w:sz w:val="20"/>
              </w:rPr>
              <w:t>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jc w:val="left"/>
              <w:rPr/>
            </w:pPr>
            <w:r>
              <w:rPr/>
              <w:t>   </w:t>
            </w:r>
            <w:r>
              <w:rPr>
                <w:sz w:val="20"/>
              </w:rPr>
              <w:t>Research and development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1,781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1,505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18</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pPr>
            <w:r>
              <w:rPr/>
              <w:t>   </w:t>
            </w:r>
            <w:r>
              <w:rPr>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2,547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1,877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670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36</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jc w:val="left"/>
              <w:rPr>
                <w:sz w:val="20"/>
              </w:rPr>
            </w:pPr>
            <w:r>
              <w:rPr>
                <w:sz w:val="20"/>
              </w:rPr>
              <w:t>Total expenses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4,328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3,382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946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28</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sz w:val="20"/>
              </w:rPr>
            </w:pPr>
            <w:r>
              <w:rPr>
                <w:sz w:val="20"/>
              </w:rPr>
              <w:t>Operating loss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(758</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(725</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jc w:val="left"/>
              <w:rPr>
                <w:sz w:val="20"/>
              </w:rPr>
            </w:pPr>
            <w:r>
              <w:rPr>
                <w:sz w:val="20"/>
              </w:rPr>
              <w:t>Interest expense</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(450</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(449</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260" w:type="dxa"/>
            <w:tcBorders/>
            <w:shd w:fill="CCEEFF" w:val="clear"/>
            <w:vAlign w:val="center"/>
          </w:tcPr>
          <w:p>
            <w:pPr>
              <w:pStyle w:val="TableContents"/>
              <w:spacing w:before="0" w:after="283"/>
              <w:jc w:val="left"/>
              <w:rPr/>
            </w:pPr>
            <w:r>
              <w:rPr/>
              <w:t> </w:t>
            </w:r>
          </w:p>
        </w:tc>
      </w:tr>
      <w:tr>
        <w:trPr/>
        <w:tc>
          <w:tcPr>
            <w:tcW w:w="3170" w:type="dxa"/>
            <w:tcBorders/>
            <w:shd w:fill="FFFFFF" w:val="clear"/>
            <w:vAlign w:val="center"/>
          </w:tcPr>
          <w:p>
            <w:pPr>
              <w:pStyle w:val="TableContents"/>
              <w:spacing w:before="0" w:after="283"/>
              <w:jc w:val="left"/>
              <w:rPr>
                <w:sz w:val="20"/>
              </w:rPr>
            </w:pPr>
            <w:r>
              <w:rPr>
                <w:sz w:val="20"/>
              </w:rPr>
              <w:t>Loss on debt extinguishment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(2,600</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(2,600</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(100</w:t>
            </w:r>
          </w:p>
        </w:tc>
        <w:tc>
          <w:tcPr>
            <w:tcW w:w="260" w:type="dxa"/>
            <w:tcBorders/>
            <w:shd w:fill="FFFFFF" w:val="clear"/>
            <w:vAlign w:val="center"/>
          </w:tcPr>
          <w:p>
            <w:pPr>
              <w:pStyle w:val="TableContents"/>
              <w:spacing w:before="0" w:after="283"/>
              <w:jc w:val="left"/>
              <w:rPr>
                <w:sz w:val="20"/>
              </w:rPr>
            </w:pPr>
            <w:r>
              <w:rPr>
                <w:sz w:val="20"/>
              </w:rPr>
              <w:t>)</w:t>
            </w:r>
          </w:p>
        </w:tc>
      </w:tr>
      <w:tr>
        <w:trPr/>
        <w:tc>
          <w:tcPr>
            <w:tcW w:w="3170" w:type="dxa"/>
            <w:tcBorders/>
            <w:shd w:fill="CCEEFF" w:val="clear"/>
            <w:vAlign w:val="center"/>
          </w:tcPr>
          <w:p>
            <w:pPr>
              <w:pStyle w:val="TableContents"/>
              <w:spacing w:before="0" w:after="283"/>
              <w:jc w:val="left"/>
              <w:rPr>
                <w:sz w:val="20"/>
              </w:rPr>
            </w:pPr>
            <w:r>
              <w:rPr>
                <w:sz w:val="20"/>
              </w:rPr>
              <w:t>Loss before provision for income taxes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(1,208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(3,774</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(2,566</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(68</w:t>
            </w:r>
          </w:p>
        </w:tc>
        <w:tc>
          <w:tcPr>
            <w:tcW w:w="260" w:type="dxa"/>
            <w:tcBorders/>
            <w:shd w:fill="CCEEFF" w:val="clear"/>
            <w:vAlign w:val="center"/>
          </w:tcPr>
          <w:p>
            <w:pPr>
              <w:pStyle w:val="TableContents"/>
              <w:spacing w:before="0" w:after="283"/>
              <w:jc w:val="left"/>
              <w:rPr>
                <w:sz w:val="20"/>
              </w:rPr>
            </w:pPr>
            <w:r>
              <w:rPr>
                <w:sz w:val="20"/>
              </w:rPr>
              <w:t>)</w:t>
            </w:r>
          </w:p>
        </w:tc>
      </w:tr>
      <w:tr>
        <w:trPr/>
        <w:tc>
          <w:tcPr>
            <w:tcW w:w="3170" w:type="dxa"/>
            <w:tcBorders/>
            <w:shd w:fill="FFFFFF" w:val="clear"/>
            <w:vAlign w:val="center"/>
          </w:tcPr>
          <w:p>
            <w:pPr>
              <w:pStyle w:val="TableContents"/>
              <w:spacing w:before="0" w:after="283"/>
              <w:jc w:val="left"/>
              <w:rPr>
                <w:sz w:val="20"/>
              </w:rPr>
            </w:pPr>
            <w:r>
              <w:rPr>
                <w:sz w:val="20"/>
              </w:rPr>
              <w:t>Provision for income taxes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260" w:type="dxa"/>
            <w:tcBorders/>
            <w:shd w:fill="FFFFFF" w:val="clear"/>
            <w:vAlign w:val="center"/>
          </w:tcPr>
          <w:p>
            <w:pPr>
              <w:pStyle w:val="TableContents"/>
              <w:spacing w:before="0" w:after="283"/>
              <w:jc w:val="left"/>
              <w:rPr/>
            </w:pPr>
            <w:r>
              <w:rPr/>
              <w:t> </w:t>
            </w:r>
          </w:p>
        </w:tc>
      </w:tr>
      <w:tr>
        <w:trPr/>
        <w:tc>
          <w:tcPr>
            <w:tcW w:w="3170" w:type="dxa"/>
            <w:tcBorders/>
            <w:shd w:fill="CCEEFF" w:val="clear"/>
            <w:vAlign w:val="center"/>
          </w:tcPr>
          <w:p>
            <w:pPr>
              <w:pStyle w:val="TableContents"/>
              <w:spacing w:before="0" w:after="283"/>
              <w:jc w:val="left"/>
              <w:rPr>
                <w:sz w:val="20"/>
              </w:rPr>
            </w:pPr>
            <w:r>
              <w:rPr>
                <w:sz w:val="20"/>
              </w:rPr>
              <w:t>Net loss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(1,208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(3,774</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(2,566</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(68</w:t>
            </w:r>
          </w:p>
        </w:tc>
        <w:tc>
          <w:tcPr>
            <w:tcW w:w="260" w:type="dxa"/>
            <w:tcBorders/>
            <w:shd w:fill="CCEEFF" w:val="clear"/>
            <w:vAlign w:val="center"/>
          </w:tcPr>
          <w:p>
            <w:pPr>
              <w:pStyle w:val="TableContents"/>
              <w:spacing w:before="0" w:after="283"/>
              <w:jc w:val="left"/>
              <w:rPr>
                <w:sz w:val="20"/>
              </w:rPr>
            </w:pPr>
            <w:r>
              <w:rPr>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license fees under the license and development agreement with AD Pharma for LTX-03 dated June 2019 and as amended in October 2020. We recognized $3.0 million and $2.1 million of license fees revenue during the years ended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 is derived from research and development services we perform under the license and development agreement with AD Pharma for LTX-03. We recognized $238 thousand and $185 thousand of collaboration revenue during the years ended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Royalty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license agreement with Assertio for Oxaydo Tablets, we earn a royalty based on product net sales. We recognized $102 thousand and $351 thousand of royalty revenue for Oxaydo during the years ended 2020 and 2019, respectively. We expect future lower royalties from lower product net sales of Oxaydo Tablets as Assertio has indicated they have ceased promoting this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license agreement with MainPointe for our Nexafed product line, we earn a royalty based on product net sales. We recognized $7 thousand and $21 thousand of royalty revenue on Nexafed during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(“R&amp;D”) for 2020 and 2019 was primarily with respect to our LIMITx Technology development activity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our facility costs, and a percentage share of selected cost sharing expenses under the license agreement with Assertio. Also included in 2019 year end results is share-based compensation expenses of approximately $21 thousand. Excluding share-based compensation expense, our R&amp;D expenses increased approximately $0.3 million between reporting periods, all related to the LTX-03 development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primarily consisted of legal, audit and other professional services, corporate insurance, and payroll. Included in each of the 2020 and 2019 results are share-based compensation expenses of approximately $53 thousand and $117 thousand, respectively. Excluding the share-based compensation expense our general and administrative expenses increased by approximately $0.7 million between reporting periods, resulting primarily from a $668 thousand intangible asset impairment charge offset by $137 thousand decrease in resulting ongoing amortization expense on this asset, resumption of board of director fee payments for the entire year of 2020 resulting in increase of $43 thousand over 2019 expense, and resumption of general and patent legal services for the entire year of 2020 resulting in increase of $170 thousand over 2019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Non-Operating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Extinguishment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modified the $5.0 million related party loan with Mr. Schutte and the accounting method used for the changes to the loan resulted in the recognition of a $2.6 million loss on debt extinguishment.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2020 and 2019, we incurred interest expense of $450 thousand and $449 thousand, respectively, on our $6.0 million convertible debt.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for 2020 and 2019 include no federal or state income tax benefit provisions due to 100% allowances placed against our deferred tax assets for the uncertainty of their future utilization.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2020, we had cash of $413 thousand, working capital deficit of $6.6 million and an accumulated deficit of $389.2 million. We had a loss from operations of $758 thousand and a net loss of $1.2 million for the year ended December 31, 2020. </w:t>
      </w:r>
      <w:r>
        <w:rPr>
          <w:rFonts w:ascii="Times New Roman;Times;Serif" w:hAnsi="Times New Roman;Times;Serif"/>
          <w:b w:val="false"/>
          <w:i w:val="false"/>
          <w:caps w:val="false"/>
          <w:smallCaps w:val="false"/>
          <w:sz w:val="20"/>
          <w:highlight w:val="white"/>
        </w:rPr>
        <w:t xml:space="preserve">We have suffered recurring losses from operations and have not generated positive cash flows from operations. We anticipate operating losses to continue for the foreseeable future. </w:t>
      </w:r>
      <w:r>
        <w:rPr>
          <w:rFonts w:ascii="Times New Roman;Times;Serif" w:hAnsi="Times New Roman;Times;Serif"/>
          <w:b w:val="false"/>
          <w:i w:val="false"/>
          <w:caps w:val="false"/>
          <w:smallCaps w:val="false"/>
          <w:sz w:val="20"/>
        </w:rPr>
        <w:t>As of March 30, 2021 our cash balance was approximately $350 thousand.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License, Development and Commercialization Agreement dated June 28, 2019 (the “Agreement”), as amended, requires AD Pharma to pay a monthly license payment of $350,000 from AD Pharma to us for a period from inception up to April 2020 at which time the payment is $200,000 per month through July 2021, and pay all outside development costs for LTX-03. AD Pharma is delinquent in remitting monthly license payments for December, 2020 thru March, 2021 and approximately $100 thousand of reimbursable LTX-03 development expenses. Failure to make these payments are an event of default under the Agreement, as amended. Based upon representations by AD Pharma, we anticipate receipt of these past due amounts by April 30, 2021 and payment obligations through July, 2021, for which no assurance can be given.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AD Pharma Agreement, as amended, is the requirement that the NDA for LTX-03 now be accepted by the FDA by July 31, 2021 or AD Pharma has the option to terminate the AD Pharma Agreement and take ownership of the LIMITx intellectual property. Failure to meet this date will be an event of default under the Company’s $6.0 million outstanding convertible debt to AD Pharma. The Agreement allows AD Pharma to terminate the Agreement “for convenience”. Acura currently expects the submission and FDA acceptance of the NDA for LTX-03 to now occur after July 31, 2021 and has notified AD Pharma of this revised timeline. Acura is currently in discussions with AD Pharma to amend the Agreement. There can be no assurance that AD Pharma will agree to extend the NDA filing acceptance date or that they will not take ownership of the intellectual property. Pending resolution of this matter, we have presented the $6.0 million convertible debt as a current liability at December 31, 2020. Whether or not AD Pharma exercises their right to terminate the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2020 financial statements a “going concern” explanatory paragraph as to substantial doubt of our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sources of revenue, if any, will be derived from licensing fees, milestone payments and royalties under the AD Pharma Agreement, the Assertio Agreement, the KemPharm Agreement, the MainPointe Agreement and similar agreements which we may enter into for our LIMITx products in development with other pharmaceutical company partners, for which there can be no assurance.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our future cash requirements will depend on regulatory and market acceptance of our product candidates and the resources we devote to the development and commercialization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Years Ended December 31, 2020 and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years ended December 31, 2020 and 2019 (in thousands):</w:t>
      </w:r>
    </w:p>
    <w:p>
      <w:pPr>
        <w:pStyle w:val="TextBody"/>
        <w:spacing w:before="0" w:after="0"/>
        <w:ind w:left="0" w:right="0" w:hanging="0"/>
        <w:rPr>
          <w:caps w:val="false"/>
          <w:smallCaps w:val="false"/>
        </w:rPr>
      </w:pPr>
      <w:r>
        <w:rPr>
          <w:caps w:val="false"/>
          <w:smallCaps w:val="false"/>
        </w:rPr>
        <w:t> </w:t>
      </w:r>
    </w:p>
    <w:tbl>
      <w:tblPr>
        <w:tblW w:w="3995" w:type="dxa"/>
        <w:jc w:val="center"/>
        <w:tblInd w:w="0" w:type="dxa"/>
        <w:tblCellMar>
          <w:top w:w="0" w:type="dxa"/>
          <w:left w:w="0" w:type="dxa"/>
          <w:bottom w:w="0" w:type="dxa"/>
          <w:right w:w="0" w:type="dxa"/>
        </w:tblCellMar>
      </w:tblPr>
      <w:tblGrid>
        <w:gridCol w:w="2570"/>
        <w:gridCol w:w="60"/>
        <w:gridCol w:w="125"/>
        <w:gridCol w:w="395"/>
        <w:gridCol w:w="80"/>
        <w:gridCol w:w="60"/>
        <w:gridCol w:w="125"/>
        <w:gridCol w:w="485"/>
        <w:gridCol w:w="95"/>
      </w:tblGrid>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0" w:type="dxa"/>
            <w:gridSpan w:val="6"/>
            <w:tcBorders/>
            <w:shd w:fill="auto" w:val="clear"/>
            <w:vAlign w:val="center"/>
          </w:tcPr>
          <w:p>
            <w:pPr>
              <w:pStyle w:val="TableContents"/>
              <w:spacing w:before="0" w:after="283"/>
              <w:jc w:val="center"/>
              <w:rPr>
                <w:b/>
                <w:sz w:val="20"/>
              </w:rPr>
            </w:pPr>
            <w:r>
              <w:rPr>
                <w:b/>
                <w:sz w:val="20"/>
              </w:rPr>
              <w:t>Year Ended</w:t>
            </w:r>
          </w:p>
        </w:tc>
        <w:tc>
          <w:tcPr>
            <w:tcW w:w="9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0"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r>
          </w:p>
        </w:tc>
        <w:tc>
          <w:tcPr>
            <w:tcW w:w="9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2019</w:t>
            </w:r>
          </w:p>
        </w:tc>
        <w:tc>
          <w:tcPr>
            <w:tcW w:w="9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283"/>
              <w:jc w:val="left"/>
              <w:rPr>
                <w:sz w:val="20"/>
              </w:rPr>
            </w:pPr>
            <w:r>
              <w:rPr>
                <w:sz w:val="20"/>
              </w:rPr>
              <w:t>Net cash (used in) provided by: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48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jc w:val="left"/>
              <w:rPr>
                <w:sz w:val="20"/>
              </w:rPr>
            </w:pPr>
            <w:r>
              <w:rPr>
                <w:sz w:val="20"/>
              </w:rPr>
              <w:t>Operating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395" w:type="dxa"/>
            <w:tcBorders/>
            <w:shd w:fill="FFFFFF" w:val="clear"/>
            <w:vAlign w:val="center"/>
          </w:tcPr>
          <w:p>
            <w:pPr>
              <w:pStyle w:val="TableContents"/>
              <w:spacing w:before="0" w:after="283"/>
              <w:jc w:val="right"/>
              <w:rPr>
                <w:sz w:val="20"/>
              </w:rPr>
            </w:pPr>
            <w:r>
              <w:rPr>
                <w:sz w:val="20"/>
              </w:rPr>
              <w:t>(719</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485" w:type="dxa"/>
            <w:tcBorders/>
            <w:shd w:fill="FFFFFF" w:val="clear"/>
            <w:vAlign w:val="center"/>
          </w:tcPr>
          <w:p>
            <w:pPr>
              <w:pStyle w:val="TableContents"/>
              <w:spacing w:before="0" w:after="283"/>
              <w:jc w:val="right"/>
              <w:rPr>
                <w:sz w:val="20"/>
              </w:rPr>
            </w:pPr>
            <w:r>
              <w:rPr>
                <w:sz w:val="20"/>
              </w:rPr>
              <w:t>(618</w:t>
            </w:r>
          </w:p>
        </w:tc>
        <w:tc>
          <w:tcPr>
            <w:tcW w:w="95" w:type="dxa"/>
            <w:tcBorders/>
            <w:shd w:fill="FFFFFF" w:val="clear"/>
            <w:vAlign w:val="center"/>
          </w:tcPr>
          <w:p>
            <w:pPr>
              <w:pStyle w:val="TableContents"/>
              <w:spacing w:before="0" w:after="283"/>
              <w:jc w:val="left"/>
              <w:rPr>
                <w:sz w:val="20"/>
              </w:rPr>
            </w:pPr>
            <w:r>
              <w:rPr>
                <w:sz w:val="20"/>
              </w:rPr>
              <w:t>)</w:t>
            </w:r>
          </w:p>
        </w:tc>
      </w:tr>
      <w:tr>
        <w:trPr/>
        <w:tc>
          <w:tcPr>
            <w:tcW w:w="2570" w:type="dxa"/>
            <w:tcBorders/>
            <w:shd w:fill="CCEEFF" w:val="clear"/>
            <w:vAlign w:val="center"/>
          </w:tcPr>
          <w:p>
            <w:pPr>
              <w:pStyle w:val="TableContents"/>
              <w:spacing w:before="0" w:after="283"/>
              <w:jc w:val="left"/>
              <w:rPr>
                <w:sz w:val="20"/>
              </w:rPr>
            </w:pPr>
            <w:r>
              <w:rPr>
                <w:sz w:val="20"/>
              </w:rPr>
              <w:t>Investing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48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jc w:val="left"/>
              <w:rPr>
                <w:sz w:val="20"/>
              </w:rPr>
            </w:pPr>
            <w:r>
              <w:rPr>
                <w:sz w:val="20"/>
              </w:rPr>
              <w:t>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270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485" w:type="dxa"/>
            <w:tcBorders/>
            <w:shd w:fill="FFFFFF" w:val="clear"/>
            <w:vAlign w:val="center"/>
          </w:tcPr>
          <w:p>
            <w:pPr>
              <w:pStyle w:val="TableContents"/>
              <w:spacing w:before="0" w:after="283"/>
              <w:jc w:val="right"/>
              <w:rPr>
                <w:sz w:val="20"/>
              </w:rPr>
            </w:pPr>
            <w:r>
              <w:rPr>
                <w:sz w:val="20"/>
              </w:rPr>
              <w:t>1,389</w:t>
            </w:r>
          </w:p>
        </w:tc>
        <w:tc>
          <w:tcPr>
            <w:tcW w:w="9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jc w:val="left"/>
              <w:rPr>
                <w:sz w:val="20"/>
              </w:rPr>
            </w:pPr>
            <w:r>
              <w:rPr>
                <w:sz w:val="20"/>
              </w:rPr>
              <w:t>Net (decrease) increase in cash</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9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(449</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48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771</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$0.7 million for the year ended December 31, 2020 and consisted primarily of a net loss of $1.2 million. This net loss was partially offset by non-cash items such as $36 thousand in share-based compensation expense, $56 thousand of depreciation expense, $668 thousand impairment charge on an intangible asset, $70 thousand of intangible asset amortization expense and $223 write-down of product sales return allowance liability, with $118 thousand in net cash outflows from changes in operating assets and liabilities. Cash outflows from changes in operating assets and liabilities of $118 thousand were primarily due to increases of $400 thousand in license fee receivable, $119 thousand in collaboration revenue receivable and $17 thousand in prepaid expenses and other current assets along with a decrease of $160 thousand in accounts payable and accrued expenses. These cash outflows were partially offset by a decreases of $52 thousand in royalty receivable, and $68 thousand in income tax receivable, along with increases of $449 thousand in accrued interest and $10 thousand in other current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$0.6 million for the year ended December 31, 2019 and consisted primarily of a net loss of $3.8 million, capitalized debt discount of $13 thousand and a loss on debt extinguishment of $2.6 million. This net loss was partially offset by non-cash items such as $108 thousand in share-based compensation expense, $66 thousand of debt discount and debt issue cost amortization expense, $66 thousand of depreciation expense, and $207 thousand of intangible asset amortization expense with $154 thousand in net cash outflows from changes in operating assets and liabilities. Cash outflows from changes in operating assets and liabilities of $154 thousand were primarily due to $78 thousand increase in collaboration revenue receivable and $379 thousand decrease in accounts payable and accrued expenses. These cash outflows were partially offset by a decreases of $55 thousand in royalty receivables, $67 thousand in income tax receivable, $394 thousand in accrued interest and $44 thousand in prepaid expenses and other current assets and increases of $18 thousand in other current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no investing activities for the years ended December 31, 2020 and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$269 thousand for the year ended December 31, 2020 and consisted of the proceeds from a loan under the CARESs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$1.4 million for the year ended December 31, 2020 and consisted of the net proceeds from loans provided by Mr. Schutte.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Related Party Loans from Mr. Schutte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28, 2019, we entered into a Promissory Note (the “Note”) with Mr. Schutte that consolidated existing promissory notes that were due to mature at January 2, 2020 issued to John Schutte into a single note for $6.0 million (after including accrued and unpaid interest). To secure our performance of our obligations under the Note, we granted Mr. Schutte a security interest in all of our assets. Terms of the consolidated Note provide for a July 1, 2023 maturity date,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engage in transactions or arrangements with unconsolidated or other special purpose entities.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Policies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consolidated financial statements for the years ended December 31, 2020 and December 31, 2019,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noting that there did appear to be evidence of substantial doubt of the entity’s ability to continue as a going concern as further discussed in Note 1 to the consolidated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 Recognition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comprised of amounts earned under its license and collaboration agreements, royalties, and until March 2017 did previously include the Nexafed products’ net product sales. The Company adopted Accounting Standards Codification Topic 606—Revenue from Contracts with Customers, or Topic 606, on January 1, 2018, resulting in a change to its accounting policy for 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enter into license and collaboration agreements which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 These license and collaboration agreements may contain customer options for the license of additional products and territories. The options in the agreement may need to be evaluated to determine the option’s standalone selling prices. Some of the license and collaboration agreements may contain a license to the technology as well as licenses to tradenames or trademarks. The licenses to the tradenames or trademarks will need to be evaluated in context of the entire contract. The commercial sales-based milestones and sales royalties earned under the license and collaboration agreements are recorded in the period of the related sales by the licensee.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w:t>
      </w:r>
    </w:p>
    <w:p>
      <w:pPr>
        <w:pStyle w:val="TextBody"/>
        <w:spacing w:before="0" w:after="0"/>
        <w:ind w:left="0" w:right="0" w:firstLine="4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At December 31, 2019,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 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Summary of Significant Accounting Policies - Recent Accounting Pronouncements of the Notes to Financial Statements (Part II, Item 8 of this Form 10-K) for further discussion.</w:t>
      </w:r>
    </w:p>
    <w:p>
      <w:pPr>
        <w:pStyle w:val="TextBody"/>
        <w:spacing w:before="0" w:after="0"/>
        <w:ind w:left="0" w:right="0" w:firstLine="4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capital expenditures during 2020 or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Inflation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did not have a material impact on our operations for the periods reported.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3" w:name="aaA_001"/>
      <w:bookmarkEnd w:id="13"/>
      <w:r>
        <w:rPr>
          <w:rFonts w:ascii="Times New Roman;Times;Serif" w:hAnsi="Times New Roman;Times;Serif"/>
          <w:b/>
          <w:i w:val="false"/>
          <w:caps w:val="false"/>
          <w:smallCaps w:val="false"/>
          <w:sz w:val="20"/>
        </w:rPr>
        <w:t>ITEM 7A. QUANTITATIVE AND QUALITATIVE DISCLOSURES ABOUT MARKET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the investments to fluctuate. As of December 31, 2020, we had no investments in marketable securities or holdings of derivative financial or commodity instruments.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4" w:name="aaA_002"/>
      <w:bookmarkEnd w:id="14"/>
      <w:r>
        <w:rPr>
          <w:rFonts w:ascii="Times New Roman;Times;Serif" w:hAnsi="Times New Roman;Times;Serif"/>
          <w:b/>
          <w:i w:val="false"/>
          <w:caps w:val="false"/>
          <w:smallCaps w:val="false"/>
          <w:sz w:val="20"/>
        </w:rPr>
        <w:t>ITEM 8. 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Acura Pharmaceuticals, Inc. and Subsidiary and the Report of the Independent Registered Public Accounting Firm thereon, to be filed pursuant to Item 8 are included in Item 15.</w:t>
      </w:r>
    </w:p>
    <w:p>
      <w:pPr>
        <w:pStyle w:val="TextBody"/>
        <w:spacing w:before="0" w:after="0"/>
        <w:ind w:left="0" w:right="0" w:firstLine="720"/>
        <w:rPr>
          <w:caps w:val="false"/>
          <w:smallCaps w:val="false"/>
        </w:rPr>
      </w:pPr>
      <w:r>
        <w:rPr>
          <w:caps w:val="false"/>
          <w:smallCaps w:val="false"/>
        </w:rPr>
        <w:t> </w:t>
      </w:r>
    </w:p>
    <w:p>
      <w:pPr>
        <w:pStyle w:val="TextBody"/>
        <w:spacing w:before="0" w:after="0"/>
        <w:ind w:left="810" w:right="0" w:hanging="810"/>
        <w:rPr>
          <w:rFonts w:ascii="Times New Roman;Times;Serif" w:hAnsi="Times New Roman;Times;Serif"/>
          <w:b/>
          <w:i w:val="false"/>
          <w:caps w:val="false"/>
          <w:smallCaps w:val="false"/>
          <w:sz w:val="20"/>
        </w:rPr>
      </w:pPr>
      <w:bookmarkStart w:id="15" w:name="aaA_003"/>
      <w:bookmarkEnd w:id="1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6" w:name="aaA_004"/>
      <w:bookmarkEnd w:id="16"/>
      <w:r>
        <w:rPr>
          <w:rFonts w:ascii="Times New Roman;Times;Serif" w:hAnsi="Times New Roman;Times;Serif"/>
          <w:b/>
          <w:i w:val="false"/>
          <w:caps w:val="false"/>
          <w:smallCaps w:val="false"/>
          <w:sz w:val="20"/>
        </w:rPr>
        <w:t>ITEM 9A. CONTROLS AND PROCEDURES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Evaluation of Disclosure Controls and Procedures. </w:t>
      </w:r>
      <w:r>
        <w:rPr>
          <w:rFonts w:ascii="Times New Roman;Times;Serif" w:hAnsi="Times New Roman;Times;Serif"/>
          <w:b w:val="false"/>
          <w:i w:val="false"/>
          <w:caps w:val="false"/>
          <w:smallCaps w:val="false"/>
          <w:sz w:val="20"/>
          <w:highlight w:val="white"/>
        </w:rPr>
        <w:t>As of the end of the period covered by this Form 10-K, we carried out an evaluation</w:t>
      </w:r>
      <w:r>
        <w:rPr>
          <w:rFonts w:ascii="Times New Roman;Times;Serif" w:hAnsi="Times New Roman;Times;Serif"/>
          <w:b w:val="false"/>
          <w:i w:val="false"/>
          <w:caps w:val="false"/>
          <w:smallCaps w:val="false"/>
          <w:sz w:val="20"/>
        </w:rPr>
        <w:t xml:space="preserve">, under the supervision and with the participation of our management, including our </w:t>
      </w:r>
      <w:r>
        <w:rPr>
          <w:rFonts w:ascii="Times New Roman;Times;Serif" w:hAnsi="Times New Roman;Times;Serif"/>
          <w:b w:val="false"/>
          <w:i w:val="false"/>
          <w:caps w:val="false"/>
          <w:smallCaps w:val="false"/>
          <w:sz w:val="20"/>
          <w:highlight w:val="white"/>
        </w:rPr>
        <w:t>principal executive officer and principal financial officer,</w:t>
      </w:r>
      <w:r>
        <w:rPr>
          <w:rFonts w:ascii="Times New Roman;Times;Serif" w:hAnsi="Times New Roman;Times;Serif"/>
          <w:b w:val="false"/>
          <w:i w:val="false"/>
          <w:caps w:val="false"/>
          <w:smallCaps w:val="false"/>
          <w:sz w:val="20"/>
        </w:rPr>
        <w:t xml:space="preserve"> of the effectiveness of the design and operation of our disclosure controls and procedures </w:t>
      </w:r>
      <w:r>
        <w:rPr>
          <w:rFonts w:ascii="Times New Roman;Times;Serif" w:hAnsi="Times New Roman;Times;Serif"/>
          <w:b w:val="false"/>
          <w:i w:val="false"/>
          <w:caps w:val="false"/>
          <w:smallCaps w:val="false"/>
          <w:sz w:val="20"/>
          <w:highlight w:val="white"/>
        </w:rPr>
        <w:t xml:space="preserve">(as such term is defined in Rules 13a-15(e) under the Exchange Act). Based on this evaluation, our principal executive officer and principal financial officer concluded that our disclosure controls and procedures are effective in alerting them in a timely manner to material information required to be disclosed in our periodic reports filed with the </w:t>
      </w:r>
      <w:r>
        <w:rPr>
          <w:rFonts w:ascii="Times New Roman;Times;Serif" w:hAnsi="Times New Roman;Times;Serif"/>
          <w:b w:val="false"/>
          <w:i w:val="false"/>
          <w:caps w:val="false"/>
          <w:smallCaps w:val="false"/>
          <w:sz w:val="20"/>
        </w:rPr>
        <w:t>Securities and Exchange Commission.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r>
        <w:rPr>
          <w:rFonts w:ascii="Times New Roman;Times;Serif" w:hAnsi="Times New Roman;Times;Serif"/>
          <w:b w:val="false"/>
          <w:i w:val="false"/>
          <w:caps w:val="false"/>
          <w:smallCaps w:val="false"/>
          <w:sz w:val="20"/>
        </w:rPr>
        <w:t>. Our management is responsible for establishing and maintaining adequate 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Pertain to the maintenance of records that in reasonable detail accurately and fairly reflect the transactions and disposition of our assets;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Provide reasonable assurance regarding prevention or timely detection of unauthorized acquisition, use or disposition of our assets that could have a material effect on the financial statements.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assessed the effectiveness of our internal control over financial reporting as of December 31, 2020.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2020, our internal control over financial reporting is effective based on those criteria.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was not required to and did not express an opinion on the effectiveness of the Company’s internal control over financial reporting.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Internal Control over Financial Reporting.</w:t>
      </w:r>
      <w:r>
        <w:rPr>
          <w:rFonts w:ascii="Times New Roman;Times;Serif" w:hAnsi="Times New Roman;Times;Serif"/>
          <w:b w:val="false"/>
          <w:i w:val="false"/>
          <w:caps w:val="false"/>
          <w:smallCaps w:val="false"/>
          <w:sz w:val="20"/>
        </w:rPr>
        <w:t xml:space="preserve"> There was no change in our internal control over financial reporting that occurred during the Fourth Quarter 2020 that materially affected, or is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7" w:name="aaA_005"/>
      <w:bookmarkEnd w:id="17"/>
      <w:r>
        <w:rPr>
          <w:rFonts w:ascii="Times New Roman;Times;Serif" w:hAnsi="Times New Roman;Times;Serif"/>
          <w:b/>
          <w:i w:val="false"/>
          <w:caps w:val="false"/>
          <w:smallCaps w:val="false"/>
          <w:sz w:val="20"/>
        </w:rPr>
        <w:t>ITEM 9B.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8" w:name="a_011"/>
      <w:bookmarkEnd w:id="18"/>
      <w:r>
        <w:rPr>
          <w:rFonts w:ascii="Times New Roman;Times;Serif" w:hAnsi="Times New Roman;Times;Serif"/>
          <w:b/>
          <w:i w:val="false"/>
          <w:caps w:val="false"/>
          <w:smallCaps w:val="false"/>
          <w:sz w:val="20"/>
        </w:rPr>
        <w:t>PART III</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9" w:name="aaA_006"/>
      <w:bookmarkEnd w:id="19"/>
      <w:r>
        <w:rPr>
          <w:rFonts w:ascii="Times New Roman;Times;Serif" w:hAnsi="Times New Roman;Times;Serif"/>
          <w:b/>
          <w:i w:val="false"/>
          <w:caps w:val="false"/>
          <w:smallCaps w:val="false"/>
          <w:sz w:val="20"/>
        </w:rPr>
        <w:t>ITEM 10. DIRECTORS, EXECUTIVE OFFICERS AND CORPORATE GOVERNANCE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2021 Proxy Statement to be filed with the SEC within 120 days after the year ended December 31, 2020 with respect to Directors, Executive Officers and Corporate Governance, which is incorporated herein by reference and made a part hereof in response to the information required by Item 10.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0" w:name="aaA_007"/>
      <w:bookmarkEnd w:id="20"/>
      <w:r>
        <w:rPr>
          <w:rFonts w:ascii="Times New Roman;Times;Serif" w:hAnsi="Times New Roman;Times;Serif"/>
          <w:b/>
          <w:i w:val="false"/>
          <w:caps w:val="false"/>
          <w:smallCaps w:val="false"/>
          <w:sz w:val="20"/>
        </w:rPr>
        <w:t xml:space="preserve">ITEM 11. EXECUTIVE COMPENSATION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2021 Proxy Statement to be filed with the SEC within 120 days after the year ended December 31, 2020 with respect to Executive Compensation, which is incorporated herein by reference and made a part hereof in response to the information required by Item 11.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1" w:name="aaA_008"/>
      <w:bookmarkEnd w:id="21"/>
      <w:r>
        <w:rPr>
          <w:rFonts w:ascii="Times New Roman;Times;Serif" w:hAnsi="Times New Roman;Times;Serif"/>
          <w:b/>
          <w:i w:val="false"/>
          <w:caps w:val="false"/>
          <w:smallCaps w:val="false"/>
          <w:sz w:val="20"/>
        </w:rPr>
        <w:t xml:space="preserve">ITEM 12. SECURITY OWNERSHIP OF CERTAIN BENEFICIAL OWNERS AND MANAGEMENT AND RELATED STOCKHOLDER MATTERS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2021 Proxy Statement to be filed with the SEC within 120 days after the year ended December 31, 2020 with respect to the to the security ownership of certain beneficial owners and management and related stockholder matters, which is incorporated herein by reference and made a part hereof in response to the information required by Item 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2" w:name="aaA_009"/>
      <w:bookmarkEnd w:id="22"/>
      <w:r>
        <w:rPr>
          <w:rFonts w:ascii="Times New Roman;Times;Serif" w:hAnsi="Times New Roman;Times;Serif"/>
          <w:b/>
          <w:i w:val="false"/>
          <w:caps w:val="false"/>
          <w:smallCaps w:val="false"/>
          <w:sz w:val="20"/>
        </w:rPr>
        <w:t xml:space="preserve">ITEM 13. CERTAIN RELATIONSHIPS AND RELATED TRANSACTIONS, AND DIRECTOR INDEPENDENCE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2021 Proxy Statement to be filed with the SEC within 120 days after the year ended December 31, 2020 with respect to certain relationships and related transactions and direct independence, which is incorporated herein by reference and made a part hereof in response to the information required by Item 13.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3" w:name="aaA_010"/>
      <w:bookmarkEnd w:id="23"/>
      <w:r>
        <w:rPr>
          <w:rFonts w:ascii="Times New Roman;Times;Serif" w:hAnsi="Times New Roman;Times;Serif"/>
          <w:b/>
          <w:i w:val="false"/>
          <w:caps w:val="false"/>
          <w:smallCaps w:val="false"/>
          <w:sz w:val="20"/>
        </w:rPr>
        <w:t xml:space="preserve">ITEM 14. PRINCIPAL ACCOUNTANT FEES AND SERVICES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our 2021 Proxy Statement to be filed with the within 120 days after the year ended December 31, 2020 with respect to auditor fees, which is incorporated herein by reference and made a part in response to the information required by Item 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4" w:name="a_012"/>
      <w:bookmarkEnd w:id="24"/>
      <w:r>
        <w:rPr>
          <w:rFonts w:ascii="Times New Roman;Times;Serif" w:hAnsi="Times New Roman;Times;Serif"/>
          <w:b/>
          <w:i w:val="false"/>
          <w:caps w:val="false"/>
          <w:smallCaps w:val="false"/>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5" w:name="aaA_011"/>
      <w:bookmarkEnd w:id="25"/>
      <w:r>
        <w:rPr>
          <w:rFonts w:ascii="Times New Roman;Times;Serif" w:hAnsi="Times New Roman;Times;Serif"/>
          <w:b/>
          <w:i w:val="false"/>
          <w:caps w:val="false"/>
          <w:smallCaps w:val="false"/>
          <w:sz w:val="20"/>
        </w:rPr>
        <w:t>ITEM 15. EXHIBITS AND FINANCIAL STATEMENT SCHEDULES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 See Index to Consolidated Financial Statements on page F-1.</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Financial Statement Schedules: None</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 See Exhibits Index on page E-1.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 w:name="aaA_012"/>
      <w:bookmarkEnd w:id="26"/>
      <w:r>
        <w:rPr>
          <w:rFonts w:ascii="Times New Roman;Times;Serif" w:hAnsi="Times New Roman;Times;Serif"/>
          <w:b/>
          <w:i w:val="false"/>
          <w:caps w:val="false"/>
          <w:smallCaps w:val="false"/>
          <w:sz w:val="20"/>
        </w:rPr>
        <w:t>ITEM 16. FORM 10-K SUMMARY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29"/>
        <w:gridCol w:w="9746"/>
        <w:gridCol w:w="230"/>
      </w:tblGrid>
      <w:tr>
        <w:trPr/>
        <w:tc>
          <w:tcPr>
            <w:tcW w:w="229" w:type="dxa"/>
            <w:tcBorders/>
            <w:shd w:fill="auto" w:val="clear"/>
            <w:vAlign w:val="center"/>
          </w:tcPr>
          <w:p>
            <w:pPr>
              <w:pStyle w:val="TableContents"/>
              <w:spacing w:before="0" w:after="283"/>
              <w:rPr>
                <w:sz w:val="4"/>
                <w:szCs w:val="4"/>
              </w:rPr>
            </w:pPr>
            <w:r>
              <w:rPr>
                <w:sz w:val="4"/>
                <w:szCs w:val="4"/>
              </w:rPr>
            </w:r>
          </w:p>
        </w:tc>
        <w:tc>
          <w:tcPr>
            <w:tcW w:w="9746" w:type="dxa"/>
            <w:tcBorders/>
            <w:shd w:fill="auto" w:val="clear"/>
            <w:vAlign w:val="center"/>
          </w:tcPr>
          <w:p>
            <w:pPr>
              <w:pStyle w:val="TableContents"/>
              <w:spacing w:before="0" w:after="283"/>
              <w:rPr>
                <w:b/>
              </w:rPr>
            </w:pPr>
            <w:r>
              <w:rPr>
                <w:b/>
              </w:rPr>
              <w:t>SIGNATURES</w:t>
            </w:r>
          </w:p>
        </w:tc>
        <w:tc>
          <w:tcPr>
            <w:tcW w:w="2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5220" w:type="dxa"/>
        <w:jc w:val="left"/>
        <w:tblInd w:w="0" w:type="dxa"/>
        <w:tblCellMar>
          <w:top w:w="0" w:type="dxa"/>
          <w:left w:w="0" w:type="dxa"/>
          <w:bottom w:w="0" w:type="dxa"/>
          <w:right w:w="0" w:type="dxa"/>
        </w:tblCellMar>
      </w:tblPr>
      <w:tblGrid>
        <w:gridCol w:w="1805"/>
        <w:gridCol w:w="320"/>
        <w:gridCol w:w="3095"/>
      </w:tblGrid>
      <w:tr>
        <w:trPr/>
        <w:tc>
          <w:tcPr>
            <w:tcW w:w="1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tc>
        <w:tc>
          <w:tcPr>
            <w:tcW w:w="341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ACURA PHARMACEUTICALS, INC.</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415"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B. Jones            </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Jones</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7818" w:type="dxa"/>
        <w:jc w:val="left"/>
        <w:tblInd w:w="0" w:type="dxa"/>
        <w:tblCellMar>
          <w:top w:w="0" w:type="dxa"/>
          <w:left w:w="0" w:type="dxa"/>
          <w:bottom w:w="28" w:type="dxa"/>
          <w:right w:w="0" w:type="dxa"/>
        </w:tblCellMar>
      </w:tblPr>
      <w:tblGrid>
        <w:gridCol w:w="2031"/>
        <w:gridCol w:w="76"/>
        <w:gridCol w:w="4250"/>
        <w:gridCol w:w="76"/>
        <w:gridCol w:w="1385"/>
      </w:tblGrid>
      <w:tr>
        <w:trPr/>
        <w:tc>
          <w:tcPr>
            <w:tcW w:w="2031" w:type="dxa"/>
            <w:tcBorders>
              <w:bottom w:val="single" w:sz="8" w:space="0" w:color="000000"/>
            </w:tcBorders>
            <w:shd w:fill="auto" w:val="clear"/>
            <w:vAlign w:val="center"/>
          </w:tcPr>
          <w:p>
            <w:pPr>
              <w:pStyle w:val="TableContents"/>
              <w:spacing w:before="0" w:after="283"/>
              <w:ind w:left="0" w:right="0" w:hanging="180"/>
              <w:jc w:val="center"/>
              <w:rPr>
                <w:sz w:val="20"/>
              </w:rPr>
            </w:pPr>
            <w:r>
              <w:rPr>
                <w:sz w:val="20"/>
              </w:rPr>
              <w:t>Signature</w:t>
            </w:r>
          </w:p>
        </w:tc>
        <w:tc>
          <w:tcPr>
            <w:tcW w:w="76" w:type="dxa"/>
            <w:tcBorders/>
            <w:shd w:fill="auto" w:val="clear"/>
            <w:tcMar>
              <w:bottom w:w="0" w:type="dxa"/>
            </w:tcMar>
            <w:vAlign w:val="center"/>
          </w:tcPr>
          <w:p>
            <w:pPr>
              <w:pStyle w:val="TableContents"/>
              <w:spacing w:before="0" w:after="283"/>
              <w:jc w:val="center"/>
              <w:rPr/>
            </w:pPr>
            <w:r>
              <w:rPr/>
              <w:t> </w:t>
            </w:r>
          </w:p>
        </w:tc>
        <w:tc>
          <w:tcPr>
            <w:tcW w:w="4250" w:type="dxa"/>
            <w:tcBorders>
              <w:bottom w:val="single" w:sz="8" w:space="0" w:color="000000"/>
            </w:tcBorders>
            <w:shd w:fill="auto" w:val="clear"/>
            <w:vAlign w:val="center"/>
          </w:tcPr>
          <w:p>
            <w:pPr>
              <w:pStyle w:val="TableContents"/>
              <w:spacing w:before="0" w:after="283"/>
              <w:jc w:val="center"/>
              <w:rPr>
                <w:sz w:val="20"/>
              </w:rPr>
            </w:pPr>
            <w:r>
              <w:rPr>
                <w:sz w:val="20"/>
              </w:rPr>
              <w:t>Title(s)</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bottom w:val="single" w:sz="8" w:space="0" w:color="000000"/>
            </w:tcBorders>
            <w:shd w:fill="auto" w:val="clear"/>
            <w:vAlign w:val="center"/>
          </w:tcPr>
          <w:p>
            <w:pPr>
              <w:pStyle w:val="TableContents"/>
              <w:spacing w:before="0" w:after="283"/>
              <w:jc w:val="center"/>
              <w:rPr>
                <w:sz w:val="20"/>
              </w:rPr>
            </w:pPr>
            <w:r>
              <w:rPr>
                <w:sz w:val="20"/>
              </w:rPr>
              <w:t>Date</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283"/>
              <w:rPr/>
            </w:pPr>
            <w:r>
              <w:rPr/>
              <w:t> </w:t>
            </w:r>
          </w:p>
        </w:tc>
      </w:tr>
      <w:tr>
        <w:trPr/>
        <w:tc>
          <w:tcPr>
            <w:tcW w:w="2031"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/s/Robert B. Jones</w:t>
            </w:r>
          </w:p>
        </w:tc>
        <w:tc>
          <w:tcPr>
            <w:tcW w:w="76" w:type="dxa"/>
            <w:tcBorders/>
            <w:shd w:fill="auto" w:val="clear"/>
            <w:tcMar>
              <w:bottom w:w="0" w:type="dxa"/>
            </w:tcMar>
            <w:vAlign w:val="center"/>
          </w:tcPr>
          <w:p>
            <w:pPr>
              <w:pStyle w:val="TableContents"/>
              <w:spacing w:before="0" w:after="0"/>
              <w:ind w:left="16" w:right="16" w:hanging="0"/>
              <w:rPr>
                <w:caps w:val="false"/>
                <w:smallCaps w:val="false"/>
              </w:rPr>
            </w:pPr>
            <w:r>
              <w:rPr>
                <w:caps w:val="false"/>
                <w:smallCaps w:val="false"/>
              </w:rPr>
              <w:t> </w:t>
            </w:r>
          </w:p>
        </w:tc>
        <w:tc>
          <w:tcPr>
            <w:tcW w:w="4250" w:type="dxa"/>
            <w:tcBorders/>
            <w:shd w:fill="auto" w:val="clear"/>
            <w:tcMar>
              <w:bottom w:w="0" w:type="dxa"/>
            </w:tcMar>
            <w:vAlign w:val="center"/>
          </w:tcPr>
          <w:p>
            <w:pPr>
              <w:pStyle w:val="TableContents"/>
              <w:spacing w:before="0" w:after="0"/>
              <w:ind w:left="16" w:right="1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76" w:type="dxa"/>
            <w:tcBorders/>
            <w:shd w:fill="auto" w:val="clear"/>
            <w:tcMar>
              <w:bottom w:w="0" w:type="dxa"/>
            </w:tcMar>
            <w:vAlign w:val="center"/>
          </w:tcPr>
          <w:p>
            <w:pPr>
              <w:pStyle w:val="TableContents"/>
              <w:spacing w:before="0" w:after="0"/>
              <w:ind w:left="16" w:right="16" w:hanging="0"/>
              <w:jc w:val="center"/>
              <w:rPr>
                <w:caps w:val="false"/>
                <w:smallCaps w:val="false"/>
              </w:rPr>
            </w:pPr>
            <w:r>
              <w:rPr>
                <w:caps w:val="false"/>
                <w:smallCaps w:val="false"/>
              </w:rPr>
              <w:t> </w:t>
            </w:r>
          </w:p>
        </w:tc>
        <w:tc>
          <w:tcPr>
            <w:tcW w:w="1385" w:type="dxa"/>
            <w:tcBorders/>
            <w:shd w:fill="auto" w:val="clear"/>
            <w:tcMar>
              <w:bottom w:w="0" w:type="dxa"/>
            </w:tcMar>
            <w:vAlign w:val="center"/>
          </w:tcPr>
          <w:p>
            <w:pPr>
              <w:pStyle w:val="TableContents"/>
              <w:spacing w:before="0" w:after="283"/>
              <w:jc w:val="center"/>
              <w:rPr>
                <w:sz w:val="20"/>
              </w:rPr>
            </w:pPr>
            <w:r>
              <w:rPr>
                <w:sz w:val="20"/>
              </w:rPr>
              <w:t>March 31, 2021</w:t>
            </w:r>
          </w:p>
        </w:tc>
      </w:tr>
      <w:tr>
        <w:trPr/>
        <w:tc>
          <w:tcPr>
            <w:tcW w:w="2031" w:type="dxa"/>
            <w:tcBorders/>
            <w:shd w:fill="auto" w:val="clear"/>
            <w:tcMar>
              <w:bottom w:w="0" w:type="dxa"/>
            </w:tcMar>
            <w:vAlign w:val="center"/>
          </w:tcPr>
          <w:p>
            <w:pPr>
              <w:pStyle w:val="TableContents"/>
              <w:spacing w:before="0" w:after="283"/>
              <w:rPr/>
            </w:pPr>
            <w:r>
              <w:rPr/>
              <w:t>Robert B. Jones</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jc w:val="center"/>
              <w:rPr/>
            </w:pPr>
            <w:r>
              <w:rPr/>
              <w:t>(Principal Executive Officer)</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/s/Peter A. Clemens</w:t>
            </w:r>
          </w:p>
        </w:tc>
        <w:tc>
          <w:tcPr>
            <w:tcW w:w="76" w:type="dxa"/>
            <w:tcBorders/>
            <w:shd w:fill="auto" w:val="clear"/>
            <w:tcMar>
              <w:bottom w:w="0" w:type="dxa"/>
            </w:tcMar>
            <w:vAlign w:val="center"/>
          </w:tcPr>
          <w:p>
            <w:pPr>
              <w:pStyle w:val="TableContents"/>
              <w:spacing w:before="0" w:after="283"/>
              <w:ind w:left="16" w:right="16" w:hanging="0"/>
              <w:rPr>
                <w:sz w:val="4"/>
                <w:szCs w:val="4"/>
              </w:rPr>
            </w:pPr>
            <w:r>
              <w:rPr>
                <w:sz w:val="4"/>
                <w:szCs w:val="4"/>
              </w:rPr>
            </w:r>
          </w:p>
        </w:tc>
        <w:tc>
          <w:tcPr>
            <w:tcW w:w="4250" w:type="dxa"/>
            <w:tcBorders/>
            <w:shd w:fill="auto" w:val="clear"/>
            <w:tcMar>
              <w:bottom w:w="0" w:type="dxa"/>
            </w:tcMar>
            <w:vAlign w:val="center"/>
          </w:tcPr>
          <w:p>
            <w:pPr>
              <w:pStyle w:val="TableContents"/>
              <w:spacing w:before="0" w:after="0"/>
              <w:ind w:left="16" w:right="1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c>
          <w:tcPr>
            <w:tcW w:w="76" w:type="dxa"/>
            <w:tcBorders/>
            <w:shd w:fill="auto" w:val="clear"/>
            <w:tcMar>
              <w:bottom w:w="0" w:type="dxa"/>
            </w:tcMar>
            <w:vAlign w:val="center"/>
          </w:tcPr>
          <w:p>
            <w:pPr>
              <w:pStyle w:val="TableContents"/>
              <w:spacing w:before="0" w:after="0"/>
              <w:ind w:left="16" w:right="16" w:hanging="0"/>
              <w:jc w:val="center"/>
              <w:rPr>
                <w:caps w:val="false"/>
                <w:smallCaps w:val="false"/>
              </w:rPr>
            </w:pPr>
            <w:r>
              <w:rPr>
                <w:caps w:val="false"/>
                <w:smallCaps w:val="false"/>
              </w:rPr>
              <w:t> </w:t>
            </w:r>
          </w:p>
        </w:tc>
        <w:tc>
          <w:tcPr>
            <w:tcW w:w="1385" w:type="dxa"/>
            <w:tcBorders/>
            <w:shd w:fill="auto" w:val="clear"/>
            <w:tcMar>
              <w:bottom w:w="0" w:type="dxa"/>
            </w:tcMar>
            <w:vAlign w:val="center"/>
          </w:tcPr>
          <w:p>
            <w:pPr>
              <w:pStyle w:val="TableContents"/>
              <w:spacing w:before="0" w:after="283"/>
              <w:jc w:val="center"/>
              <w:rPr>
                <w:sz w:val="20"/>
              </w:rPr>
            </w:pPr>
            <w:r>
              <w:rPr>
                <w:sz w:val="20"/>
              </w:rPr>
              <w:t>March 31, 2021</w:t>
            </w:r>
          </w:p>
        </w:tc>
      </w:tr>
      <w:tr>
        <w:trPr/>
        <w:tc>
          <w:tcPr>
            <w:tcW w:w="2031" w:type="dxa"/>
            <w:tcBorders/>
            <w:shd w:fill="auto" w:val="clear"/>
            <w:tcMar>
              <w:bottom w:w="0" w:type="dxa"/>
            </w:tcMar>
            <w:vAlign w:val="center"/>
          </w:tcPr>
          <w:p>
            <w:pPr>
              <w:pStyle w:val="TableContents"/>
              <w:spacing w:before="0" w:after="283"/>
              <w:rPr/>
            </w:pPr>
            <w:r>
              <w:rPr/>
              <w:t>Peter A. Clemens</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jc w:val="center"/>
              <w:rPr/>
            </w:pPr>
            <w:r>
              <w:rPr/>
              <w:t>(Principal Financial and Accounting Officer)</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K. Ross</w:t>
            </w:r>
          </w:p>
        </w:tc>
        <w:tc>
          <w:tcPr>
            <w:tcW w:w="76" w:type="dxa"/>
            <w:tcBorders/>
            <w:shd w:fill="auto" w:val="clear"/>
            <w:tcMar>
              <w:bottom w:w="0" w:type="dxa"/>
            </w:tcMar>
            <w:vAlign w:val="center"/>
          </w:tcPr>
          <w:p>
            <w:pPr>
              <w:pStyle w:val="TableContents"/>
              <w:spacing w:before="0" w:after="0"/>
              <w:ind w:left="16" w:right="16" w:hanging="0"/>
              <w:rPr>
                <w:caps w:val="false"/>
                <w:smallCaps w:val="false"/>
              </w:rPr>
            </w:pPr>
            <w:r>
              <w:rPr>
                <w:caps w:val="false"/>
                <w:smallCaps w:val="false"/>
              </w:rPr>
              <w:t> </w:t>
            </w:r>
          </w:p>
        </w:tc>
        <w:tc>
          <w:tcPr>
            <w:tcW w:w="4250" w:type="dxa"/>
            <w:tcBorders/>
            <w:shd w:fill="auto" w:val="clear"/>
            <w:tcMar>
              <w:bottom w:w="0" w:type="dxa"/>
            </w:tcMar>
            <w:vAlign w:val="center"/>
          </w:tcPr>
          <w:p>
            <w:pPr>
              <w:pStyle w:val="TableContents"/>
              <w:spacing w:before="0" w:after="283"/>
              <w:jc w:val="center"/>
              <w:rPr>
                <w:sz w:val="20"/>
              </w:rPr>
            </w:pPr>
            <w:r>
              <w:rPr>
                <w:sz w:val="20"/>
              </w:rPr>
              <w:t>Director</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center"/>
              <w:rPr>
                <w:sz w:val="20"/>
              </w:rPr>
            </w:pPr>
            <w:r>
              <w:rPr>
                <w:sz w:val="20"/>
              </w:rPr>
              <w:t>March 31, 2021</w:t>
            </w:r>
          </w:p>
        </w:tc>
      </w:tr>
      <w:tr>
        <w:trPr/>
        <w:tc>
          <w:tcPr>
            <w:tcW w:w="2031" w:type="dxa"/>
            <w:tcBorders/>
            <w:shd w:fill="auto" w:val="clear"/>
            <w:tcMar>
              <w:bottom w:w="0" w:type="dxa"/>
            </w:tcMar>
            <w:vAlign w:val="center"/>
          </w:tcPr>
          <w:p>
            <w:pPr>
              <w:pStyle w:val="TableContents"/>
              <w:spacing w:before="0" w:after="283"/>
              <w:rPr/>
            </w:pPr>
            <w:r>
              <w:rPr/>
              <w:t>George K. Ross</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jc w:val="center"/>
              <w:rPr/>
            </w:pPr>
            <w:r>
              <w:rPr/>
              <w:t> </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G. Skelly</w:t>
            </w:r>
          </w:p>
        </w:tc>
        <w:tc>
          <w:tcPr>
            <w:tcW w:w="76"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4250" w:type="dxa"/>
            <w:tcBorders/>
            <w:shd w:fill="auto" w:val="clear"/>
            <w:tcMar>
              <w:bottom w:w="0" w:type="dxa"/>
            </w:tcMar>
            <w:vAlign w:val="center"/>
          </w:tcPr>
          <w:p>
            <w:pPr>
              <w:pStyle w:val="TableContents"/>
              <w:spacing w:before="0" w:after="283"/>
              <w:jc w:val="center"/>
              <w:rPr>
                <w:sz w:val="20"/>
              </w:rPr>
            </w:pPr>
            <w:r>
              <w:rPr>
                <w:sz w:val="20"/>
              </w:rPr>
              <w:t>Director</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center"/>
              <w:rPr>
                <w:sz w:val="20"/>
              </w:rPr>
            </w:pPr>
            <w:r>
              <w:rPr>
                <w:sz w:val="20"/>
              </w:rPr>
              <w:t>March 31, 2021</w:t>
            </w:r>
          </w:p>
        </w:tc>
      </w:tr>
      <w:tr>
        <w:trPr/>
        <w:tc>
          <w:tcPr>
            <w:tcW w:w="2031" w:type="dxa"/>
            <w:tcBorders/>
            <w:shd w:fill="auto" w:val="clear"/>
            <w:tcMar>
              <w:bottom w:w="0" w:type="dxa"/>
            </w:tcMar>
            <w:vAlign w:val="center"/>
          </w:tcPr>
          <w:p>
            <w:pPr>
              <w:pStyle w:val="TableContents"/>
              <w:spacing w:before="0" w:after="283"/>
              <w:rPr/>
            </w:pPr>
            <w:r>
              <w:rPr/>
              <w:t>William G. Skelly</w:t>
            </w:r>
          </w:p>
        </w:tc>
        <w:tc>
          <w:tcPr>
            <w:tcW w:w="76" w:type="dxa"/>
            <w:tcBorders/>
            <w:shd w:fill="auto" w:val="clear"/>
            <w:tcMar>
              <w:bottom w:w="0" w:type="dxa"/>
            </w:tcMar>
            <w:vAlign w:val="center"/>
          </w:tcPr>
          <w:p>
            <w:pPr>
              <w:pStyle w:val="TableContents"/>
              <w:spacing w:before="0" w:after="283"/>
              <w:rPr/>
            </w:pPr>
            <w:r>
              <w:rPr/>
              <w:t> </w:t>
            </w:r>
          </w:p>
        </w:tc>
        <w:tc>
          <w:tcPr>
            <w:tcW w:w="4326" w:type="dxa"/>
            <w:gridSpan w:val="2"/>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326" w:type="dxa"/>
            <w:gridSpan w:val="2"/>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bottom w:val="single" w:sz="8" w:space="0" w:color="000000"/>
            </w:tcBorders>
            <w:shd w:fill="auto" w:val="clear"/>
            <w:vAlign w:val="center"/>
          </w:tcPr>
          <w:p>
            <w:pPr>
              <w:pStyle w:val="TableContents"/>
              <w:spacing w:before="0" w:after="0"/>
              <w:ind w:left="16" w:right="16" w:hanging="0"/>
              <w:rPr>
                <w:caps w:val="false"/>
                <w:smallCaps w:val="false"/>
              </w:rPr>
            </w:pPr>
            <w:r>
              <w:rPr>
                <w:caps w:val="false"/>
                <w:smallCaps w:val="false"/>
              </w:rPr>
              <w:t> </w:t>
            </w:r>
            <w:r>
              <w:rPr>
                <w:rFonts w:ascii="Times New Roman;Times;Serif" w:hAnsi="Times New Roman;Times;Serif"/>
                <w:b w:val="false"/>
                <w:i w:val="false"/>
                <w:caps w:val="false"/>
                <w:smallCaps w:val="false"/>
                <w:sz w:val="20"/>
              </w:rPr>
              <w:t>/s/ Immanuel Thangaraj</w:t>
            </w:r>
          </w:p>
        </w:tc>
        <w:tc>
          <w:tcPr>
            <w:tcW w:w="76" w:type="dxa"/>
            <w:tcBorders/>
            <w:shd w:fill="auto" w:val="clear"/>
            <w:tcMar>
              <w:bottom w:w="0" w:type="dxa"/>
            </w:tcMar>
            <w:vAlign w:val="center"/>
          </w:tcPr>
          <w:p>
            <w:pPr>
              <w:pStyle w:val="TableContents"/>
              <w:spacing w:before="0" w:after="0"/>
              <w:ind w:left="16" w:right="16" w:hanging="0"/>
              <w:rPr>
                <w:caps w:val="false"/>
                <w:smallCaps w:val="false"/>
              </w:rPr>
            </w:pPr>
            <w:r>
              <w:rPr>
                <w:caps w:val="false"/>
                <w:smallCaps w:val="false"/>
              </w:rPr>
              <w:t> </w:t>
            </w:r>
          </w:p>
        </w:tc>
        <w:tc>
          <w:tcPr>
            <w:tcW w:w="4250" w:type="dxa"/>
            <w:tcBorders/>
            <w:shd w:fill="auto" w:val="clear"/>
            <w:tcMar>
              <w:bottom w:w="0" w:type="dxa"/>
            </w:tcMar>
            <w:vAlign w:val="center"/>
          </w:tcPr>
          <w:p>
            <w:pPr>
              <w:pStyle w:val="TableContents"/>
              <w:spacing w:before="0" w:after="0"/>
              <w:ind w:left="16" w:right="16"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c>
          <w:tcPr>
            <w:tcW w:w="76" w:type="dxa"/>
            <w:tcBorders/>
            <w:shd w:fill="auto" w:val="clear"/>
            <w:tcMar>
              <w:bottom w:w="0" w:type="dxa"/>
            </w:tcMar>
            <w:vAlign w:val="center"/>
          </w:tcPr>
          <w:p>
            <w:pPr>
              <w:pStyle w:val="TableContents"/>
              <w:spacing w:before="0" w:after="0"/>
              <w:ind w:left="16" w:right="16" w:hanging="0"/>
              <w:jc w:val="center"/>
              <w:rPr>
                <w:caps w:val="false"/>
                <w:smallCaps w:val="false"/>
              </w:rPr>
            </w:pPr>
            <w:r>
              <w:rPr>
                <w:caps w:val="false"/>
                <w:smallCaps w:val="false"/>
              </w:rPr>
              <w:t> </w:t>
            </w:r>
          </w:p>
        </w:tc>
        <w:tc>
          <w:tcPr>
            <w:tcW w:w="1385" w:type="dxa"/>
            <w:tcBorders/>
            <w:shd w:fill="auto" w:val="clear"/>
            <w:tcMar>
              <w:bottom w:w="0" w:type="dxa"/>
            </w:tcMar>
            <w:vAlign w:val="center"/>
          </w:tcPr>
          <w:p>
            <w:pPr>
              <w:pStyle w:val="TableContents"/>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March 31, 2021</w:t>
            </w:r>
          </w:p>
        </w:tc>
      </w:tr>
      <w:tr>
        <w:trPr/>
        <w:tc>
          <w:tcPr>
            <w:tcW w:w="2031" w:type="dxa"/>
            <w:tcBorders/>
            <w:shd w:fill="auto" w:val="clear"/>
            <w:tcMar>
              <w:bottom w:w="0" w:type="dxa"/>
            </w:tcMar>
            <w:vAlign w:val="center"/>
          </w:tcPr>
          <w:p>
            <w:pPr>
              <w:pStyle w:val="TableContents"/>
              <w:spacing w:before="0" w:after="283"/>
              <w:rPr/>
            </w:pPr>
            <w:r>
              <w:rPr/>
              <w:t>Immanuel Thangaraj</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1385" w:type="dxa"/>
            <w:tcBorders/>
            <w:shd w:fill="auto" w:val="clear"/>
            <w:tcMar>
              <w:bottom w:w="0" w:type="dxa"/>
            </w:tcMar>
            <w:vAlign w:val="center"/>
          </w:tcPr>
          <w:p>
            <w:pPr>
              <w:pStyle w:val="TableContents"/>
              <w:spacing w:before="0" w:after="283"/>
              <w:rPr/>
            </w:pPr>
            <w:r>
              <w:rPr/>
              <w:t> </w:t>
            </w:r>
          </w:p>
        </w:tc>
      </w:tr>
      <w:tr>
        <w:trPr/>
        <w:tc>
          <w:tcPr>
            <w:tcW w:w="2031" w:type="dxa"/>
            <w:tcBorders/>
            <w:shd w:fill="auto" w:val="clear"/>
            <w:tcMar>
              <w:bottom w:w="0" w:type="dxa"/>
            </w:tcMar>
            <w:vAlign w:val="center"/>
          </w:tcPr>
          <w:p>
            <w:pPr>
              <w:pStyle w:val="TableContents"/>
              <w:spacing w:before="0" w:after="283"/>
              <w:rPr/>
            </w:pPr>
            <w:r>
              <w:rPr/>
              <w:t> </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jc w:val="center"/>
              <w:rPr/>
            </w:pPr>
            <w:r>
              <w:rPr/>
              <w:t> </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r>
        <w:trPr/>
        <w:tc>
          <w:tcPr>
            <w:tcW w:w="2031"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Bruce F Wesson</w:t>
            </w:r>
          </w:p>
        </w:tc>
        <w:tc>
          <w:tcPr>
            <w:tcW w:w="76" w:type="dxa"/>
            <w:tcBorders/>
            <w:shd w:fill="auto" w:val="clear"/>
            <w:tcMar>
              <w:bottom w:w="0" w:type="dxa"/>
            </w:tcMar>
            <w:vAlign w:val="center"/>
          </w:tcPr>
          <w:p>
            <w:pPr>
              <w:pStyle w:val="TableContents"/>
              <w:spacing w:before="0" w:after="0"/>
              <w:ind w:left="16" w:right="16" w:hanging="0"/>
              <w:rPr>
                <w:caps w:val="false"/>
                <w:smallCaps w:val="false"/>
              </w:rPr>
            </w:pPr>
            <w:r>
              <w:rPr>
                <w:caps w:val="false"/>
                <w:smallCaps w:val="false"/>
              </w:rPr>
              <w:t> </w:t>
            </w:r>
          </w:p>
        </w:tc>
        <w:tc>
          <w:tcPr>
            <w:tcW w:w="4250" w:type="dxa"/>
            <w:tcBorders/>
            <w:shd w:fill="auto" w:val="clear"/>
            <w:tcMar>
              <w:bottom w:w="0" w:type="dxa"/>
            </w:tcMar>
            <w:vAlign w:val="center"/>
          </w:tcPr>
          <w:p>
            <w:pPr>
              <w:pStyle w:val="TableContents"/>
              <w:spacing w:before="0" w:after="283"/>
              <w:jc w:val="center"/>
              <w:rPr>
                <w:sz w:val="20"/>
              </w:rPr>
            </w:pPr>
            <w:r>
              <w:rPr>
                <w:sz w:val="20"/>
              </w:rPr>
              <w:t>Director</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center"/>
              <w:rPr>
                <w:sz w:val="20"/>
              </w:rPr>
            </w:pPr>
            <w:r>
              <w:rPr>
                <w:sz w:val="20"/>
              </w:rPr>
              <w:t>March 31, 2021</w:t>
            </w:r>
          </w:p>
        </w:tc>
      </w:tr>
      <w:tr>
        <w:trPr/>
        <w:tc>
          <w:tcPr>
            <w:tcW w:w="2031" w:type="dxa"/>
            <w:tcBorders/>
            <w:shd w:fill="auto" w:val="clear"/>
            <w:tcMar>
              <w:bottom w:w="0" w:type="dxa"/>
            </w:tcMar>
            <w:vAlign w:val="center"/>
          </w:tcPr>
          <w:p>
            <w:pPr>
              <w:pStyle w:val="TableContents"/>
              <w:spacing w:before="0" w:after="283"/>
              <w:rPr/>
            </w:pPr>
            <w:r>
              <w:rPr/>
              <w:t>Bruce F. Wesson</w:t>
            </w:r>
          </w:p>
        </w:tc>
        <w:tc>
          <w:tcPr>
            <w:tcW w:w="76"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jc w:val="center"/>
              <w:rPr/>
            </w:pPr>
            <w:r>
              <w:rPr/>
              <w:t> </w:t>
            </w:r>
          </w:p>
        </w:tc>
        <w:tc>
          <w:tcPr>
            <w:tcW w:w="76" w:type="dxa"/>
            <w:tcBorders/>
            <w:shd w:fill="auto" w:val="clear"/>
            <w:tcMar>
              <w:bottom w:w="0" w:type="dxa"/>
            </w:tcMar>
            <w:vAlign w:val="center"/>
          </w:tcPr>
          <w:p>
            <w:pPr>
              <w:pStyle w:val="TableContents"/>
              <w:spacing w:before="0" w:after="283"/>
              <w:jc w:val="center"/>
              <w:rPr/>
            </w:pPr>
            <w:r>
              <w:rPr/>
              <w:t> </w:t>
            </w:r>
          </w:p>
        </w:tc>
        <w:tc>
          <w:tcPr>
            <w:tcW w:w="1385" w:type="dxa"/>
            <w:tcBorders/>
            <w:shd w:fill="auto" w:val="clear"/>
            <w:tcMar>
              <w:bottom w:w="0" w:type="dxa"/>
            </w:tcMar>
            <w:vAlign w:val="center"/>
          </w:tcPr>
          <w:p>
            <w:pPr>
              <w:pStyle w:val="TableContents"/>
              <w:spacing w:before="0" w:after="283"/>
              <w:jc w:val="righ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49</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28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included as a part of this Annual Report on Form 10-K or incorporated herein by reference.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76"/>
        <w:gridCol w:w="60"/>
        <w:gridCol w:w="9069"/>
      </w:tblGrid>
      <w:tr>
        <w:trPr/>
        <w:tc>
          <w:tcPr>
            <w:tcW w:w="1076" w:type="dxa"/>
            <w:tcBorders>
              <w:bottom w:val="single" w:sz="8" w:space="0" w:color="000000"/>
            </w:tcBorders>
            <w:shd w:fill="auto" w:val="clear"/>
            <w:vAlign w:val="center"/>
          </w:tcPr>
          <w:p>
            <w:pPr>
              <w:pStyle w:val="TableContents"/>
              <w:spacing w:before="0" w:after="283"/>
              <w:rPr/>
            </w:pPr>
            <w:r>
              <w:rPr/>
              <w:t>Exhibit Number </w:t>
            </w:r>
          </w:p>
        </w:tc>
        <w:tc>
          <w:tcPr>
            <w:tcW w:w="60" w:type="dxa"/>
            <w:tcBorders/>
            <w:shd w:fill="auto" w:val="clear"/>
            <w:tcMar>
              <w:bottom w:w="0" w:type="dxa"/>
            </w:tcMar>
            <w:vAlign w:val="center"/>
          </w:tcPr>
          <w:p>
            <w:pPr>
              <w:pStyle w:val="TableContents"/>
              <w:spacing w:before="0" w:after="283"/>
              <w:rPr/>
            </w:pPr>
            <w:r>
              <w:rPr/>
              <w:t> </w:t>
            </w:r>
          </w:p>
        </w:tc>
        <w:tc>
          <w:tcPr>
            <w:tcW w:w="9069" w:type="dxa"/>
            <w:tcBorders>
              <w:bottom w:val="single" w:sz="8" w:space="0" w:color="000000"/>
            </w:tcBorders>
            <w:shd w:fill="auto" w:val="clear"/>
            <w:vAlign w:val="center"/>
          </w:tcPr>
          <w:p>
            <w:pPr>
              <w:pStyle w:val="TableContents"/>
              <w:spacing w:before="0" w:after="283"/>
              <w:jc w:val="center"/>
              <w:rPr/>
            </w:pPr>
            <w:r>
              <w:rPr/>
              <w:t>Exhibit Description</w:t>
            </w:r>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center"/>
              <w:rPr/>
            </w:pPr>
            <w:r>
              <w:rPr/>
              <w:t> </w:t>
            </w:r>
          </w:p>
        </w:tc>
      </w:tr>
      <w:tr>
        <w:trPr/>
        <w:tc>
          <w:tcPr>
            <w:tcW w:w="1076" w:type="dxa"/>
            <w:tcBorders/>
            <w:shd w:fill="auto" w:val="clear"/>
            <w:tcMar>
              <w:bottom w:w="0" w:type="dxa"/>
            </w:tcMar>
            <w:vAlign w:val="center"/>
          </w:tcPr>
          <w:p>
            <w:pPr>
              <w:pStyle w:val="TableContents"/>
              <w:spacing w:before="0" w:after="283"/>
              <w:rPr/>
            </w:pPr>
            <w:hyperlink r:id="rId2">
              <w:r>
                <w:rPr>
                  <w:rStyle w:val="InternetLink"/>
                </w:rPr>
                <w:t>1.1 </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rPr/>
            </w:pPr>
            <w:hyperlink r:id="rId3">
              <w:r>
                <w:rPr>
                  <w:rStyle w:val="InternetLink"/>
                </w:rPr>
                <w:t>Placement Agency Agreement dated June 30, 2015 between Roth Capital Partners LLC and the Registrant (incorporated by reference to Exhibit 1.1 to our  Form 8-K filed July 1, 2015)</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4">
              <w:r>
                <w:rPr>
                  <w:rStyle w:val="InternetLink"/>
                </w:rPr>
                <w:t>3.1</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jc w:val="both"/>
              <w:rPr/>
            </w:pPr>
            <w:hyperlink r:id="rId5">
              <w:r>
                <w:rPr>
                  <w:rStyle w:val="InternetLink"/>
                </w:rPr>
                <w:t>Restated Certificate of Incorporation of the Registrant (incorporated by reference to Exhibit 3.1 to the Registrant’s Form 8-K filed on June 25, 2009).</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6">
              <w:r>
                <w:rPr>
                  <w:rStyle w:val="InternetLink"/>
                </w:rPr>
                <w:t>3.2</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jc w:val="both"/>
              <w:rPr/>
            </w:pPr>
            <w:hyperlink r:id="rId7">
              <w:r>
                <w:rPr>
                  <w:rStyle w:val="InternetLink"/>
                </w:rPr>
                <w:t>Certificate of Amendment Reverse Splitting Common Stock and restating but not changing text of part of Article III of Restated Certificate of Incorporation (incorporated by Reference to Exhibit 3.1 to the Form 8-K filed December 4, 2007).</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8">
              <w:r>
                <w:rPr>
                  <w:rStyle w:val="InternetLink"/>
                </w:rPr>
                <w:t>3.3</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jc w:val="both"/>
              <w:rPr/>
            </w:pPr>
            <w:hyperlink r:id="rId9">
              <w:r>
                <w:rPr>
                  <w:rStyle w:val="InternetLink"/>
                </w:rPr>
                <w:t>Certificate of Amendment Reverse Splitting Common Stock and restating but not changing text of part of Article III of Restated Certificate of Incorporation (incorporated by Reference to Exhibit 3.1 to the Form 8-K filed August 27, 2015).</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10">
              <w:r>
                <w:rPr>
                  <w:rStyle w:val="InternetLink"/>
                </w:rPr>
                <w:t>3.4</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11">
              <w:r>
                <w:rPr>
                  <w:rStyle w:val="InternetLink"/>
                </w:rPr>
                <w:t>Restated Bylaws of the Registrant (incorporated by reference to Exhibit 3.2 to the Form 8-K filed on May 14, 2018).</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12">
              <w:r>
                <w:rPr>
                  <w:rStyle w:val="InternetLink"/>
                </w:rPr>
                <w:t>4.1</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13">
              <w:r>
                <w:rPr>
                  <w:rStyle w:val="InternetLink"/>
                </w:rPr>
                <w:t>Form of Common Stock Certificate  (incorporated by Reference to Exhibit 4.1 to the Form S-3 filed on March 9, 2016)</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14">
              <w:r>
                <w:rPr>
                  <w:rStyle w:val="InternetLink"/>
                </w:rPr>
                <w:t>4.2</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15">
              <w:r>
                <w:rPr>
                  <w:rStyle w:val="InternetLink"/>
                </w:rPr>
                <w:t>Amended and Restated Warrant A-1 issued to Oxford Finance LLC on January 7, 2015 (incorporated by reference to Exhibit 10.9 to our Form 10-K filed March 2, 2015).</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16">
              <w:r>
                <w:rPr>
                  <w:rStyle w:val="InternetLink"/>
                </w:rPr>
                <w:t>4.3</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17">
              <w:r>
                <w:rPr>
                  <w:rStyle w:val="InternetLink"/>
                </w:rPr>
                <w:t>Amended and Restated Warrant A-2 issued to Oxford Finance LLC on January 7, 2015 (incorporated by reference to Exhibit 10.10 to our Form 10-K filed March 2, 2015).</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18">
              <w:r>
                <w:rPr>
                  <w:rStyle w:val="InternetLink"/>
                </w:rPr>
                <w:t>4.4</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19">
              <w:r>
                <w:rPr>
                  <w:rStyle w:val="InternetLink"/>
                </w:rPr>
                <w:t>Amended and Restated Warrant A-3 issued to Oxford Finance LLC on January 7, 2015 (incorporated by reference to Exhibit 10.11 to our Form 10-K filed March 2, 2015).</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20">
              <w:r>
                <w:rPr>
                  <w:rStyle w:val="InternetLink"/>
                </w:rPr>
                <w:t>4.5</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21">
              <w:r>
                <w:rPr>
                  <w:rStyle w:val="InternetLink"/>
                </w:rPr>
                <w:t>Form of Common Stock Warrant issued to John Schutte on July 24, 2017 (incorporated by reference Exhibit 4.1  to our Form 8-K filed July 28, 2017)</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22">
              <w:r>
                <w:rPr>
                  <w:rStyle w:val="InternetLink"/>
                </w:rPr>
                <w:t>10.1</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hyperlink r:id="rId23">
              <w:r>
                <w:rPr>
                  <w:rStyle w:val="InternetLink"/>
                </w:rPr>
                <w:t>Manufacturing Services Agreement dated as of July 19, 2011 between the Registrant and Patheon Pharmaceuticals Inc. (incorporated by reference to Exhibit 10.1 to our Form 8-K filed July 27, 2011) (confidential treatment has been granted for portions of this Exhibit).</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24">
              <w:r>
                <w:rPr>
                  <w:rStyle w:val="InternetLink"/>
                </w:rPr>
                <w:t>10.2</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rPr/>
            </w:pPr>
            <w:hyperlink r:id="rId25">
              <w:r>
                <w:rPr>
                  <w:rStyle w:val="InternetLink"/>
                </w:rPr>
                <w:t>Securities Purchase Agreement dated as of August 20, 2007 (“PIPE SPA”) among the Registrant, Vivo Ventures Fund VI, L.P., Vivo Ventures VI Affiliates Fund, L.P., GCE Holdings LLC, and certain other signatories thereto (incorporated by reference to Exhibit 10.1 to the Form 8-K filed on August 21, 2007). </w:t>
              </w:r>
            </w:hyperlink>
          </w:p>
        </w:tc>
      </w:tr>
      <w:tr>
        <w:trPr/>
        <w:tc>
          <w:tcPr>
            <w:tcW w:w="107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6" w:type="dxa"/>
            <w:tcBorders/>
            <w:shd w:fill="auto" w:val="clear"/>
            <w:tcMar>
              <w:bottom w:w="0" w:type="dxa"/>
            </w:tcMar>
            <w:vAlign w:val="center"/>
          </w:tcPr>
          <w:p>
            <w:pPr>
              <w:pStyle w:val="TableContents"/>
              <w:spacing w:before="0" w:after="283"/>
              <w:rPr/>
            </w:pPr>
            <w:hyperlink r:id="rId26">
              <w:r>
                <w:rPr>
                  <w:rStyle w:val="InternetLink"/>
                </w:rPr>
                <w:t>10.3</w:t>
              </w:r>
            </w:hyperlink>
          </w:p>
        </w:tc>
        <w:tc>
          <w:tcPr>
            <w:tcW w:w="60" w:type="dxa"/>
            <w:tcBorders/>
            <w:shd w:fill="auto" w:val="clear"/>
            <w:tcMar>
              <w:bottom w:w="0" w:type="dxa"/>
            </w:tcMar>
            <w:vAlign w:val="center"/>
          </w:tcPr>
          <w:p>
            <w:pPr>
              <w:pStyle w:val="TableContents"/>
              <w:spacing w:before="0" w:after="283"/>
              <w:rPr/>
            </w:pPr>
            <w:r>
              <w:rPr/>
              <w:t> </w:t>
            </w:r>
          </w:p>
        </w:tc>
        <w:tc>
          <w:tcPr>
            <w:tcW w:w="9069" w:type="dxa"/>
            <w:tcBorders/>
            <w:shd w:fill="auto" w:val="clear"/>
            <w:tcMar>
              <w:bottom w:w="0" w:type="dxa"/>
            </w:tcMar>
            <w:vAlign w:val="center"/>
          </w:tcPr>
          <w:p>
            <w:pPr>
              <w:pStyle w:val="TableContents"/>
              <w:spacing w:before="0" w:after="283"/>
              <w:jc w:val="both"/>
              <w:rPr/>
            </w:pPr>
            <w:hyperlink r:id="rId27">
              <w:r>
                <w:rPr>
                  <w:rStyle w:val="InternetLink"/>
                </w:rPr>
                <w:t>Subscription Agreement dated as of July 24, 2017 between the Registrant and John Schutte (incorporated by reference to Exhibit 10.1 to our Form 8-K filed July 28, 2017)</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E-1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68"/>
        <w:gridCol w:w="60"/>
        <w:gridCol w:w="9377"/>
      </w:tblGrid>
      <w:tr>
        <w:trPr/>
        <w:tc>
          <w:tcPr>
            <w:tcW w:w="768" w:type="dxa"/>
            <w:tcBorders>
              <w:bottom w:val="single" w:sz="8" w:space="0" w:color="000000"/>
            </w:tcBorders>
            <w:shd w:fill="auto" w:val="clear"/>
            <w:vAlign w:val="center"/>
          </w:tcPr>
          <w:p>
            <w:pPr>
              <w:pStyle w:val="TableContents"/>
              <w:spacing w:before="0" w:after="283"/>
              <w:ind w:left="0" w:right="0" w:hanging="900"/>
              <w:rPr>
                <w:b/>
              </w:rPr>
            </w:pPr>
            <w:r>
              <w:rPr>
                <w:b/>
              </w:rPr>
              <w:t>Exhibit Number </w:t>
            </w:r>
          </w:p>
        </w:tc>
        <w:tc>
          <w:tcPr>
            <w:tcW w:w="60" w:type="dxa"/>
            <w:tcBorders/>
            <w:shd w:fill="auto" w:val="clear"/>
            <w:tcMar>
              <w:bottom w:w="0" w:type="dxa"/>
            </w:tcMar>
            <w:vAlign w:val="center"/>
          </w:tcPr>
          <w:p>
            <w:pPr>
              <w:pStyle w:val="TableContents"/>
              <w:spacing w:before="0" w:after="283"/>
              <w:rPr/>
            </w:pPr>
            <w:r>
              <w:rPr/>
              <w:t> </w:t>
            </w:r>
          </w:p>
        </w:tc>
        <w:tc>
          <w:tcPr>
            <w:tcW w:w="9377" w:type="dxa"/>
            <w:tcBorders>
              <w:bottom w:val="single" w:sz="8" w:space="0" w:color="000000"/>
            </w:tcBorders>
            <w:shd w:fill="auto" w:val="clear"/>
            <w:vAlign w:val="center"/>
          </w:tcPr>
          <w:p>
            <w:pPr>
              <w:pStyle w:val="TableContents"/>
              <w:spacing w:before="0" w:after="283"/>
              <w:ind w:left="0" w:right="0" w:hanging="900"/>
              <w:jc w:val="center"/>
              <w:rPr>
                <w:b/>
              </w:rPr>
            </w:pPr>
            <w:r>
              <w:rPr>
                <w:b/>
              </w:rPr>
              <w:t>Exhibit Description</w:t>
            </w:r>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center"/>
              <w:rPr/>
            </w:pPr>
            <w:r>
              <w:rPr/>
              <w:t> </w:t>
            </w:r>
          </w:p>
        </w:tc>
      </w:tr>
      <w:tr>
        <w:trPr/>
        <w:tc>
          <w:tcPr>
            <w:tcW w:w="768" w:type="dxa"/>
            <w:tcBorders/>
            <w:shd w:fill="auto" w:val="clear"/>
            <w:tcMar>
              <w:bottom w:w="0" w:type="dxa"/>
            </w:tcMar>
            <w:vAlign w:val="center"/>
          </w:tcPr>
          <w:p>
            <w:pPr>
              <w:pStyle w:val="TableContents"/>
              <w:spacing w:before="0" w:after="283"/>
              <w:rPr/>
            </w:pPr>
            <w:hyperlink r:id="rId28">
              <w:r>
                <w:rPr>
                  <w:rStyle w:val="InternetLink"/>
                  <w:sz w:val="20"/>
                </w:rPr>
                <w:t>10.4</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29">
              <w:r>
                <w:rPr>
                  <w:rStyle w:val="InternetLink"/>
                  <w:sz w:val="20"/>
                </w:rPr>
                <w:t>Loan and Security Agreement dated as of December 27, 2013 between Acura Pharmaceuticals, Inc., Acura Pharmaceutical Technologies, Inc., and Oxford Finance LLC (incorporated by reference to Exhibit 10.6 to the Form 10-K filed March 3, 2014).</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30">
              <w:r>
                <w:rPr>
                  <w:rStyle w:val="InternetLink"/>
                  <w:sz w:val="20"/>
                </w:rPr>
                <w:t>10.5</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31">
              <w:r>
                <w:rPr>
                  <w:rStyle w:val="InternetLink"/>
                  <w:sz w:val="20"/>
                </w:rPr>
                <w:t>First Amendment to Loan and Security Agreement entered into as of January 7, 2015 between Oxford Finance LLC, the Registrant and Acura Pharmaceutical Technologies, Inc. (incorporated by reference to Exhibit 10.8 to our Form 10-K filed March 2, 2015).</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32">
              <w:r>
                <w:rPr>
                  <w:rStyle w:val="InternetLink"/>
                  <w:sz w:val="20"/>
                </w:rPr>
                <w:t>10.6</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33">
              <w:r>
                <w:rPr>
                  <w:rStyle w:val="InternetLink"/>
                  <w:sz w:val="20"/>
                </w:rPr>
                <w:t xml:space="preserve">Second Amendment to Loan and Security Agreement entered into as of October 13, 2016 between Oxford Finance LLC, the Registrant and Acura Pharmaceutical Technologies, Inc. (incorporated by reference to Exhibit 10.6 to the Registration Statement on Form S-1 filed February 3, 2017, File No. 333-215885) </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34">
              <w:r>
                <w:rPr>
                  <w:rStyle w:val="InternetLink"/>
                  <w:sz w:val="20"/>
                </w:rPr>
                <w:t>10.7</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35">
              <w:r>
                <w:rPr>
                  <w:rStyle w:val="InternetLink"/>
                  <w:sz w:val="20"/>
                </w:rPr>
                <w:t>Form of Mortgage dated December 27, 2013 (incorporated by reference to Exhibit 10.8 to the Form 10-K filed March 3, 2014).</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36">
              <w:r>
                <w:rPr>
                  <w:rStyle w:val="InternetLink"/>
                  <w:sz w:val="20"/>
                </w:rPr>
                <w:t>10.8</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37">
              <w:r>
                <w:rPr>
                  <w:rStyle w:val="InternetLink"/>
                  <w:sz w:val="20"/>
                </w:rPr>
                <w:t>Collaboration and License Agreement entered into as of January 7, 2015 between the Registrant, Egalet US, Inc., Egalet Limited and with respect to Section 17.21, Egalet Corporation (certain information has been omitted and filed separately with the Securities and Exchange Commission and confidential treatment has been granted with respect to the omitted portion) (incorporated by reference to Exhibit 10.13 to the Form 10-K for the year ending December 31, 2014, filed March 2, 2015).</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38">
              <w:r>
                <w:rPr>
                  <w:rStyle w:val="InternetLink"/>
                  <w:sz w:val="20"/>
                </w:rPr>
                <w:t>10.9</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39">
              <w:r>
                <w:rPr>
                  <w:rStyle w:val="InternetLink"/>
                  <w:sz w:val="20"/>
                </w:rPr>
                <w:t xml:space="preserve">License and Development Agreement dated as of June 5, 2015 between the Registrant and Bayer HealthCare LLC (certain information has been omitted and filed separately with the Securities and Exchange Commission and confidential treatment has been granted with respect to the omitted portion) (incorporated by reference to Exhibit 10.1  to our  Form 10-Q/A filed February 16, 2016). </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40">
              <w:r>
                <w:rPr>
                  <w:rStyle w:val="InternetLink"/>
                  <w:sz w:val="20"/>
                </w:rPr>
                <w:t>10.10</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41">
              <w:r>
                <w:rPr>
                  <w:rStyle w:val="InternetLink"/>
                  <w:sz w:val="20"/>
                </w:rPr>
                <w:t>Amended and Restated Voting Agreement dated as of February 6, 2004 among the Registrant, Care Capital Investments II, LP, Essex Woodlands Health Ventures V, L.P., Galen Partners III, L.P., and others (incorporated by reference to Exhibit 10.5 of the Form 8-K filed on February 10, 2004 (the “February 2004 Form 8-K”)).</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42">
              <w:r>
                <w:rPr>
                  <w:rStyle w:val="InternetLink"/>
                  <w:sz w:val="20"/>
                </w:rPr>
                <w:t>10.11</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43">
              <w:r>
                <w:rPr>
                  <w:rStyle w:val="InternetLink"/>
                  <w:sz w:val="20"/>
                </w:rPr>
                <w:t>Joinder and Amendment to Amended and Restated Voting Agreement dated November 9, 2005 between the Registrant, GCE Holdings, Essex Woodlands Health Ventures V, L.P., Care Capital Investments II, LP, Galen Partners III, L.P. and others (incorporated by reference to Exhibit 10.1 to the Form 8-K filed November 10, 2005).</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44">
              <w:r>
                <w:rPr>
                  <w:rStyle w:val="InternetLink"/>
                  <w:sz w:val="20"/>
                </w:rPr>
                <w:t>10.12</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45">
              <w:r>
                <w:rPr>
                  <w:rStyle w:val="InternetLink"/>
                  <w:sz w:val="20"/>
                </w:rPr>
                <w:t>Second Amendment to Amended and Restated Voting Agreement dated as of January 24, 2008 between the Registrant and GCE Holdings, LLC (incorporated by reference to Exhibit 10.1 to the Form 8-K filed January 28, 2008).</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46">
              <w:r>
                <w:rPr>
                  <w:rStyle w:val="InternetLink"/>
                  <w:sz w:val="20"/>
                </w:rPr>
                <w:t>10.13</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hyperlink r:id="rId47">
              <w:r>
                <w:rPr>
                  <w:rStyle w:val="InternetLink"/>
                  <w:sz w:val="20"/>
                </w:rPr>
                <w:t>Third Amendment to Amended and Restated Voting Agreement dated as of October 1, 2012 between the Registrant, Care Capital Investments II, LP, Essex Woodlands Health Ventures V, L.P., Galen Partners III, L.P., and others (incorporated by reference to Exhibit 10.1 of the Form 8-K filed on October 3, 2012).</w:t>
              </w:r>
            </w:hyperlink>
          </w:p>
        </w:tc>
      </w:tr>
      <w:tr>
        <w:trPr/>
        <w:tc>
          <w:tcPr>
            <w:tcW w:w="7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ind w:left="0" w:right="0" w:hanging="900"/>
              <w:jc w:val="both"/>
              <w:rPr/>
            </w:pPr>
            <w:r>
              <w:rPr/>
              <w:t> </w:t>
            </w:r>
          </w:p>
        </w:tc>
      </w:tr>
      <w:tr>
        <w:trPr/>
        <w:tc>
          <w:tcPr>
            <w:tcW w:w="768" w:type="dxa"/>
            <w:tcBorders/>
            <w:shd w:fill="auto" w:val="clear"/>
            <w:tcMar>
              <w:bottom w:w="0" w:type="dxa"/>
            </w:tcMar>
            <w:vAlign w:val="center"/>
          </w:tcPr>
          <w:p>
            <w:pPr>
              <w:pStyle w:val="TableContents"/>
              <w:spacing w:before="0" w:after="283"/>
              <w:rPr/>
            </w:pPr>
            <w:hyperlink r:id="rId48">
              <w:r>
                <w:rPr>
                  <w:rStyle w:val="InternetLink"/>
                  <w:sz w:val="20"/>
                </w:rPr>
                <w:t>10.14</w:t>
              </w:r>
            </w:hyperlink>
          </w:p>
        </w:tc>
        <w:tc>
          <w:tcPr>
            <w:tcW w:w="60" w:type="dxa"/>
            <w:tcBorders/>
            <w:shd w:fill="auto" w:val="clear"/>
            <w:tcMar>
              <w:bottom w:w="0" w:type="dxa"/>
            </w:tcMar>
            <w:vAlign w:val="center"/>
          </w:tcPr>
          <w:p>
            <w:pPr>
              <w:pStyle w:val="TableContents"/>
              <w:spacing w:before="0" w:after="283"/>
              <w:rPr/>
            </w:pPr>
            <w:r>
              <w:rPr/>
              <w:t> </w:t>
            </w:r>
          </w:p>
        </w:tc>
        <w:tc>
          <w:tcPr>
            <w:tcW w:w="9377" w:type="dxa"/>
            <w:tcBorders/>
            <w:shd w:fill="auto" w:val="clear"/>
            <w:tcMar>
              <w:bottom w:w="0" w:type="dxa"/>
            </w:tcMar>
            <w:vAlign w:val="center"/>
          </w:tcPr>
          <w:p>
            <w:pPr>
              <w:pStyle w:val="TableContents"/>
              <w:spacing w:before="0" w:after="283"/>
              <w:jc w:val="both"/>
              <w:rPr/>
            </w:pPr>
            <w:hyperlink r:id="rId49">
              <w:r>
                <w:rPr>
                  <w:rStyle w:val="InternetLink"/>
                  <w:sz w:val="20"/>
                </w:rPr>
                <w:t xml:space="preserve">Second Amended and Restated Voting Agreement executed July 2017 and dated as of July 24, 2017 (incorporated by reference to Exhibit 10.1 to the 8-K dated filed August 1, 2017) </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15"/>
        <w:gridCol w:w="60"/>
        <w:gridCol w:w="9130"/>
      </w:tblGrid>
      <w:tr>
        <w:trPr/>
        <w:tc>
          <w:tcPr>
            <w:tcW w:w="1015" w:type="dxa"/>
            <w:tcBorders>
              <w:bottom w:val="single" w:sz="8" w:space="0" w:color="000000"/>
            </w:tcBorders>
            <w:shd w:fill="auto" w:val="clear"/>
            <w:vAlign w:val="center"/>
          </w:tcPr>
          <w:p>
            <w:pPr>
              <w:pStyle w:val="TableContents"/>
              <w:spacing w:before="0" w:after="283"/>
              <w:ind w:left="0" w:right="0" w:hanging="900"/>
              <w:rPr/>
            </w:pPr>
            <w:r>
              <w:rPr/>
              <w:t>Exhibit Number </w:t>
            </w:r>
          </w:p>
        </w:tc>
        <w:tc>
          <w:tcPr>
            <w:tcW w:w="60" w:type="dxa"/>
            <w:tcBorders/>
            <w:shd w:fill="auto" w:val="clear"/>
            <w:tcMar>
              <w:bottom w:w="0" w:type="dxa"/>
            </w:tcMar>
            <w:vAlign w:val="center"/>
          </w:tcPr>
          <w:p>
            <w:pPr>
              <w:pStyle w:val="TableContents"/>
              <w:spacing w:before="0" w:after="283"/>
              <w:rPr/>
            </w:pPr>
            <w:r>
              <w:rPr/>
              <w:t> </w:t>
            </w:r>
          </w:p>
        </w:tc>
        <w:tc>
          <w:tcPr>
            <w:tcW w:w="9130" w:type="dxa"/>
            <w:tcBorders>
              <w:bottom w:val="single" w:sz="8" w:space="0" w:color="000000"/>
            </w:tcBorders>
            <w:shd w:fill="auto" w:val="clear"/>
            <w:vAlign w:val="center"/>
          </w:tcPr>
          <w:p>
            <w:pPr>
              <w:pStyle w:val="TableContents"/>
              <w:spacing w:before="0" w:after="283"/>
              <w:ind w:left="0" w:right="0" w:hanging="900"/>
              <w:jc w:val="center"/>
              <w:rPr/>
            </w:pPr>
            <w:r>
              <w:rPr/>
              <w:t>Exhibit Description</w:t>
            </w:r>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center"/>
              <w:rPr/>
            </w:pPr>
            <w:r>
              <w:rPr/>
              <w:t> </w:t>
            </w:r>
          </w:p>
        </w:tc>
      </w:tr>
      <w:tr>
        <w:trPr/>
        <w:tc>
          <w:tcPr>
            <w:tcW w:w="1015" w:type="dxa"/>
            <w:tcBorders/>
            <w:shd w:fill="auto" w:val="clear"/>
            <w:tcMar>
              <w:bottom w:w="0" w:type="dxa"/>
            </w:tcMar>
            <w:vAlign w:val="center"/>
          </w:tcPr>
          <w:p>
            <w:pPr>
              <w:pStyle w:val="TableContents"/>
              <w:spacing w:before="0" w:after="283"/>
              <w:rPr/>
            </w:pPr>
            <w:hyperlink r:id="rId50">
              <w:r>
                <w:rPr>
                  <w:rStyle w:val="InternetLink"/>
                </w:rPr>
                <w:t>†</w:t>
              </w:r>
              <w:r>
                <w:rPr>
                  <w:rStyle w:val="InternetLink"/>
                </w:rPr>
                <w:t>10.15</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51">
              <w:r>
                <w:rPr>
                  <w:rStyle w:val="InternetLink"/>
                </w:rPr>
                <w:t>Registrant’s 1998 Stock Option Plan, as amended (incorporated by reference to Appendix C to the Registrant’s Proxy Statement filed on May 12, 2009).</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52">
              <w:r>
                <w:rPr>
                  <w:rStyle w:val="InternetLink"/>
                </w:rPr>
                <w:t>†</w:t>
              </w:r>
              <w:r>
                <w:rPr>
                  <w:rStyle w:val="InternetLink"/>
                </w:rPr>
                <w:t>10.16</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53">
              <w:r>
                <w:rPr>
                  <w:rStyle w:val="InternetLink"/>
                </w:rPr>
                <w:t>Registrant’s 2005 Restricted Stock Unit Award Plan, as amended (incorporated by reference to Appendix B to the Registrant’s Proxy Statement filed on April 2, 2008).</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r>
              <w:fldChar w:fldCharType="begin"/>
            </w:r>
            <w:r>
              <w:rPr>
                <w:rStyle w:val="InternetLink"/>
              </w:rPr>
              <w:instrText> HYPERLINK "http://www.sec.gov/Archives/edgar/data/786947/000114420414015111/v370843_def14a.htm" \l "tAPPA"</w:instrText>
            </w:r>
            <w:r>
              <w:rPr>
                <w:rStyle w:val="InternetLink"/>
              </w:rPr>
              <w:fldChar w:fldCharType="separate"/>
            </w:r>
            <w:r>
              <w:rPr>
                <w:rStyle w:val="InternetLink"/>
              </w:rPr>
              <w:t>†</w:t>
            </w:r>
            <w:r>
              <w:rPr>
                <w:rStyle w:val="InternetLink"/>
              </w:rPr>
              <w:fldChar w:fldCharType="end"/>
            </w:r>
            <w:r>
              <w:rPr>
                <w:rStyle w:val="InternetLink"/>
              </w:rPr>
              <w:t>10.17</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fldChar w:fldCharType="begin"/>
            </w:r>
            <w:r>
              <w:rPr>
                <w:rStyle w:val="InternetLink"/>
              </w:rPr>
              <w:instrText> HYPERLINK "http://www.sec.gov/Archives/edgar/data/786947/000114420414015111/v370843_def14a.htm" \l "tAPPA"</w:instrText>
            </w:r>
            <w:r>
              <w:rPr>
                <w:rStyle w:val="InternetLink"/>
              </w:rPr>
              <w:fldChar w:fldCharType="separate"/>
            </w:r>
            <w:r>
              <w:rPr>
                <w:rStyle w:val="InternetLink"/>
              </w:rPr>
              <w:t>Registrant’s 2014 Restricted Stock Unit Award Plan, (incorporated by reference to Appendix A to the Registrant’s Proxy Statement filed on March 12, 2014).</w:t>
            </w:r>
            <w:r>
              <w:rPr>
                <w:rStyle w:val="InternetLink"/>
              </w:rPr>
              <w:fldChar w:fldCharType="end"/>
            </w:r>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54">
              <w:r>
                <w:rPr>
                  <w:rStyle w:val="InternetLink"/>
                </w:rPr>
                <w:t>†</w:t>
              </w:r>
              <w:r>
                <w:rPr>
                  <w:rStyle w:val="InternetLink"/>
                </w:rPr>
                <w:t>10.18</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55">
              <w:r>
                <w:rPr>
                  <w:rStyle w:val="InternetLink"/>
                </w:rPr>
                <w:t>Registrant’s 2017 Restricted Stock Unit Award Plan, (incorporated by reference to Exhibit 10.1 to the 8-K filed on November 14, 2017).</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56">
              <w:r>
                <w:rPr>
                  <w:rStyle w:val="InternetLink"/>
                </w:rPr>
                <w:t>†</w:t>
              </w:r>
              <w:r>
                <w:rPr>
                  <w:rStyle w:val="InternetLink"/>
                </w:rPr>
                <w:t>10.19</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jc w:val="both"/>
              <w:rPr/>
            </w:pPr>
            <w:hyperlink r:id="rId57">
              <w:r>
                <w:rPr>
                  <w:rStyle w:val="InternetLink"/>
                </w:rPr>
                <w:t>Registrant’s 2008 Stock Option Plan, as amended on June 25, 2009 (incorporated by reference to Appendix B to our Proxy Statement filed on May 12, 2009).</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58">
              <w:r>
                <w:rPr>
                  <w:rStyle w:val="InternetLink"/>
                </w:rPr>
                <w:t>†</w:t>
              </w:r>
              <w:r>
                <w:rPr>
                  <w:rStyle w:val="InternetLink"/>
                </w:rPr>
                <w:t>10.20</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jc w:val="both"/>
              <w:rPr/>
            </w:pPr>
            <w:hyperlink r:id="rId59">
              <w:r>
                <w:rPr>
                  <w:rStyle w:val="InternetLink"/>
                </w:rPr>
                <w:t>Registrant’s 2016 Stock Option Plan (incorporated by reference to Exhibit 10.1 to our Form 8-K filed on April 28, 2016).</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60">
              <w:r>
                <w:rPr>
                  <w:rStyle w:val="InternetLink"/>
                </w:rPr>
                <w:t>†</w:t>
              </w:r>
              <w:r>
                <w:rPr>
                  <w:rStyle w:val="InternetLink"/>
                </w:rPr>
                <w:t>10.21</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61">
              <w:r>
                <w:rPr>
                  <w:rStyle w:val="InternetLink"/>
                </w:rPr>
                <w:t>Employment Agreement dated as of March 10, 1998 between the Registrant and Peter Clemens (“Clemens”) (incorporated by reference to Exhibit 10.44 to the Form 10-K for the period ending December 31, 2007, filed on April 15, 1998).</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62">
              <w:r>
                <w:rPr>
                  <w:rStyle w:val="InternetLink"/>
                </w:rPr>
                <w:t>†</w:t>
              </w:r>
              <w:r>
                <w:rPr>
                  <w:rStyle w:val="InternetLink"/>
                </w:rPr>
                <w:t>10.22</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jc w:val="both"/>
              <w:rPr/>
            </w:pPr>
            <w:hyperlink r:id="rId63">
              <w:r>
                <w:rPr>
                  <w:rStyle w:val="InternetLink"/>
                </w:rPr>
                <w:t>First Amendment to Employment Agreement made as of June 28, 2000 between the Registrant and Clemens (incorporated by reference to Exhibit 10.44A to the Registrant’s Form 10-K filed on February 21, 2006).</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64">
              <w:r>
                <w:rPr>
                  <w:rStyle w:val="InternetLink"/>
                </w:rPr>
                <w:t>†</w:t>
              </w:r>
              <w:r>
                <w:rPr>
                  <w:rStyle w:val="InternetLink"/>
                </w:rPr>
                <w:t>10.23</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jc w:val="both"/>
              <w:rPr/>
            </w:pPr>
            <w:hyperlink r:id="rId65">
              <w:r>
                <w:rPr>
                  <w:rStyle w:val="InternetLink"/>
                </w:rPr>
                <w:t>Second Amendment to Executive Employment Agreement between Registrant and Clemens, dated as of January 5, 2005 (incorporated by reference to Exhibit 99.1 to the Registrant's Form 8-K filed January 31, 2005).</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66">
              <w:r>
                <w:rPr>
                  <w:rStyle w:val="InternetLink"/>
                </w:rPr>
                <w:t>†</w:t>
              </w:r>
              <w:r>
                <w:rPr>
                  <w:rStyle w:val="InternetLink"/>
                </w:rPr>
                <w:t>10.24</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jc w:val="both"/>
              <w:rPr/>
            </w:pPr>
            <w:hyperlink r:id="rId67">
              <w:r>
                <w:rPr>
                  <w:rStyle w:val="InternetLink"/>
                </w:rPr>
                <w:t>Third Amendment to Executive Employment Agreement dated December 22, 2005 between Registrant and Clemens (incorporated by reference to Exhibit 10.3 to the Registrant’s Form 8-K filed December 23, 2005).</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68">
              <w:r>
                <w:rPr>
                  <w:rStyle w:val="InternetLink"/>
                </w:rPr>
                <w:t>†</w:t>
              </w:r>
              <w:r>
                <w:rPr>
                  <w:rStyle w:val="InternetLink"/>
                </w:rPr>
                <w:t>10.25</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69">
              <w:r>
                <w:rPr>
                  <w:rStyle w:val="InternetLink"/>
                </w:rPr>
                <w:t>Fourth Amendment to Executive Employment Agreement dated December 16, 2007 between Registrant and Clemens (incorporated by reference to Exhibit 10.28 to the Form 10-K for the year ending December 31, 2007, filed on March 5, 2008).</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70">
              <w:r>
                <w:rPr>
                  <w:rStyle w:val="InternetLink"/>
                </w:rPr>
                <w:t>†</w:t>
              </w:r>
              <w:r>
                <w:rPr>
                  <w:rStyle w:val="InternetLink"/>
                </w:rPr>
                <w:t>10.26</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71">
              <w:r>
                <w:rPr>
                  <w:rStyle w:val="InternetLink"/>
                </w:rPr>
                <w:t>Fifth Amendment to Executive Employment Agreement executed July 9, 2008 between Registrant and Clemens (incorporated by reference to Exhibit 10.4 to our Form 8-K filed on July 10, 2008).</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72">
              <w:r>
                <w:rPr>
                  <w:rStyle w:val="InternetLink"/>
                </w:rPr>
                <w:t>†</w:t>
              </w:r>
              <w:r>
                <w:rPr>
                  <w:rStyle w:val="InternetLink"/>
                </w:rPr>
                <w:t>10.27</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hyperlink r:id="rId73">
              <w:r>
                <w:rPr>
                  <w:rStyle w:val="InternetLink"/>
                </w:rPr>
                <w:t>Sixth Amendment to Executive Employment Agreement executed December 14, 2012 between the Registrant and Clemens (incorporated by reference to Exhibit 10.2 to our Form 8-K filed on December 17, 2012).</w:t>
              </w:r>
            </w:hyperlink>
          </w:p>
        </w:tc>
      </w:tr>
      <w:tr>
        <w:trPr/>
        <w:tc>
          <w:tcPr>
            <w:tcW w:w="10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15" w:type="dxa"/>
            <w:tcBorders/>
            <w:shd w:fill="auto" w:val="clear"/>
            <w:tcMar>
              <w:bottom w:w="0" w:type="dxa"/>
            </w:tcMar>
            <w:vAlign w:val="center"/>
          </w:tcPr>
          <w:p>
            <w:pPr>
              <w:pStyle w:val="TableContents"/>
              <w:spacing w:before="0" w:after="283"/>
              <w:rPr/>
            </w:pPr>
            <w:hyperlink r:id="rId74">
              <w:r>
                <w:rPr>
                  <w:rStyle w:val="InternetLink"/>
                </w:rPr>
                <w:t>†</w:t>
              </w:r>
              <w:r>
                <w:rPr>
                  <w:rStyle w:val="InternetLink"/>
                </w:rPr>
                <w:t>10.28</w:t>
              </w:r>
            </w:hyperlink>
          </w:p>
        </w:tc>
        <w:tc>
          <w:tcPr>
            <w:tcW w:w="60" w:type="dxa"/>
            <w:tcBorders/>
            <w:shd w:fill="auto" w:val="clear"/>
            <w:tcMar>
              <w:bottom w:w="0" w:type="dxa"/>
            </w:tcMar>
            <w:vAlign w:val="center"/>
          </w:tcPr>
          <w:p>
            <w:pPr>
              <w:pStyle w:val="TableContents"/>
              <w:spacing w:before="0" w:after="283"/>
              <w:rPr/>
            </w:pPr>
            <w:r>
              <w:rPr/>
              <w:t> </w:t>
            </w:r>
          </w:p>
        </w:tc>
        <w:tc>
          <w:tcPr>
            <w:tcW w:w="9130" w:type="dxa"/>
            <w:tcBorders/>
            <w:shd w:fill="auto" w:val="clear"/>
            <w:tcMar>
              <w:bottom w:w="0" w:type="dxa"/>
            </w:tcMar>
            <w:vAlign w:val="center"/>
          </w:tcPr>
          <w:p>
            <w:pPr>
              <w:pStyle w:val="TableContents"/>
              <w:spacing w:before="0" w:after="283"/>
              <w:rPr/>
            </w:pPr>
            <w:hyperlink r:id="rId75">
              <w:r>
                <w:rPr>
                  <w:rStyle w:val="InternetLink"/>
                </w:rPr>
                <w:t>Seventh Amendment to Executive Employment Agreement executed December 12, 2013 between the Registrant and Clemens (incorporated by reference to Exhibit 10.24 to the Form 10-K for the year ending December 31, 2013 filed on March 3, 2014). </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73"/>
        <w:gridCol w:w="60"/>
        <w:gridCol w:w="9072"/>
      </w:tblGrid>
      <w:tr>
        <w:trPr/>
        <w:tc>
          <w:tcPr>
            <w:tcW w:w="1073"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9072" w:type="dxa"/>
            <w:tcBorders>
              <w:bottom w:val="single" w:sz="8" w:space="0" w:color="000000"/>
            </w:tcBorders>
            <w:shd w:fill="auto" w:val="clear"/>
            <w:vAlign w:val="center"/>
          </w:tcPr>
          <w:p>
            <w:pPr>
              <w:pStyle w:val="TableContents"/>
              <w:spacing w:before="0" w:after="283"/>
              <w:jc w:val="center"/>
              <w:rPr>
                <w:b/>
                <w:sz w:val="20"/>
              </w:rPr>
            </w:pPr>
            <w:r>
              <w:rPr>
                <w:b/>
                <w:sz w:val="20"/>
              </w:rPr>
              <w:t xml:space="preserve">Exhibit Description </w:t>
            </w:r>
          </w:p>
        </w:tc>
      </w:tr>
      <w:tr>
        <w:trPr/>
        <w:tc>
          <w:tcPr>
            <w:tcW w:w="107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center"/>
              <w:rPr/>
            </w:pPr>
            <w:r>
              <w:rPr/>
              <w:t> </w:t>
            </w:r>
          </w:p>
        </w:tc>
      </w:tr>
      <w:tr>
        <w:trPr/>
        <w:tc>
          <w:tcPr>
            <w:tcW w:w="1073" w:type="dxa"/>
            <w:tcBorders/>
            <w:shd w:fill="auto" w:val="clear"/>
            <w:tcMar>
              <w:bottom w:w="0" w:type="dxa"/>
            </w:tcMar>
            <w:vAlign w:val="center"/>
          </w:tcPr>
          <w:p>
            <w:pPr>
              <w:pStyle w:val="TableContents"/>
              <w:spacing w:before="0" w:after="283"/>
              <w:rPr/>
            </w:pPr>
            <w:hyperlink r:id="rId76">
              <w:r>
                <w:rPr>
                  <w:rStyle w:val="InternetLink"/>
                </w:rPr>
                <w:t>†</w:t>
              </w:r>
            </w:hyperlink>
            <w:hyperlink r:id="rId77">
              <w:r>
                <w:rPr>
                  <w:rStyle w:val="InternetLink"/>
                  <w:sz w:val="20"/>
                </w:rPr>
                <w:t>10.29</w:t>
              </w:r>
            </w:hyperlink>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hyperlink r:id="rId78">
              <w:r>
                <w:rPr>
                  <w:rStyle w:val="InternetLink"/>
                  <w:sz w:val="20"/>
                </w:rPr>
                <w:t>Employment Agreement dated as of March 18, 2008 between the Registrant and Robert B. Jones (incorporated by reference to Exhibit 10.1 to our Form 8-K filed on March 24, 2008).</w:t>
              </w:r>
            </w:hyperlink>
          </w:p>
        </w:tc>
      </w:tr>
      <w:tr>
        <w:trPr/>
        <w:tc>
          <w:tcPr>
            <w:tcW w:w="107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3" w:type="dxa"/>
            <w:tcBorders/>
            <w:shd w:fill="auto" w:val="clear"/>
            <w:tcMar>
              <w:bottom w:w="0" w:type="dxa"/>
            </w:tcMar>
            <w:vAlign w:val="center"/>
          </w:tcPr>
          <w:p>
            <w:pPr>
              <w:pStyle w:val="TableContents"/>
              <w:spacing w:before="0" w:after="283"/>
              <w:rPr/>
            </w:pPr>
            <w:hyperlink r:id="rId79">
              <w:r>
                <w:rPr>
                  <w:rStyle w:val="InternetLink"/>
                </w:rPr>
                <w:t>†</w:t>
              </w:r>
            </w:hyperlink>
            <w:hyperlink r:id="rId80">
              <w:r>
                <w:rPr>
                  <w:rStyle w:val="InternetLink"/>
                  <w:sz w:val="20"/>
                </w:rPr>
                <w:t>10.30</w:t>
              </w:r>
            </w:hyperlink>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hyperlink r:id="rId81">
              <w:r>
                <w:rPr>
                  <w:rStyle w:val="InternetLink"/>
                  <w:sz w:val="20"/>
                </w:rPr>
                <w:t>Amendment to Executive Employment Agreement dated as of April 28, 2011 between the Registrant and Robert B. Jones (incorporated by reference to Exhibit 10.1 to our Form 10-Q filed July 28, 2011).</w:t>
              </w:r>
            </w:hyperlink>
          </w:p>
        </w:tc>
      </w:tr>
      <w:tr>
        <w:trPr/>
        <w:tc>
          <w:tcPr>
            <w:tcW w:w="107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3" w:type="dxa"/>
            <w:tcBorders/>
            <w:shd w:fill="auto" w:val="clear"/>
            <w:tcMar>
              <w:bottom w:w="0" w:type="dxa"/>
            </w:tcMar>
            <w:vAlign w:val="center"/>
          </w:tcPr>
          <w:p>
            <w:pPr>
              <w:pStyle w:val="TableContents"/>
              <w:spacing w:before="0" w:after="283"/>
              <w:rPr/>
            </w:pPr>
            <w:hyperlink r:id="rId82">
              <w:r>
                <w:rPr>
                  <w:rStyle w:val="InternetLink"/>
                </w:rPr>
                <w:t>†</w:t>
              </w:r>
            </w:hyperlink>
            <w:hyperlink r:id="rId83">
              <w:r>
                <w:rPr>
                  <w:rStyle w:val="InternetLink"/>
                  <w:sz w:val="20"/>
                </w:rPr>
                <w:t>10.31</w:t>
              </w:r>
            </w:hyperlink>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hyperlink r:id="rId84">
              <w:r>
                <w:rPr>
                  <w:rStyle w:val="InternetLink"/>
                  <w:sz w:val="20"/>
                </w:rPr>
                <w:t>Amendment to Executive Employment Agreement between Registrant and Robert B. Jones made as of July 7, 2011 (incorporated by reference to Exhibit 10.2 to our Form 10-Q filed July 28, 2011).</w:t>
              </w:r>
            </w:hyperlink>
          </w:p>
        </w:tc>
      </w:tr>
      <w:tr>
        <w:trPr/>
        <w:tc>
          <w:tcPr>
            <w:tcW w:w="107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73" w:type="dxa"/>
            <w:tcBorders/>
            <w:shd w:fill="auto" w:val="clear"/>
            <w:tcMar>
              <w:bottom w:w="0" w:type="dxa"/>
            </w:tcMar>
            <w:vAlign w:val="center"/>
          </w:tcPr>
          <w:p>
            <w:pPr>
              <w:pStyle w:val="TableContents"/>
              <w:spacing w:before="0" w:after="283"/>
              <w:rPr/>
            </w:pPr>
            <w:hyperlink r:id="rId85">
              <w:r>
                <w:rPr>
                  <w:rStyle w:val="InternetLink"/>
                </w:rPr>
                <w:t>†</w:t>
              </w:r>
            </w:hyperlink>
            <w:hyperlink r:id="rId86">
              <w:r>
                <w:rPr>
                  <w:rStyle w:val="InternetLink"/>
                  <w:sz w:val="20"/>
                </w:rPr>
                <w:t>10.32</w:t>
              </w:r>
            </w:hyperlink>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ind w:left="0" w:right="0" w:hanging="900"/>
              <w:jc w:val="both"/>
              <w:rPr/>
            </w:pPr>
            <w:hyperlink r:id="rId87">
              <w:r>
                <w:rPr>
                  <w:rStyle w:val="InternetLink"/>
                  <w:sz w:val="20"/>
                </w:rPr>
                <w:t>Second Amendment to Executive Employment Agreement between Registrant and Robert B. Jones executed December 14, 2012 (incorporated by reference to Exhibit 10.1 to our Form 8-K filed December 17, 2012).</w:t>
              </w:r>
            </w:hyperlink>
          </w:p>
        </w:tc>
      </w:tr>
      <w:tr>
        <w:trPr/>
        <w:tc>
          <w:tcPr>
            <w:tcW w:w="107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072" w:type="dxa"/>
            <w:tcBorders/>
            <w:shd w:fill="auto" w:val="clear"/>
            <w:tcMar>
              <w:bottom w:w="0" w:type="dxa"/>
            </w:tcM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70"/>
        <w:gridCol w:w="60"/>
        <w:gridCol w:w="9175"/>
      </w:tblGrid>
      <w:tr>
        <w:trPr/>
        <w:tc>
          <w:tcPr>
            <w:tcW w:w="970"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9175" w:type="dxa"/>
            <w:tcBorders>
              <w:bottom w:val="single" w:sz="8" w:space="0" w:color="000000"/>
            </w:tcBorders>
            <w:shd w:fill="auto" w:val="clear"/>
            <w:vAlign w:val="center"/>
          </w:tcPr>
          <w:p>
            <w:pPr>
              <w:pStyle w:val="TableContents"/>
              <w:spacing w:before="0" w:after="283"/>
              <w:jc w:val="center"/>
              <w:rPr>
                <w:b/>
                <w:sz w:val="20"/>
              </w:rPr>
            </w:pPr>
            <w:r>
              <w:rPr>
                <w:b/>
                <w:sz w:val="20"/>
              </w:rPr>
              <w:t xml:space="preserve">Exhibit Description </w:t>
            </w:r>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jc w:val="center"/>
              <w:rPr/>
            </w:pPr>
            <w:r>
              <w:rPr/>
              <w:t> </w:t>
            </w:r>
          </w:p>
        </w:tc>
      </w:tr>
      <w:tr>
        <w:trPr/>
        <w:tc>
          <w:tcPr>
            <w:tcW w:w="970" w:type="dxa"/>
            <w:tcBorders/>
            <w:shd w:fill="auto" w:val="clear"/>
            <w:tcMar>
              <w:bottom w:w="0" w:type="dxa"/>
            </w:tcMar>
            <w:vAlign w:val="center"/>
          </w:tcPr>
          <w:p>
            <w:pPr>
              <w:pStyle w:val="TableContents"/>
              <w:spacing w:before="0" w:after="283"/>
              <w:rPr/>
            </w:pPr>
            <w:hyperlink r:id="rId88">
              <w:r>
                <w:rPr>
                  <w:rStyle w:val="InternetLink"/>
                  <w:sz w:val="20"/>
                </w:rPr>
                <w:t>10.33</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89">
              <w:r>
                <w:rPr>
                  <w:rStyle w:val="InternetLink"/>
                  <w:sz w:val="20"/>
                </w:rPr>
                <w:t>Form of Securities Purchase Agreement entered into between the Registrant and institutional investors on June 30, 2015 (incorporated by reference to Exhibit 10.1 of our Form 8-K filed July 1, 2015).</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90">
              <w:r>
                <w:rPr>
                  <w:rStyle w:val="InternetLink"/>
                  <w:sz w:val="20"/>
                </w:rPr>
                <w:t>10.34</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91">
              <w:r>
                <w:rPr>
                  <w:rStyle w:val="InternetLink"/>
                  <w:sz w:val="20"/>
                </w:rPr>
                <w:t>Consent and Third Amendment to Loan and Security Agreement entered into as of May 12, 2017 between Oxford Finance LLC, the Registrant and Acura Pharmaceutical Technologies, Inc. (incorporated by reference to Exhibit 10.2 to our Form 10-Q filed May 12, 2017).</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92">
              <w:r>
                <w:rPr>
                  <w:rStyle w:val="InternetLink"/>
                  <w:sz w:val="20"/>
                </w:rPr>
                <w:t>10.35</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93">
              <w:r>
                <w:rPr>
                  <w:rStyle w:val="InternetLink"/>
                  <w:sz w:val="20"/>
                </w:rPr>
                <w:t>License, Commercialization and Option Agreement is made and entered into as of March 16, 2017 by and between MainPointe Pharmaceuticals, LLC (incorporated by reference to Exhibit 10.34 to our Form 10-K filed June 7,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94">
              <w:r>
                <w:rPr>
                  <w:rStyle w:val="InternetLink"/>
                  <w:sz w:val="20"/>
                </w:rPr>
                <w:t>10.36</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95">
              <w:r>
                <w:rPr>
                  <w:rStyle w:val="InternetLink"/>
                  <w:sz w:val="20"/>
                </w:rPr>
                <w:t>Promissory Note dated May 7, 2018 issued to John Schutte (incorporated by reference to Exhibit 10.35 to our Form 10-Q filed August 14,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96">
              <w:r>
                <w:rPr>
                  <w:rStyle w:val="InternetLink"/>
                  <w:sz w:val="20"/>
                </w:rPr>
                <w:t>10.37</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97">
              <w:r>
                <w:rPr>
                  <w:rStyle w:val="InternetLink"/>
                  <w:sz w:val="20"/>
                </w:rPr>
                <w:t xml:space="preserve">Subordination Agreement dated as of May 7, 2018 between John Schutte and Oxford Finance, LLC, approved by Registrant and Acura Pharmaceutical Technologies, Inc. (incorporated by reference to Exhibit 10.36 to our Form 10-Q filed August 14, 2018). </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98">
              <w:r>
                <w:rPr>
                  <w:rStyle w:val="InternetLink"/>
                  <w:sz w:val="20"/>
                </w:rPr>
                <w:t>10.38</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99">
              <w:r>
                <w:rPr>
                  <w:rStyle w:val="InternetLink"/>
                  <w:sz w:val="20"/>
                </w:rPr>
                <w:t>Fourth Amendment dated as of June 6, 2018 to Loan and Security Agreement dated as of December 27, 2013, as amended, between the Registrant, Acura Pharmaceutical Technologies, Inc. and Oxford Finance, LLC (incorporated by reference to Exhibit 10.37 to our Form 10-Q filed August 14,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00">
              <w:r>
                <w:rPr>
                  <w:rStyle w:val="InternetLink"/>
                  <w:sz w:val="20"/>
                </w:rPr>
                <w:t>10.39</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01">
              <w:r>
                <w:rPr>
                  <w:rStyle w:val="InternetLink"/>
                  <w:sz w:val="20"/>
                </w:rPr>
                <w:t>Promissory Note dated June 28, 2018 issued to John Schutte (incorporated by reference to Exhibit 10.38 to our Form 10-Q filed August 14,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02">
              <w:r>
                <w:rPr>
                  <w:rStyle w:val="InternetLink"/>
                  <w:sz w:val="20"/>
                </w:rPr>
                <w:t>10.40</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03">
              <w:r>
                <w:rPr>
                  <w:rStyle w:val="InternetLink"/>
                  <w:sz w:val="20"/>
                </w:rPr>
                <w:t>Promissory Note dated August 2, 2018 issued to John Schutte (incorporated by reference to Exhibit 10.39 to our Form 10-Q filed November 27,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04">
              <w:r>
                <w:rPr>
                  <w:rStyle w:val="InternetLink"/>
                  <w:sz w:val="20"/>
                </w:rPr>
                <w:t>10.41</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05">
              <w:r>
                <w:rPr>
                  <w:rStyle w:val="InternetLink"/>
                  <w:sz w:val="20"/>
                </w:rPr>
                <w:t>Promissory Note dated September 13, 2018 issued to John Schutte (incorporated by reference to Exhibit 10.40 to our Form 10-Q filed November 27, 2018).</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06">
              <w:r>
                <w:rPr>
                  <w:rStyle w:val="InternetLink"/>
                  <w:sz w:val="20"/>
                </w:rPr>
                <w:t>10.42</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07">
              <w:r>
                <w:rPr>
                  <w:rStyle w:val="InternetLink"/>
                  <w:sz w:val="20"/>
                </w:rPr>
                <w:t>Promissory Note dated October 5, 2018 issued to John Schutte (incorporated by reference to Exhibit 10.42 to our Form 10-K filed September 16, 2019).</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08">
              <w:r>
                <w:rPr>
                  <w:rStyle w:val="InternetLink"/>
                  <w:sz w:val="20"/>
                </w:rPr>
                <w:t>10.43</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09">
              <w:r>
                <w:rPr>
                  <w:rStyle w:val="InternetLink"/>
                  <w:sz w:val="20"/>
                </w:rPr>
                <w:t>Promissory Note dated November 21, 2018 issued to John Schutte (incorporated by reference to Exhibit 10.43 to our Form 10-K filed September 16, 2019).</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10">
              <w:r>
                <w:rPr>
                  <w:rStyle w:val="InternetLink"/>
                  <w:sz w:val="20"/>
                </w:rPr>
                <w:t>10.44</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11">
              <w:r>
                <w:rPr>
                  <w:rStyle w:val="InternetLink"/>
                  <w:sz w:val="20"/>
                </w:rPr>
                <w:t>Promissory Note dated December 20, 2018 issued to John Schutte (incorporated by reference to Exhibit 10.44 to our Form 10-K filed September 16, 2019).</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12">
              <w:r>
                <w:rPr>
                  <w:rStyle w:val="InternetLink"/>
                  <w:sz w:val="20"/>
                </w:rPr>
                <w:t>10.45</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13">
              <w:r>
                <w:rPr>
                  <w:rStyle w:val="InternetLink"/>
                  <w:sz w:val="20"/>
                </w:rPr>
                <w:t>Promissory Note dated January 28, 2019 issued to John Schutte (incorporated by reference to Exhibit 10.45 to our Form 10-K filed September 16, 2019).</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14">
              <w:r>
                <w:rPr>
                  <w:rStyle w:val="InternetLink"/>
                  <w:sz w:val="20"/>
                </w:rPr>
                <w:t>10.46</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15">
              <w:r>
                <w:rPr>
                  <w:rStyle w:val="InternetLink"/>
                  <w:sz w:val="20"/>
                </w:rPr>
                <w:t>Promissory Note dated March 25, 2019 issued to John Schutte (incorporated by reference to Exhibit 10.46 to our Form 10-Q filed October 1, 2019).</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r>
        <w:trPr/>
        <w:tc>
          <w:tcPr>
            <w:tcW w:w="970" w:type="dxa"/>
            <w:tcBorders/>
            <w:shd w:fill="auto" w:val="clear"/>
            <w:tcMar>
              <w:bottom w:w="0" w:type="dxa"/>
            </w:tcMar>
            <w:vAlign w:val="center"/>
          </w:tcPr>
          <w:p>
            <w:pPr>
              <w:pStyle w:val="TableContents"/>
              <w:spacing w:before="0" w:after="283"/>
              <w:rPr/>
            </w:pPr>
            <w:hyperlink r:id="rId116">
              <w:r>
                <w:rPr>
                  <w:rStyle w:val="InternetLink"/>
                  <w:sz w:val="20"/>
                </w:rPr>
                <w:t>10.47</w:t>
              </w:r>
            </w:hyperlink>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hyperlink r:id="rId117">
              <w:r>
                <w:rPr>
                  <w:rStyle w:val="InternetLink"/>
                  <w:sz w:val="20"/>
                </w:rPr>
                <w:t>Promissory Note dated May 1, 2019 issued to John Schutte (incorporated by reference to Exhibit 10.47 to our Form 10-Q filed February 10, 2020).</w:t>
              </w:r>
            </w:hyperlink>
          </w:p>
        </w:tc>
      </w:tr>
      <w:tr>
        <w:trPr/>
        <w:tc>
          <w:tcPr>
            <w:tcW w:w="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04"/>
        <w:gridCol w:w="60"/>
        <w:gridCol w:w="9141"/>
      </w:tblGrid>
      <w:tr>
        <w:trPr/>
        <w:tc>
          <w:tcPr>
            <w:tcW w:w="1004" w:type="dxa"/>
            <w:tcBorders>
              <w:bottom w:val="single" w:sz="8" w:space="0" w:color="000000"/>
            </w:tcBorders>
            <w:shd w:fill="auto" w:val="clear"/>
            <w:vAlign w:val="center"/>
          </w:tcPr>
          <w:p>
            <w:pPr>
              <w:pStyle w:val="TableContents"/>
              <w:spacing w:before="0" w:after="0"/>
              <w:ind w:left="16" w:right="16"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9141" w:type="dxa"/>
            <w:tcBorders>
              <w:bottom w:val="single" w:sz="8" w:space="0" w:color="000000"/>
            </w:tcBorders>
            <w:shd w:fill="auto" w:val="clear"/>
            <w:vAlign w:val="center"/>
          </w:tcPr>
          <w:p>
            <w:pPr>
              <w:pStyle w:val="TableContents"/>
              <w:spacing w:before="0" w:after="283"/>
              <w:jc w:val="center"/>
              <w:rPr>
                <w:b/>
                <w:sz w:val="20"/>
              </w:rPr>
            </w:pPr>
            <w:r>
              <w:rPr>
                <w:b/>
                <w:sz w:val="20"/>
              </w:rPr>
              <w:t xml:space="preserve">Exhibit Description </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center"/>
              <w:rPr/>
            </w:pPr>
            <w:r>
              <w:rPr/>
              <w:t> </w:t>
            </w:r>
          </w:p>
        </w:tc>
      </w:tr>
      <w:tr>
        <w:trPr/>
        <w:tc>
          <w:tcPr>
            <w:tcW w:w="1004" w:type="dxa"/>
            <w:tcBorders/>
            <w:shd w:fill="auto" w:val="clear"/>
            <w:tcMar>
              <w:bottom w:w="0" w:type="dxa"/>
            </w:tcMar>
            <w:vAlign w:val="center"/>
          </w:tcPr>
          <w:p>
            <w:pPr>
              <w:pStyle w:val="TableContents"/>
              <w:spacing w:before="0" w:after="283"/>
              <w:rPr/>
            </w:pPr>
            <w:hyperlink r:id="rId118">
              <w:r>
                <w:rPr>
                  <w:rStyle w:val="InternetLink"/>
                  <w:sz w:val="20"/>
                </w:rPr>
                <w:t>10.48</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19">
              <w:r>
                <w:rPr>
                  <w:rStyle w:val="InternetLink"/>
                  <w:sz w:val="20"/>
                </w:rPr>
                <w:t>Promissory Note dated June 12, 2019 issued to John Schutte (incorporated by reference to Exhibit 10.48 to our Form 10-Q filed February 10, 2020).</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r:id="rId120">
              <w:r>
                <w:rPr>
                  <w:rStyle w:val="InternetLink"/>
                  <w:sz w:val="20"/>
                </w:rPr>
                <w:t>10.49</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21">
              <w:r>
                <w:rPr>
                  <w:rStyle w:val="InternetLink"/>
                  <w:sz w:val="20"/>
                </w:rPr>
                <w:t>Promissory Note dated June 28, 2019 issued to John Schutte (incorporated by reference to Exhibit 10.49 to our Form 10-Q filed February 20, 2020).</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r:id="rId122">
              <w:r>
                <w:rPr>
                  <w:rStyle w:val="InternetLink"/>
                  <w:sz w:val="20"/>
                </w:rPr>
                <w:t xml:space="preserve">10.50 </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23">
              <w:r>
                <w:rPr>
                  <w:rStyle w:val="InternetLink"/>
                  <w:sz w:val="20"/>
                </w:rPr>
                <w:t>License, Development and Commercialization Agreement is made and entered into as of June 28, 2019 by the Registrant and between Abuse Deterrent Pharmaceuticals, LLC (incorporated by reference to Exhibit 10.50 to our Form 10-K filed March 31, 2020).</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r:id="rId124">
              <w:r>
                <w:rPr>
                  <w:rStyle w:val="InternetLink"/>
                  <w:sz w:val="20"/>
                </w:rPr>
                <w:t xml:space="preserve">10.51 </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25">
              <w:r>
                <w:rPr>
                  <w:rStyle w:val="InternetLink"/>
                  <w:sz w:val="20"/>
                </w:rPr>
                <w:t>Common Stock Warrant issued June 28, 2019 to John Schutte (incorporated by reference to Exhibit 10.51 to our Form 10-K filed March 31, 2020).</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r:id="rId126">
              <w:r>
                <w:rPr>
                  <w:rStyle w:val="InternetLink"/>
                  <w:sz w:val="20"/>
                </w:rPr>
                <w:t xml:space="preserve">10.52 </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27">
              <w:r>
                <w:rPr>
                  <w:rStyle w:val="InternetLink"/>
                  <w:sz w:val="20"/>
                </w:rPr>
                <w:t>Assignment of Promissory Note, Warrant and Security Agreement issued June 28, 2019 by John Schutte to Abuse Deterrent Pharmaceuticals, LLC (incorporated by reference to Exhibit 10.52 to our Form 10-K filed March 31, 2020).</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w:anchor="tm211138d1_ex10-53.htm">
              <w:r>
                <w:rPr>
                  <w:rStyle w:val="InternetLink"/>
                  <w:sz w:val="20"/>
                </w:rPr>
                <w:t>10.53 *</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w:anchor="tm211138d1_ex10-53.htm">
              <w:r>
                <w:rPr>
                  <w:rStyle w:val="InternetLink"/>
                  <w:sz w:val="20"/>
                </w:rPr>
                <w:t>Amended License, Development and Commercialization Agreement is made and entered into as of October 16, 2020 by the Registrant and between Abuse Deterrent Pharmaceuticals, LLC.</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r>
              <w:rPr/>
              <w:t> </w:t>
            </w:r>
          </w:p>
        </w:tc>
      </w:tr>
      <w:tr>
        <w:trPr/>
        <w:tc>
          <w:tcPr>
            <w:tcW w:w="1004" w:type="dxa"/>
            <w:tcBorders/>
            <w:shd w:fill="auto" w:val="clear"/>
            <w:tcMar>
              <w:bottom w:w="0" w:type="dxa"/>
            </w:tcMar>
            <w:vAlign w:val="center"/>
          </w:tcPr>
          <w:p>
            <w:pPr>
              <w:pStyle w:val="TableContents"/>
              <w:spacing w:before="0" w:after="283"/>
              <w:rPr/>
            </w:pPr>
            <w:hyperlink r:id="rId128">
              <w:r>
                <w:rPr>
                  <w:rStyle w:val="InternetLink"/>
                  <w:sz w:val="20"/>
                </w:rPr>
                <w:t>14.1</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rPr/>
            </w:pPr>
            <w:hyperlink r:id="rId129">
              <w:r>
                <w:rPr>
                  <w:rStyle w:val="InternetLink"/>
                  <w:sz w:val="20"/>
                </w:rPr>
                <w:t>Code of Ethics (incorporated by reference to Exhibit 14.1 of the Form 8-K filed on December 10, 2007).</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04" w:type="dxa"/>
            <w:tcBorders/>
            <w:shd w:fill="auto" w:val="clear"/>
            <w:tcMar>
              <w:bottom w:w="0" w:type="dxa"/>
            </w:tcMar>
            <w:vAlign w:val="center"/>
          </w:tcPr>
          <w:p>
            <w:pPr>
              <w:pStyle w:val="TableContents"/>
              <w:spacing w:before="0" w:after="283"/>
              <w:rPr/>
            </w:pPr>
            <w:hyperlink r:id="rId130">
              <w:r>
                <w:rPr>
                  <w:rStyle w:val="InternetLink"/>
                  <w:sz w:val="20"/>
                </w:rPr>
                <w:t>21</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hyperlink r:id="rId131">
              <w:r>
                <w:rPr>
                  <w:rStyle w:val="InternetLink"/>
                  <w:sz w:val="20"/>
                </w:rPr>
                <w:t>Subsidiaries of the Registrant (incorporated by reference to Exhibit 21 to the Form 10-K for the fiscal year ended December 31, 2006 filed on March 15, 2007).</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ind w:left="0" w:right="0" w:hanging="900"/>
              <w:jc w:val="both"/>
              <w:rPr/>
            </w:pPr>
            <w:r>
              <w:rPr/>
              <w:t> </w:t>
            </w:r>
          </w:p>
        </w:tc>
      </w:tr>
      <w:tr>
        <w:trPr/>
        <w:tc>
          <w:tcPr>
            <w:tcW w:w="1004" w:type="dxa"/>
            <w:tcBorders/>
            <w:shd w:fill="auto" w:val="clear"/>
            <w:tcMar>
              <w:bottom w:w="0" w:type="dxa"/>
            </w:tcMar>
            <w:vAlign w:val="center"/>
          </w:tcPr>
          <w:p>
            <w:pPr>
              <w:pStyle w:val="TableContents"/>
              <w:spacing w:before="0" w:after="283"/>
              <w:rPr/>
            </w:pPr>
            <w:hyperlink w:anchor="tm211138d1_ex23-1.htm">
              <w:r>
                <w:rPr>
                  <w:rStyle w:val="InternetLink"/>
                  <w:sz w:val="20"/>
                </w:rPr>
                <w:t>23.1*</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hyperlink w:anchor="tm211138d1_ex23-1.htm">
              <w:r>
                <w:rPr>
                  <w:rStyle w:val="InternetLink"/>
                  <w:sz w:val="20"/>
                </w:rPr>
                <w:t>Consent of Independent Registered Public Accounting Firm.</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pPr>
            <w:hyperlink w:anchor="tm211138d1_ex31-1.htm">
              <w:r>
                <w:rPr>
                  <w:rStyle w:val="InternetLink"/>
                  <w:sz w:val="20"/>
                </w:rPr>
                <w:t>31.1*</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hyperlink w:anchor="tm211138d1_ex31-1.htm">
              <w:r>
                <w:rPr>
                  <w:rStyle w:val="InternetLink"/>
                  <w:sz w:val="20"/>
                </w:rPr>
                <w:t>Certification of Periodic Report by Chief Executive Officer pursuant to Rule 13a-14 and 15d-14 of the Securities Exchange Act of 1934.</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pPr>
            <w:hyperlink w:anchor="tm211138d1_ex31-2.htm">
              <w:r>
                <w:rPr>
                  <w:rStyle w:val="InternetLink"/>
                  <w:sz w:val="20"/>
                </w:rPr>
                <w:t>31.2*</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hyperlink w:anchor="tm211138d1_ex31-2.htm">
              <w:r>
                <w:rPr>
                  <w:rStyle w:val="InternetLink"/>
                  <w:sz w:val="20"/>
                </w:rPr>
                <w:t>Certification of Periodic Report by Chief Financial Officer pursuant to Rule 13a-14 and 15d-14 of the Securities Exchange Act of 1934.</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0"/>
              <w:jc w:val="left"/>
              <w:rPr/>
            </w:pPr>
            <w:hyperlink w:anchor="tm211138d1_ex32.htm">
              <w:r>
                <w:rPr>
                  <w:rStyle w:val="InternetLink"/>
                  <w:rFonts w:ascii="Times New Roman;Times;Serif" w:hAnsi="Times New Roman;Times;Serif"/>
                  <w:b w:val="false"/>
                  <w:i w:val="false"/>
                  <w:caps w:val="false"/>
                  <w:smallCaps w:val="false"/>
                  <w:sz w:val="20"/>
                </w:rPr>
                <w:t>32*</w:t>
              </w:r>
            </w:hyperlink>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hyperlink w:anchor="tm211138d1_ex32.htm">
              <w:r>
                <w:rPr>
                  <w:rStyle w:val="InternetLink"/>
                  <w:sz w:val="20"/>
                </w:rPr>
                <w:t>Certification of Chief Executive Officer and Chief Financial Officer pursuant to 18 U.S.C. Section 1350, as adopted pursuant to Section 906 of the Sarbanes-Oxley Act of 2002.</w:t>
              </w:r>
            </w:hyperlink>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101.INS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Instance Document</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101.SCH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Taxonomy Extension Schema Document</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101.CAL*</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Extension Calculation Linkbase</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101.LAB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Extension Label Linkbase</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101.PRE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Extension Presentation Linkbase</w:t>
            </w:r>
          </w:p>
        </w:tc>
      </w:tr>
      <w:tr>
        <w:trPr/>
        <w:tc>
          <w:tcPr>
            <w:tcW w:w="100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pPr>
            <w:r>
              <w:rPr/>
              <w:t> </w:t>
            </w:r>
          </w:p>
        </w:tc>
      </w:tr>
      <w:tr>
        <w:trPr/>
        <w:tc>
          <w:tcPr>
            <w:tcW w:w="1004" w:type="dxa"/>
            <w:tcBorders/>
            <w:shd w:fill="auto" w:val="clear"/>
            <w:tcMar>
              <w:bottom w:w="0" w:type="dxa"/>
            </w:tcMar>
            <w:vAlign w:val="center"/>
          </w:tcPr>
          <w:p>
            <w:pPr>
              <w:pStyle w:val="TableContents"/>
              <w:spacing w:before="0" w:after="283"/>
              <w:rPr>
                <w:sz w:val="20"/>
              </w:rPr>
            </w:pPr>
            <w:r>
              <w:rPr>
                <w:sz w:val="20"/>
              </w:rPr>
              <w:t>101.DEF *</w:t>
            </w:r>
          </w:p>
        </w:tc>
        <w:tc>
          <w:tcPr>
            <w:tcW w:w="60" w:type="dxa"/>
            <w:tcBorders/>
            <w:shd w:fill="auto" w:val="clear"/>
            <w:tcMar>
              <w:bottom w:w="0" w:type="dxa"/>
            </w:tcMar>
            <w:vAlign w:val="center"/>
          </w:tcPr>
          <w:p>
            <w:pPr>
              <w:pStyle w:val="TableContents"/>
              <w:spacing w:before="0" w:after="283"/>
              <w:rPr/>
            </w:pPr>
            <w:r>
              <w:rPr/>
              <w:t> </w:t>
            </w:r>
          </w:p>
        </w:tc>
        <w:tc>
          <w:tcPr>
            <w:tcW w:w="9141" w:type="dxa"/>
            <w:tcBorders/>
            <w:shd w:fill="auto" w:val="clear"/>
            <w:tcMar>
              <w:bottom w:w="0" w:type="dxa"/>
            </w:tcMar>
            <w:vAlign w:val="center"/>
          </w:tcPr>
          <w:p>
            <w:pPr>
              <w:pStyle w:val="TableContents"/>
              <w:spacing w:before="0" w:after="283"/>
              <w:jc w:val="both"/>
              <w:rPr>
                <w:sz w:val="20"/>
              </w:rPr>
            </w:pPr>
            <w:r>
              <w:rPr>
                <w:sz w:val="20"/>
              </w:rPr>
              <w:t>XBRL Taxonomy Extension Definition Linkbase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or furnished herewith.</w:t>
      </w:r>
    </w:p>
    <w:p>
      <w:pPr>
        <w:pStyle w:val="TextBody"/>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Management contract or compensatory plan or arrangement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E-6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ACURA PHARMACEUTICALS, INC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10135" w:type="dxa"/>
        <w:jc w:val="left"/>
        <w:tblInd w:w="0" w:type="dxa"/>
        <w:tblCellMar>
          <w:top w:w="0" w:type="dxa"/>
          <w:left w:w="0" w:type="dxa"/>
          <w:bottom w:w="0" w:type="dxa"/>
          <w:right w:w="0" w:type="dxa"/>
        </w:tblCellMar>
      </w:tblPr>
      <w:tblGrid>
        <w:gridCol w:w="9575"/>
        <w:gridCol w:w="560"/>
      </w:tblGrid>
      <w:tr>
        <w:trPr/>
        <w:tc>
          <w:tcPr>
            <w:tcW w:w="95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center"/>
              <w:rPr/>
            </w:pPr>
            <w:r>
              <w:rPr/>
              <w:t xml:space="preserve">Page </w:t>
            </w:r>
          </w:p>
        </w:tc>
      </w:tr>
      <w:tr>
        <w:trPr/>
        <w:tc>
          <w:tcPr>
            <w:tcW w:w="95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1">
              <w:r>
                <w:rPr>
                  <w:rStyle w:val="InternetLink"/>
                </w:rPr>
                <w:t>Report of Independent Registered Public Accounting Firm</w:t>
              </w:r>
            </w:hyperlink>
          </w:p>
        </w:tc>
        <w:tc>
          <w:tcPr>
            <w:tcW w:w="560" w:type="dxa"/>
            <w:tcBorders/>
            <w:shd w:fill="CCEEFF" w:val="clear"/>
            <w:vAlign w:val="center"/>
          </w:tcPr>
          <w:p>
            <w:pPr>
              <w:pStyle w:val="TableContents"/>
              <w:spacing w:before="0" w:after="283"/>
              <w:jc w:val="center"/>
              <w:rPr/>
            </w:pPr>
            <w:hyperlink w:anchor="a_001">
              <w:r>
                <w:rPr>
                  <w:rStyle w:val="InternetLink"/>
                </w:rPr>
                <w:t>F-2</w:t>
              </w:r>
            </w:hyperlink>
          </w:p>
        </w:tc>
      </w:tr>
      <w:tr>
        <w:trPr/>
        <w:tc>
          <w:tcPr>
            <w:tcW w:w="9575" w:type="dxa"/>
            <w:tcBorders/>
            <w:shd w:fill="FFFFFF" w:val="clear"/>
            <w:vAlign w:val="center"/>
          </w:tcPr>
          <w:p>
            <w:pPr>
              <w:pStyle w:val="TableContents"/>
              <w:spacing w:before="0" w:after="283"/>
              <w:jc w:val="both"/>
              <w:rPr/>
            </w:pPr>
            <w:r>
              <w:rPr/>
              <w:t> </w:t>
            </w:r>
          </w:p>
        </w:tc>
        <w:tc>
          <w:tcPr>
            <w:tcW w:w="560" w:type="dxa"/>
            <w:tcBorders/>
            <w:shd w:fill="FFFFFF"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2">
              <w:r>
                <w:rPr>
                  <w:rStyle w:val="InternetLink"/>
                </w:rPr>
                <w:t>Consolidated Balance Sheets as of December 31, 2020 and 2019</w:t>
              </w:r>
            </w:hyperlink>
          </w:p>
        </w:tc>
        <w:tc>
          <w:tcPr>
            <w:tcW w:w="560" w:type="dxa"/>
            <w:tcBorders/>
            <w:shd w:fill="CCEEFF" w:val="clear"/>
            <w:vAlign w:val="center"/>
          </w:tcPr>
          <w:p>
            <w:pPr>
              <w:pStyle w:val="TableContents"/>
              <w:spacing w:before="0" w:after="283"/>
              <w:jc w:val="center"/>
              <w:rPr/>
            </w:pPr>
            <w:hyperlink w:anchor="a_002">
              <w:r>
                <w:rPr>
                  <w:rStyle w:val="InternetLink"/>
                </w:rPr>
                <w:t>F-4</w:t>
              </w:r>
            </w:hyperlink>
          </w:p>
        </w:tc>
      </w:tr>
      <w:tr>
        <w:trPr/>
        <w:tc>
          <w:tcPr>
            <w:tcW w:w="9575" w:type="dxa"/>
            <w:tcBorders/>
            <w:shd w:fill="FFFFFF" w:val="clear"/>
            <w:vAlign w:val="center"/>
          </w:tcPr>
          <w:p>
            <w:pPr>
              <w:pStyle w:val="TableContents"/>
              <w:spacing w:before="0" w:after="283"/>
              <w:jc w:val="both"/>
              <w:rPr/>
            </w:pPr>
            <w:r>
              <w:rPr/>
              <w:t> </w:t>
            </w:r>
          </w:p>
        </w:tc>
        <w:tc>
          <w:tcPr>
            <w:tcW w:w="560" w:type="dxa"/>
            <w:tcBorders/>
            <w:shd w:fill="FFFFFF"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3">
              <w:r>
                <w:rPr>
                  <w:rStyle w:val="InternetLink"/>
                </w:rPr>
                <w:t>Consolidated Statements of Operations for the Years ended December 31, 2020 and 2019</w:t>
              </w:r>
            </w:hyperlink>
          </w:p>
        </w:tc>
        <w:tc>
          <w:tcPr>
            <w:tcW w:w="560" w:type="dxa"/>
            <w:tcBorders/>
            <w:shd w:fill="CCEEFF" w:val="clear"/>
            <w:vAlign w:val="center"/>
          </w:tcPr>
          <w:p>
            <w:pPr>
              <w:pStyle w:val="TableContents"/>
              <w:spacing w:before="0" w:after="283"/>
              <w:jc w:val="center"/>
              <w:rPr/>
            </w:pPr>
            <w:hyperlink w:anchor="a_003">
              <w:r>
                <w:rPr>
                  <w:rStyle w:val="InternetLink"/>
                </w:rPr>
                <w:t>F-5</w:t>
              </w:r>
            </w:hyperlink>
          </w:p>
        </w:tc>
      </w:tr>
      <w:tr>
        <w:trPr/>
        <w:tc>
          <w:tcPr>
            <w:tcW w:w="9575" w:type="dxa"/>
            <w:tcBorders/>
            <w:shd w:fill="FFFFFF" w:val="clear"/>
            <w:vAlign w:val="center"/>
          </w:tcPr>
          <w:p>
            <w:pPr>
              <w:pStyle w:val="TableContents"/>
              <w:spacing w:before="0" w:after="283"/>
              <w:jc w:val="both"/>
              <w:rPr/>
            </w:pPr>
            <w:r>
              <w:rPr/>
              <w:t> </w:t>
            </w:r>
          </w:p>
        </w:tc>
        <w:tc>
          <w:tcPr>
            <w:tcW w:w="560" w:type="dxa"/>
            <w:tcBorders/>
            <w:shd w:fill="FFFFFF"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4">
              <w:r>
                <w:rPr>
                  <w:rStyle w:val="InternetLink"/>
                </w:rPr>
                <w:t>Consolidated Statements of Stockholders' Deficit for the Years ended December 31, 2020 and 2019  </w:t>
              </w:r>
            </w:hyperlink>
          </w:p>
        </w:tc>
        <w:tc>
          <w:tcPr>
            <w:tcW w:w="560" w:type="dxa"/>
            <w:tcBorders/>
            <w:shd w:fill="CCEEFF" w:val="clear"/>
            <w:vAlign w:val="center"/>
          </w:tcPr>
          <w:p>
            <w:pPr>
              <w:pStyle w:val="TableContents"/>
              <w:spacing w:before="0" w:after="283"/>
              <w:jc w:val="center"/>
              <w:rPr/>
            </w:pPr>
            <w:hyperlink w:anchor="a_004">
              <w:r>
                <w:rPr>
                  <w:rStyle w:val="InternetLink"/>
                </w:rPr>
                <w:t>F-6</w:t>
              </w:r>
            </w:hyperlink>
          </w:p>
        </w:tc>
      </w:tr>
      <w:tr>
        <w:trPr/>
        <w:tc>
          <w:tcPr>
            <w:tcW w:w="9575" w:type="dxa"/>
            <w:tcBorders/>
            <w:shd w:fill="FFFFFF" w:val="clear"/>
            <w:vAlign w:val="center"/>
          </w:tcPr>
          <w:p>
            <w:pPr>
              <w:pStyle w:val="TableContents"/>
              <w:spacing w:before="0" w:after="283"/>
              <w:jc w:val="both"/>
              <w:rPr/>
            </w:pPr>
            <w:r>
              <w:rPr/>
              <w:t> </w:t>
            </w:r>
          </w:p>
        </w:tc>
        <w:tc>
          <w:tcPr>
            <w:tcW w:w="560" w:type="dxa"/>
            <w:tcBorders/>
            <w:shd w:fill="FFFFFF"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5">
              <w:r>
                <w:rPr>
                  <w:rStyle w:val="InternetLink"/>
                </w:rPr>
                <w:t>Consolidated Statements of Cash Flows for the Years ended December 31, 2020 and 2019</w:t>
              </w:r>
            </w:hyperlink>
          </w:p>
        </w:tc>
        <w:tc>
          <w:tcPr>
            <w:tcW w:w="560" w:type="dxa"/>
            <w:tcBorders/>
            <w:shd w:fill="CCEEFF" w:val="clear"/>
            <w:vAlign w:val="center"/>
          </w:tcPr>
          <w:p>
            <w:pPr>
              <w:pStyle w:val="TableContents"/>
              <w:spacing w:before="0" w:after="283"/>
              <w:jc w:val="center"/>
              <w:rPr/>
            </w:pPr>
            <w:hyperlink w:anchor="a_005">
              <w:r>
                <w:rPr>
                  <w:rStyle w:val="InternetLink"/>
                </w:rPr>
                <w:t>F-7</w:t>
              </w:r>
            </w:hyperlink>
          </w:p>
        </w:tc>
      </w:tr>
      <w:tr>
        <w:trPr/>
        <w:tc>
          <w:tcPr>
            <w:tcW w:w="9575" w:type="dxa"/>
            <w:tcBorders/>
            <w:shd w:fill="FFFFFF" w:val="clear"/>
            <w:vAlign w:val="center"/>
          </w:tcPr>
          <w:p>
            <w:pPr>
              <w:pStyle w:val="TableContents"/>
              <w:spacing w:before="0" w:after="283"/>
              <w:jc w:val="both"/>
              <w:rPr/>
            </w:pPr>
            <w:r>
              <w:rPr/>
              <w:t> </w:t>
            </w:r>
          </w:p>
        </w:tc>
        <w:tc>
          <w:tcPr>
            <w:tcW w:w="560" w:type="dxa"/>
            <w:tcBorders/>
            <w:shd w:fill="FFFFFF" w:val="clear"/>
            <w:vAlign w:val="center"/>
          </w:tcPr>
          <w:p>
            <w:pPr>
              <w:pStyle w:val="TableContents"/>
              <w:spacing w:before="0" w:after="283"/>
              <w:jc w:val="center"/>
              <w:rPr/>
            </w:pPr>
            <w:r>
              <w:rPr/>
              <w:t> </w:t>
            </w:r>
          </w:p>
        </w:tc>
      </w:tr>
      <w:tr>
        <w:trPr/>
        <w:tc>
          <w:tcPr>
            <w:tcW w:w="9575" w:type="dxa"/>
            <w:tcBorders/>
            <w:shd w:fill="CCEEFF" w:val="clear"/>
            <w:vAlign w:val="center"/>
          </w:tcPr>
          <w:p>
            <w:pPr>
              <w:pStyle w:val="TableContents"/>
              <w:spacing w:before="0" w:after="283"/>
              <w:jc w:val="both"/>
              <w:rPr/>
            </w:pPr>
            <w:hyperlink w:anchor="a_006">
              <w:r>
                <w:rPr>
                  <w:rStyle w:val="InternetLink"/>
                </w:rPr>
                <w:t>Notes to Consolidated Financial Statements</w:t>
              </w:r>
            </w:hyperlink>
          </w:p>
        </w:tc>
        <w:tc>
          <w:tcPr>
            <w:tcW w:w="560" w:type="dxa"/>
            <w:tcBorders/>
            <w:shd w:fill="CCEEFF" w:val="clear"/>
            <w:vAlign w:val="center"/>
          </w:tcPr>
          <w:p>
            <w:pPr>
              <w:pStyle w:val="TableContents"/>
              <w:spacing w:before="0" w:after="283"/>
              <w:jc w:val="center"/>
              <w:rPr/>
            </w:pPr>
            <w:hyperlink w:anchor="a_006">
              <w:r>
                <w:rPr>
                  <w:rStyle w:val="InternetLink"/>
                </w:rPr>
                <w:t>F-9</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7" w:name="a_001"/>
      <w:bookmarkEnd w:id="27"/>
      <w:r>
        <w:rPr>
          <w:rFonts w:ascii="Times New Roman;Times;Serif" w:hAnsi="Times New Roman;Times;Serif"/>
          <w:b/>
          <w:i w:val="false"/>
          <w:caps w:val="false"/>
          <w:smallCaps w:val="false"/>
          <w:sz w:val="20"/>
        </w:rPr>
        <w:t xml:space="preserve">Report Of Independent Registered Public Accounting Firm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Acura Pharmaceuticals, Inc.</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Palatine, Illinois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Acura Pharmaceuticals, Inc. (the “Company”) as of December 31, 2020 and 2019, the related consolidated statements of operations,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accumulated stockholders’ deficit,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 Impairment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 to the consolidated financial statements, the Company’s recognized an impairment charge of $668 thousand in the consolidated statement of operations for the year ended December 31, 2020. Intangible assets are tested for impairment whenever events or changes in circumstances indicate that the carrying value of an asset may not be recoverable. Recoverability of these assets is measured by comparing the carrying amount of the asset to the estimated projected future cash flows expected to be generated by the asset. If the carrying value of an asset exceeds its estimated future cash flows, an impairment charge is recognized by the amount by which the carrying amount of the asset exceeds the fair value of the asset. Based on the recoverability test, Management was required to calculate the fair value of the intangible asset. The fair value calculation of the intangible asset included significant estimates and assumptions related to the amount and timing of projected future cash flows and in the situation when the asset is determined to not be recoverable, the discount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finite-lived intangible asset impairment assessment as a critical audit matter. The principal consideration for our determination that performing procedures relating to the finite-lived intangible asset impairment assessment is a critical audit matter is the significant judgment required by management in developing the assumptions used in assessing the recoverability of this asset, including the (1) forecasted revenues used in the projected future cash flows and (2) discount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these elements involved a high degree of auditor judgment, subjectivity, and effort in performing procedures and evaluating evidence related to management’s future cash flow projections and the discount rate assumption, including the involvement of our valuation specialists.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Evaluating the reasonableness of management’s forecasted revenue projections by (1) comparing to historical revenues and (2) evaluating whether these assumptions were consistent with other areas of the audit.</w:t>
            </w:r>
          </w:p>
        </w:tc>
      </w:tr>
    </w:tbl>
    <w:p>
      <w:pPr>
        <w:pStyle w:val="TextBody"/>
        <w:spacing w:before="0" w:after="0"/>
        <w:rPr>
          <w:caps w:val="false"/>
          <w:smallCaps w:val="false"/>
        </w:rPr>
      </w:pPr>
      <w:r>
        <w:rPr>
          <w:caps w:val="false"/>
          <w:smallCaps w:val="false"/>
        </w:rPr>
        <w:t> </w:t>
      </w:r>
    </w:p>
    <w:tbl>
      <w:tblPr>
        <w:tblW w:w="7893" w:type="dxa"/>
        <w:jc w:val="left"/>
        <w:tblInd w:w="0" w:type="dxa"/>
        <w:tblCellMar>
          <w:top w:w="0" w:type="dxa"/>
          <w:left w:w="0" w:type="dxa"/>
          <w:bottom w:w="0" w:type="dxa"/>
          <w:right w:w="0" w:type="dxa"/>
        </w:tblCellMar>
      </w:tblPr>
      <w:tblGrid>
        <w:gridCol w:w="38"/>
        <w:gridCol w:w="125"/>
        <w:gridCol w:w="773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773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Utilizing personnel with specialized knowledge and skills in valuation to assist in:</w:t>
            </w:r>
          </w:p>
        </w:tc>
      </w:tr>
    </w:tbl>
    <w:p>
      <w:pPr>
        <w:pStyle w:val="TextBody"/>
        <w:spacing w:before="0" w:after="0"/>
        <w:rPr>
          <w:caps w:val="false"/>
          <w:smallCaps w:val="false"/>
        </w:rPr>
      </w:pPr>
      <w:r>
        <w:rPr>
          <w:caps w:val="false"/>
          <w:smallCaps w:val="false"/>
        </w:rPr>
        <w:t> </w:t>
      </w:r>
    </w:p>
    <w:tbl>
      <w:tblPr>
        <w:tblW w:w="8313" w:type="dxa"/>
        <w:jc w:val="left"/>
        <w:tblInd w:w="0" w:type="dxa"/>
        <w:tblCellMar>
          <w:top w:w="0" w:type="dxa"/>
          <w:left w:w="0" w:type="dxa"/>
          <w:bottom w:w="0" w:type="dxa"/>
          <w:right w:w="0" w:type="dxa"/>
        </w:tblCellMar>
      </w:tblPr>
      <w:tblGrid>
        <w:gridCol w:w="38"/>
        <w:gridCol w:w="140"/>
        <w:gridCol w:w="813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8135" w:type="dxa"/>
            <w:tcBorders/>
            <w:shd w:fill="auto" w:val="clear"/>
            <w:vAlign w:val="center"/>
          </w:tcPr>
          <w:p>
            <w:pPr>
              <w:pStyle w:val="TableContents"/>
              <w:spacing w:before="0" w:after="283"/>
              <w:jc w:val="both"/>
              <w:rPr/>
            </w:pPr>
            <w:r>
              <w:rPr/>
              <w:t>Evaluating the appropriateness of the methodology used to value the intangible assets;</w:t>
            </w:r>
          </w:p>
        </w:tc>
      </w:tr>
    </w:tbl>
    <w:p>
      <w:pPr>
        <w:pStyle w:val="TextBody"/>
        <w:spacing w:before="0" w:after="0"/>
        <w:rPr>
          <w:caps w:val="false"/>
          <w:smallCaps w:val="false"/>
        </w:rPr>
      </w:pPr>
      <w:r>
        <w:rPr>
          <w:caps w:val="false"/>
          <w:smallCaps w:val="false"/>
        </w:rPr>
        <w:t> </w:t>
      </w:r>
    </w:p>
    <w:tbl>
      <w:tblPr>
        <w:tblW w:w="6333" w:type="dxa"/>
        <w:jc w:val="left"/>
        <w:tblInd w:w="0" w:type="dxa"/>
        <w:tblCellMar>
          <w:top w:w="0" w:type="dxa"/>
          <w:left w:w="0" w:type="dxa"/>
          <w:bottom w:w="0" w:type="dxa"/>
          <w:right w:w="0" w:type="dxa"/>
        </w:tblCellMar>
      </w:tblPr>
      <w:tblGrid>
        <w:gridCol w:w="38"/>
        <w:gridCol w:w="140"/>
        <w:gridCol w:w="615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6155" w:type="dxa"/>
            <w:tcBorders/>
            <w:shd w:fill="auto" w:val="clear"/>
            <w:vAlign w:val="center"/>
          </w:tcPr>
          <w:p>
            <w:pPr>
              <w:pStyle w:val="TableContents"/>
              <w:spacing w:before="0" w:after="283"/>
              <w:jc w:val="both"/>
              <w:rPr/>
            </w:pPr>
            <w:r>
              <w:rPr/>
              <w:t>Testing the mathematical accuracy of the calculations performed;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o</w:t>
            </w:r>
          </w:p>
        </w:tc>
        <w:tc>
          <w:tcPr>
            <w:tcW w:w="10027" w:type="dxa"/>
            <w:tcBorders/>
            <w:shd w:fill="auto" w:val="clear"/>
            <w:vAlign w:val="center"/>
          </w:tcPr>
          <w:p>
            <w:pPr>
              <w:pStyle w:val="TableContents"/>
              <w:spacing w:before="0" w:after="283"/>
              <w:jc w:val="both"/>
              <w:rPr/>
            </w:pPr>
            <w:r>
              <w:rPr/>
              <w:t>Developing an independent estimate of the risk-adjusted discount rate used by management based on a market participant perspective.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ACURA PHARMACEUTICALS,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28" w:name="a_002"/>
      <w:bookmarkEnd w:id="28"/>
      <w:r>
        <w:rPr>
          <w:rFonts w:ascii="Times New Roman;Times;Serif" w:hAnsi="Times New Roman;Times;Serif"/>
          <w:b/>
          <w:i w:val="false"/>
          <w:caps w:val="false"/>
          <w:smallCaps w:val="false"/>
          <w:sz w:val="20"/>
        </w:rPr>
        <w:t>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50"/>
        <w:gridCol w:w="60"/>
        <w:gridCol w:w="125"/>
        <w:gridCol w:w="755"/>
        <w:gridCol w:w="80"/>
        <w:gridCol w:w="60"/>
        <w:gridCol w:w="125"/>
        <w:gridCol w:w="755"/>
        <w:gridCol w:w="95"/>
      </w:tblGrid>
      <w:tr>
        <w:trPr/>
        <w:tc>
          <w:tcPr>
            <w:tcW w:w="8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ind w:left="0" w:right="0" w:hanging="101"/>
              <w:rPr/>
            </w:pPr>
            <w:r>
              <w:rPr/>
              <w:t> </w:t>
            </w:r>
          </w:p>
        </w:tc>
      </w:tr>
      <w:tr>
        <w:trPr/>
        <w:tc>
          <w:tcPr>
            <w:tcW w:w="8150" w:type="dxa"/>
            <w:tcBorders/>
            <w:shd w:fill="CCEEFF" w:val="clear"/>
            <w:vAlign w:val="center"/>
          </w:tcPr>
          <w:p>
            <w:pPr>
              <w:pStyle w:val="TableContents"/>
              <w:spacing w:before="0" w:after="283"/>
              <w:rPr>
                <w:sz w:val="20"/>
              </w:rPr>
            </w:pPr>
            <w:r>
              <w:rPr>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rPr>
                <w:sz w:val="20"/>
              </w:rPr>
            </w:pPr>
            <w:r>
              <w:rPr>
                <w:sz w:val="20"/>
              </w:rPr>
              <w:t>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755" w:type="dxa"/>
            <w:tcBorders/>
            <w:shd w:fill="FFFFFF" w:val="clear"/>
            <w:vAlign w:val="center"/>
          </w:tcPr>
          <w:p>
            <w:pPr>
              <w:pStyle w:val="TableContents"/>
              <w:spacing w:before="0" w:after="283"/>
              <w:jc w:val="right"/>
              <w:rPr>
                <w:sz w:val="20"/>
              </w:rPr>
            </w:pPr>
            <w:r>
              <w:rPr>
                <w:sz w:val="20"/>
              </w:rPr>
              <w:t>413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755" w:type="dxa"/>
            <w:tcBorders/>
            <w:shd w:fill="FFFFFF" w:val="clear"/>
            <w:vAlign w:val="center"/>
          </w:tcPr>
          <w:p>
            <w:pPr>
              <w:pStyle w:val="TableContents"/>
              <w:spacing w:before="0" w:after="283"/>
              <w:jc w:val="right"/>
              <w:rPr>
                <w:sz w:val="20"/>
              </w:rPr>
            </w:pPr>
            <w:r>
              <w:rPr>
                <w:sz w:val="20"/>
              </w:rPr>
              <w:t>862</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Royalty receivable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30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82</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Collaboration revenue receivable from related party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197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78</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License fee receivable from related party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400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122</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Income tax receivable</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34</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pPr>
            <w:r>
              <w:rPr/>
              <w:t>        </w:t>
            </w:r>
            <w:r>
              <w:rPr>
                <w:sz w:val="20"/>
              </w:rPr>
              <w:t>Total current assets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1,179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1,178</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Income tax receivable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34</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Property, plant and equipment, net (Note 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484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540</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Intangible asset, net (Note 3)</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810</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pPr>
            <w:r>
              <w:rPr/>
              <w:t>        </w:t>
            </w:r>
            <w:r>
              <w:rPr>
                <w:sz w:val="20"/>
              </w:rPr>
              <w:t>Total assets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1,736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2,562</w:t>
            </w:r>
          </w:p>
        </w:tc>
        <w:tc>
          <w:tcPr>
            <w:tcW w:w="95" w:type="dxa"/>
            <w:tcBorders/>
            <w:shd w:fill="FFFFFF" w:val="clear"/>
            <w:vAlign w:val="center"/>
          </w:tcPr>
          <w:p>
            <w:pPr>
              <w:pStyle w:val="TableContents"/>
              <w:spacing w:before="0" w:after="283"/>
              <w:ind w:left="0" w:right="0" w:hanging="101"/>
              <w:jc w:val="left"/>
              <w:rPr/>
            </w:pPr>
            <w:r>
              <w:rPr/>
              <w:t> </w:t>
            </w:r>
          </w:p>
        </w:tc>
      </w:tr>
      <w:tr>
        <w:trPr/>
        <w:tc>
          <w:tcPr>
            <w:tcW w:w="81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ind w:left="0" w:right="0" w:hanging="101"/>
              <w:jc w:val="left"/>
              <w:rPr/>
            </w:pPr>
            <w:r>
              <w:rPr/>
              <w:t> </w:t>
            </w:r>
          </w:p>
        </w:tc>
      </w:tr>
      <w:tr>
        <w:trPr/>
        <w:tc>
          <w:tcPr>
            <w:tcW w:w="8150" w:type="dxa"/>
            <w:tcBorders/>
            <w:shd w:fill="FFFFFF" w:val="clear"/>
            <w:vAlign w:val="center"/>
          </w:tcPr>
          <w:p>
            <w:pPr>
              <w:pStyle w:val="TableContents"/>
              <w:spacing w:before="0" w:after="283"/>
              <w:rPr>
                <w:sz w:val="20"/>
              </w:rPr>
            </w:pPr>
            <w:r>
              <w:rPr>
                <w:sz w:val="20"/>
              </w:rPr>
              <w:t>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Accounts payable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755" w:type="dxa"/>
            <w:tcBorders/>
            <w:shd w:fill="CCEEFF" w:val="clear"/>
            <w:vAlign w:val="center"/>
          </w:tcPr>
          <w:p>
            <w:pPr>
              <w:pStyle w:val="TableContents"/>
              <w:spacing w:before="0" w:after="283"/>
              <w:jc w:val="right"/>
              <w:rPr>
                <w:sz w:val="20"/>
              </w:rPr>
            </w:pPr>
            <w:r>
              <w:rPr>
                <w:sz w:val="20"/>
              </w:rPr>
              <w:t>31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755" w:type="dxa"/>
            <w:tcBorders/>
            <w:shd w:fill="CCEEFF" w:val="clear"/>
            <w:vAlign w:val="center"/>
          </w:tcPr>
          <w:p>
            <w:pPr>
              <w:pStyle w:val="TableContents"/>
              <w:spacing w:before="0" w:after="283"/>
              <w:jc w:val="right"/>
              <w:rPr>
                <w:sz w:val="20"/>
              </w:rPr>
            </w:pPr>
            <w:r>
              <w:rPr>
                <w:sz w:val="20"/>
              </w:rPr>
              <w:t>237</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Accrued expenses (Note 6)</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631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585</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Loan under CARES Act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164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Other current liabilities (Note 11)</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18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29</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Sales returns liability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223</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Convertible debt to related party, net of discounts (Note 7)</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6,000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Accrued interest to related party (Note 7)</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678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pPr>
            <w:r>
              <w:rPr/>
              <w:t>        </w:t>
            </w:r>
            <w:r>
              <w:rPr>
                <w:sz w:val="20"/>
              </w:rPr>
              <w:t>Total current liabilities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7,522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1,074</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Convertible debt to related party, net of discounts (Note 7)</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6,000</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Accrued interest to related party (Note 7)</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229</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under CARES Act – non current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pPr>
            <w:r>
              <w:rPr/>
              <w:t>        </w:t>
            </w:r>
            <w:r>
              <w:rPr>
                <w:sz w:val="20"/>
              </w:rPr>
              <w:t>Total liabilities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7,627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7,303</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Commitments and contingencies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Stockholders’ deficit: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ind w:left="0" w:right="0" w:hanging="246"/>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Common stock - $0.01 par value per share; 100,000 shares authorized, 21,650 and 21,300 shares issued and outstanding at December 31, 2020 and 2019, respectively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216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sz w:val="20"/>
              </w:rPr>
            </w:pPr>
            <w:r>
              <w:rPr>
                <w:sz w:val="20"/>
              </w:rPr>
              <w:t>213</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sz w:val="20"/>
              </w:rPr>
            </w:pPr>
            <w:r>
              <w:rPr>
                <w:sz w:val="20"/>
              </w:rPr>
              <w:t>Additional paid-in capital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383,097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sz w:val="20"/>
              </w:rPr>
            </w:pPr>
            <w:r>
              <w:rPr>
                <w:sz w:val="20"/>
              </w:rPr>
              <w:t>383,042</w:t>
            </w:r>
          </w:p>
        </w:tc>
        <w:tc>
          <w:tcPr>
            <w:tcW w:w="95" w:type="dxa"/>
            <w:tcBorders/>
            <w:shd w:fill="CCEEFF" w:val="clear"/>
            <w:vAlign w:val="center"/>
          </w:tcPr>
          <w:p>
            <w:pPr>
              <w:pStyle w:val="TableContents"/>
              <w:spacing w:before="0" w:after="283"/>
              <w:jc w:val="left"/>
              <w:rPr/>
            </w:pPr>
            <w:r>
              <w:rPr/>
              <w:t> </w:t>
            </w:r>
          </w:p>
        </w:tc>
      </w:tr>
      <w:tr>
        <w:trPr/>
        <w:tc>
          <w:tcPr>
            <w:tcW w:w="8150" w:type="dxa"/>
            <w:tcBorders/>
            <w:shd w:fill="FFFFFF" w:val="clear"/>
            <w:vAlign w:val="center"/>
          </w:tcPr>
          <w:p>
            <w:pPr>
              <w:pStyle w:val="TableContents"/>
              <w:spacing w:before="0" w:after="283"/>
              <w:jc w:val="left"/>
              <w:rPr>
                <w:sz w:val="20"/>
              </w:rPr>
            </w:pPr>
            <w:r>
              <w:rPr>
                <w:sz w:val="20"/>
              </w:rPr>
              <w:t>Accumulated deficit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(389,204</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(387,996</w:t>
            </w:r>
          </w:p>
        </w:tc>
        <w:tc>
          <w:tcPr>
            <w:tcW w:w="95" w:type="dxa"/>
            <w:tcBorders/>
            <w:shd w:fill="FFFFFF" w:val="clear"/>
            <w:vAlign w:val="center"/>
          </w:tcPr>
          <w:p>
            <w:pPr>
              <w:pStyle w:val="TableContents"/>
              <w:spacing w:before="0" w:after="283"/>
              <w:jc w:val="left"/>
              <w:rPr>
                <w:sz w:val="20"/>
              </w:rPr>
            </w:pPr>
            <w:r>
              <w:rPr>
                <w:sz w:val="20"/>
              </w:rPr>
              <w:t>)</w:t>
            </w:r>
          </w:p>
        </w:tc>
      </w:tr>
      <w:tr>
        <w:trPr/>
        <w:tc>
          <w:tcPr>
            <w:tcW w:w="8150" w:type="dxa"/>
            <w:tcBorders/>
            <w:shd w:fill="CCEEFF" w:val="clear"/>
            <w:vAlign w:val="center"/>
          </w:tcPr>
          <w:p>
            <w:pPr>
              <w:pStyle w:val="TableContents"/>
              <w:spacing w:before="0" w:after="283"/>
              <w:jc w:val="left"/>
              <w:rPr/>
            </w:pPr>
            <w:r>
              <w:rPr/>
              <w:t>        </w:t>
            </w:r>
            <w:r>
              <w:rPr>
                <w:sz w:val="20"/>
              </w:rPr>
              <w:t>Total stockholders’ deficit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(5,891</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(4,741</w:t>
            </w:r>
          </w:p>
        </w:tc>
        <w:tc>
          <w:tcPr>
            <w:tcW w:w="95" w:type="dxa"/>
            <w:tcBorders/>
            <w:shd w:fill="CCEEFF" w:val="clear"/>
            <w:vAlign w:val="center"/>
          </w:tcPr>
          <w:p>
            <w:pPr>
              <w:pStyle w:val="TableContents"/>
              <w:spacing w:before="0" w:after="283"/>
              <w:jc w:val="left"/>
              <w:rPr>
                <w:sz w:val="20"/>
              </w:rPr>
            </w:pPr>
            <w:r>
              <w:rPr>
                <w:sz w:val="20"/>
              </w:rPr>
              <w:t>)</w:t>
            </w:r>
          </w:p>
        </w:tc>
      </w:tr>
      <w:tr>
        <w:trPr/>
        <w:tc>
          <w:tcPr>
            <w:tcW w:w="81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150" w:type="dxa"/>
            <w:tcBorders/>
            <w:shd w:fill="CCEEFF" w:val="clear"/>
            <w:vAlign w:val="center"/>
          </w:tcPr>
          <w:p>
            <w:pPr>
              <w:pStyle w:val="TableContents"/>
              <w:spacing w:before="0" w:after="283"/>
              <w:jc w:val="left"/>
              <w:rPr/>
            </w:pPr>
            <w:r>
              <w:rPr/>
              <w:t>        </w:t>
            </w:r>
            <w:r>
              <w:rPr>
                <w:sz w:val="20"/>
              </w:rPr>
              <w:t>Total liabilities and stockholders’ deficit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1,736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2,562</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F-4</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29" w:name="a_003"/>
      <w:bookmarkEnd w:id="29"/>
      <w:r>
        <w:rPr>
          <w:rFonts w:ascii="Times New Roman;Times;Serif" w:hAnsi="Times New Roman;Times;Serif"/>
          <w:b/>
          <w:i w:val="false"/>
          <w:caps w:val="false"/>
          <w:smallCaps w:val="false"/>
          <w:sz w:val="20"/>
        </w:rPr>
        <w:t>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spacing w:before="0" w:after="0"/>
        <w:ind w:left="0" w:right="0" w:firstLine="5760"/>
        <w:jc w:val="center"/>
        <w:rPr>
          <w:caps w:val="false"/>
          <w:smallCaps w:val="false"/>
        </w:rPr>
      </w:pPr>
      <w:r>
        <w:rPr>
          <w:caps w:val="false"/>
          <w:smallCaps w:val="false"/>
        </w:rPr>
        <w:t> </w:t>
      </w:r>
    </w:p>
    <w:tbl>
      <w:tblPr>
        <w:tblW w:w="5720" w:type="dxa"/>
        <w:jc w:val="left"/>
        <w:tblInd w:w="0" w:type="dxa"/>
        <w:tblCellMar>
          <w:top w:w="0" w:type="dxa"/>
          <w:left w:w="0" w:type="dxa"/>
          <w:bottom w:w="0" w:type="dxa"/>
          <w:right w:w="0" w:type="dxa"/>
        </w:tblCellMar>
      </w:tblPr>
      <w:tblGrid>
        <w:gridCol w:w="3995"/>
        <w:gridCol w:w="60"/>
        <w:gridCol w:w="125"/>
        <w:gridCol w:w="590"/>
        <w:gridCol w:w="80"/>
        <w:gridCol w:w="60"/>
        <w:gridCol w:w="125"/>
        <w:gridCol w:w="590"/>
        <w:gridCol w:w="95"/>
      </w:tblGrid>
      <w:tr>
        <w:trPr/>
        <w:tc>
          <w:tcPr>
            <w:tcW w:w="3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ind w:left="0" w:right="0" w:hanging="101"/>
              <w:rPr/>
            </w:pPr>
            <w:r>
              <w:rPr/>
              <w:t> </w:t>
            </w:r>
          </w:p>
        </w:tc>
      </w:tr>
      <w:tr>
        <w:trPr/>
        <w:tc>
          <w:tcPr>
            <w:tcW w:w="3995" w:type="dxa"/>
            <w:tcBorders/>
            <w:shd w:fill="CCEEFF" w:val="clear"/>
            <w:vAlign w:val="center"/>
          </w:tcPr>
          <w:p>
            <w:pPr>
              <w:pStyle w:val="TableContents"/>
              <w:spacing w:before="0" w:after="283"/>
              <w:rPr>
                <w:sz w:val="20"/>
              </w:rPr>
            </w:pPr>
            <w:r>
              <w:rPr>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rPr/>
            </w:pPr>
            <w:r>
              <w:rPr/>
              <w:t>   </w:t>
            </w:r>
            <w:r>
              <w:rPr>
                <w:sz w:val="20"/>
              </w:rPr>
              <w:t>Royalties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590" w:type="dxa"/>
            <w:tcBorders/>
            <w:shd w:fill="FFFFFF" w:val="clear"/>
            <w:vAlign w:val="center"/>
          </w:tcPr>
          <w:p>
            <w:pPr>
              <w:pStyle w:val="TableContents"/>
              <w:spacing w:before="0" w:after="283"/>
              <w:jc w:val="right"/>
              <w:rPr>
                <w:sz w:val="20"/>
              </w:rPr>
            </w:pPr>
            <w:r>
              <w:rPr>
                <w:sz w:val="20"/>
              </w:rPr>
              <w:t>109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590" w:type="dxa"/>
            <w:tcBorders/>
            <w:shd w:fill="FFFFFF" w:val="clear"/>
            <w:vAlign w:val="center"/>
          </w:tcPr>
          <w:p>
            <w:pPr>
              <w:pStyle w:val="TableContents"/>
              <w:spacing w:before="0" w:after="283"/>
              <w:jc w:val="right"/>
              <w:rPr>
                <w:sz w:val="20"/>
              </w:rPr>
            </w:pPr>
            <w:r>
              <w:rPr>
                <w:sz w:val="20"/>
              </w:rPr>
              <w:t>372</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jc w:val="left"/>
              <w:rPr/>
            </w:pPr>
            <w:r>
              <w:rPr/>
              <w:t>   </w:t>
            </w:r>
            <w:r>
              <w:rPr>
                <w:sz w:val="20"/>
              </w:rPr>
              <w:t>Collaboration from related party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sz w:val="20"/>
              </w:rPr>
            </w:pPr>
            <w:r>
              <w:rPr>
                <w:sz w:val="20"/>
              </w:rPr>
              <w:t>238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sz w:val="20"/>
              </w:rPr>
            </w:pPr>
            <w:r>
              <w:rPr>
                <w:sz w:val="20"/>
              </w:rPr>
              <w:t>185</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jc w:val="left"/>
              <w:rPr/>
            </w:pPr>
            <w:r>
              <w:rPr/>
              <w:t>   </w:t>
            </w:r>
            <w:r>
              <w:rPr>
                <w:sz w:val="20"/>
              </w:rPr>
              <w:t>License fees from related party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3,000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2,100</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jc w:val="left"/>
              <w:rPr/>
            </w:pPr>
            <w:r>
              <w:rPr/>
              <w:t>   </w:t>
            </w:r>
            <w:r>
              <w:rPr>
                <w:sz w:val="20"/>
              </w:rPr>
              <w:t>Product sales (Note 4)</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jc w:val="left"/>
              <w:rPr>
                <w:sz w:val="20"/>
              </w:rPr>
            </w:pPr>
            <w:r>
              <w:rPr>
                <w:sz w:val="20"/>
              </w:rPr>
              <w:t>Total revenues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3,570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2,657</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rPr>
                <w:sz w:val="20"/>
              </w:rPr>
            </w:pPr>
            <w:r>
              <w:rPr>
                <w:sz w:val="20"/>
              </w:rPr>
              <w:t>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jc w:val="left"/>
              <w:rPr/>
            </w:pPr>
            <w:r>
              <w:rPr/>
              <w:t>   </w:t>
            </w:r>
            <w:r>
              <w:rPr>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1,781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1,505</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jc w:val="left"/>
              <w:rPr/>
            </w:pPr>
            <w:r>
              <w:rPr/>
              <w:t>   </w:t>
            </w:r>
            <w:r>
              <w:rPr>
                <w:sz w:val="20"/>
              </w:rPr>
              <w:t>General and administrative</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2,547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1,877</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jc w:val="left"/>
              <w:rPr>
                <w:sz w:val="20"/>
              </w:rPr>
            </w:pPr>
            <w:r>
              <w:rPr>
                <w:sz w:val="20"/>
              </w:rPr>
              <w:t>Total expenses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4,328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3,382</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jc w:val="left"/>
              <w:rPr>
                <w:sz w:val="20"/>
              </w:rPr>
            </w:pPr>
            <w:r>
              <w:rPr>
                <w:sz w:val="20"/>
              </w:rPr>
              <w:t>Operating loss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(758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(725</w:t>
            </w:r>
          </w:p>
        </w:tc>
        <w:tc>
          <w:tcPr>
            <w:tcW w:w="95" w:type="dxa"/>
            <w:tcBorders/>
            <w:shd w:fill="CCEEFF" w:val="clear"/>
            <w:vAlign w:val="center"/>
          </w:tcPr>
          <w:p>
            <w:pPr>
              <w:pStyle w:val="TableContents"/>
              <w:spacing w:before="0" w:after="283"/>
              <w:jc w:val="left"/>
              <w:rPr>
                <w:sz w:val="20"/>
              </w:rPr>
            </w:pPr>
            <w:r>
              <w:rPr>
                <w:sz w:val="20"/>
              </w:rPr>
              <w:t>)</w:t>
            </w:r>
          </w:p>
        </w:tc>
      </w:tr>
      <w:tr>
        <w:trPr/>
        <w:tc>
          <w:tcPr>
            <w:tcW w:w="3995" w:type="dxa"/>
            <w:tcBorders/>
            <w:shd w:fill="FFFFFF" w:val="clear"/>
            <w:vAlign w:val="center"/>
          </w:tcPr>
          <w:p>
            <w:pPr>
              <w:pStyle w:val="TableContents"/>
              <w:spacing w:before="0" w:after="283"/>
              <w:jc w:val="left"/>
              <w:rPr>
                <w:sz w:val="20"/>
              </w:rPr>
            </w:pPr>
            <w:r>
              <w:rPr>
                <w:sz w:val="20"/>
              </w:rPr>
              <w:t>Loss on debt extinguishment (Note 7)</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(2,600</w:t>
            </w:r>
          </w:p>
        </w:tc>
        <w:tc>
          <w:tcPr>
            <w:tcW w:w="95" w:type="dxa"/>
            <w:tcBorders/>
            <w:shd w:fill="FFFFFF" w:val="clear"/>
            <w:vAlign w:val="center"/>
          </w:tcPr>
          <w:p>
            <w:pPr>
              <w:pStyle w:val="TableContents"/>
              <w:spacing w:before="0" w:after="283"/>
              <w:jc w:val="left"/>
              <w:rPr>
                <w:sz w:val="20"/>
              </w:rPr>
            </w:pPr>
            <w:r>
              <w:rPr>
                <w:sz w:val="20"/>
              </w:rPr>
              <w:t>)</w:t>
            </w:r>
          </w:p>
        </w:tc>
      </w:tr>
      <w:tr>
        <w:trPr/>
        <w:tc>
          <w:tcPr>
            <w:tcW w:w="3995" w:type="dxa"/>
            <w:tcBorders/>
            <w:shd w:fill="CCEEFF" w:val="clear"/>
            <w:vAlign w:val="center"/>
          </w:tcPr>
          <w:p>
            <w:pPr>
              <w:pStyle w:val="TableContents"/>
              <w:spacing w:before="0" w:after="283"/>
              <w:jc w:val="left"/>
              <w:rPr>
                <w:sz w:val="20"/>
              </w:rPr>
            </w:pPr>
            <w:r>
              <w:rPr>
                <w:sz w:val="20"/>
              </w:rPr>
              <w:t>Interest expense (Note 7)</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(450</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(449</w:t>
            </w:r>
          </w:p>
        </w:tc>
        <w:tc>
          <w:tcPr>
            <w:tcW w:w="95" w:type="dxa"/>
            <w:tcBorders/>
            <w:shd w:fill="CCEEFF" w:val="clear"/>
            <w:vAlign w:val="center"/>
          </w:tcPr>
          <w:p>
            <w:pPr>
              <w:pStyle w:val="TableContents"/>
              <w:spacing w:before="0" w:after="283"/>
              <w:jc w:val="left"/>
              <w:rPr>
                <w:sz w:val="20"/>
              </w:rPr>
            </w:pPr>
            <w:r>
              <w:rPr>
                <w:sz w:val="20"/>
              </w:rPr>
              <w:t>)</w:t>
            </w:r>
          </w:p>
        </w:tc>
      </w:tr>
      <w:tr>
        <w:trPr/>
        <w:tc>
          <w:tcPr>
            <w:tcW w:w="3995" w:type="dxa"/>
            <w:tcBorders/>
            <w:shd w:fill="FFFFFF" w:val="clear"/>
            <w:vAlign w:val="center"/>
          </w:tcPr>
          <w:p>
            <w:pPr>
              <w:pStyle w:val="TableContents"/>
              <w:spacing w:before="0" w:after="283"/>
              <w:jc w:val="left"/>
              <w:rPr>
                <w:sz w:val="20"/>
              </w:rPr>
            </w:pPr>
            <w:r>
              <w:rPr>
                <w:sz w:val="20"/>
              </w:rPr>
              <w:t>Loss before provision for income taxes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(1,208</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sz w:val="20"/>
              </w:rPr>
            </w:pPr>
            <w:r>
              <w:rPr>
                <w:sz w:val="20"/>
              </w:rPr>
              <w:t>(3,774</w:t>
            </w:r>
          </w:p>
        </w:tc>
        <w:tc>
          <w:tcPr>
            <w:tcW w:w="95" w:type="dxa"/>
            <w:tcBorders/>
            <w:shd w:fill="FFFFFF" w:val="clear"/>
            <w:vAlign w:val="center"/>
          </w:tcPr>
          <w:p>
            <w:pPr>
              <w:pStyle w:val="TableContents"/>
              <w:spacing w:before="0" w:after="283"/>
              <w:jc w:val="left"/>
              <w:rPr>
                <w:sz w:val="20"/>
              </w:rPr>
            </w:pPr>
            <w:r>
              <w:rPr>
                <w:sz w:val="20"/>
              </w:rPr>
              <w:t>)</w:t>
            </w:r>
          </w:p>
        </w:tc>
      </w:tr>
      <w:tr>
        <w:trPr/>
        <w:tc>
          <w:tcPr>
            <w:tcW w:w="3995" w:type="dxa"/>
            <w:tcBorders/>
            <w:shd w:fill="CCEEFF" w:val="clear"/>
            <w:vAlign w:val="center"/>
          </w:tcPr>
          <w:p>
            <w:pPr>
              <w:pStyle w:val="TableContents"/>
              <w:spacing w:before="0" w:after="283"/>
              <w:jc w:val="left"/>
              <w:rPr>
                <w:sz w:val="20"/>
              </w:rPr>
            </w:pPr>
            <w:r>
              <w:rPr>
                <w:sz w:val="20"/>
              </w:rPr>
              <w:t>Provision for income taxes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jc w:val="left"/>
              <w:rPr>
                <w:sz w:val="20"/>
              </w:rPr>
            </w:pPr>
            <w:r>
              <w:rPr>
                <w:sz w:val="20"/>
              </w:rPr>
              <w:t>Net loss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(1,208</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(3,774</w:t>
            </w:r>
          </w:p>
        </w:tc>
        <w:tc>
          <w:tcPr>
            <w:tcW w:w="95" w:type="dxa"/>
            <w:tcBorders/>
            <w:shd w:fill="FFFFFF" w:val="clear"/>
            <w:vAlign w:val="center"/>
          </w:tcPr>
          <w:p>
            <w:pPr>
              <w:pStyle w:val="TableContents"/>
              <w:spacing w:before="0" w:after="283"/>
              <w:jc w:val="left"/>
              <w:rPr>
                <w:sz w:val="20"/>
              </w:rPr>
            </w:pPr>
            <w:r>
              <w:rPr>
                <w:sz w:val="20"/>
              </w:rPr>
              <w:t>)</w:t>
            </w:r>
          </w:p>
        </w:tc>
      </w:tr>
      <w:tr>
        <w:trPr/>
        <w:tc>
          <w:tcPr>
            <w:tcW w:w="3995" w:type="dxa"/>
            <w:tcBorders/>
            <w:shd w:fill="CCEEFF" w:val="clear"/>
            <w:vAlign w:val="center"/>
          </w:tcPr>
          <w:p>
            <w:pPr>
              <w:pStyle w:val="TableContents"/>
              <w:spacing w:before="0" w:after="283"/>
              <w:jc w:val="left"/>
              <w:rPr>
                <w:sz w:val="20"/>
              </w:rPr>
            </w:pPr>
            <w:r>
              <w:rPr>
                <w:sz w:val="20"/>
              </w:rPr>
              <w:t>Net loss per share (Note 13):</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rPr/>
            </w:pPr>
            <w:r>
              <w:rPr/>
              <w:t>      </w:t>
            </w:r>
            <w:r>
              <w:rPr>
                <w:sz w:val="20"/>
              </w:rPr>
              <w:t>Basic</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590" w:type="dxa"/>
            <w:tcBorders/>
            <w:shd w:fill="FFFFFF" w:val="clear"/>
            <w:vAlign w:val="center"/>
          </w:tcPr>
          <w:p>
            <w:pPr>
              <w:pStyle w:val="TableContents"/>
              <w:spacing w:before="0" w:after="283"/>
              <w:jc w:val="right"/>
              <w:rPr>
                <w:sz w:val="20"/>
              </w:rPr>
            </w:pPr>
            <w:r>
              <w:rPr>
                <w:sz w:val="20"/>
              </w:rPr>
              <w:t>(0.04</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590" w:type="dxa"/>
            <w:tcBorders/>
            <w:shd w:fill="FFFFFF" w:val="clear"/>
            <w:vAlign w:val="center"/>
          </w:tcPr>
          <w:p>
            <w:pPr>
              <w:pStyle w:val="TableContents"/>
              <w:spacing w:before="0" w:after="283"/>
              <w:jc w:val="right"/>
              <w:rPr>
                <w:sz w:val="20"/>
              </w:rPr>
            </w:pPr>
            <w:r>
              <w:rPr>
                <w:sz w:val="20"/>
              </w:rPr>
              <w:t>(0.14</w:t>
            </w:r>
          </w:p>
        </w:tc>
        <w:tc>
          <w:tcPr>
            <w:tcW w:w="95" w:type="dxa"/>
            <w:tcBorders/>
            <w:shd w:fill="FFFFFF" w:val="clear"/>
            <w:vAlign w:val="center"/>
          </w:tcPr>
          <w:p>
            <w:pPr>
              <w:pStyle w:val="TableContents"/>
              <w:spacing w:before="0" w:after="283"/>
              <w:jc w:val="left"/>
              <w:rPr>
                <w:sz w:val="20"/>
              </w:rPr>
            </w:pPr>
            <w:r>
              <w:rPr>
                <w:sz w:val="20"/>
              </w:rPr>
              <w:t>)</w:t>
            </w:r>
          </w:p>
        </w:tc>
      </w:tr>
      <w:tr>
        <w:trPr/>
        <w:tc>
          <w:tcPr>
            <w:tcW w:w="3995" w:type="dxa"/>
            <w:tcBorders/>
            <w:shd w:fill="CCEEFF" w:val="clear"/>
            <w:vAlign w:val="center"/>
          </w:tcPr>
          <w:p>
            <w:pPr>
              <w:pStyle w:val="TableContents"/>
              <w:spacing w:before="0" w:after="283"/>
              <w:rPr/>
            </w:pPr>
            <w:r>
              <w:rPr/>
              <w:t>      </w:t>
            </w:r>
            <w:r>
              <w:rPr>
                <w:sz w:val="20"/>
              </w:rPr>
              <w:t>Diluted</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(0.04</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(0.14</w:t>
            </w:r>
          </w:p>
        </w:tc>
        <w:tc>
          <w:tcPr>
            <w:tcW w:w="95" w:type="dxa"/>
            <w:tcBorders/>
            <w:shd w:fill="CCEEFF" w:val="clear"/>
            <w:vAlign w:val="center"/>
          </w:tcPr>
          <w:p>
            <w:pPr>
              <w:pStyle w:val="TableContents"/>
              <w:spacing w:before="0" w:after="283"/>
              <w:jc w:val="left"/>
              <w:rPr>
                <w:sz w:val="20"/>
              </w:rPr>
            </w:pPr>
            <w:r>
              <w:rPr>
                <w:sz w:val="20"/>
              </w:rPr>
              <w:t>)</w:t>
            </w:r>
          </w:p>
        </w:tc>
      </w:tr>
      <w:tr>
        <w:trPr/>
        <w:tc>
          <w:tcPr>
            <w:tcW w:w="3995" w:type="dxa"/>
            <w:tcBorders/>
            <w:shd w:fill="FFFFFF" w:val="clear"/>
            <w:vAlign w:val="center"/>
          </w:tcPr>
          <w:p>
            <w:pPr>
              <w:pStyle w:val="TableContents"/>
              <w:spacing w:before="0" w:after="283"/>
              <w:rPr>
                <w:sz w:val="20"/>
              </w:rPr>
            </w:pPr>
            <w:r>
              <w:rPr>
                <w:sz w:val="20"/>
              </w:rPr>
              <w:t>Weighted average number of shares outstanding: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9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995" w:type="dxa"/>
            <w:tcBorders/>
            <w:shd w:fill="CCEEFF" w:val="clear"/>
            <w:vAlign w:val="center"/>
          </w:tcPr>
          <w:p>
            <w:pPr>
              <w:pStyle w:val="TableContents"/>
              <w:spacing w:before="0" w:after="283"/>
              <w:rPr/>
            </w:pPr>
            <w:r>
              <w:rPr/>
              <w:t>      </w:t>
            </w:r>
            <w:r>
              <w:rPr>
                <w:sz w:val="20"/>
              </w:rPr>
              <w:t>Basic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sz w:val="20"/>
              </w:rPr>
            </w:pPr>
            <w:r>
              <w:rPr>
                <w:sz w:val="20"/>
              </w:rPr>
              <w:t>32,320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90" w:type="dxa"/>
            <w:tcBorders/>
            <w:shd w:fill="CCEEFF" w:val="clear"/>
            <w:vAlign w:val="center"/>
          </w:tcPr>
          <w:p>
            <w:pPr>
              <w:pStyle w:val="TableContents"/>
              <w:spacing w:before="0" w:after="283"/>
              <w:jc w:val="right"/>
              <w:rPr>
                <w:sz w:val="20"/>
              </w:rPr>
            </w:pPr>
            <w:r>
              <w:rPr>
                <w:sz w:val="20"/>
              </w:rPr>
              <w:t>26,720</w:t>
            </w:r>
          </w:p>
        </w:tc>
        <w:tc>
          <w:tcPr>
            <w:tcW w:w="95" w:type="dxa"/>
            <w:tcBorders/>
            <w:shd w:fill="CCEEFF"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rPr/>
            </w:pPr>
            <w:r>
              <w:rPr/>
              <w:t>      </w:t>
            </w:r>
            <w:r>
              <w:rPr>
                <w:sz w:val="20"/>
              </w:rPr>
              <w:t>Diluted</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32,320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26,720</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F-5</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ACURA PHARMACEUTICALS, INC. </w:t>
      </w:r>
    </w:p>
    <w:p>
      <w:pPr>
        <w:pStyle w:val="TextBody"/>
        <w:spacing w:before="0" w:after="0"/>
        <w:ind w:left="0" w:right="0" w:hanging="630"/>
        <w:jc w:val="center"/>
        <w:rPr>
          <w:rFonts w:ascii="Times New Roman;Times;Serif" w:hAnsi="Times New Roman;Times;Serif"/>
          <w:b/>
          <w:i w:val="false"/>
          <w:caps w:val="false"/>
          <w:smallCaps w:val="false"/>
          <w:sz w:val="20"/>
        </w:rPr>
      </w:pPr>
      <w:bookmarkStart w:id="30" w:name="a_004"/>
      <w:bookmarkEnd w:id="30"/>
      <w:r>
        <w:rPr>
          <w:rFonts w:ascii="Times New Roman;Times;Serif" w:hAnsi="Times New Roman;Times;Serif"/>
          <w:b/>
          <w:i w:val="false"/>
          <w:caps w:val="false"/>
          <w:smallCaps w:val="false"/>
          <w:sz w:val="20"/>
        </w:rPr>
        <w:t>CONSOLIDATED STATEMENTS OF CHANGES IN STOCKHOLDERS' DEFICIT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87"/>
        <w:gridCol w:w="60"/>
        <w:gridCol w:w="67"/>
        <w:gridCol w:w="670"/>
        <w:gridCol w:w="61"/>
        <w:gridCol w:w="61"/>
        <w:gridCol w:w="201"/>
        <w:gridCol w:w="544"/>
        <w:gridCol w:w="60"/>
        <w:gridCol w:w="60"/>
        <w:gridCol w:w="137"/>
        <w:gridCol w:w="768"/>
        <w:gridCol w:w="60"/>
        <w:gridCol w:w="60"/>
        <w:gridCol w:w="156"/>
        <w:gridCol w:w="944"/>
        <w:gridCol w:w="80"/>
        <w:gridCol w:w="60"/>
        <w:gridCol w:w="125"/>
        <w:gridCol w:w="545"/>
        <w:gridCol w:w="99"/>
      </w:tblGrid>
      <w:tr>
        <w:trPr/>
        <w:tc>
          <w:tcPr>
            <w:tcW w:w="538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0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r>
      <w:tr>
        <w:trPr/>
        <w:tc>
          <w:tcPr>
            <w:tcW w:w="538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w:t>
              <w:br/>
              <w:t>of Shares</w:t>
            </w:r>
          </w:p>
        </w:tc>
        <w:tc>
          <w:tcPr>
            <w:tcW w:w="61" w:type="dxa"/>
            <w:tcBorders/>
            <w:shd w:fill="auto" w:val="clear"/>
            <w:vAlign w:val="center"/>
          </w:tcPr>
          <w:p>
            <w:pPr>
              <w:pStyle w:val="TableContents"/>
              <w:spacing w:before="0" w:after="283"/>
              <w:rPr>
                <w:caps w:val="false"/>
                <w:smallCaps w:val="false"/>
              </w:rPr>
            </w:pPr>
            <w:r>
              <w:rPr>
                <w:caps w:val="false"/>
                <w:smallCaps w:val="false"/>
              </w:rPr>
              <w:t> </w:t>
            </w:r>
          </w:p>
        </w:tc>
        <w:tc>
          <w:tcPr>
            <w:tcW w:w="61" w:type="dxa"/>
            <w:tcBorders/>
            <w:shd w:fill="auto" w:val="clear"/>
            <w:vAlign w:val="center"/>
          </w:tcPr>
          <w:p>
            <w:pPr>
              <w:pStyle w:val="TableContents"/>
              <w:spacing w:before="0" w:after="283"/>
              <w:rPr>
                <w:caps w:val="false"/>
                <w:smallCaps w:val="false"/>
              </w:rPr>
            </w:pPr>
            <w:r>
              <w:rPr>
                <w:caps w:val="false"/>
                <w:smallCaps w:val="false"/>
              </w:rPr>
              <w:t> </w:t>
            </w:r>
          </w:p>
        </w:tc>
        <w:tc>
          <w:tcPr>
            <w:tcW w:w="74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br/>
              <w:t>Paid-in</w:t>
              <w:br/>
              <w:t>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br/>
              <w:t>Deficit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387"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21,300</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383,042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(387,996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(4,741</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8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99"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8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distribution of common stock pursuant to restricted stock unit award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38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share-based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387"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21,650</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383,097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(389,204</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(5,891</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032"/>
        <w:gridCol w:w="60"/>
        <w:gridCol w:w="75"/>
        <w:gridCol w:w="746"/>
        <w:gridCol w:w="61"/>
        <w:gridCol w:w="61"/>
        <w:gridCol w:w="195"/>
        <w:gridCol w:w="529"/>
        <w:gridCol w:w="60"/>
        <w:gridCol w:w="60"/>
        <w:gridCol w:w="176"/>
        <w:gridCol w:w="987"/>
        <w:gridCol w:w="60"/>
        <w:gridCol w:w="60"/>
        <w:gridCol w:w="160"/>
        <w:gridCol w:w="972"/>
        <w:gridCol w:w="80"/>
        <w:gridCol w:w="60"/>
        <w:gridCol w:w="125"/>
        <w:gridCol w:w="545"/>
        <w:gridCol w:w="101"/>
      </w:tblGrid>
      <w:tr>
        <w:trPr/>
        <w:tc>
          <w:tcPr>
            <w:tcW w:w="50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6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163"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2"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shd w:fill="auto" w:val="clear"/>
            <w:vAlign w:val="center"/>
          </w:tcPr>
          <w:p>
            <w:pPr>
              <w:pStyle w:val="TableContents"/>
              <w:spacing w:before="0" w:after="283"/>
              <w:jc w:val="center"/>
              <w:rPr/>
            </w:pPr>
            <w:r>
              <w:rPr/>
              <w:t> </w:t>
            </w:r>
          </w:p>
        </w:tc>
        <w:tc>
          <w:tcPr>
            <w:tcW w:w="101" w:type="dxa"/>
            <w:tcBorders/>
            <w:shd w:fill="auto" w:val="clear"/>
            <w:vAlign w:val="center"/>
          </w:tcPr>
          <w:p>
            <w:pPr>
              <w:pStyle w:val="TableContents"/>
              <w:spacing w:before="0" w:after="283"/>
              <w:rPr/>
            </w:pPr>
            <w:r>
              <w:rPr/>
              <w:t> </w:t>
            </w:r>
          </w:p>
        </w:tc>
      </w:tr>
      <w:tr>
        <w:trPr/>
        <w:tc>
          <w:tcPr>
            <w:tcW w:w="50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r>
          </w:p>
        </w:tc>
        <w:tc>
          <w:tcPr>
            <w:tcW w:w="61" w:type="dxa"/>
            <w:tcBorders/>
            <w:shd w:fill="auto" w:val="clear"/>
            <w:vAlign w:val="center"/>
          </w:tcPr>
          <w:p>
            <w:pPr>
              <w:pStyle w:val="TableContents"/>
              <w:spacing w:before="0" w:after="283"/>
              <w:rPr>
                <w:caps w:val="false"/>
                <w:smallCaps w:val="false"/>
              </w:rPr>
            </w:pPr>
            <w:r>
              <w:rPr>
                <w:caps w:val="false"/>
                <w:smallCaps w:val="false"/>
              </w:rPr>
              <w:t> </w:t>
            </w:r>
          </w:p>
        </w:tc>
        <w:tc>
          <w:tcPr>
            <w:tcW w:w="61" w:type="dxa"/>
            <w:tcBorders/>
            <w:shd w:fill="auto" w:val="clear"/>
            <w:vAlign w:val="center"/>
          </w:tcPr>
          <w:p>
            <w:pPr>
              <w:pStyle w:val="TableContents"/>
              <w:spacing w:before="0" w:after="283"/>
              <w:rPr>
                <w:caps w:val="false"/>
                <w:smallCaps w:val="false"/>
              </w:rPr>
            </w:pPr>
            <w:r>
              <w:rPr>
                <w:caps w:val="false"/>
                <w:smallCaps w:val="false"/>
              </w:rPr>
              <w:t> </w:t>
            </w:r>
          </w:p>
        </w:tc>
        <w:tc>
          <w:tcPr>
            <w:tcW w:w="72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6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br/>
              <w:t>Paid-in 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Accumulated </w:t>
              <w:br/>
              <w:t>Deficit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03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21,034</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380,395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(384,222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(3,617</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spacing w:before="0" w:after="283"/>
              <w:rPr>
                <w:caps w:val="false"/>
                <w:smallCaps w:val="false"/>
              </w:rPr>
            </w:pPr>
            <w:r>
              <w:rPr>
                <w:caps w:val="false"/>
                <w:smallCaps w:val="false"/>
              </w:rPr>
              <w:t> </w:t>
            </w:r>
          </w:p>
        </w:tc>
        <w:tc>
          <w:tcPr>
            <w:tcW w:w="1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(3,774</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distribution of common stock pursuant to restricted stock unit award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1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3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share-based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spacing w:before="0" w:after="283"/>
              <w:rPr>
                <w:caps w:val="false"/>
                <w:smallCaps w:val="false"/>
              </w:rPr>
            </w:pPr>
            <w:r>
              <w:rPr>
                <w:caps w:val="false"/>
                <w:smallCaps w:val="false"/>
              </w:rPr>
              <w:t> </w:t>
            </w:r>
          </w:p>
        </w:tc>
        <w:tc>
          <w:tcPr>
            <w:tcW w:w="1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premium from debt modification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1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3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spacing w:before="0" w:after="283"/>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3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21,300</w:t>
            </w:r>
          </w:p>
        </w:tc>
        <w:tc>
          <w:tcPr>
            <w:tcW w:w="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spacing w:before="0" w:after="283"/>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383,042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(387,996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(4,741</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F-6</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ACURA PHARMACEUTICALS, INC.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1" w:name="a_005"/>
      <w:bookmarkEnd w:id="31"/>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caps w:val="false"/>
          <w:smallCaps w:val="false"/>
        </w:rPr>
      </w:pPr>
      <w:r>
        <w:rPr>
          <w:caps w:val="false"/>
          <w:smallCaps w:val="false"/>
        </w:rPr>
        <w:t> </w:t>
      </w:r>
    </w:p>
    <w:tbl>
      <w:tblPr>
        <w:tblW w:w="10085" w:type="dxa"/>
        <w:jc w:val="left"/>
        <w:tblInd w:w="0" w:type="dxa"/>
        <w:tblCellMar>
          <w:top w:w="0" w:type="dxa"/>
          <w:left w:w="0" w:type="dxa"/>
          <w:bottom w:w="0" w:type="dxa"/>
          <w:right w:w="0" w:type="dxa"/>
        </w:tblCellMar>
      </w:tblPr>
      <w:tblGrid>
        <w:gridCol w:w="8450"/>
        <w:gridCol w:w="60"/>
        <w:gridCol w:w="125"/>
        <w:gridCol w:w="545"/>
        <w:gridCol w:w="80"/>
        <w:gridCol w:w="60"/>
        <w:gridCol w:w="125"/>
        <w:gridCol w:w="545"/>
        <w:gridCol w:w="95"/>
      </w:tblGrid>
      <w:tr>
        <w:trPr/>
        <w:tc>
          <w:tcPr>
            <w:tcW w:w="84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2019</w:t>
            </w:r>
          </w:p>
        </w:tc>
        <w:tc>
          <w:tcPr>
            <w:tcW w:w="95" w:type="dxa"/>
            <w:tcBorders/>
            <w:shd w:fill="auto" w:val="clear"/>
            <w:vAlign w:val="center"/>
          </w:tcPr>
          <w:p>
            <w:pPr>
              <w:pStyle w:val="TableContents"/>
              <w:spacing w:before="0" w:after="283"/>
              <w:rPr/>
            </w:pPr>
            <w:r>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(3,774</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4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share-based compensation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debt discount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 and deferred debt issue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 on intangible asset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returns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 receivable from related party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 receivable – related party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refundable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related party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distribution of RSU awards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minimum payroll withholding taxes paid on the distribution of shares pursuant to RSU awards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loan under CARES Act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related party loans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beginning of year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end of year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4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4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Disclosures of Cash Flow Information: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4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interest payments on loan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54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F-7</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ACURA PHARMACEUTICALS, INC.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(CONTINUED)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2020 and 2019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disclosures of non-cash investing and financing activities (amounts presented are rounded to the nearest thousand):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 Ended December 31, 2019</w:t>
      </w:r>
    </w:p>
    <w:p>
      <w:pPr>
        <w:pStyle w:val="TextBody"/>
        <w:spacing w:before="0" w:after="0"/>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0"/>
        <w:gridCol w:w="10008"/>
      </w:tblGrid>
      <w:tr>
        <w:trPr/>
        <w:tc>
          <w:tcPr>
            <w:tcW w:w="3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pPr>
            <w:r>
              <w:rPr/>
              <w:t>1.</w:t>
            </w:r>
          </w:p>
        </w:tc>
        <w:tc>
          <w:tcPr>
            <w:tcW w:w="10008" w:type="dxa"/>
            <w:tcBorders/>
            <w:shd w:fill="auto" w:val="clear"/>
            <w:vAlign w:val="center"/>
          </w:tcPr>
          <w:p>
            <w:pPr>
              <w:pStyle w:val="TableContents"/>
              <w:spacing w:before="0" w:after="283"/>
              <w:jc w:val="both"/>
              <w:rPr/>
            </w:pPr>
            <w:r>
              <w:rPr/>
              <w:t>The imputed interest on the below market rate element of the $650 related party loans made to the Company through June 27, 2019, amounted to $13, and was recorded in interest income with a corresponding like amount recorded as debt discount against the principal amount of the loan.</w:t>
            </w:r>
          </w:p>
        </w:tc>
      </w:tr>
    </w:tbl>
    <w:p>
      <w:pPr>
        <w:pStyle w:val="TextBody"/>
        <w:spacing w:before="0" w:after="0"/>
        <w:ind w:left="63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4"/>
        <w:gridCol w:w="10014"/>
      </w:tblGrid>
      <w:tr>
        <w:trPr/>
        <w:tc>
          <w:tcPr>
            <w:tcW w:w="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pPr>
            <w:r>
              <w:rPr/>
              <w:t>2.</w:t>
            </w:r>
          </w:p>
        </w:tc>
        <w:tc>
          <w:tcPr>
            <w:tcW w:w="10014" w:type="dxa"/>
            <w:tcBorders/>
            <w:shd w:fill="auto" w:val="clear"/>
            <w:vAlign w:val="center"/>
          </w:tcPr>
          <w:p>
            <w:pPr>
              <w:pStyle w:val="TableContents"/>
              <w:spacing w:before="0" w:after="283"/>
              <w:jc w:val="both"/>
              <w:rPr/>
            </w:pPr>
            <w:r>
              <w:rPr/>
              <w:t>On June 28, 2019, modifications made to the $5,000 related party loan resulted in a debt extinguishment. A $2,600 loss on debt extinguishment was recorded comprising $1,145 for a common stock purchase warrant issued to the related party lender, the excess fair value premium on the newly issued convertible debt of $1,382, and the write-off of unamortized debt discount of $73.</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8"/>
        <w:gridCol w:w="9990"/>
      </w:tblGrid>
      <w:tr>
        <w:trPr/>
        <w:tc>
          <w:tcPr>
            <w:tcW w:w="3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pPr>
            <w:r>
              <w:rPr/>
              <w:t>3.</w:t>
            </w:r>
          </w:p>
        </w:tc>
        <w:tc>
          <w:tcPr>
            <w:tcW w:w="9990" w:type="dxa"/>
            <w:tcBorders/>
            <w:shd w:fill="auto" w:val="clear"/>
            <w:vAlign w:val="center"/>
          </w:tcPr>
          <w:p>
            <w:pPr>
              <w:pStyle w:val="TableContents"/>
              <w:spacing w:before="0" w:after="283"/>
              <w:jc w:val="both"/>
              <w:rPr/>
            </w:pPr>
            <w:r>
              <w:rPr/>
              <w:t>Accrued interest payable of $275 on the related party $5,000 loan was rolled into principal under modifications made to the loan occurring on June 28, 2019.</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F-8</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ACURA PHARMACEUTICALS, INC.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2" w:name="a_006"/>
      <w:bookmarkEnd w:id="32"/>
      <w:r>
        <w:rPr>
          <w:rFonts w:ascii="Times New Roman;Times;Serif" w:hAnsi="Times New Roman;Times;Serif"/>
          <w:b/>
          <w:i w:val="false"/>
          <w:caps w:val="false"/>
          <w:smallCaps w:val="false"/>
          <w:sz w:val="20"/>
        </w:rPr>
        <w:t xml:space="preserve">NOTES TO CONSOLIDATED FINANCIAL STATEMENTS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 and 2019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 OPERATIONS AND SUMMARY OF SIGNIFICANT ACCOUNTING POLICIES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Our Aversion Technology has been licensed to Assertio Holdings Inc. or Assertio (formerly known as Zyla Life Sciences and previously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 MainPointe subsequently assigned its interest in the license to Abuse Deterrent Pharma, LLC but continues to market the products.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Basis of Presentation, Liquidity and Substantial Doubt in Going Concern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consolidated financial statements of the Company have been prepared assuming the Company will continue as a going concern and in accordance with generally accepted accounting principles in the United States of America. </w:t>
      </w:r>
      <w:r>
        <w:rPr>
          <w:rFonts w:ascii="Times New Roman;Times;Serif" w:hAnsi="Times New Roman;Times;Serif"/>
          <w:b w:val="false"/>
          <w:i w:val="false"/>
          <w:caps w:val="false"/>
          <w:smallCaps w:val="false"/>
          <w:sz w:val="20"/>
          <w:highlight w:val="white"/>
        </w:rPr>
        <w:t xml:space="preserve">The going concern basis of presentation assumes that we will continue in operation one year after the date these financial statements are issued and we will be able to realize our assets and discharge our liabilities and commitments in the normal course of business. </w:t>
      </w:r>
      <w:r>
        <w:rPr>
          <w:rFonts w:ascii="Times New Roman;Times;Serif" w:hAnsi="Times New Roman;Times;Serif"/>
          <w:b w:val="false"/>
          <w:i w:val="false"/>
          <w:caps w:val="false"/>
          <w:smallCaps w:val="false"/>
          <w:sz w:val="20"/>
        </w:rPr>
        <w:t xml:space="preserve">As of December 31, 2020, we had cash of $413 thousand, working capital deficit of $6.6 million and an accumulated deficit of $389 million. We had a loss from operations of $758 thousand and a net loss of $1.2 million for the year ended December 31, 2020. </w:t>
      </w:r>
      <w:r>
        <w:rPr>
          <w:rFonts w:ascii="Times New Roman;Times;Serif" w:hAnsi="Times New Roman;Times;Serif"/>
          <w:b w:val="false"/>
          <w:i w:val="false"/>
          <w:caps w:val="false"/>
          <w:smallCaps w:val="false"/>
          <w:sz w:val="20"/>
          <w:highlight w:val="white"/>
        </w:rPr>
        <w:t>We have suffered recurring losses from operations and have not generated positive cash flows from operations. We anticipate operating losses to continue for the foreseeable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a License, Development and Commercialization Agreement with Abuse Deterrent Pharma, LLC (“AD Pharma”) which was amended in October 2020 (the “AD Pharma Agreement”). AD Pharma has the right to terminate the AD Pharma Agreement for “convenience on 30 days prior written notice”. Under the AD Pharma Agreement, as amended, the required monthly license payments by AD Pharma will only continue until July 2021 if AD Pharma does not exercise their right to terminate the AD Pharma Agreement. To fund further operations,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Whether or not AD Pharma exercises their right to terminate the AD Pharma Agreement, we need to raise additional financing or enter into license or collaboration agreements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ongoing COVID-19 pandemic.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Pharma is delinquent in remitting monthly license payments of $200 thousand for each of December, 2020 thru March, 2021 and approximately $100 thousand of reimbursable LTX-03 development expenses. Failure to make these payments are an event of default under the Agreement,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Pharma may terminate the Agreement at any time. Additionally, if the NDA for LTX-03 is not accepted by the FDA by July 31, 2021, AD Pharma has the option to terminate the Agreement and take ownership of the LIMITx intellectual property. Importantly, such failure to meet this date will be an event of default under the Company’s $6.0 million outstanding convertible debt to AD Pharma. Should AD Pharma choose not to exercise this option to terminate and the NDA for LTX-03 is subsequently accepted by the FDA, such option expires. Acura currently expects the submission and FDA acceptance of the NDA for LTX-03 to occur after July 31, 2021 and has notified AD Pharma of this revised timeline for NDA submission. Acura is currently in discussions with AD Pharma to amend the existing Agreement. Also, we have presented the $6.0 million convertible debt as a current liability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COVID-19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as further discussed throughout the notes to financial statements, our contract manufacturer did delay the installation of the auxiliary manufacturing equipment needed for LTX-03 development during 2020 for several weeks due to COVID-19 risk mitigation strategies implemented in New Jersey which was needed to further our NDA application submission for LTX-03.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impact of coronavirus is highly uncertain and subject to change. The Company does not yet know the full extent of further potential delays or impacts on its business, financing</w:t>
      </w:r>
      <w:r>
        <w:rPr>
          <w:rFonts w:ascii="Times New Roman;Times;Serif" w:hAnsi="Times New Roman;Times;Serif"/>
          <w:b w:val="false"/>
          <w:i w:val="false"/>
          <w:caps w:val="false"/>
          <w:smallCaps w:val="false"/>
          <w:color w:val="FF0000"/>
          <w:sz w:val="20"/>
        </w:rPr>
        <w:t>, </w:t>
      </w:r>
      <w:r>
        <w:rPr>
          <w:rFonts w:ascii="Times New Roman;Times;Serif" w:hAnsi="Times New Roman;Times;Serif"/>
          <w:b w:val="false"/>
          <w:i w:val="false"/>
          <w:caps w:val="false"/>
          <w:smallCaps w:val="false"/>
          <w:sz w:val="20"/>
        </w:rPr>
        <w:t>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Accounting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our wholly-owned subsidiary, Acura Pharmaceutical Technologies Inc., after elimination of intercompany accounts and transactions. Amounts presented have been rounded to the nearest thousand, where indicated, except share and per share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significant concentration of credit risk consist primarily of cash, royalty receivable, collaboration revenue receivable and license fee receivable. The Company maintains deposits in federally insured financial institutions which are in excess of federally insured limits. However, management believes the Company is not exposed to significant credit risk due to the financial position of the depository institutions in which those deposits are held.</w:t>
      </w:r>
    </w:p>
    <w:p>
      <w:pPr>
        <w:pStyle w:val="TextBody"/>
        <w:spacing w:before="0" w:after="0"/>
        <w:ind w:left="288"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primarily of cash, royalty, collaboration revenue and license fee receivables, trade accounts payable, and debt. The carrying amounts of these financial instruments, other than our debt, are representative of their respective fair values due to their relatively short maturities. On June 28, 2019, we restructured the $5.0 million related party loan to borrow an additional $725 thousand from Mr. Schutte, bringing the aggregate principal of the loans and accrued interest to $6.0 million, and consolidated the loans into a single promissory note, and reported the debt using fair value for the changes to the loan resulting in the recognizing a $2.6 million loss on debt extinguishment. The fair value of the $6.0 million convertible debt at December 31, 2020 has not materially changed from its valuation of fair value of $7.4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several share-based compensation plans covering stock options and RSUs for our employees and directors, which are described more fully in Note 11.</w:t>
      </w:r>
    </w:p>
    <w:p>
      <w:pPr>
        <w:pStyle w:val="TextBody"/>
        <w:spacing w:before="0" w:after="0"/>
        <w:ind w:left="288"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share-based compensation expense recognized in the Company’s results of operations from both non-cash and cash-portioned instruments issued to our employees and directors comprised the following (in thousands):</w:t>
      </w:r>
    </w:p>
    <w:p>
      <w:pPr>
        <w:pStyle w:val="TextBody"/>
        <w:spacing w:before="0" w:after="0"/>
        <w:ind w:left="0" w:right="0" w:hanging="0"/>
        <w:jc w:val="both"/>
        <w:rPr>
          <w:caps w:val="false"/>
          <w:smallCaps w:val="false"/>
        </w:rPr>
      </w:pPr>
      <w:r>
        <w:rPr>
          <w:caps w:val="false"/>
          <w:smallCaps w:val="false"/>
        </w:rPr>
        <w:t> </w:t>
      </w:r>
    </w:p>
    <w:tbl>
      <w:tblPr>
        <w:tblW w:w="4624" w:type="dxa"/>
        <w:jc w:val="center"/>
        <w:tblInd w:w="0" w:type="dxa"/>
        <w:tblCellMar>
          <w:top w:w="0" w:type="dxa"/>
          <w:left w:w="0" w:type="dxa"/>
          <w:bottom w:w="0" w:type="dxa"/>
          <w:right w:w="0" w:type="dxa"/>
        </w:tblCellMar>
      </w:tblPr>
      <w:tblGrid>
        <w:gridCol w:w="3350"/>
        <w:gridCol w:w="60"/>
        <w:gridCol w:w="154"/>
        <w:gridCol w:w="286"/>
        <w:gridCol w:w="72"/>
        <w:gridCol w:w="72"/>
        <w:gridCol w:w="151"/>
        <w:gridCol w:w="404"/>
        <w:gridCol w:w="75"/>
      </w:tblGrid>
      <w:tr>
        <w:trPr/>
        <w:tc>
          <w:tcPr>
            <w:tcW w:w="33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139"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Year Ended</w:t>
              <w:br/>
              <w:t>December 31,</w:t>
            </w:r>
          </w:p>
        </w:tc>
        <w:tc>
          <w:tcPr>
            <w:tcW w:w="75"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55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283"/>
              <w:jc w:val="both"/>
              <w:rPr>
                <w:sz w:val="20"/>
              </w:rPr>
            </w:pPr>
            <w:r>
              <w:rPr>
                <w:sz w:val="20"/>
              </w:rPr>
              <w:t>Research and development expense:</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286"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4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both"/>
              <w:rPr/>
            </w:pPr>
            <w:r>
              <w:rPr/>
              <w:t>     </w:t>
            </w:r>
            <w:r>
              <w:rPr>
                <w:sz w:val="20"/>
              </w:rPr>
              <w:t>Stock option awards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sz w:val="20"/>
              </w:rPr>
            </w:pPr>
            <w:r>
              <w:rPr>
                <w:sz w:val="20"/>
              </w:rPr>
              <w:t>$</w:t>
            </w:r>
          </w:p>
        </w:tc>
        <w:tc>
          <w:tcPr>
            <w:tcW w:w="286" w:type="dxa"/>
            <w:tcBorders/>
            <w:shd w:fill="FFFFFF" w:val="clear"/>
            <w:vAlign w:val="center"/>
          </w:tcPr>
          <w:p>
            <w:pPr>
              <w:pStyle w:val="TableContents"/>
              <w:spacing w:before="0" w:after="283"/>
              <w:jc w:val="right"/>
              <w:rPr>
                <w:sz w:val="20"/>
              </w:rPr>
            </w:pPr>
            <w:r>
              <w:rPr>
                <w:sz w:val="20"/>
              </w:rPr>
              <w:t>-</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sz w:val="20"/>
              </w:rPr>
            </w:pPr>
            <w:r>
              <w:rPr>
                <w:sz w:val="20"/>
              </w:rPr>
              <w:t>$</w:t>
            </w:r>
          </w:p>
        </w:tc>
        <w:tc>
          <w:tcPr>
            <w:tcW w:w="404" w:type="dxa"/>
            <w:tcBorders/>
            <w:shd w:fill="FFFFFF" w:val="clear"/>
            <w:vAlign w:val="center"/>
          </w:tcPr>
          <w:p>
            <w:pPr>
              <w:pStyle w:val="TableContents"/>
              <w:spacing w:before="0" w:after="283"/>
              <w:jc w:val="right"/>
              <w:rPr>
                <w:sz w:val="20"/>
              </w:rPr>
            </w:pPr>
            <w:r>
              <w:rPr>
                <w:sz w:val="20"/>
              </w:rPr>
              <w:t>8</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both"/>
              <w:rPr/>
            </w:pPr>
            <w:r>
              <w:rPr/>
              <w:t>     </w:t>
            </w:r>
            <w:r>
              <w:rPr>
                <w:sz w:val="20"/>
              </w:rPr>
              <w:t>RSU awards</w:t>
            </w:r>
          </w:p>
        </w:tc>
        <w:tc>
          <w:tcPr>
            <w:tcW w:w="60" w:type="dxa"/>
            <w:tcBorders/>
            <w:shd w:fill="CCEEFF" w:val="cle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13</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286"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40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21</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286"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4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both"/>
              <w:rPr>
                <w:sz w:val="20"/>
              </w:rPr>
            </w:pPr>
            <w:r>
              <w:rPr>
                <w:sz w:val="20"/>
              </w:rPr>
              <w:t>General and administrative expense:</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286" w:type="dxa"/>
            <w:tcBorders/>
            <w:shd w:fill="FFFFFF" w:val="cle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4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both"/>
              <w:rPr/>
            </w:pPr>
            <w:r>
              <w:rPr/>
              <w:t>     </w:t>
            </w:r>
            <w:r>
              <w:rPr>
                <w:sz w:val="20"/>
              </w:rPr>
              <w:t>Stock option awards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sz w:val="20"/>
              </w:rPr>
            </w:pPr>
            <w:r>
              <w:rPr>
                <w:sz w:val="20"/>
              </w:rPr>
              <w:t>$</w:t>
            </w:r>
          </w:p>
        </w:tc>
        <w:tc>
          <w:tcPr>
            <w:tcW w:w="286" w:type="dxa"/>
            <w:tcBorders/>
            <w:shd w:fill="CCEEFF" w:val="clear"/>
            <w:vAlign w:val="center"/>
          </w:tcPr>
          <w:p>
            <w:pPr>
              <w:pStyle w:val="TableContents"/>
              <w:spacing w:before="0" w:after="283"/>
              <w:jc w:val="right"/>
              <w:rPr>
                <w:sz w:val="20"/>
              </w:rPr>
            </w:pPr>
            <w:r>
              <w:rPr>
                <w:sz w:val="20"/>
              </w:rPr>
              <w:t>-</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sz w:val="20"/>
              </w:rPr>
            </w:pPr>
            <w:r>
              <w:rPr>
                <w:sz w:val="20"/>
              </w:rPr>
              <w:t>$</w:t>
            </w:r>
          </w:p>
        </w:tc>
        <w:tc>
          <w:tcPr>
            <w:tcW w:w="404" w:type="dxa"/>
            <w:tcBorders/>
            <w:shd w:fill="CCEEFF" w:val="clear"/>
            <w:vAlign w:val="center"/>
          </w:tcPr>
          <w:p>
            <w:pPr>
              <w:pStyle w:val="TableContents"/>
              <w:spacing w:before="0" w:after="283"/>
              <w:jc w:val="right"/>
              <w:rPr>
                <w:sz w:val="20"/>
              </w:rPr>
            </w:pPr>
            <w:r>
              <w:rPr>
                <w:sz w:val="20"/>
              </w:rPr>
              <w:t>12</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both"/>
              <w:rPr/>
            </w:pPr>
            <w:r>
              <w:rPr/>
              <w:t>     </w:t>
            </w:r>
            <w:r>
              <w:rPr>
                <w:sz w:val="20"/>
              </w:rPr>
              <w:t>RSU awards</w:t>
            </w:r>
          </w:p>
        </w:tc>
        <w:tc>
          <w:tcPr>
            <w:tcW w:w="60" w:type="dxa"/>
            <w:tcBorders/>
            <w:shd w:fill="FFFFFF" w:val="cle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286"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53</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0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105</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both"/>
              <w:rPr/>
            </w:pPr>
            <w:r>
              <w:rPr/>
              <w:t> </w:t>
            </w:r>
          </w:p>
        </w:tc>
        <w:tc>
          <w:tcPr>
            <w:tcW w:w="60" w:type="dxa"/>
            <w:tcBorders/>
            <w:shd w:fill="CCEEFF" w:val="cle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28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53</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4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117</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286"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72"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04"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both"/>
              <w:rPr>
                <w:sz w:val="20"/>
              </w:rPr>
            </w:pPr>
            <w:r>
              <w:rPr>
                <w:sz w:val="20"/>
              </w:rPr>
              <w:t>Total share-based compensation expense</w:t>
            </w:r>
          </w:p>
        </w:tc>
        <w:tc>
          <w:tcPr>
            <w:tcW w:w="60" w:type="dxa"/>
            <w:tcBorders/>
            <w:shd w:fill="CCEEFF" w:val="clear"/>
            <w:vAlign w:val="center"/>
          </w:tcPr>
          <w:p>
            <w:pPr>
              <w:pStyle w:val="TableContents"/>
              <w:spacing w:before="0" w:after="283"/>
              <w:rPr/>
            </w:pPr>
            <w:r>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28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53</w:t>
            </w:r>
          </w:p>
        </w:tc>
        <w:tc>
          <w:tcPr>
            <w:tcW w:w="72"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4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138</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Property, Plant and Equipment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is recorded on a straight-line basis over the estimated useful lives of the related assets. The estimated useful lives of the major classification of depreciable assets are:</w:t>
      </w:r>
    </w:p>
    <w:p>
      <w:pPr>
        <w:pStyle w:val="TextBody"/>
        <w:spacing w:before="0" w:after="0"/>
        <w:ind w:left="0" w:right="0" w:hanging="0"/>
        <w:jc w:val="both"/>
        <w:rPr>
          <w:caps w:val="false"/>
          <w:smallCaps w:val="false"/>
        </w:rPr>
      </w:pPr>
      <w:r>
        <w:rPr>
          <w:caps w:val="false"/>
          <w:smallCaps w:val="false"/>
        </w:rPr>
        <w:t> </w:t>
      </w:r>
    </w:p>
    <w:tbl>
      <w:tblPr>
        <w:tblW w:w="3775" w:type="dxa"/>
        <w:jc w:val="center"/>
        <w:tblInd w:w="0" w:type="dxa"/>
        <w:tblCellMar>
          <w:top w:w="0" w:type="dxa"/>
          <w:left w:w="0" w:type="dxa"/>
          <w:bottom w:w="0" w:type="dxa"/>
          <w:right w:w="0" w:type="dxa"/>
        </w:tblCellMar>
      </w:tblPr>
      <w:tblGrid>
        <w:gridCol w:w="2690"/>
        <w:gridCol w:w="1085"/>
      </w:tblGrid>
      <w:tr>
        <w:trPr/>
        <w:tc>
          <w:tcPr>
            <w:tcW w:w="2690" w:type="dxa"/>
            <w:tcBorders/>
            <w:shd w:fill="auto" w:val="clear"/>
            <w:vAlign w:val="center"/>
          </w:tcPr>
          <w:p>
            <w:pPr>
              <w:pStyle w:val="TableContents"/>
              <w:spacing w:before="0" w:after="283"/>
              <w:jc w:val="both"/>
              <w:rPr>
                <w:sz w:val="20"/>
              </w:rPr>
            </w:pPr>
            <w:r>
              <w:rPr>
                <w:sz w:val="20"/>
              </w:rPr>
              <w:t>Building and improvements</w:t>
            </w:r>
          </w:p>
        </w:tc>
        <w:tc>
          <w:tcPr>
            <w:tcW w:w="1085" w:type="dxa"/>
            <w:tcBorders/>
            <w:shd w:fill="auto" w:val="clear"/>
            <w:vAlign w:val="center"/>
          </w:tcPr>
          <w:p>
            <w:pPr>
              <w:pStyle w:val="TableContents"/>
              <w:spacing w:before="0" w:after="283"/>
              <w:jc w:val="both"/>
              <w:rPr>
                <w:sz w:val="20"/>
              </w:rPr>
            </w:pPr>
            <w:r>
              <w:rPr>
                <w:sz w:val="20"/>
              </w:rPr>
              <w:t>10 - 40 years</w:t>
            </w:r>
          </w:p>
        </w:tc>
      </w:tr>
      <w:tr>
        <w:trPr/>
        <w:tc>
          <w:tcPr>
            <w:tcW w:w="2690" w:type="dxa"/>
            <w:tcBorders/>
            <w:shd w:fill="auto" w:val="clear"/>
            <w:vAlign w:val="center"/>
          </w:tcPr>
          <w:p>
            <w:pPr>
              <w:pStyle w:val="TableContents"/>
              <w:spacing w:before="0" w:after="283"/>
              <w:jc w:val="both"/>
              <w:rPr>
                <w:sz w:val="20"/>
              </w:rPr>
            </w:pPr>
            <w:r>
              <w:rPr>
                <w:sz w:val="20"/>
              </w:rPr>
              <w:t>Land and improvements</w:t>
            </w:r>
          </w:p>
        </w:tc>
        <w:tc>
          <w:tcPr>
            <w:tcW w:w="1085" w:type="dxa"/>
            <w:tcBorders/>
            <w:shd w:fill="auto" w:val="clear"/>
            <w:vAlign w:val="center"/>
          </w:tcPr>
          <w:p>
            <w:pPr>
              <w:pStyle w:val="TableContents"/>
              <w:spacing w:before="0" w:after="283"/>
              <w:jc w:val="both"/>
              <w:rPr>
                <w:sz w:val="20"/>
              </w:rPr>
            </w:pPr>
            <w:r>
              <w:rPr>
                <w:sz w:val="20"/>
              </w:rPr>
              <w:t>20 - 40 years</w:t>
            </w:r>
          </w:p>
        </w:tc>
      </w:tr>
      <w:tr>
        <w:trPr/>
        <w:tc>
          <w:tcPr>
            <w:tcW w:w="2690" w:type="dxa"/>
            <w:tcBorders/>
            <w:shd w:fill="auto" w:val="clear"/>
            <w:vAlign w:val="center"/>
          </w:tcPr>
          <w:p>
            <w:pPr>
              <w:pStyle w:val="TableContents"/>
              <w:spacing w:before="0" w:after="283"/>
              <w:jc w:val="both"/>
              <w:rPr>
                <w:sz w:val="20"/>
              </w:rPr>
            </w:pPr>
            <w:r>
              <w:rPr>
                <w:sz w:val="20"/>
              </w:rPr>
              <w:t>Machinery and equipment</w:t>
            </w:r>
          </w:p>
        </w:tc>
        <w:tc>
          <w:tcPr>
            <w:tcW w:w="1085" w:type="dxa"/>
            <w:tcBorders/>
            <w:shd w:fill="auto" w:val="clear"/>
            <w:vAlign w:val="center"/>
          </w:tcPr>
          <w:p>
            <w:pPr>
              <w:pStyle w:val="TableContents"/>
              <w:spacing w:before="0" w:after="283"/>
              <w:jc w:val="both"/>
              <w:rPr/>
            </w:pPr>
            <w:r>
              <w:rPr/>
              <w:t>  </w:t>
            </w:r>
            <w:r>
              <w:rPr>
                <w:sz w:val="20"/>
              </w:rPr>
              <w:t>7 - 10 years</w:t>
            </w:r>
          </w:p>
        </w:tc>
      </w:tr>
      <w:tr>
        <w:trPr/>
        <w:tc>
          <w:tcPr>
            <w:tcW w:w="2690" w:type="dxa"/>
            <w:tcBorders/>
            <w:shd w:fill="auto" w:val="clear"/>
            <w:vAlign w:val="center"/>
          </w:tcPr>
          <w:p>
            <w:pPr>
              <w:pStyle w:val="TableContents"/>
              <w:spacing w:before="0" w:after="283"/>
              <w:jc w:val="both"/>
              <w:rPr>
                <w:sz w:val="20"/>
              </w:rPr>
            </w:pPr>
            <w:r>
              <w:rPr>
                <w:sz w:val="20"/>
              </w:rPr>
              <w:t>Scientific equipment</w:t>
            </w:r>
          </w:p>
        </w:tc>
        <w:tc>
          <w:tcPr>
            <w:tcW w:w="1085" w:type="dxa"/>
            <w:tcBorders/>
            <w:shd w:fill="auto" w:val="clear"/>
            <w:vAlign w:val="center"/>
          </w:tcPr>
          <w:p>
            <w:pPr>
              <w:pStyle w:val="TableContents"/>
              <w:spacing w:before="0" w:after="283"/>
              <w:jc w:val="both"/>
              <w:rPr/>
            </w:pPr>
            <w:r>
              <w:rPr/>
              <w:t>  </w:t>
            </w:r>
            <w:r>
              <w:rPr>
                <w:sz w:val="20"/>
              </w:rPr>
              <w:t>5 - 10 years</w:t>
            </w:r>
          </w:p>
        </w:tc>
      </w:tr>
      <w:tr>
        <w:trPr/>
        <w:tc>
          <w:tcPr>
            <w:tcW w:w="2690" w:type="dxa"/>
            <w:tcBorders/>
            <w:shd w:fill="auto" w:val="clear"/>
            <w:vAlign w:val="center"/>
          </w:tcPr>
          <w:p>
            <w:pPr>
              <w:pStyle w:val="TableContents"/>
              <w:spacing w:before="0" w:after="283"/>
              <w:jc w:val="both"/>
              <w:rPr>
                <w:sz w:val="20"/>
              </w:rPr>
            </w:pPr>
            <w:r>
              <w:rPr>
                <w:sz w:val="20"/>
              </w:rPr>
              <w:t>Computer hardware and software</w:t>
            </w:r>
          </w:p>
        </w:tc>
        <w:tc>
          <w:tcPr>
            <w:tcW w:w="1085" w:type="dxa"/>
            <w:tcBorders/>
            <w:shd w:fill="auto" w:val="clear"/>
            <w:vAlign w:val="center"/>
          </w:tcPr>
          <w:p>
            <w:pPr>
              <w:pStyle w:val="TableContents"/>
              <w:spacing w:before="0" w:after="283"/>
              <w:jc w:val="both"/>
              <w:rPr/>
            </w:pPr>
            <w:r>
              <w:rPr/>
              <w:t>  </w:t>
            </w:r>
            <w:r>
              <w:rPr>
                <w:sz w:val="20"/>
              </w:rPr>
              <w:t>3 - 10 years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and Long-Lived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During the first quarter 2020 a triggering event occurred with the decline in royalty cash flows under our Collaboration and License Agreement with Assertio Holdings Inc. (See Note 3), and we performed an impairment test which indicated that the carrying value of the intangible asset was greater than the fair value. The fair value calculation of the intangible asset included significant estimates and assumptions related to the amount and timing of projected future cash flows and in the situation when the asset is determined to not be recoverable, the discount rate.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Collaboration Agreement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an agreement with AD Pharma which was amended in October 2020 for the development and license of LTX-03 (hydrocodone bitartrate with acetaminophen) immediate-release tablets utilizing Acura’s patented LIMITx™ providing a monthly license payment of $350 thousand from AD Pharma to us for a period from inception up to April 2020 at which time the payment is $200 thousand per month through July 2021. The Company provided a price adjustment to AD Pharma in September 2020 when it was probable that the monthly license payments were being reduced from $350 thousand to $200 thousand. If the NDA filing for LTX-03 is not accepted by the FDA by July 31, 2021,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and the license fee payments will stop. The monthly license fee from AD Pharma is non-refundable and non-creditable. A license fee is recognized as revenue each month whether or not paid by AD Pharma as we had no further requirements to earn the payment for the month (See Note 3). During 2020 and 2019 we recognized $3.0 million and $2.1 million, respectively, of license fee revenue. AD Pharma will pay directly for or reimburse Acura to the extent Acura pay’s for, all out-of-pocket development expenses under the AD Pharma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 is derived from reimbursement of development expenses, as under our collaboration agreement with AD Pharma, and are recognized when costs are incurred pursuant to the agreements. The ongoing research and development services being provided under the collaboration are priced at fair value based upon the reimbursement of expenses incurred pursuant to the collaboration agreement. We recognized $234 thousand and $185 thousand of collaboration revenue under the AD Pharma agreement during the years ended December 31,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Royalty Revenue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royalties based on our licensees' sales of our products or products using our technologies. Royalties are sales-based royalties which are recognized as the related sales occur. These royalties were promised in exchange for a license of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Collaboration and License Agreement with Assertio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Assertio in accordance with the agreement. Assertio’s first commercial sale of Oxaydo occurred in October 2015. We have recorded royalties of $102 thousand and $351 thousand during the years ended December 31, 2020 and 2019, respectively. (See Note 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MainPointe Agreement, which occurred in March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$7 thousand and $21 thousand during the years ended December 31, 2020 and 2019, respectively. (See Note 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88" w:right="0" w:hanging="0"/>
        <w:jc w:val="center"/>
        <w:rPr>
          <w:sz w:val="20"/>
          <w:bdr w:val="single" w:sz="8" w:space="1" w:color="000000"/>
        </w:rPr>
      </w:pPr>
      <w:r>
        <w:rPr>
          <w:sz w:val="20"/>
          <w:bdr w:val="single" w:sz="8" w:space="1" w:color="000000"/>
        </w:rPr>
        <w:t>F-13</w:t>
      </w:r>
    </w:p>
    <w:p>
      <w:pPr>
        <w:pStyle w:val="TextBody"/>
        <w:spacing w:before="0" w:after="0"/>
        <w:ind w:left="0" w:right="0" w:hanging="0"/>
        <w:rPr/>
      </w:pPr>
      <w:r>
        <w:rPr/>
        <w:t> </w:t>
      </w:r>
    </w:p>
    <w:p>
      <w:pPr>
        <w:pStyle w:val="TextBody"/>
        <w:spacing w:before="0" w:after="0"/>
        <w:ind w:left="288"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Debt Issuance Costs and Debt Discount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debt issuance costs include costs of debt financing undertaken by the Company, including legal fees, placement fees and other direct costs of the financing. Debt discount can be incurred from value attributable to warrants issued in conjunction with the financing and/or attributable to the below market rate element of the loan if we believe the loan’s rate of interest is below current market rates for us, as in the case of the Schutte Loans. Debt issuance costs and debt discount are amortized into interest expense over the term of the related debt using the effective interest method. Deferred debt issuance costs and debt discount are presented on the consolidated balance sheets as a direct reduction against the debt balance. In June 2019, we restructured the $5.0 million related party loan and reported the debt using fair value for the changes to the loan and in doing so, the unamortized debt discount was written off as a loss on debt extinguishment.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December 31, 2020 or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development and scale-up of LTX-03 under the AD Pharma Agreement (See Note 3) we have entered into unbilled obligations under non-cancelable arrangements at December 31, 2020 aggregating $75 thousand.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2020 and 2019,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Concentration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2019 we signed a license, development and commercialization agreement with AD Pharma which was amended in October 2020 (the "AD Pharma Agreement") Acura will receive a monthly license payment of $350 thousand by AD Pharma from inception through April 2020 at which time the monthly payments are $200 thousand thereafter until the earlier of July 31, 2021 or FDA’s acceptance of a New Drug Application (“NDA”) for LTX-03. AD Pharma may terminate the AD Pharma Agreement at any time” and the license fee payments will stop. Additionally, if the NDA for LTX-03 is not accepted by the FDA by July 31, 2021, AD Pharma has the option to terminate the AD Pharma Agreement and take ownership of the intellectual property. Should AD Pharma choose not to exercise this option to terminate and the NDA for LTX-03 is subsequently accepted by the FDA, such option expires.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agreement with MainPointe, we earn royalties from MainPointe sale of the licensed product line Nexafed, and under our license agreement with Assertio, we earn royalties from Assertio’s sale of the licensed product Oxaydo. On January 1, 2020, MainPointe assigned to AD Pharma, with Acura’s consent, all of its right, title and interest in the MainPointe Agreement between MainPointe and Acura.</w:t>
      </w:r>
    </w:p>
    <w:p>
      <w:pPr>
        <w:pStyle w:val="TextBody"/>
        <w:spacing w:before="0" w:after="0"/>
        <w:ind w:left="0" w:right="0" w:firstLine="1080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accounting standards which have been adopted on or before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In August 2018, the Financial Accounting Standards Board (“FASB”) issued Accounting Standards Update (“ASU”) </w:t>
      </w:r>
      <w:r>
        <w:rPr>
          <w:rFonts w:ascii="Times New Roman;Times;Serif" w:hAnsi="Times New Roman;Times;Serif"/>
          <w:b w:val="false"/>
          <w:i w:val="false"/>
          <w:caps w:val="false"/>
          <w:smallCaps w:val="false"/>
          <w:sz w:val="20"/>
        </w:rPr>
        <w:t>2018-13</w:t>
      </w:r>
      <w:r>
        <w:rPr>
          <w:rFonts w:ascii="Times New Roman;Times;Serif" w:hAnsi="Times New Roman;Times;Serif"/>
          <w:b w:val="false"/>
          <w:i/>
          <w:caps w:val="false"/>
          <w:smallCaps w:val="false"/>
          <w:sz w:val="20"/>
        </w:rPr>
        <w:t>, Fair Value Measurement (Topic 820): Disclosure Framework – Changes to the Disclosure Requirements for Fair Value Measurement</w:t>
      </w:r>
      <w:r>
        <w:rPr>
          <w:rFonts w:ascii="Times New Roman;Times;Serif" w:hAnsi="Times New Roman;Times;Serif"/>
          <w:b w:val="false"/>
          <w:i w:val="false"/>
          <w:caps w:val="false"/>
          <w:smallCaps w:val="false"/>
          <w:sz w:val="20"/>
          <w:highlight w:val="white"/>
        </w:rPr>
        <w:t xml:space="preserve">. ASU 2018-13 </w:t>
      </w:r>
      <w:r>
        <w:rPr>
          <w:rFonts w:ascii="Times New Roman;Times;Serif" w:hAnsi="Times New Roman;Times;Serif"/>
          <w:b w:val="false"/>
          <w:i w:val="false"/>
          <w:caps w:val="false"/>
          <w:smallCaps w:val="false"/>
          <w:sz w:val="20"/>
        </w:rPr>
        <w:t>eliminates certain disclosure requirements for fair value measurements for all entities, requires public entities to disclose certain new information and modifies some disclosure requirements. </w:t>
      </w:r>
      <w:r>
        <w:rPr>
          <w:rFonts w:ascii="Times New Roman;Times;Serif" w:hAnsi="Times New Roman;Times;Serif"/>
          <w:b w:val="false"/>
          <w:i w:val="false"/>
          <w:caps w:val="false"/>
          <w:smallCaps w:val="false"/>
          <w:sz w:val="20"/>
          <w:highlight w:val="white"/>
        </w:rPr>
        <w:t>This standard is effective for </w:t>
      </w:r>
      <w:r>
        <w:rPr>
          <w:rFonts w:ascii="Times New Roman;Times;Serif" w:hAnsi="Times New Roman;Times;Serif"/>
          <w:b w:val="false"/>
          <w:i w:val="false"/>
          <w:caps w:val="false"/>
          <w:smallCaps w:val="false"/>
          <w:sz w:val="20"/>
        </w:rPr>
        <w:t>fiscal years </w:t>
      </w:r>
      <w:r>
        <w:rPr>
          <w:rFonts w:ascii="Times New Roman;Times;Serif" w:hAnsi="Times New Roman;Times;Serif"/>
          <w:b w:val="false"/>
          <w:i w:val="false"/>
          <w:caps w:val="false"/>
          <w:smallCaps w:val="false"/>
          <w:sz w:val="20"/>
          <w:highlight w:val="white"/>
        </w:rPr>
        <w:t xml:space="preserve">beginning after December 15, 2019, including interim </w:t>
      </w:r>
      <w:r>
        <w:rPr>
          <w:rFonts w:ascii="Times New Roman;Times;Serif" w:hAnsi="Times New Roman;Times;Serif"/>
          <w:b w:val="false"/>
          <w:i w:val="false"/>
          <w:caps w:val="false"/>
          <w:smallCaps w:val="false"/>
          <w:sz w:val="20"/>
        </w:rPr>
        <w:t>reporting periods within those years, with early adoption permitted.  The Company’s adoption of ASU 2018-13 did not have a material impact on the financial statements and related footnote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New accounting standards which have not yet been adopted on or before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Losses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No. 2016-13, </w:t>
      </w:r>
      <w:r>
        <w:rPr>
          <w:rFonts w:ascii="Times New Roman;Times;Serif" w:hAnsi="Times New Roman;Times;Serif"/>
          <w:b w:val="false"/>
          <w:i/>
          <w:caps w:val="false"/>
          <w:smallCaps w:val="false"/>
          <w:sz w:val="20"/>
        </w:rPr>
        <w:t>Financial Instruments - Credit Losses (Topic 326), Measurement of Credit Losses on Financial Instruments (“ASU-2016-13”)</w:t>
      </w:r>
      <w:r>
        <w:rPr>
          <w:rFonts w:ascii="Times New Roman;Times;Serif" w:hAnsi="Times New Roman;Times;Serif"/>
          <w:b w:val="false"/>
          <w:i w:val="false"/>
          <w:caps w:val="false"/>
          <w:smallCaps w:val="false"/>
          <w:sz w:val="20"/>
        </w:rPr>
        <w:t>. ASU 2016-13 affects loans, debt securities, trade receivables, and any other financial assets that have the contractual right to receive cash. The ASU requires an entity to recognize expected credit losses rather than incurred losses for financial assets. ASU 2016-13 is effective for the fiscal year beginning after December 15, 2022, including interim periods within that fiscal year. The Company is currently evaluating the impact that the standard will have on the financial statements and related footnote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“Debt-Debt with Conversion and Other Options (Subtopic 470-20) and Derivatives and Hedging – Contracts in Entity’s Own Equity (Subtopic 815-40): Accounting for Convertible Instruments and Contracts in an Entity’s Own Equity”. ASU 2020-06 simplifies the accounting for convertible debt instruments and convertible preferred stock. The ASU is effective for the fiscal year beginning after December 15, 2023, including interim periods within those fiscal years. Early adoption is permitted. The Company is currently evaluating the impact that the standard will have on the financial statements and related footnote disclosures.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LICENSE AND COLLABORATION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 Pharma Agreement covering LTX-03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a License, Development and Commercialization Agreement which was amended on October 16, 2020 (“the AD Pharma Agreement”) with Abuse Deterrent Pharma, LLC (AD Pharma”, for the development and license of LTX-03 (hydrocodone bitartrate with acetaminophen) immediate-release tablets utilizing Acura’s patented LIMITx™. Acura will receive a monthly license payment of $350 thousand by AD Pharma from inception through April 2020 at which time the monthly payments are $200 thousand thereafter until the earlier of July 31, 2021 or FDA’s acceptance of a New Drug Application (“NDA”) for LTX-03. The first license payment was received July 2, 2019. AD Pharma will pay for and reimburse Acura for all outside development costs on LTX-03. If the NDA filing for LTX-03 is not accepted by the FDA by July 31, 2021,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also previously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to the AD Pharma Agreement, this option and right was rescinded.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Mr. John Schutte assigned and transferred to AD Pharma his $6.0 million convertible debt, the common stock purchase warrant for 10.0 million common shares, and the security agreement granting a security interest in all of the Company’s assets. Mr. Schutte is our largest shareholder and directly owns approximately 45.7% of our common stock (after giving effect to the exercise of remaining common stock purchase warrants he holds). Mr. Schutte controls MainPointe and is the principal investor in AD Pharma.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Assertio Agreement covering Oxaydo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As of December 31, 2020, the remaining useful life is 3 years. The recoverability of the Aversion intangible asset is contingent upon future Assertio royalty revenues to us.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We have recorded amortization expense of $70 thousand and $207 thousand in each of the years ending December 31, 2020 and 2019, respectively. Amortization of the patent for its remaining life is expected to approximate $6 thousand per quarter.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Aversion intangible asset is summarized as follows (in thousands):</w:t>
      </w:r>
    </w:p>
    <w:p>
      <w:pPr>
        <w:pStyle w:val="TextBody"/>
        <w:spacing w:before="0" w:after="0"/>
        <w:ind w:left="0" w:right="0" w:hanging="0"/>
        <w:rPr>
          <w:caps w:val="false"/>
          <w:smallCaps w:val="false"/>
        </w:rPr>
      </w:pPr>
      <w:r>
        <w:rPr>
          <w:caps w:val="false"/>
          <w:smallCaps w:val="false"/>
        </w:rPr>
        <w:t> </w:t>
      </w:r>
    </w:p>
    <w:tbl>
      <w:tblPr>
        <w:tblW w:w="5168" w:type="dxa"/>
        <w:jc w:val="left"/>
        <w:tblInd w:w="0" w:type="dxa"/>
        <w:tblCellMar>
          <w:top w:w="0" w:type="dxa"/>
          <w:left w:w="0" w:type="dxa"/>
          <w:bottom w:w="0" w:type="dxa"/>
          <w:right w:w="0" w:type="dxa"/>
        </w:tblCellMar>
      </w:tblPr>
      <w:tblGrid>
        <w:gridCol w:w="2615"/>
        <w:gridCol w:w="60"/>
        <w:gridCol w:w="209"/>
        <w:gridCol w:w="920"/>
        <w:gridCol w:w="80"/>
        <w:gridCol w:w="60"/>
        <w:gridCol w:w="209"/>
        <w:gridCol w:w="920"/>
        <w:gridCol w:w="95"/>
      </w:tblGrid>
      <w:tr>
        <w:trPr/>
        <w:tc>
          <w:tcPr>
            <w:tcW w:w="2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sz w:val="20"/>
              </w:rPr>
            </w:pPr>
            <w:r>
              <w:rPr>
                <w:sz w:val="20"/>
              </w:rPr>
              <w:t>December 31,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rPr>
                <w:sz w:val="20"/>
              </w:rPr>
            </w:pPr>
            <w:r>
              <w:rPr>
                <w:sz w:val="20"/>
              </w:rPr>
              <w:t>December 31,</w:t>
            </w:r>
          </w:p>
        </w:tc>
        <w:tc>
          <w:tcPr>
            <w:tcW w:w="95"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283"/>
              <w:jc w:val="left"/>
              <w:rPr>
                <w:sz w:val="20"/>
              </w:rPr>
            </w:pPr>
            <w:r>
              <w:rPr>
                <w:sz w:val="20"/>
              </w:rPr>
              <w:t>Intangible asset – Aversion</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20"/>
              </w:rPr>
            </w:pPr>
            <w:r>
              <w:rPr>
                <w:sz w:val="20"/>
              </w:rPr>
              <w:t>2,000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20"/>
              </w:rPr>
            </w:pPr>
            <w:r>
              <w:rPr>
                <w:sz w:val="20"/>
              </w:rPr>
              <w:t>2,000</w:t>
            </w:r>
          </w:p>
        </w:tc>
        <w:tc>
          <w:tcPr>
            <w:tcW w:w="9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jc w:val="left"/>
              <w:rPr>
                <w:sz w:val="20"/>
              </w:rPr>
            </w:pPr>
            <w:r>
              <w:rPr>
                <w:sz w:val="20"/>
              </w:rPr>
              <w:t>Less: accumulated amortization</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20"/>
              </w:rPr>
            </w:pPr>
            <w:r>
              <w:rPr>
                <w:sz w:val="20"/>
              </w:rPr>
              <w:t>(1,259</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20"/>
              </w:rPr>
            </w:pPr>
            <w:r>
              <w:rPr>
                <w:sz w:val="20"/>
              </w:rPr>
              <w:t>(1,190</w:t>
            </w:r>
          </w:p>
        </w:tc>
        <w:tc>
          <w:tcPr>
            <w:tcW w:w="95" w:type="dxa"/>
            <w:tcBorders/>
            <w:shd w:fill="FFFFFF" w:val="clear"/>
            <w:vAlign w:val="center"/>
          </w:tcPr>
          <w:p>
            <w:pPr>
              <w:pStyle w:val="TableContents"/>
              <w:spacing w:before="0" w:after="283"/>
              <w:jc w:val="left"/>
              <w:rPr>
                <w:sz w:val="20"/>
              </w:rPr>
            </w:pPr>
            <w:r>
              <w:rPr>
                <w:sz w:val="20"/>
              </w:rPr>
              <w:t>)</w:t>
            </w:r>
          </w:p>
        </w:tc>
      </w:tr>
      <w:tr>
        <w:trPr/>
        <w:tc>
          <w:tcPr>
            <w:tcW w:w="2615" w:type="dxa"/>
            <w:tcBorders/>
            <w:shd w:fill="CCEEFF" w:val="clear"/>
            <w:vAlign w:val="center"/>
          </w:tcPr>
          <w:p>
            <w:pPr>
              <w:pStyle w:val="TableContents"/>
              <w:spacing w:before="0" w:after="283"/>
              <w:jc w:val="left"/>
              <w:rPr>
                <w:sz w:val="20"/>
              </w:rPr>
            </w:pPr>
            <w:r>
              <w:rPr>
                <w:sz w:val="20"/>
              </w:rPr>
              <w:t>Less: impairment charge</w:t>
            </w:r>
          </w:p>
        </w:tc>
        <w:tc>
          <w:tcPr>
            <w:tcW w:w="60" w:type="dxa"/>
            <w:tcBorders/>
            <w:shd w:fill="CCEEFF" w:val="clear"/>
            <w:vAlign w:val="center"/>
          </w:tcPr>
          <w:p>
            <w:pPr>
              <w:pStyle w:val="TableContents"/>
              <w:spacing w:before="0" w:after="283"/>
              <w:rPr/>
            </w:pPr>
            <w:r>
              <w:rPr/>
              <w:t> </w:t>
            </w:r>
          </w:p>
        </w:tc>
        <w:tc>
          <w:tcPr>
            <w:tcW w:w="20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(668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20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rPr>
                <w:sz w:val="20"/>
              </w:rPr>
            </w:pPr>
            <w:r>
              <w:rPr>
                <w:sz w:val="20"/>
              </w:rPr>
              <w:t>Net</w:t>
            </w:r>
          </w:p>
        </w:tc>
        <w:tc>
          <w:tcPr>
            <w:tcW w:w="60" w:type="dxa"/>
            <w:tcBorders/>
            <w:shd w:fill="FFFFFF" w:val="clear"/>
            <w:vAlign w:val="center"/>
          </w:tcPr>
          <w:p>
            <w:pPr>
              <w:pStyle w:val="TableContents"/>
              <w:spacing w:before="0" w:after="283"/>
              <w:rPr/>
            </w:pPr>
            <w:r>
              <w:rPr/>
              <w:t> </w:t>
            </w:r>
          </w:p>
        </w:tc>
        <w:tc>
          <w:tcPr>
            <w:tcW w:w="209"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92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920"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810</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Assertio Agreement Assertio is responsible for the fees and expenses relating to the product line extensions of Oxaydo, provided that Assertio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Assertio will bear all of the expenses of development and regulatory approval of Oxaydo for sale outside the United States. Assertio is responsible for all manufacturing and commercialization activities in the Territory for Oxaydo. Subject to certain exceptions, Assertio will have final decision making authority with respect to all development and commercialization activities for Oxaydo, including pricing, subject to our co-promotion right. Assertio may develop Oxaydo for other countries and in additional strengths, in its discretion.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Assertio paid us a $5.0 million license fee upon signing of the Assertio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Assertio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MainPointe Agreement covering Nexafed Products and assignment thereof to AD Pharma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to the AD Pharma Agreement, this option and right was rescinded.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MainPointe assigned to AD Pharma, with Acura’s consent, all of its right, title and interest in the MainPointe Agreement between MainPointe and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KemPharm Agreement Covering Certain Opioid Prodrugs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REVENUE FROM CONTRACTS WITH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December 31, 2020 or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Sales-based Milestones and Royalty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and Collaboration Agreement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an agreement with AD Pharma which was amended in October 2020 for the development and license of LTX-03 (hydrocodone bitartrate with acetaminophen) immediate-release tablets utilizing Acura’s patented LIMITx™ providing a monthly license payment of $350 thousand from AD Pharma to us for a period from inception up to April 2020 at which time the payment is $200 thousand per month through July 2021. The Company provided a price adjustment to AD Pharma in September 2020 when it was probable that the monthly license payments were being reduced from $350 thousand to $200 thousand. AD Pharma is delinquent in remitting monthly license payments for December, 2020 thru March, 2021 and approximately $200 thousand of reimbursable LTX-03 development expenses. Failure to make these payments are an event of default under the Agreement, as amended. AD Pharma will pay directly for or reimburse Acura to the extent Acura pay’s for, all out-of-pocket development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Sales, net of allowance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Total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to AD Pharma. We have recorded $0.6 million and $3.0 million of license fees for LTX-03 during the three months and year ended December 31, 2020, respectively. We have recorded $1.0 million and $2.1 million of license fees for LTX-03 during the three months and year ended December 31,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revenues by licensee are summarized below:</w:t>
      </w:r>
    </w:p>
    <w:p>
      <w:pPr>
        <w:pStyle w:val="TextBody"/>
        <w:spacing w:before="0" w:after="0"/>
        <w:ind w:left="0" w:right="0" w:hanging="0"/>
        <w:rPr>
          <w:caps w:val="false"/>
          <w:smallCaps w:val="false"/>
        </w:rPr>
      </w:pPr>
      <w:r>
        <w:rPr>
          <w:caps w:val="false"/>
          <w:smallCaps w:val="false"/>
        </w:rPr>
        <w:t> </w:t>
      </w:r>
    </w:p>
    <w:tbl>
      <w:tblPr>
        <w:tblW w:w="6174" w:type="dxa"/>
        <w:jc w:val="left"/>
        <w:tblInd w:w="0" w:type="dxa"/>
        <w:tblCellMar>
          <w:top w:w="0" w:type="dxa"/>
          <w:left w:w="0" w:type="dxa"/>
          <w:bottom w:w="0" w:type="dxa"/>
          <w:right w:w="0" w:type="dxa"/>
        </w:tblCellMar>
      </w:tblPr>
      <w:tblGrid>
        <w:gridCol w:w="3050"/>
        <w:gridCol w:w="60"/>
        <w:gridCol w:w="256"/>
        <w:gridCol w:w="472"/>
        <w:gridCol w:w="164"/>
        <w:gridCol w:w="123"/>
        <w:gridCol w:w="256"/>
        <w:gridCol w:w="472"/>
        <w:gridCol w:w="60"/>
        <w:gridCol w:w="60"/>
        <w:gridCol w:w="135"/>
        <w:gridCol w:w="363"/>
        <w:gridCol w:w="65"/>
        <w:gridCol w:w="65"/>
        <w:gridCol w:w="135"/>
        <w:gridCol w:w="363"/>
        <w:gridCol w:w="75"/>
      </w:tblGrid>
      <w:tr>
        <w:trPr/>
        <w:tc>
          <w:tcPr>
            <w:tcW w:w="30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43"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Three months Ended </w:t>
              <w:br/>
              <w:t>December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Ended </w:t>
              <w:b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164"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283"/>
              <w:jc w:val="both"/>
              <w:rPr>
                <w:sz w:val="20"/>
              </w:rPr>
            </w:pPr>
            <w:r>
              <w:rPr>
                <w:sz w:val="20"/>
              </w:rPr>
              <w:t>Assertio (Oxaydo)</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sz w:val="20"/>
              </w:rPr>
            </w:pPr>
            <w:r>
              <w:rPr>
                <w:sz w:val="20"/>
              </w:rPr>
              <w:t>$</w:t>
            </w:r>
          </w:p>
        </w:tc>
        <w:tc>
          <w:tcPr>
            <w:tcW w:w="472" w:type="dxa"/>
            <w:tcBorders/>
            <w:shd w:fill="CCEEFF" w:val="clear"/>
            <w:vAlign w:val="center"/>
          </w:tcPr>
          <w:p>
            <w:pPr>
              <w:pStyle w:val="TableContents"/>
              <w:spacing w:before="0" w:after="283"/>
              <w:jc w:val="right"/>
              <w:rPr>
                <w:sz w:val="20"/>
              </w:rPr>
            </w:pPr>
            <w:r>
              <w:rPr>
                <w:sz w:val="20"/>
              </w:rPr>
              <w:t>30</w:t>
            </w:r>
          </w:p>
        </w:tc>
        <w:tc>
          <w:tcPr>
            <w:tcW w:w="164" w:type="dxa"/>
            <w:tcBorders/>
            <w:shd w:fill="CCEEFF" w:val="clear"/>
            <w:vAlign w:val="center"/>
          </w:tcPr>
          <w:p>
            <w:pPr>
              <w:pStyle w:val="TableContents"/>
              <w:spacing w:before="0" w:after="283"/>
              <w:jc w:val="left"/>
              <w:rPr/>
            </w:pPr>
            <w:r>
              <w:rPr/>
              <w:t> </w:t>
            </w:r>
          </w:p>
        </w:tc>
        <w:tc>
          <w:tcPr>
            <w:tcW w:w="123"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sz w:val="20"/>
              </w:rPr>
            </w:pPr>
            <w:r>
              <w:rPr>
                <w:sz w:val="20"/>
              </w:rPr>
              <w:t>$</w:t>
            </w:r>
          </w:p>
        </w:tc>
        <w:tc>
          <w:tcPr>
            <w:tcW w:w="472" w:type="dxa"/>
            <w:tcBorders/>
            <w:shd w:fill="CCEEFF" w:val="clear"/>
            <w:vAlign w:val="center"/>
          </w:tcPr>
          <w:p>
            <w:pPr>
              <w:pStyle w:val="TableContents"/>
              <w:spacing w:before="0" w:after="283"/>
              <w:jc w:val="right"/>
              <w:rPr>
                <w:sz w:val="20"/>
              </w:rPr>
            </w:pPr>
            <w:r>
              <w:rPr>
                <w:sz w:val="20"/>
              </w:rPr>
              <w:t>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102</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351</w:t>
            </w:r>
          </w:p>
        </w:tc>
        <w:tc>
          <w:tcPr>
            <w:tcW w:w="75" w:type="dxa"/>
            <w:tcBorders/>
            <w:shd w:fill="CCEEFF" w:val="clear"/>
            <w:vAlign w:val="center"/>
          </w:tcPr>
          <w:p>
            <w:pPr>
              <w:pStyle w:val="TableContents"/>
              <w:spacing w:before="0" w:after="283"/>
              <w:jc w:val="left"/>
              <w:rPr/>
            </w:pPr>
            <w:r>
              <w:rPr/>
              <w:t> </w:t>
            </w:r>
          </w:p>
        </w:tc>
      </w:tr>
      <w:tr>
        <w:trPr/>
        <w:tc>
          <w:tcPr>
            <w:tcW w:w="3050" w:type="dxa"/>
            <w:tcBorders/>
            <w:shd w:fill="FFFFFF" w:val="clear"/>
            <w:vAlign w:val="center"/>
          </w:tcPr>
          <w:p>
            <w:pPr>
              <w:pStyle w:val="TableContents"/>
              <w:spacing w:before="0" w:after="283"/>
              <w:jc w:val="both"/>
              <w:rPr>
                <w:sz w:val="20"/>
              </w:rPr>
            </w:pPr>
            <w:r>
              <w:rPr>
                <w:sz w:val="20"/>
              </w:rPr>
              <w:t>MainPointe – related party (Nexafed)</w:t>
            </w:r>
          </w:p>
        </w:tc>
        <w:tc>
          <w:tcPr>
            <w:tcW w:w="60" w:type="dxa"/>
            <w:tcBorders/>
            <w:shd w:fill="FFFFFF" w:val="clear"/>
            <w:vAlign w:val="center"/>
          </w:tcPr>
          <w:p>
            <w:pPr>
              <w:pStyle w:val="TableContents"/>
              <w:spacing w:before="0" w:after="283"/>
              <w:rPr/>
            </w:pPr>
            <w:r>
              <w:rPr/>
              <w:t> </w:t>
            </w:r>
          </w:p>
        </w:tc>
        <w:tc>
          <w:tcPr>
            <w:tcW w:w="25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w:t>
            </w:r>
          </w:p>
        </w:tc>
        <w:tc>
          <w:tcPr>
            <w:tcW w:w="164" w:type="dxa"/>
            <w:tcBorders/>
            <w:shd w:fill="FFFFFF" w:val="clear"/>
            <w:vAlign w:val="center"/>
          </w:tcPr>
          <w:p>
            <w:pPr>
              <w:pStyle w:val="TableContents"/>
              <w:spacing w:before="0" w:after="283"/>
              <w:jc w:val="left"/>
              <w:rPr>
                <w:sz w:val="20"/>
              </w:rPr>
            </w:pPr>
            <w:r>
              <w:rPr>
                <w:sz w:val="20"/>
              </w:rPr>
              <w:t>)</w:t>
            </w:r>
          </w:p>
        </w:tc>
        <w:tc>
          <w:tcPr>
            <w:tcW w:w="123" w:type="dxa"/>
            <w:tcBorders/>
            <w:shd w:fill="FFFFFF" w:val="clear"/>
            <w:vAlign w:val="center"/>
          </w:tcPr>
          <w:p>
            <w:pPr>
              <w:pStyle w:val="TableContents"/>
              <w:spacing w:before="0" w:after="283"/>
              <w:rPr/>
            </w:pPr>
            <w:r>
              <w:rPr/>
              <w:t> </w:t>
            </w:r>
          </w:p>
        </w:tc>
        <w:tc>
          <w:tcPr>
            <w:tcW w:w="25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21</w:t>
            </w:r>
          </w:p>
        </w:tc>
        <w:tc>
          <w:tcPr>
            <w:tcW w:w="75" w:type="dxa"/>
            <w:tcBorders/>
            <w:shd w:fill="FFFFFF"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both"/>
              <w:rPr>
                <w:sz w:val="20"/>
              </w:rPr>
            </w:pPr>
            <w:r>
              <w:rPr>
                <w:sz w:val="20"/>
              </w:rPr>
              <w:t>Royalty revenues</w:t>
            </w:r>
          </w:p>
        </w:tc>
        <w:tc>
          <w:tcPr>
            <w:tcW w:w="60" w:type="dxa"/>
            <w:tcBorders/>
            <w:shd w:fill="CCEEFF" w:val="clear"/>
            <w:vAlign w:val="center"/>
          </w:tcPr>
          <w:p>
            <w:pPr>
              <w:pStyle w:val="TableContents"/>
              <w:spacing w:before="0" w:after="283"/>
              <w:rPr/>
            </w:pPr>
            <w:r>
              <w:rPr/>
              <w:t> </w:t>
            </w:r>
          </w:p>
        </w:tc>
        <w:tc>
          <w:tcPr>
            <w:tcW w:w="25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47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28</w:t>
            </w:r>
          </w:p>
        </w:tc>
        <w:tc>
          <w:tcPr>
            <w:tcW w:w="164" w:type="dxa"/>
            <w:tcBorders/>
            <w:shd w:fill="CCEEFF" w:val="clear"/>
            <w:vAlign w:val="center"/>
          </w:tcPr>
          <w:p>
            <w:pPr>
              <w:pStyle w:val="TableContents"/>
              <w:spacing w:before="0" w:after="283"/>
              <w:jc w:val="left"/>
              <w:rPr/>
            </w:pPr>
            <w:r>
              <w:rPr/>
              <w:t> </w:t>
            </w:r>
          </w:p>
        </w:tc>
        <w:tc>
          <w:tcPr>
            <w:tcW w:w="123" w:type="dxa"/>
            <w:tcBorders/>
            <w:shd w:fill="CCEEFF" w:val="clear"/>
            <w:vAlign w:val="center"/>
          </w:tcPr>
          <w:p>
            <w:pPr>
              <w:pStyle w:val="TableContents"/>
              <w:spacing w:before="0" w:after="283"/>
              <w:rPr/>
            </w:pPr>
            <w:r>
              <w:rPr/>
              <w:t> </w:t>
            </w:r>
          </w:p>
        </w:tc>
        <w:tc>
          <w:tcPr>
            <w:tcW w:w="25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472"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109</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372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 and Performance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contract assets and contract liability balances under the license and collaboration agreements at either December 31, 2020 or 2019.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pStyle w:val="TextBody"/>
        <w:spacing w:before="0" w:after="0"/>
        <w:ind w:left="57" w:right="57" w:firstLine="720"/>
        <w:jc w:val="both"/>
        <w:rPr>
          <w:caps w:val="false"/>
          <w:smallCaps w:val="false"/>
        </w:rPr>
      </w:pPr>
      <w:r>
        <w:rPr>
          <w:caps w:val="false"/>
          <w:smallCaps w:val="false"/>
        </w:rPr>
        <w:t> </w:t>
      </w:r>
    </w:p>
    <w:p>
      <w:pPr>
        <w:pStyle w:val="TextBody"/>
        <w:spacing w:before="0" w:after="0"/>
        <w:ind w:left="57" w:right="57" w:firstLine="720"/>
        <w:jc w:val="center"/>
        <w:rPr>
          <w:sz w:val="20"/>
          <w:bdr w:val="single" w:sz="8" w:space="1" w:color="000000"/>
        </w:rPr>
      </w:pPr>
      <w:r>
        <w:rPr>
          <w:sz w:val="20"/>
          <w:bdr w:val="single" w:sz="8" w:space="1" w:color="000000"/>
        </w:rPr>
        <w:t>F-20</w:t>
      </w:r>
    </w:p>
    <w:p>
      <w:pPr>
        <w:pStyle w:val="TextBody"/>
        <w:spacing w:before="0" w:after="0"/>
        <w:ind w:left="0" w:right="0" w:hanging="0"/>
        <w:rPr/>
      </w:pPr>
      <w:r>
        <w:rPr/>
        <w:t> </w:t>
      </w:r>
    </w:p>
    <w:p>
      <w:pPr>
        <w:pStyle w:val="TextBody"/>
        <w:spacing w:before="0" w:after="0"/>
        <w:ind w:left="57" w:right="57"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 PROPERTY, PLANT AND EQUIPMENT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summarized as follows (in thousands):</w:t>
      </w:r>
    </w:p>
    <w:p>
      <w:pPr>
        <w:pStyle w:val="TextBody"/>
        <w:spacing w:before="0" w:after="0"/>
        <w:ind w:left="0" w:right="0" w:hanging="0"/>
        <w:rPr>
          <w:caps w:val="false"/>
          <w:smallCaps w:val="false"/>
        </w:rPr>
      </w:pPr>
      <w:r>
        <w:rPr>
          <w:caps w:val="false"/>
          <w:smallCaps w:val="false"/>
        </w:rPr>
        <w:t> </w:t>
      </w:r>
    </w:p>
    <w:tbl>
      <w:tblPr>
        <w:tblW w:w="4955" w:type="dxa"/>
        <w:jc w:val="center"/>
        <w:tblInd w:w="0" w:type="dxa"/>
        <w:tblCellMar>
          <w:top w:w="0" w:type="dxa"/>
          <w:left w:w="0" w:type="dxa"/>
          <w:bottom w:w="0" w:type="dxa"/>
          <w:right w:w="0" w:type="dxa"/>
        </w:tblCellMar>
      </w:tblPr>
      <w:tblGrid>
        <w:gridCol w:w="3320"/>
        <w:gridCol w:w="60"/>
        <w:gridCol w:w="125"/>
        <w:gridCol w:w="545"/>
        <w:gridCol w:w="80"/>
        <w:gridCol w:w="60"/>
        <w:gridCol w:w="125"/>
        <w:gridCol w:w="545"/>
        <w:gridCol w:w="95"/>
      </w:tblGrid>
      <w:tr>
        <w:trPr/>
        <w:tc>
          <w:tcPr>
            <w:tcW w:w="3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0"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December 31,</w:t>
            </w:r>
          </w:p>
        </w:tc>
        <w:tc>
          <w:tcPr>
            <w:tcW w:w="95" w:type="dxa"/>
            <w:tcBorders/>
            <w:shd w:fill="auto" w:val="clear"/>
            <w:vAlign w:val="center"/>
          </w:tcPr>
          <w:p>
            <w:pPr>
              <w:pStyle w:val="TableContents"/>
              <w:spacing w:before="0" w:after="283"/>
              <w:rPr/>
            </w:pPr>
            <w:r>
              <w:rPr/>
              <w:t> </w:t>
            </w:r>
          </w:p>
        </w:tc>
      </w:tr>
      <w:tr>
        <w:trPr/>
        <w:tc>
          <w:tcPr>
            <w:tcW w:w="33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283"/>
              <w:jc w:val="left"/>
              <w:rPr>
                <w:sz w:val="20"/>
              </w:rPr>
            </w:pPr>
            <w:r>
              <w:rPr>
                <w:sz w:val="20"/>
              </w:rPr>
              <w:t>Building and improvements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545" w:type="dxa"/>
            <w:tcBorders/>
            <w:shd w:fill="CCEEFF" w:val="clear"/>
            <w:vAlign w:val="center"/>
          </w:tcPr>
          <w:p>
            <w:pPr>
              <w:pStyle w:val="TableContents"/>
              <w:spacing w:before="0" w:after="283"/>
              <w:jc w:val="right"/>
              <w:rPr>
                <w:sz w:val="20"/>
              </w:rPr>
            </w:pPr>
            <w:r>
              <w:rPr>
                <w:sz w:val="20"/>
              </w:rPr>
              <w:t>1,273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545" w:type="dxa"/>
            <w:tcBorders/>
            <w:shd w:fill="CCEEFF" w:val="clear"/>
            <w:vAlign w:val="center"/>
          </w:tcPr>
          <w:p>
            <w:pPr>
              <w:pStyle w:val="TableContents"/>
              <w:spacing w:before="0" w:after="283"/>
              <w:jc w:val="right"/>
              <w:rPr>
                <w:sz w:val="20"/>
              </w:rPr>
            </w:pPr>
            <w:r>
              <w:rPr>
                <w:sz w:val="20"/>
              </w:rPr>
              <w:t>1,273</w:t>
            </w:r>
          </w:p>
        </w:tc>
        <w:tc>
          <w:tcPr>
            <w:tcW w:w="95" w:type="dxa"/>
            <w:tcBorders/>
            <w:shd w:fill="CCEEFF" w:val="clear"/>
            <w:vAlign w:val="center"/>
          </w:tcPr>
          <w:p>
            <w:pPr>
              <w:pStyle w:val="TableContents"/>
              <w:spacing w:before="0" w:after="283"/>
              <w:jc w:val="left"/>
              <w:rPr/>
            </w:pPr>
            <w:r>
              <w:rPr/>
              <w:t> </w:t>
            </w:r>
          </w:p>
        </w:tc>
      </w:tr>
      <w:tr>
        <w:trPr/>
        <w:tc>
          <w:tcPr>
            <w:tcW w:w="3320" w:type="dxa"/>
            <w:tcBorders/>
            <w:shd w:fill="FFFFFF" w:val="clear"/>
            <w:vAlign w:val="center"/>
          </w:tcPr>
          <w:p>
            <w:pPr>
              <w:pStyle w:val="TableContents"/>
              <w:spacing w:before="0" w:after="283"/>
              <w:jc w:val="left"/>
              <w:rPr>
                <w:sz w:val="20"/>
              </w:rPr>
            </w:pPr>
            <w:r>
              <w:rPr>
                <w:sz w:val="20"/>
              </w:rPr>
              <w:t>Scientific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597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597</w:t>
            </w:r>
          </w:p>
        </w:tc>
        <w:tc>
          <w:tcPr>
            <w:tcW w:w="95" w:type="dxa"/>
            <w:tcBorders/>
            <w:shd w:fill="FFFFFF" w:val="clear"/>
            <w:vAlign w:val="center"/>
          </w:tcPr>
          <w:p>
            <w:pPr>
              <w:pStyle w:val="TableContents"/>
              <w:spacing w:before="0" w:after="283"/>
              <w:jc w:val="left"/>
              <w:rPr/>
            </w:pPr>
            <w:r>
              <w:rPr/>
              <w:t> </w:t>
            </w:r>
          </w:p>
        </w:tc>
      </w:tr>
      <w:tr>
        <w:trPr/>
        <w:tc>
          <w:tcPr>
            <w:tcW w:w="3320" w:type="dxa"/>
            <w:tcBorders/>
            <w:shd w:fill="CCEEFF" w:val="clear"/>
            <w:vAlign w:val="center"/>
          </w:tcPr>
          <w:p>
            <w:pPr>
              <w:pStyle w:val="TableContents"/>
              <w:spacing w:before="0" w:after="283"/>
              <w:jc w:val="left"/>
              <w:rPr>
                <w:sz w:val="20"/>
              </w:rPr>
            </w:pPr>
            <w:r>
              <w:rPr>
                <w:sz w:val="20"/>
              </w:rPr>
              <w:t>Computer hardware and software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106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106</w:t>
            </w:r>
          </w:p>
        </w:tc>
        <w:tc>
          <w:tcPr>
            <w:tcW w:w="95" w:type="dxa"/>
            <w:tcBorders/>
            <w:shd w:fill="CCEEFF" w:val="clear"/>
            <w:vAlign w:val="center"/>
          </w:tcPr>
          <w:p>
            <w:pPr>
              <w:pStyle w:val="TableContents"/>
              <w:spacing w:before="0" w:after="283"/>
              <w:jc w:val="left"/>
              <w:rPr/>
            </w:pPr>
            <w:r>
              <w:rPr/>
              <w:t> </w:t>
            </w:r>
          </w:p>
        </w:tc>
      </w:tr>
      <w:tr>
        <w:trPr/>
        <w:tc>
          <w:tcPr>
            <w:tcW w:w="3320" w:type="dxa"/>
            <w:tcBorders/>
            <w:shd w:fill="FFFFFF" w:val="clear"/>
            <w:vAlign w:val="center"/>
          </w:tcPr>
          <w:p>
            <w:pPr>
              <w:pStyle w:val="TableContents"/>
              <w:spacing w:before="0" w:after="283"/>
              <w:jc w:val="left"/>
              <w:rPr>
                <w:sz w:val="20"/>
              </w:rPr>
            </w:pPr>
            <w:r>
              <w:rPr>
                <w:sz w:val="20"/>
              </w:rPr>
              <w:t>Machinery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274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274</w:t>
            </w:r>
          </w:p>
        </w:tc>
        <w:tc>
          <w:tcPr>
            <w:tcW w:w="95" w:type="dxa"/>
            <w:tcBorders/>
            <w:shd w:fill="FFFFFF" w:val="clear"/>
            <w:vAlign w:val="center"/>
          </w:tcPr>
          <w:p>
            <w:pPr>
              <w:pStyle w:val="TableContents"/>
              <w:spacing w:before="0" w:after="283"/>
              <w:jc w:val="left"/>
              <w:rPr/>
            </w:pPr>
            <w:r>
              <w:rPr/>
              <w:t> </w:t>
            </w:r>
          </w:p>
        </w:tc>
      </w:tr>
      <w:tr>
        <w:trPr/>
        <w:tc>
          <w:tcPr>
            <w:tcW w:w="3320" w:type="dxa"/>
            <w:tcBorders/>
            <w:shd w:fill="CCEEFF" w:val="clear"/>
            <w:vAlign w:val="center"/>
          </w:tcPr>
          <w:p>
            <w:pPr>
              <w:pStyle w:val="TableContents"/>
              <w:spacing w:before="0" w:after="283"/>
              <w:jc w:val="left"/>
              <w:rPr>
                <w:sz w:val="20"/>
              </w:rPr>
            </w:pPr>
            <w:r>
              <w:rPr>
                <w:sz w:val="20"/>
              </w:rPr>
              <w:t>Land and improvements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162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162</w:t>
            </w:r>
          </w:p>
        </w:tc>
        <w:tc>
          <w:tcPr>
            <w:tcW w:w="95" w:type="dxa"/>
            <w:tcBorders/>
            <w:shd w:fill="CCEEFF" w:val="clear"/>
            <w:vAlign w:val="center"/>
          </w:tcPr>
          <w:p>
            <w:pPr>
              <w:pStyle w:val="TableContents"/>
              <w:spacing w:before="0" w:after="283"/>
              <w:jc w:val="left"/>
              <w:rPr/>
            </w:pPr>
            <w:r>
              <w:rPr/>
              <w:t> </w:t>
            </w:r>
          </w:p>
        </w:tc>
      </w:tr>
      <w:tr>
        <w:trPr/>
        <w:tc>
          <w:tcPr>
            <w:tcW w:w="3320" w:type="dxa"/>
            <w:tcBorders/>
            <w:shd w:fill="FFFFFF" w:val="clear"/>
            <w:vAlign w:val="center"/>
          </w:tcPr>
          <w:p>
            <w:pPr>
              <w:pStyle w:val="TableContents"/>
              <w:spacing w:before="0" w:after="283"/>
              <w:jc w:val="left"/>
              <w:rPr>
                <w:sz w:val="20"/>
              </w:rPr>
            </w:pPr>
            <w:r>
              <w:rPr>
                <w:sz w:val="20"/>
              </w:rPr>
              <w:t>Other personal property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70</w:t>
            </w:r>
          </w:p>
        </w:tc>
        <w:tc>
          <w:tcPr>
            <w:tcW w:w="95" w:type="dxa"/>
            <w:tcBorders/>
            <w:shd w:fill="FFFFFF" w:val="clear"/>
            <w:vAlign w:val="center"/>
          </w:tcPr>
          <w:p>
            <w:pPr>
              <w:pStyle w:val="TableContents"/>
              <w:spacing w:before="0" w:after="283"/>
              <w:jc w:val="left"/>
              <w:rPr/>
            </w:pPr>
            <w:r>
              <w:rPr/>
              <w:t> </w:t>
            </w:r>
          </w:p>
        </w:tc>
      </w:tr>
      <w:tr>
        <w:trPr/>
        <w:tc>
          <w:tcPr>
            <w:tcW w:w="3320" w:type="dxa"/>
            <w:tcBorders/>
            <w:shd w:fill="CCEEFF" w:val="clear"/>
            <w:vAlign w:val="center"/>
          </w:tcPr>
          <w:p>
            <w:pPr>
              <w:pStyle w:val="TableContents"/>
              <w:spacing w:before="0" w:after="283"/>
              <w:jc w:val="left"/>
              <w:rPr>
                <w:sz w:val="20"/>
              </w:rPr>
            </w:pPr>
            <w:r>
              <w:rPr>
                <w:sz w:val="20"/>
              </w:rPr>
              <w:t>Office equipment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27</w:t>
            </w:r>
          </w:p>
        </w:tc>
        <w:tc>
          <w:tcPr>
            <w:tcW w:w="95" w:type="dxa"/>
            <w:tcBorders/>
            <w:shd w:fill="CCEEFF" w:val="clear"/>
            <w:vAlign w:val="center"/>
          </w:tcPr>
          <w:p>
            <w:pPr>
              <w:pStyle w:val="TableContents"/>
              <w:spacing w:before="0" w:after="283"/>
              <w:jc w:val="left"/>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2,509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2,509</w:t>
            </w:r>
          </w:p>
        </w:tc>
        <w:tc>
          <w:tcPr>
            <w:tcW w:w="95" w:type="dxa"/>
            <w:tcBorders/>
            <w:shd w:fill="FFFFFF" w:val="clear"/>
            <w:vAlign w:val="center"/>
          </w:tcPr>
          <w:p>
            <w:pPr>
              <w:pStyle w:val="TableContents"/>
              <w:spacing w:before="0" w:after="283"/>
              <w:jc w:val="left"/>
              <w:rPr/>
            </w:pPr>
            <w:r>
              <w:rPr/>
              <w:t> </w:t>
            </w:r>
          </w:p>
        </w:tc>
      </w:tr>
      <w:tr>
        <w:trPr/>
        <w:tc>
          <w:tcPr>
            <w:tcW w:w="3320" w:type="dxa"/>
            <w:tcBorders/>
            <w:shd w:fill="CCEEFF" w:val="clear"/>
            <w:vAlign w:val="center"/>
          </w:tcPr>
          <w:p>
            <w:pPr>
              <w:pStyle w:val="TableContents"/>
              <w:spacing w:before="0" w:after="283"/>
              <w:jc w:val="left"/>
              <w:rPr>
                <w:sz w:val="20"/>
              </w:rPr>
            </w:pPr>
            <w:r>
              <w:rPr>
                <w:sz w:val="20"/>
              </w:rPr>
              <w:t>Less: accumulated depreciation</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(2,025</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(1,969</w:t>
            </w:r>
          </w:p>
        </w:tc>
        <w:tc>
          <w:tcPr>
            <w:tcW w:w="95" w:type="dxa"/>
            <w:tcBorders/>
            <w:shd w:fill="CCEEFF" w:val="clear"/>
            <w:vAlign w:val="center"/>
          </w:tcPr>
          <w:p>
            <w:pPr>
              <w:pStyle w:val="TableContents"/>
              <w:spacing w:before="0" w:after="283"/>
              <w:jc w:val="left"/>
              <w:rPr>
                <w:sz w:val="20"/>
              </w:rPr>
            </w:pPr>
            <w:r>
              <w:rPr>
                <w:sz w:val="20"/>
              </w:rPr>
              <w:t>)</w:t>
            </w:r>
          </w:p>
        </w:tc>
      </w:tr>
      <w:tr>
        <w:trPr/>
        <w:tc>
          <w:tcPr>
            <w:tcW w:w="3320" w:type="dxa"/>
            <w:tcBorders/>
            <w:shd w:fill="FFFFFF" w:val="clear"/>
            <w:vAlign w:val="center"/>
          </w:tcPr>
          <w:p>
            <w:pPr>
              <w:pStyle w:val="TableContents"/>
              <w:spacing w:before="0" w:after="283"/>
              <w:jc w:val="left"/>
              <w:rPr>
                <w:sz w:val="20"/>
              </w:rPr>
            </w:pPr>
            <w:r>
              <w:rPr>
                <w:sz w:val="20"/>
              </w:rPr>
              <w:t>Total property, plant and equipment, net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484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540</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$56 thousand and $66 thousand for each of the years ended December 31,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 ACCRUED EXPENSES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summarized as follows (in thousands):</w:t>
      </w:r>
    </w:p>
    <w:tbl>
      <w:tblPr>
        <w:tblW w:w="5181" w:type="dxa"/>
        <w:jc w:val="center"/>
        <w:tblInd w:w="0" w:type="dxa"/>
        <w:tblCellMar>
          <w:top w:w="0" w:type="dxa"/>
          <w:left w:w="0" w:type="dxa"/>
          <w:bottom w:w="0" w:type="dxa"/>
          <w:right w:w="0" w:type="dxa"/>
        </w:tblCellMar>
      </w:tblPr>
      <w:tblGrid>
        <w:gridCol w:w="3920"/>
        <w:gridCol w:w="60"/>
        <w:gridCol w:w="135"/>
        <w:gridCol w:w="363"/>
        <w:gridCol w:w="65"/>
        <w:gridCol w:w="65"/>
        <w:gridCol w:w="135"/>
        <w:gridCol w:w="363"/>
        <w:gridCol w:w="75"/>
      </w:tblGrid>
      <w:tr>
        <w:trPr/>
        <w:tc>
          <w:tcPr>
            <w:tcW w:w="3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6"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December 31,</w:t>
            </w:r>
          </w:p>
        </w:tc>
        <w:tc>
          <w:tcPr>
            <w:tcW w:w="75" w:type="dxa"/>
            <w:tcBorders/>
            <w:shd w:fill="auto" w:val="clear"/>
            <w:vAlign w:val="center"/>
          </w:tcPr>
          <w:p>
            <w:pPr>
              <w:pStyle w:val="TableContents"/>
              <w:spacing w:before="0" w:after="283"/>
              <w:rPr/>
            </w:pPr>
            <w:r>
              <w:rPr/>
              <w:t> </w:t>
            </w:r>
          </w:p>
        </w:tc>
      </w:tr>
      <w:tr>
        <w:trPr/>
        <w:tc>
          <w:tcPr>
            <w:tcW w:w="39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75" w:type="dxa"/>
            <w:tcBorders/>
            <w:shd w:fill="auto" w:val="clear"/>
            <w:vAlign w:val="center"/>
          </w:tcPr>
          <w:p>
            <w:pPr>
              <w:pStyle w:val="TableContents"/>
              <w:spacing w:before="0" w:after="283"/>
              <w:rPr/>
            </w:pPr>
            <w:r>
              <w:rPr/>
              <w:t> </w:t>
            </w:r>
          </w:p>
        </w:tc>
      </w:tr>
      <w:tr>
        <w:trPr/>
        <w:tc>
          <w:tcPr>
            <w:tcW w:w="3920" w:type="dxa"/>
            <w:tcBorders/>
            <w:shd w:fill="CCEEFF" w:val="clear"/>
            <w:vAlign w:val="center"/>
          </w:tcPr>
          <w:p>
            <w:pPr>
              <w:pStyle w:val="TableContents"/>
              <w:spacing w:before="0" w:after="283"/>
              <w:jc w:val="left"/>
              <w:rPr>
                <w:sz w:val="20"/>
              </w:rPr>
            </w:pPr>
            <w:r>
              <w:rPr>
                <w:sz w:val="20"/>
              </w:rPr>
              <w:t>Cost sharing expenses under license agreements</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428</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363</w:t>
            </w:r>
          </w:p>
        </w:tc>
        <w:tc>
          <w:tcPr>
            <w:tcW w:w="75" w:type="dxa"/>
            <w:tcBorders/>
            <w:shd w:fill="CCEEFF" w:val="clear"/>
            <w:vAlign w:val="center"/>
          </w:tcPr>
          <w:p>
            <w:pPr>
              <w:pStyle w:val="TableContents"/>
              <w:spacing w:before="0" w:after="283"/>
              <w:jc w:val="left"/>
              <w:rPr/>
            </w:pPr>
            <w:r>
              <w:rPr/>
              <w:t> </w:t>
            </w:r>
          </w:p>
        </w:tc>
      </w:tr>
      <w:tr>
        <w:trPr/>
        <w:tc>
          <w:tcPr>
            <w:tcW w:w="3920" w:type="dxa"/>
            <w:tcBorders/>
            <w:shd w:fill="FFFFFF" w:val="clear"/>
            <w:vAlign w:val="center"/>
          </w:tcPr>
          <w:p>
            <w:pPr>
              <w:pStyle w:val="TableContents"/>
              <w:spacing w:before="0" w:after="283"/>
              <w:jc w:val="left"/>
              <w:rPr>
                <w:sz w:val="20"/>
              </w:rPr>
            </w:pPr>
            <w:r>
              <w:rPr>
                <w:sz w:val="20"/>
              </w:rPr>
              <w:t>Other fees and services</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24</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15</w:t>
            </w:r>
          </w:p>
        </w:tc>
        <w:tc>
          <w:tcPr>
            <w:tcW w:w="75" w:type="dxa"/>
            <w:tcBorders/>
            <w:shd w:fill="FFFFFF" w:val="clear"/>
            <w:vAlign w:val="center"/>
          </w:tcPr>
          <w:p>
            <w:pPr>
              <w:pStyle w:val="TableContents"/>
              <w:spacing w:before="0" w:after="283"/>
              <w:jc w:val="left"/>
              <w:rPr/>
            </w:pPr>
            <w:r>
              <w:rPr/>
              <w:t> </w:t>
            </w:r>
          </w:p>
        </w:tc>
      </w:tr>
      <w:tr>
        <w:trPr/>
        <w:tc>
          <w:tcPr>
            <w:tcW w:w="3920" w:type="dxa"/>
            <w:tcBorders/>
            <w:shd w:fill="CCEEFF" w:val="clear"/>
            <w:vAlign w:val="center"/>
          </w:tcPr>
          <w:p>
            <w:pPr>
              <w:pStyle w:val="TableContents"/>
              <w:spacing w:before="0" w:after="283"/>
              <w:jc w:val="left"/>
              <w:rPr>
                <w:sz w:val="20"/>
              </w:rPr>
            </w:pPr>
            <w:r>
              <w:rPr>
                <w:sz w:val="20"/>
              </w:rPr>
              <w:t>Payroll, payroll taxes and benefits</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8</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13</w:t>
            </w:r>
          </w:p>
        </w:tc>
        <w:tc>
          <w:tcPr>
            <w:tcW w:w="75" w:type="dxa"/>
            <w:tcBorders/>
            <w:shd w:fill="CCEEFF" w:val="clear"/>
            <w:vAlign w:val="center"/>
          </w:tcPr>
          <w:p>
            <w:pPr>
              <w:pStyle w:val="TableContents"/>
              <w:spacing w:before="0" w:after="283"/>
              <w:jc w:val="left"/>
              <w:rPr/>
            </w:pPr>
            <w:r>
              <w:rPr/>
              <w:t> </w:t>
            </w:r>
          </w:p>
        </w:tc>
      </w:tr>
      <w:tr>
        <w:trPr/>
        <w:tc>
          <w:tcPr>
            <w:tcW w:w="3920" w:type="dxa"/>
            <w:tcBorders/>
            <w:shd w:fill="FFFFFF" w:val="clear"/>
            <w:vAlign w:val="center"/>
          </w:tcPr>
          <w:p>
            <w:pPr>
              <w:pStyle w:val="TableContents"/>
              <w:spacing w:before="0" w:after="283"/>
              <w:jc w:val="left"/>
              <w:rPr>
                <w:sz w:val="20"/>
              </w:rPr>
            </w:pPr>
            <w:r>
              <w:rPr>
                <w:sz w:val="20"/>
              </w:rPr>
              <w:t>Professional services</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117</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151</w:t>
            </w:r>
          </w:p>
        </w:tc>
        <w:tc>
          <w:tcPr>
            <w:tcW w:w="75" w:type="dxa"/>
            <w:tcBorders/>
            <w:shd w:fill="FFFFFF" w:val="clear"/>
            <w:vAlign w:val="center"/>
          </w:tcPr>
          <w:p>
            <w:pPr>
              <w:pStyle w:val="TableContents"/>
              <w:spacing w:before="0" w:after="283"/>
              <w:jc w:val="left"/>
              <w:rPr/>
            </w:pPr>
            <w:r>
              <w:rPr/>
              <w:t> </w:t>
            </w:r>
          </w:p>
        </w:tc>
      </w:tr>
      <w:tr>
        <w:trPr/>
        <w:tc>
          <w:tcPr>
            <w:tcW w:w="3920" w:type="dxa"/>
            <w:tcBorders/>
            <w:shd w:fill="CCEEFF" w:val="clear"/>
            <w:vAlign w:val="center"/>
          </w:tcPr>
          <w:p>
            <w:pPr>
              <w:pStyle w:val="TableContents"/>
              <w:spacing w:before="0" w:after="283"/>
              <w:jc w:val="left"/>
              <w:rPr>
                <w:sz w:val="20"/>
              </w:rPr>
            </w:pPr>
            <w:r>
              <w:rPr>
                <w:sz w:val="20"/>
              </w:rPr>
              <w:t>Financed premiums on insurance policies</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28</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w:t>
            </w:r>
          </w:p>
        </w:tc>
        <w:tc>
          <w:tcPr>
            <w:tcW w:w="75" w:type="dxa"/>
            <w:tcBorders/>
            <w:shd w:fill="CCEEFF" w:val="clear"/>
            <w:vAlign w:val="center"/>
          </w:tcPr>
          <w:p>
            <w:pPr>
              <w:pStyle w:val="TableContents"/>
              <w:spacing w:before="0" w:after="283"/>
              <w:jc w:val="left"/>
              <w:rPr/>
            </w:pPr>
            <w:r>
              <w:rPr/>
              <w:t> </w:t>
            </w:r>
          </w:p>
        </w:tc>
      </w:tr>
      <w:tr>
        <w:trPr/>
        <w:tc>
          <w:tcPr>
            <w:tcW w:w="3920" w:type="dxa"/>
            <w:tcBorders/>
            <w:shd w:fill="FFFFFF" w:val="clear"/>
            <w:vAlign w:val="center"/>
          </w:tcPr>
          <w:p>
            <w:pPr>
              <w:pStyle w:val="TableContents"/>
              <w:spacing w:before="0" w:after="283"/>
              <w:jc w:val="left"/>
              <w:rPr>
                <w:sz w:val="20"/>
              </w:rPr>
            </w:pPr>
            <w:r>
              <w:rPr>
                <w:sz w:val="20"/>
              </w:rPr>
              <w:t>Clinical, non-clinical and regulatory services</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20</w:t>
            </w:r>
          </w:p>
        </w:tc>
        <w:tc>
          <w:tcPr>
            <w:tcW w:w="75" w:type="dxa"/>
            <w:tcBorders/>
            <w:shd w:fill="FFFFFF" w:val="clear"/>
            <w:vAlign w:val="center"/>
          </w:tcPr>
          <w:p>
            <w:pPr>
              <w:pStyle w:val="TableContents"/>
              <w:spacing w:before="0" w:after="283"/>
              <w:jc w:val="left"/>
              <w:rPr/>
            </w:pPr>
            <w:r>
              <w:rPr/>
              <w:t> </w:t>
            </w:r>
          </w:p>
        </w:tc>
      </w:tr>
      <w:tr>
        <w:trPr/>
        <w:tc>
          <w:tcPr>
            <w:tcW w:w="3920" w:type="dxa"/>
            <w:tcBorders/>
            <w:shd w:fill="CCEEFF" w:val="clear"/>
            <w:vAlign w:val="center"/>
          </w:tcPr>
          <w:p>
            <w:pPr>
              <w:pStyle w:val="TableContents"/>
              <w:spacing w:before="0" w:after="283"/>
              <w:jc w:val="left"/>
              <w:rPr>
                <w:sz w:val="20"/>
              </w:rPr>
            </w:pPr>
            <w:r>
              <w:rPr>
                <w:sz w:val="20"/>
              </w:rPr>
              <w:t>Property taxes</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9</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pPr>
            <w:r>
              <w:rPr/>
              <w:t> </w:t>
            </w:r>
          </w:p>
        </w:tc>
        <w:tc>
          <w:tcPr>
            <w:tcW w:w="363" w:type="dxa"/>
            <w:tcBorders/>
            <w:shd w:fill="CCEEFF" w:val="clear"/>
            <w:vAlign w:val="center"/>
          </w:tcPr>
          <w:p>
            <w:pPr>
              <w:pStyle w:val="TableContents"/>
              <w:spacing w:before="0" w:after="283"/>
              <w:jc w:val="right"/>
              <w:rPr>
                <w:sz w:val="20"/>
              </w:rPr>
            </w:pPr>
            <w:r>
              <w:rPr>
                <w:sz w:val="20"/>
              </w:rPr>
              <w:t>9</w:t>
            </w:r>
          </w:p>
        </w:tc>
        <w:tc>
          <w:tcPr>
            <w:tcW w:w="75" w:type="dxa"/>
            <w:tcBorders/>
            <w:shd w:fill="CCEEFF" w:val="clear"/>
            <w:vAlign w:val="center"/>
          </w:tcPr>
          <w:p>
            <w:pPr>
              <w:pStyle w:val="TableContents"/>
              <w:spacing w:before="0" w:after="283"/>
              <w:jc w:val="left"/>
              <w:rPr/>
            </w:pPr>
            <w:r>
              <w:rPr/>
              <w:t> </w:t>
            </w:r>
          </w:p>
        </w:tc>
      </w:tr>
      <w:tr>
        <w:trPr/>
        <w:tc>
          <w:tcPr>
            <w:tcW w:w="3920" w:type="dxa"/>
            <w:tcBorders/>
            <w:shd w:fill="FFFFFF" w:val="clear"/>
            <w:vAlign w:val="center"/>
          </w:tcPr>
          <w:p>
            <w:pPr>
              <w:pStyle w:val="TableContents"/>
              <w:spacing w:before="0" w:after="283"/>
              <w:jc w:val="left"/>
              <w:rPr>
                <w:sz w:val="20"/>
              </w:rPr>
            </w:pPr>
            <w:r>
              <w:rPr>
                <w:sz w:val="20"/>
              </w:rPr>
              <w:t>Franchise taxes</w:t>
            </w:r>
          </w:p>
        </w:tc>
        <w:tc>
          <w:tcPr>
            <w:tcW w:w="60"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17</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14</w:t>
            </w:r>
          </w:p>
        </w:tc>
        <w:tc>
          <w:tcPr>
            <w:tcW w:w="75" w:type="dxa"/>
            <w:tcBorders/>
            <w:shd w:fill="FFFFFF" w:val="clear"/>
            <w:vAlign w:val="center"/>
          </w:tcPr>
          <w:p>
            <w:pPr>
              <w:pStyle w:val="TableContents"/>
              <w:spacing w:before="0" w:after="283"/>
              <w:jc w:val="left"/>
              <w:rPr/>
            </w:pPr>
            <w:r>
              <w:rPr/>
              <w:t> </w:t>
            </w:r>
          </w:p>
        </w:tc>
      </w:tr>
      <w:tr>
        <w:trPr/>
        <w:tc>
          <w:tcPr>
            <w:tcW w:w="3920" w:type="dxa"/>
            <w:tcBorders/>
            <w:shd w:fill="CCEEFF" w:val="clear"/>
            <w:vAlign w:val="center"/>
          </w:tcPr>
          <w:p>
            <w:pPr>
              <w:pStyle w:val="TableContents"/>
              <w:spacing w:before="0" w:after="283"/>
              <w:rPr>
                <w:sz w:val="20"/>
              </w:rPr>
            </w:pPr>
            <w:r>
              <w:rPr>
                <w:sz w:val="20"/>
              </w:rPr>
              <w:t>Total</w:t>
            </w:r>
          </w:p>
        </w:tc>
        <w:tc>
          <w:tcPr>
            <w:tcW w:w="60"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631</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585</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Convertible Loan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2018, we had borrowed an aggregate of $4.350 million from Mr. Schutte, a related-party. From January 1, 2019 and through June 27, 2019, we borrowed additional amounts from Mr. Schutte for $650 thousand and issued various promissory notes to him with the same terms and conditions from the previous loans (the Schutte Notes). The Schutte Notes bear interest at prime plus 2.0%, and were to mature on January 2, 2020, at which time all principal and interest was to be due. The Schutte Notes were unsecured until all obligations to Oxford were satisfied at which time we were required to grant a security interest to Mr. Schutte in all of our assets, including our intellectual property. Because we believed the Schutte Notes’ rate of interest was below current market rates for us, we imputed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was $126 thousand and the accrued interest balance was $110 thousand. We recorded a $13 thousand benefit to interest income during 2019 from the $650 thousand borrowings from Mr. Schutte. At June 27, 2019, the unamortized debt discount balance was $73 thousand and the accrued interest balance was $275 thousand. The events of default under the Schutte Notes are limited to bankruptcy defaults and failure to pay interest and principal when due on January 2, 2020. The Schutte Notes could be prepaid at any time in whole or in part.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$4.350 million loan outstanding from Mr. Schutte as of December 31, 2018 was a borrowing of $1.8 million completed on October 5, 2018 of which we used $1.5 million to fully pay-off the debt outstanding under the Oxford Loan Agreement. All our assets are pledged as collateral under the Schutte Notes, including our 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2019 the aggregate amount of the loans made to the Company by Mr. Schutte aggregated $5.0 million. On June 28, 2019 we restructured the $5.0 million loan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loan restructuring was accounted for as debt extinguishment. We obtained a valuation of fair value on the modified loan and warrant and the method of accounting for the loan changes resulted in a $2.6 million loss on debt extinguishment. Of the loss on debt extinguishment, $1.145 million was allocated to the warrant, $1.382 million was related to the premium on the convertible loan, and $73 thousand was assignable to write-off of the original loan’s remaining unamortized debt discount. The $6.0 million convertible debt, the common stock purchase warrant and the security agreement were all assigned and transferred by Mr. Schutte to AD Pharma on June 28, 2019. The accrued interest balance at December 31, 2020 and December 31, 2019 was $678 thousand and $229 thousand,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of default under the $6.0 million convertible debt are limited to bankruptcy defaults, failure to pay interest and principal when due on July 1, 2023 or upon failure to meet certain timelines in the AD Pharma Agreement as defined in the loan agreement. The $6.0 million convertible debt may be prepaid at any time in whole or in part but only with the consent of the noteholder.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amended AD Pharma Agreement entered into during October 2020, is the requirement that the NDA for LTX-03 now be accepted by the FDA by July 31, 2021, or AD Pharma has the option to terminate the AD Pharma Agreement and take ownership of the LIMITx intellectual property. Importantly, such failure to meet this date will be an event of default under the Company’s $6.0 million outstanding convertible debt to AD Pharma.. Acura currently expects the submission and FDA acceptance of the NDA for LTX-03 to occur after July 31, 2021 and has notified AD Pharma of this revised timeline for NDA submission. Acura is currently in discussions with AD Pharma to amend the existing Agreement. Also, we have presented the $6.0 million convertible debt as a current liability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debt interest expense for the year ended December 31, 2020 and 2019 consisted of the following (in thousands):</w:t>
      </w:r>
    </w:p>
    <w:p>
      <w:pPr>
        <w:pStyle w:val="TextBody"/>
        <w:spacing w:before="0" w:after="0"/>
        <w:ind w:left="0" w:right="0" w:hanging="0"/>
        <w:rPr>
          <w:caps w:val="false"/>
          <w:smallCaps w:val="false"/>
        </w:rPr>
      </w:pPr>
      <w:r>
        <w:rPr>
          <w:caps w:val="false"/>
          <w:smallCaps w:val="false"/>
        </w:rPr>
        <w:t> </w:t>
      </w:r>
    </w:p>
    <w:tbl>
      <w:tblPr>
        <w:tblW w:w="5546" w:type="dxa"/>
        <w:jc w:val="center"/>
        <w:tblInd w:w="0" w:type="dxa"/>
        <w:tblCellMar>
          <w:top w:w="0" w:type="dxa"/>
          <w:left w:w="0" w:type="dxa"/>
          <w:bottom w:w="0" w:type="dxa"/>
          <w:right w:w="0" w:type="dxa"/>
        </w:tblCellMar>
      </w:tblPr>
      <w:tblGrid>
        <w:gridCol w:w="4265"/>
        <w:gridCol w:w="60"/>
        <w:gridCol w:w="135"/>
        <w:gridCol w:w="363"/>
        <w:gridCol w:w="65"/>
        <w:gridCol w:w="65"/>
        <w:gridCol w:w="135"/>
        <w:gridCol w:w="363"/>
        <w:gridCol w:w="95"/>
      </w:tblGrid>
      <w:tr>
        <w:trPr/>
        <w:tc>
          <w:tcPr>
            <w:tcW w:w="426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2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 Ended </w:t>
              <w:b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65"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Interest expense:</w:t>
            </w:r>
          </w:p>
        </w:tc>
        <w:tc>
          <w:tcPr>
            <w:tcW w:w="60"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498"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rPr/>
            </w:pPr>
            <w:r>
              <w:rPr/>
              <w:t> </w:t>
            </w:r>
          </w:p>
        </w:tc>
      </w:tr>
      <w:tr>
        <w:trPr/>
        <w:tc>
          <w:tcPr>
            <w:tcW w:w="4265" w:type="dxa"/>
            <w:tcBorders/>
            <w:shd w:fill="CCEEFF" w:val="clear"/>
            <w:vAlign w:val="center"/>
          </w:tcPr>
          <w:p>
            <w:pPr>
              <w:pStyle w:val="TableContents"/>
              <w:spacing w:before="0" w:after="283"/>
              <w:jc w:val="both"/>
              <w:rPr>
                <w:sz w:val="20"/>
              </w:rPr>
            </w:pPr>
            <w:r>
              <w:rPr>
                <w:sz w:val="20"/>
              </w:rPr>
              <w:t>Related party term loans</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450</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jc w:val="left"/>
              <w:rPr>
                <w:sz w:val="20"/>
              </w:rPr>
            </w:pPr>
            <w:r>
              <w:rPr>
                <w:sz w:val="20"/>
              </w:rPr>
              <w:t>$</w:t>
            </w:r>
          </w:p>
        </w:tc>
        <w:tc>
          <w:tcPr>
            <w:tcW w:w="363" w:type="dxa"/>
            <w:tcBorders/>
            <w:shd w:fill="CCEEFF" w:val="clear"/>
            <w:vAlign w:val="center"/>
          </w:tcPr>
          <w:p>
            <w:pPr>
              <w:pStyle w:val="TableContents"/>
              <w:spacing w:before="0" w:after="283"/>
              <w:jc w:val="right"/>
              <w:rPr>
                <w:sz w:val="20"/>
              </w:rPr>
            </w:pPr>
            <w:r>
              <w:rPr>
                <w:sz w:val="20"/>
              </w:rPr>
              <w:t>392</w:t>
            </w:r>
          </w:p>
        </w:tc>
        <w:tc>
          <w:tcPr>
            <w:tcW w:w="95" w:type="dxa"/>
            <w:tcBorders/>
            <w:shd w:fill="CCEEFF" w:val="clear"/>
            <w:vAlign w:val="center"/>
          </w:tcPr>
          <w:p>
            <w:pPr>
              <w:pStyle w:val="TableContents"/>
              <w:spacing w:before="0" w:after="283"/>
              <w:jc w:val="left"/>
              <w:rPr/>
            </w:pPr>
            <w:r>
              <w:rPr/>
              <w:t> </w:t>
            </w:r>
          </w:p>
        </w:tc>
      </w:tr>
      <w:tr>
        <w:trPr/>
        <w:tc>
          <w:tcPr>
            <w:tcW w:w="4265" w:type="dxa"/>
            <w:tcBorders/>
            <w:shd w:fill="FFFFFF" w:val="clear"/>
            <w:vAlign w:val="center"/>
          </w:tcPr>
          <w:p>
            <w:pPr>
              <w:pStyle w:val="TableContents"/>
              <w:spacing w:before="0" w:after="283"/>
              <w:jc w:val="both"/>
              <w:rPr>
                <w:sz w:val="20"/>
              </w:rPr>
            </w:pPr>
            <w:r>
              <w:rPr>
                <w:sz w:val="20"/>
              </w:rPr>
              <w:t>Debt discount</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pPr>
            <w:r>
              <w:rPr/>
              <w:t> </w:t>
            </w:r>
          </w:p>
        </w:tc>
        <w:tc>
          <w:tcPr>
            <w:tcW w:w="363" w:type="dxa"/>
            <w:tcBorders/>
            <w:shd w:fill="FFFFFF" w:val="clear"/>
            <w:vAlign w:val="center"/>
          </w:tcPr>
          <w:p>
            <w:pPr>
              <w:pStyle w:val="TableContents"/>
              <w:spacing w:before="0" w:after="283"/>
              <w:jc w:val="right"/>
              <w:rPr>
                <w:sz w:val="20"/>
              </w:rPr>
            </w:pPr>
            <w:r>
              <w:rPr>
                <w:sz w:val="20"/>
              </w:rPr>
              <w:t>66</w:t>
            </w:r>
          </w:p>
        </w:tc>
        <w:tc>
          <w:tcPr>
            <w:tcW w:w="95" w:type="dxa"/>
            <w:tcBorders/>
            <w:shd w:fill="FFFFFF" w:val="clear"/>
            <w:vAlign w:val="center"/>
          </w:tcPr>
          <w:p>
            <w:pPr>
              <w:pStyle w:val="TableContents"/>
              <w:spacing w:before="0" w:after="283"/>
              <w:jc w:val="left"/>
              <w:rPr/>
            </w:pPr>
            <w:r>
              <w:rPr/>
              <w:t> </w:t>
            </w:r>
          </w:p>
        </w:tc>
      </w:tr>
      <w:tr>
        <w:trPr/>
        <w:tc>
          <w:tcPr>
            <w:tcW w:w="4265" w:type="dxa"/>
            <w:tcBorders/>
            <w:shd w:fill="CCEEFF" w:val="clear"/>
            <w:vAlign w:val="center"/>
          </w:tcPr>
          <w:p>
            <w:pPr>
              <w:pStyle w:val="TableContents"/>
              <w:spacing w:before="0" w:after="283"/>
              <w:jc w:val="both"/>
              <w:rPr>
                <w:sz w:val="20"/>
              </w:rPr>
            </w:pPr>
            <w:r>
              <w:rPr>
                <w:sz w:val="20"/>
              </w:rPr>
              <w:t>Financed insurance premiums</w:t>
            </w:r>
          </w:p>
        </w:tc>
        <w:tc>
          <w:tcPr>
            <w:tcW w:w="60"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w:t>
            </w:r>
          </w:p>
        </w:tc>
        <w:tc>
          <w:tcPr>
            <w:tcW w:w="95" w:type="dxa"/>
            <w:tcBorders/>
            <w:shd w:fill="CCEEFF" w:val="clear"/>
            <w:vAlign w:val="center"/>
          </w:tcPr>
          <w:p>
            <w:pPr>
              <w:pStyle w:val="TableContents"/>
              <w:spacing w:before="0" w:after="283"/>
              <w:jc w:val="left"/>
              <w:rPr/>
            </w:pPr>
            <w:r>
              <w:rPr/>
              <w:t> </w:t>
            </w:r>
          </w:p>
        </w:tc>
      </w:tr>
      <w:tr>
        <w:trPr/>
        <w:tc>
          <w:tcPr>
            <w:tcW w:w="4265" w:type="dxa"/>
            <w:tcBorders/>
            <w:shd w:fill="FFFFFF" w:val="clear"/>
            <w:vAlign w:val="center"/>
          </w:tcPr>
          <w:p>
            <w:pPr>
              <w:pStyle w:val="TableContents"/>
              <w:spacing w:before="0" w:after="283"/>
              <w:jc w:val="both"/>
              <w:rPr>
                <w:sz w:val="20"/>
              </w:rPr>
            </w:pPr>
            <w:r>
              <w:rPr>
                <w:sz w:val="20"/>
              </w:rPr>
              <w:t>Total interest expense</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sz w:val="20"/>
              </w:rPr>
            </w:pPr>
            <w:r>
              <w:rPr>
                <w:sz w:val="20"/>
              </w:rPr>
              <w:t>$</w:t>
            </w:r>
          </w:p>
        </w:tc>
        <w:tc>
          <w:tcPr>
            <w:tcW w:w="363" w:type="dxa"/>
            <w:tcBorders/>
            <w:shd w:fill="FFFFFF" w:val="clear"/>
            <w:vAlign w:val="center"/>
          </w:tcPr>
          <w:p>
            <w:pPr>
              <w:pStyle w:val="TableContents"/>
              <w:spacing w:before="0" w:after="283"/>
              <w:jc w:val="right"/>
              <w:rPr>
                <w:sz w:val="20"/>
              </w:rPr>
            </w:pPr>
            <w:r>
              <w:rPr>
                <w:sz w:val="20"/>
              </w:rPr>
              <w:t>450</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jc w:val="left"/>
              <w:rPr>
                <w:sz w:val="20"/>
              </w:rPr>
            </w:pPr>
            <w:r>
              <w:rPr>
                <w:sz w:val="20"/>
              </w:rPr>
              <w:t>$</w:t>
            </w:r>
          </w:p>
        </w:tc>
        <w:tc>
          <w:tcPr>
            <w:tcW w:w="363" w:type="dxa"/>
            <w:tcBorders/>
            <w:shd w:fill="FFFFFF" w:val="clear"/>
            <w:vAlign w:val="center"/>
          </w:tcPr>
          <w:p>
            <w:pPr>
              <w:pStyle w:val="TableContents"/>
              <w:spacing w:before="0" w:after="283"/>
              <w:jc w:val="right"/>
              <w:rPr>
                <w:sz w:val="20"/>
              </w:rPr>
            </w:pPr>
            <w:r>
              <w:rPr>
                <w:sz w:val="20"/>
              </w:rPr>
              <w:t>462</w:t>
            </w:r>
          </w:p>
        </w:tc>
        <w:tc>
          <w:tcPr>
            <w:tcW w:w="95" w:type="dxa"/>
            <w:tcBorders/>
            <w:shd w:fill="FFFFFF" w:val="clear"/>
            <w:vAlign w:val="center"/>
          </w:tcPr>
          <w:p>
            <w:pPr>
              <w:pStyle w:val="TableContents"/>
              <w:spacing w:before="0" w:after="283"/>
              <w:jc w:val="left"/>
              <w:rPr/>
            </w:pPr>
            <w:r>
              <w:rPr/>
              <w:t> </w:t>
            </w:r>
          </w:p>
        </w:tc>
      </w:tr>
      <w:tr>
        <w:trPr/>
        <w:tc>
          <w:tcPr>
            <w:tcW w:w="4265" w:type="dxa"/>
            <w:tcBorders/>
            <w:shd w:fill="CCEEFF" w:val="clear"/>
            <w:vAlign w:val="center"/>
          </w:tcPr>
          <w:p>
            <w:pPr>
              <w:pStyle w:val="TableContents"/>
              <w:spacing w:before="0" w:after="283"/>
              <w:jc w:val="both"/>
              <w:rPr>
                <w:sz w:val="20"/>
              </w:rPr>
            </w:pPr>
            <w:r>
              <w:rPr>
                <w:sz w:val="20"/>
              </w:rPr>
              <w:t>Less: imputed interest income on related party loans</w:t>
            </w:r>
          </w:p>
        </w:tc>
        <w:tc>
          <w:tcPr>
            <w:tcW w:w="60"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13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6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(13</w:t>
            </w:r>
          </w:p>
        </w:tc>
        <w:tc>
          <w:tcPr>
            <w:tcW w:w="95" w:type="dxa"/>
            <w:tcBorders/>
            <w:shd w:fill="CCEEFF" w:val="clear"/>
            <w:vAlign w:val="center"/>
          </w:tcPr>
          <w:p>
            <w:pPr>
              <w:pStyle w:val="TableContents"/>
              <w:spacing w:before="0" w:after="283"/>
              <w:jc w:val="left"/>
              <w:rPr>
                <w:sz w:val="20"/>
              </w:rPr>
            </w:pPr>
            <w:r>
              <w:rPr>
                <w:sz w:val="20"/>
              </w:rPr>
              <w:t>)</w:t>
            </w:r>
          </w:p>
        </w:tc>
      </w:tr>
      <w:tr>
        <w:trPr/>
        <w:tc>
          <w:tcPr>
            <w:tcW w:w="4265" w:type="dxa"/>
            <w:tcBorders/>
            <w:shd w:fill="FFFFFF" w:val="clear"/>
            <w:vAlign w:val="center"/>
          </w:tcPr>
          <w:p>
            <w:pPr>
              <w:pStyle w:val="TableContents"/>
              <w:spacing w:before="0" w:after="283"/>
              <w:jc w:val="both"/>
              <w:rPr>
                <w:sz w:val="20"/>
              </w:rPr>
            </w:pPr>
            <w:r>
              <w:rPr>
                <w:sz w:val="20"/>
              </w:rPr>
              <w:t>Total interest expense, net</w:t>
            </w:r>
          </w:p>
        </w:tc>
        <w:tc>
          <w:tcPr>
            <w:tcW w:w="60"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450</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13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6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449</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Paycheck Protection Program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Company received a loan (the “Loan”) from JP Morgan Chase Bank in the aggregate amount of $269 thousand, pursuant to the Paycheck Protection Program under Division A, Title I of the CARES Act, which was enacted March 27, 2020. The Loan, in the form of a promissory note, matures on April 8, 2022. Under the terms of the Paycheck Protection Program (“PPP”), certain amounts of the Loan may be forgiven if they are used for qualifying expenses as described in the CARES Act. No assurance is provided that forgiveness for any portion of the Loan will be obtained. To the extent that all or part of the Loan is not forgiven, the Company will be required to make payments, including interest accruing at an annual rate of 1.0% beginning on the date of disbursement.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ind w:left="36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with Mr. John Schutte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MainPointe Pharmaceuticals LLC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is the principal owner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year ended 2020 and 2019 is $9 thousand and $16 thousand, respectively, of royalty revenue from MainPointe (See Note 3). On January 1, 2020, MainPointe assigned to AD Pharma, with Acura’s consent, all of its right, title and interest in the MainPointe Agreement between MainPointe and Acura.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Loans with Mr. John Schutte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convertible debt, the common stock purchase warrant and the security agreement were all assigned and transferred by Mr. Schutte to AD Pharma on June 28,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F-22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 Pharma Agreement covering LTX-03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we entered into a License, Development and Commercialization Agreement which was amended in October 2020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as well as LTX-02 (oxycodone/acetaminophen) and LTX-09 (alprazolam). Financial arrangements include: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hanging="180"/>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Monthly license payments to Acura by AD Pharma of $350 thousand from inception through April 2020 and $200 thousand thereafter until July 31, 2021 or FDA’s acceptance of a New Drug Application (“NDA”) for LTX-03;</w:t>
            </w:r>
          </w:p>
        </w:tc>
      </w:tr>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Reimbursement by AP Pharma of Acura’s LTX-03 outside development expenses; and</w:t>
            </w:r>
          </w:p>
        </w:tc>
      </w:tr>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Upon commercialization of the licensed products, Acura receives stepped royalties on sales and is eligible for certain sales related milestones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Pharma is delinquent in remitting monthly license payments for December, 2020 thru March, 2021 and approximately $200 thousand of reimbursable LTX-03 development expenses. Failure to make these payments are an event of default under the Agreement,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Pharma may terminate the Agreement at any time. Additionally, if the NDA for LTX-03 is not accepted by the FDA by July 31, 2021, AD Pharma has the option to terminate the Agreement and take ownership of the LIMITx intellectual property. Importantly, such failure to meet this date will be an event of default under the Company’s $6.0 million outstanding convertible debt to AD Pharma. Should AD Pharma choose not to exercise this option to terminate and the NDA for LTX-03 is subsequently accepted by the FDA, such option expires. Acura currently expects the submission and FDA acceptance of the NDA for LTX-03 to occur after July 31, 2021 and has notified AD Pharma of this revised timeline for NDA submission. Acura is currently in discussions with AD Pharma to amend the existing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EMPLOYEE BENEFIT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during the year ended December 31 2020 or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COMMON STOCK PURCHASE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 activity during the years ended December 31, 2020 and 2019 is shown below (in thousands except price data):</w:t>
      </w:r>
    </w:p>
    <w:p>
      <w:pPr>
        <w:pStyle w:val="TextBody"/>
        <w:spacing w:before="0" w:after="0"/>
        <w:ind w:left="0" w:right="0" w:hanging="0"/>
        <w:jc w:val="both"/>
        <w:rPr>
          <w:caps w:val="false"/>
          <w:smallCaps w:val="false"/>
        </w:rPr>
      </w:pPr>
      <w:r>
        <w:rPr>
          <w:caps w:val="false"/>
          <w:smallCaps w:val="false"/>
        </w:rPr>
        <w:t> </w:t>
      </w:r>
    </w:p>
    <w:tbl>
      <w:tblPr>
        <w:tblW w:w="5098" w:type="dxa"/>
        <w:jc w:val="center"/>
        <w:tblInd w:w="0" w:type="dxa"/>
        <w:tblCellMar>
          <w:top w:w="0" w:type="dxa"/>
          <w:left w:w="0" w:type="dxa"/>
          <w:bottom w:w="0" w:type="dxa"/>
          <w:right w:w="0" w:type="dxa"/>
        </w:tblCellMar>
      </w:tblPr>
      <w:tblGrid>
        <w:gridCol w:w="1745"/>
        <w:gridCol w:w="60"/>
        <w:gridCol w:w="61"/>
        <w:gridCol w:w="604"/>
        <w:gridCol w:w="80"/>
        <w:gridCol w:w="60"/>
        <w:gridCol w:w="186"/>
        <w:gridCol w:w="568"/>
        <w:gridCol w:w="60"/>
        <w:gridCol w:w="60"/>
        <w:gridCol w:w="61"/>
        <w:gridCol w:w="604"/>
        <w:gridCol w:w="60"/>
        <w:gridCol w:w="60"/>
        <w:gridCol w:w="186"/>
        <w:gridCol w:w="568"/>
        <w:gridCol w:w="75"/>
      </w:tblGrid>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18" w:type="dxa"/>
            <w:gridSpan w:val="14"/>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December 31,</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9"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9"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WAvg </w:t>
              <w:br/>
              <w:t xml:space="preserve">Exercise </w:t>
              <w:br/>
              <w:t>Price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WAvg </w:t>
              <w:br/>
              <w:t xml:space="preserve">Exercise </w:t>
              <w:br/>
              <w:t>Price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45" w:type="dxa"/>
            <w:tcBorders/>
            <w:shd w:fill="CCEEFF" w:val="clear"/>
            <w:vAlign w:val="center"/>
          </w:tcPr>
          <w:p>
            <w:pPr>
              <w:pStyle w:val="TableContents"/>
              <w:spacing w:before="0" w:after="283"/>
              <w:jc w:val="left"/>
              <w:rPr>
                <w:sz w:val="20"/>
              </w:rPr>
            </w:pPr>
            <w:r>
              <w:rPr>
                <w:sz w:val="20"/>
              </w:rPr>
              <w:t>Outstanding, Jan. 1</w:t>
            </w:r>
          </w:p>
        </w:tc>
        <w:tc>
          <w:tcPr>
            <w:tcW w:w="60" w:type="dxa"/>
            <w:tcBorders/>
            <w:shd w:fill="CCEEFF" w:val="clear"/>
            <w:vAlign w:val="center"/>
          </w:tcPr>
          <w:p>
            <w:pPr>
              <w:pStyle w:val="TableContents"/>
              <w:spacing w:before="0" w:after="283"/>
              <w:rPr/>
            </w:pPr>
            <w:r>
              <w:rPr/>
              <w:t> </w:t>
            </w:r>
          </w:p>
        </w:tc>
        <w:tc>
          <w:tcPr>
            <w:tcW w:w="6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11,842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6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1,842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6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0.59</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rPr>
                <w:sz w:val="20"/>
              </w:rPr>
            </w:pPr>
            <w:r>
              <w:rPr>
                <w:sz w:val="20"/>
              </w:rPr>
              <w:t>Issued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p>
        </w:tc>
        <w:tc>
          <w:tcPr>
            <w:tcW w:w="604"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8"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p>
        </w:tc>
        <w:tc>
          <w:tcPr>
            <w:tcW w:w="604" w:type="dxa"/>
            <w:tcBorders/>
            <w:shd w:fill="FFFFFF" w:val="clear"/>
            <w:vAlign w:val="center"/>
          </w:tcPr>
          <w:p>
            <w:pPr>
              <w:pStyle w:val="TableContents"/>
              <w:spacing w:before="0" w:after="283"/>
              <w:jc w:val="right"/>
              <w:rPr>
                <w:sz w:val="20"/>
              </w:rPr>
            </w:pPr>
            <w:r>
              <w:rPr>
                <w:sz w:val="20"/>
              </w:rPr>
              <w:t>10,000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8" w:type="dxa"/>
            <w:tcBorders/>
            <w:shd w:fill="FFFFFF" w:val="clear"/>
            <w:vAlign w:val="center"/>
          </w:tcPr>
          <w:p>
            <w:pPr>
              <w:pStyle w:val="TableContents"/>
              <w:spacing w:before="0" w:after="283"/>
              <w:jc w:val="right"/>
              <w:rPr>
                <w:sz w:val="20"/>
              </w:rPr>
            </w:pPr>
            <w:r>
              <w:rPr>
                <w:sz w:val="20"/>
              </w:rPr>
              <w:t>0.01</w:t>
            </w:r>
          </w:p>
        </w:tc>
        <w:tc>
          <w:tcPr>
            <w:tcW w:w="7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Exercised</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p>
        </w:tc>
        <w:tc>
          <w:tcPr>
            <w:tcW w:w="604"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8"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p>
        </w:tc>
        <w:tc>
          <w:tcPr>
            <w:tcW w:w="604"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8" w:type="dxa"/>
            <w:tcBorders/>
            <w:shd w:fill="CCEEFF" w:val="clear"/>
            <w:vAlign w:val="center"/>
          </w:tcPr>
          <w:p>
            <w:pPr>
              <w:pStyle w:val="TableContents"/>
              <w:spacing w:before="0" w:after="283"/>
              <w:jc w:val="right"/>
              <w:rPr>
                <w:sz w:val="20"/>
              </w:rPr>
            </w:pPr>
            <w:r>
              <w:rPr>
                <w:sz w:val="20"/>
              </w:rPr>
              <w:t>-</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rPr>
                <w:sz w:val="20"/>
              </w:rPr>
            </w:pPr>
            <w:r>
              <w:rPr>
                <w:sz w:val="20"/>
              </w:rPr>
              <w:t>Expired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p>
        </w:tc>
        <w:tc>
          <w:tcPr>
            <w:tcW w:w="604" w:type="dxa"/>
            <w:tcBorders/>
            <w:shd w:fill="FFFFFF" w:val="clear"/>
            <w:vAlign w:val="center"/>
          </w:tcPr>
          <w:p>
            <w:pPr>
              <w:pStyle w:val="TableContents"/>
              <w:spacing w:before="0" w:after="283"/>
              <w:jc w:val="right"/>
              <w:rPr>
                <w:sz w:val="20"/>
              </w:rPr>
            </w:pPr>
            <w:r>
              <w:rPr>
                <w:sz w:val="20"/>
              </w:rPr>
              <w:t>(60</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8" w:type="dxa"/>
            <w:tcBorders/>
            <w:shd w:fill="FFFFFF" w:val="clear"/>
            <w:vAlign w:val="center"/>
          </w:tcPr>
          <w:p>
            <w:pPr>
              <w:pStyle w:val="TableContents"/>
              <w:spacing w:before="0" w:after="283"/>
              <w:jc w:val="right"/>
              <w:rPr>
                <w:sz w:val="20"/>
              </w:rPr>
            </w:pPr>
            <w:r>
              <w:rPr>
                <w:sz w:val="20"/>
              </w:rPr>
              <w:t>2.52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p>
        </w:tc>
        <w:tc>
          <w:tcPr>
            <w:tcW w:w="604"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8" w:type="dxa"/>
            <w:tcBorders/>
            <w:shd w:fill="FFFFFF" w:val="clear"/>
            <w:vAlign w:val="center"/>
          </w:tcPr>
          <w:p>
            <w:pPr>
              <w:pStyle w:val="TableContents"/>
              <w:spacing w:before="0" w:after="283"/>
              <w:jc w:val="right"/>
              <w:rPr>
                <w:sz w:val="20"/>
              </w:rPr>
            </w:pPr>
            <w:r>
              <w:rPr>
                <w:sz w:val="20"/>
              </w:rPr>
              <w:t>-</w:t>
            </w:r>
          </w:p>
        </w:tc>
        <w:tc>
          <w:tcPr>
            <w:tcW w:w="7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Modification</w:t>
            </w:r>
          </w:p>
        </w:tc>
        <w:tc>
          <w:tcPr>
            <w:tcW w:w="60" w:type="dxa"/>
            <w:tcBorders/>
            <w:shd w:fill="CCEEFF" w:val="clear"/>
            <w:vAlign w:val="center"/>
          </w:tcPr>
          <w:p>
            <w:pPr>
              <w:pStyle w:val="TableContents"/>
              <w:spacing w:before="0" w:after="283"/>
              <w:rPr/>
            </w:pPr>
            <w:r>
              <w:rPr/>
              <w:t> </w:t>
            </w:r>
          </w:p>
        </w:tc>
        <w:tc>
          <w:tcPr>
            <w:tcW w:w="6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jc w:val="left"/>
              <w:rPr>
                <w:sz w:val="20"/>
              </w:rPr>
            </w:pPr>
            <w:r>
              <w:rPr>
                <w:sz w:val="20"/>
              </w:rPr>
              <w:t>Outstanding, Dec. 31</w:t>
            </w:r>
          </w:p>
        </w:tc>
        <w:tc>
          <w:tcPr>
            <w:tcW w:w="60" w:type="dxa"/>
            <w:tcBorders/>
            <w:shd w:fill="FFFFFF" w:val="clear"/>
            <w:vAlign w:val="center"/>
          </w:tcPr>
          <w:p>
            <w:pPr>
              <w:pStyle w:val="TableContents"/>
              <w:spacing w:before="0" w:after="283"/>
              <w:rPr/>
            </w:pPr>
            <w:r>
              <w:rPr/>
              <w:t> </w:t>
            </w:r>
          </w:p>
        </w:tc>
        <w:tc>
          <w:tcPr>
            <w:tcW w:w="6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11,782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6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11,842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568"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0.10</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We obtained a valuation of fair value on the warrant and $1.145 million was allocated to the warrant and accounted for as equity. (See Note 8 and Note 9). The warrant was assigned and transferred by Mr. Schutte to AD Pharma on June 28,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July 2017 private placement transaction with Mr.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for these warrants as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2020, common stock purchase warrants (“warrants”) exercisable for 60 thousand shares of our common stock having an exercise price of $2.52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SHARE-BASED COMPENSATION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Plans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stock option plans. A summary of our stock option plans as of December 31, 2020 and 2019 and for the year then ended consisted of the following (in thousands except exercise price):</w:t>
      </w:r>
    </w:p>
    <w:p>
      <w:pPr>
        <w:pStyle w:val="TextBody"/>
        <w:spacing w:before="0" w:after="0"/>
        <w:ind w:left="0" w:right="0" w:hanging="0"/>
        <w:jc w:val="both"/>
        <w:rPr>
          <w:caps w:val="false"/>
          <w:smallCaps w:val="false"/>
        </w:rPr>
      </w:pPr>
      <w:r>
        <w:rPr>
          <w:caps w:val="false"/>
          <w:smallCaps w:val="false"/>
        </w:rPr>
        <w:t> </w:t>
      </w:r>
    </w:p>
    <w:tbl>
      <w:tblPr>
        <w:tblW w:w="7006" w:type="dxa"/>
        <w:jc w:val="center"/>
        <w:tblInd w:w="0" w:type="dxa"/>
        <w:tblCellMar>
          <w:top w:w="0" w:type="dxa"/>
          <w:left w:w="0" w:type="dxa"/>
          <w:bottom w:w="0" w:type="dxa"/>
          <w:right w:w="0" w:type="dxa"/>
        </w:tblCellMar>
      </w:tblPr>
      <w:tblGrid>
        <w:gridCol w:w="1745"/>
        <w:gridCol w:w="60"/>
        <w:gridCol w:w="171"/>
        <w:gridCol w:w="1393"/>
        <w:gridCol w:w="80"/>
        <w:gridCol w:w="60"/>
        <w:gridCol w:w="176"/>
        <w:gridCol w:w="683"/>
        <w:gridCol w:w="60"/>
        <w:gridCol w:w="171"/>
        <w:gridCol w:w="1393"/>
        <w:gridCol w:w="80"/>
        <w:gridCol w:w="176"/>
        <w:gridCol w:w="683"/>
        <w:gridCol w:w="75"/>
      </w:tblGrid>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26" w:type="dxa"/>
            <w:gridSpan w:val="1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Year Ended December 31,</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63"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60" w:type="dxa"/>
            <w:tcBorders/>
            <w:shd w:fill="auto" w:val="clear"/>
            <w:vAlign w:val="center"/>
          </w:tcPr>
          <w:p>
            <w:pPr>
              <w:pStyle w:val="TableContents"/>
              <w:spacing w:before="0" w:after="283"/>
              <w:rPr/>
            </w:pPr>
            <w:r>
              <w:rPr/>
              <w:t> </w:t>
            </w:r>
          </w:p>
        </w:tc>
        <w:tc>
          <w:tcPr>
            <w:tcW w:w="2503" w:type="dxa"/>
            <w:gridSpan w:val="5"/>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4"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Options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w:t>
              <w:br/>
              <w:t xml:space="preserve">Average </w:t>
              <w:br/>
              <w:t xml:space="preserve">Exercise </w:t>
              <w:br/>
              <w:t>Price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64"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Options</w:t>
            </w:r>
          </w:p>
        </w:tc>
        <w:tc>
          <w:tcPr>
            <w:tcW w:w="80" w:type="dxa"/>
            <w:tcBorders/>
            <w:shd w:fill="auto" w:val="clear"/>
            <w:vAlign w:val="center"/>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w:t>
              <w:br/>
              <w:t xml:space="preserve">Average </w:t>
              <w:br/>
              <w:t xml:space="preserve">Exercise </w:t>
              <w:br/>
              <w:t>Price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45" w:type="dxa"/>
            <w:tcBorders/>
            <w:shd w:fill="CCEEFF" w:val="clear"/>
            <w:vAlign w:val="center"/>
          </w:tcPr>
          <w:p>
            <w:pPr>
              <w:pStyle w:val="TableContents"/>
              <w:spacing w:before="0" w:after="283"/>
              <w:jc w:val="left"/>
              <w:rPr>
                <w:sz w:val="20"/>
              </w:rPr>
            </w:pPr>
            <w:r>
              <w:rPr>
                <w:sz w:val="20"/>
              </w:rPr>
              <w:t>Outstanding, Jan. 1</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shd w:fill="CCEEFF" w:val="clear"/>
            <w:vAlign w:val="center"/>
          </w:tcPr>
          <w:p>
            <w:pPr>
              <w:pStyle w:val="TableContents"/>
              <w:spacing w:before="0" w:after="283"/>
              <w:jc w:val="right"/>
              <w:rPr>
                <w:sz w:val="20"/>
              </w:rPr>
            </w:pPr>
            <w:r>
              <w:rPr>
                <w:sz w:val="20"/>
              </w:rPr>
              <w:t>1,356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sz w:val="20"/>
              </w:rPr>
            </w:pPr>
            <w:r>
              <w:rPr>
                <w:sz w:val="20"/>
              </w:rPr>
              <w:t>$</w:t>
            </w:r>
          </w:p>
        </w:tc>
        <w:tc>
          <w:tcPr>
            <w:tcW w:w="683" w:type="dxa"/>
            <w:tcBorders/>
            <w:shd w:fill="CCEEFF" w:val="clear"/>
            <w:vAlign w:val="center"/>
          </w:tcPr>
          <w:p>
            <w:pPr>
              <w:pStyle w:val="TableContents"/>
              <w:spacing w:before="0" w:after="283"/>
              <w:jc w:val="right"/>
              <w:rPr>
                <w:sz w:val="20"/>
              </w:rPr>
            </w:pPr>
            <w:r>
              <w:rPr>
                <w:sz w:val="20"/>
              </w:rPr>
              <w:t>4.45</w:t>
            </w:r>
          </w:p>
        </w:tc>
        <w:tc>
          <w:tcPr>
            <w:tcW w:w="60" w:type="dxa"/>
            <w:tcBorders/>
            <w:shd w:fill="CCEEFF" w:val="clear"/>
            <w:vAlign w:val="center"/>
          </w:tcPr>
          <w:p>
            <w:pPr>
              <w:pStyle w:val="TableContents"/>
              <w:spacing w:before="0" w:after="283"/>
              <w:jc w:val="left"/>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shd w:fill="CCEEFF" w:val="clear"/>
            <w:vAlign w:val="center"/>
          </w:tcPr>
          <w:p>
            <w:pPr>
              <w:pStyle w:val="TableContents"/>
              <w:spacing w:before="0" w:after="283"/>
              <w:jc w:val="right"/>
              <w:rPr>
                <w:sz w:val="20"/>
              </w:rPr>
            </w:pPr>
            <w:r>
              <w:rPr>
                <w:sz w:val="20"/>
              </w:rPr>
              <w:t>1,560</w:t>
            </w:r>
          </w:p>
        </w:tc>
        <w:tc>
          <w:tcPr>
            <w:tcW w:w="80" w:type="dxa"/>
            <w:tcBorders/>
            <w:shd w:fill="CCEEFF" w:val="clear"/>
            <w:vAlign w:val="center"/>
          </w:tcPr>
          <w:p>
            <w:pPr>
              <w:pStyle w:val="TableContents"/>
              <w:spacing w:before="0" w:after="283"/>
              <w:jc w:val="left"/>
              <w:rPr/>
            </w:pPr>
            <w:r>
              <w:rPr/>
              <w:t> </w:t>
            </w:r>
          </w:p>
        </w:tc>
        <w:tc>
          <w:tcPr>
            <w:tcW w:w="176" w:type="dxa"/>
            <w:tcBorders/>
            <w:shd w:fill="CCEEFF" w:val="clear"/>
            <w:vAlign w:val="center"/>
          </w:tcPr>
          <w:p>
            <w:pPr>
              <w:pStyle w:val="TableContents"/>
              <w:spacing w:before="0" w:after="283"/>
              <w:jc w:val="left"/>
              <w:rPr>
                <w:sz w:val="20"/>
              </w:rPr>
            </w:pPr>
            <w:r>
              <w:rPr>
                <w:sz w:val="20"/>
              </w:rPr>
              <w:t>$</w:t>
            </w:r>
          </w:p>
        </w:tc>
        <w:tc>
          <w:tcPr>
            <w:tcW w:w="683" w:type="dxa"/>
            <w:tcBorders/>
            <w:shd w:fill="CCEEFF" w:val="clear"/>
            <w:vAlign w:val="center"/>
          </w:tcPr>
          <w:p>
            <w:pPr>
              <w:pStyle w:val="TableContents"/>
              <w:spacing w:before="0" w:after="283"/>
              <w:jc w:val="right"/>
              <w:rPr>
                <w:sz w:val="20"/>
              </w:rPr>
            </w:pPr>
            <w:r>
              <w:rPr>
                <w:sz w:val="20"/>
              </w:rPr>
              <w:t>7.38</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rPr>
                <w:sz w:val="20"/>
              </w:rPr>
            </w:pPr>
            <w:r>
              <w:rPr>
                <w:sz w:val="20"/>
              </w:rPr>
              <w:t>Granted</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pPr>
            <w:r>
              <w:rPr/>
              <w:t> </w:t>
            </w:r>
          </w:p>
        </w:tc>
        <w:tc>
          <w:tcPr>
            <w:tcW w:w="1393"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683"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left"/>
              <w:rPr/>
            </w:pPr>
            <w:r>
              <w:rPr/>
              <w:t> </w:t>
            </w:r>
          </w:p>
        </w:tc>
        <w:tc>
          <w:tcPr>
            <w:tcW w:w="171" w:type="dxa"/>
            <w:tcBorders/>
            <w:shd w:fill="FFFFFF" w:val="clear"/>
            <w:vAlign w:val="center"/>
          </w:tcPr>
          <w:p>
            <w:pPr>
              <w:pStyle w:val="TableContents"/>
              <w:spacing w:before="0" w:after="283"/>
              <w:jc w:val="left"/>
              <w:rPr/>
            </w:pPr>
            <w:r>
              <w:rPr/>
              <w:t> </w:t>
            </w:r>
          </w:p>
        </w:tc>
        <w:tc>
          <w:tcPr>
            <w:tcW w:w="1393"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176" w:type="dxa"/>
            <w:tcBorders/>
            <w:shd w:fill="FFFFFF" w:val="clear"/>
            <w:vAlign w:val="center"/>
          </w:tcPr>
          <w:p>
            <w:pPr>
              <w:pStyle w:val="TableContents"/>
              <w:spacing w:before="0" w:after="283"/>
              <w:jc w:val="left"/>
              <w:rPr/>
            </w:pPr>
            <w:r>
              <w:rPr/>
              <w:t> </w:t>
            </w:r>
          </w:p>
        </w:tc>
        <w:tc>
          <w:tcPr>
            <w:tcW w:w="683" w:type="dxa"/>
            <w:tcBorders/>
            <w:shd w:fill="FFFFFF" w:val="clear"/>
            <w:vAlign w:val="center"/>
          </w:tcPr>
          <w:p>
            <w:pPr>
              <w:pStyle w:val="TableContents"/>
              <w:spacing w:before="0" w:after="283"/>
              <w:jc w:val="right"/>
              <w:rPr>
                <w:sz w:val="20"/>
              </w:rPr>
            </w:pPr>
            <w:r>
              <w:rPr>
                <w:sz w:val="20"/>
              </w:rPr>
              <w:t>-</w:t>
            </w:r>
          </w:p>
        </w:tc>
        <w:tc>
          <w:tcPr>
            <w:tcW w:w="7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Exercised</w:t>
            </w:r>
          </w:p>
        </w:tc>
        <w:tc>
          <w:tcPr>
            <w:tcW w:w="6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 </w:t>
            </w:r>
          </w:p>
        </w:tc>
        <w:tc>
          <w:tcPr>
            <w:tcW w:w="683" w:type="dxa"/>
            <w:tcBorders/>
            <w:shd w:fill="CCEEFF" w:val="clear"/>
            <w:vAlign w:val="center"/>
          </w:tcPr>
          <w:p>
            <w:pPr>
              <w:pStyle w:val="TableContents"/>
              <w:spacing w:before="0" w:after="283"/>
              <w:jc w:val="right"/>
              <w:rPr>
                <w:sz w:val="20"/>
              </w:rPr>
            </w:pPr>
            <w:r>
              <w:rPr>
                <w:sz w:val="20"/>
              </w:rPr>
              <w:t>-</w:t>
            </w:r>
          </w:p>
        </w:tc>
        <w:tc>
          <w:tcPr>
            <w:tcW w:w="60" w:type="dxa"/>
            <w:tcBorders/>
            <w:shd w:fill="CCEEFF" w:val="clear"/>
            <w:vAlign w:val="center"/>
          </w:tcPr>
          <w:p>
            <w:pPr>
              <w:pStyle w:val="TableContents"/>
              <w:spacing w:before="0" w:after="283"/>
              <w:jc w:val="left"/>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shd w:fill="CCEEFF" w:val="cle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176" w:type="dxa"/>
            <w:tcBorders/>
            <w:shd w:fill="CCEEFF" w:val="clear"/>
            <w:vAlign w:val="center"/>
          </w:tcPr>
          <w:p>
            <w:pPr>
              <w:pStyle w:val="TableContents"/>
              <w:spacing w:before="0" w:after="283"/>
              <w:jc w:val="left"/>
              <w:rPr/>
            </w:pPr>
            <w:r>
              <w:rPr/>
              <w:t> </w:t>
            </w:r>
          </w:p>
        </w:tc>
        <w:tc>
          <w:tcPr>
            <w:tcW w:w="683" w:type="dxa"/>
            <w:tcBorders/>
            <w:shd w:fill="CCEEFF" w:val="clear"/>
            <w:vAlign w:val="center"/>
          </w:tcPr>
          <w:p>
            <w:pPr>
              <w:pStyle w:val="TableContents"/>
              <w:spacing w:before="0" w:after="283"/>
              <w:jc w:val="right"/>
              <w:rPr>
                <w:sz w:val="20"/>
              </w:rPr>
            </w:pPr>
            <w:r>
              <w:rPr>
                <w:sz w:val="20"/>
              </w:rPr>
              <w:t>-</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rPr>
                <w:sz w:val="20"/>
              </w:rPr>
            </w:pPr>
            <w:r>
              <w:rPr>
                <w:sz w:val="20"/>
              </w:rPr>
              <w:t>Forfeited</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jc w:val="left"/>
              <w:rPr/>
            </w:pPr>
            <w:r>
              <w:rPr/>
              <w:t> </w:t>
            </w:r>
          </w:p>
        </w:tc>
        <w:tc>
          <w:tcPr>
            <w:tcW w:w="1393"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683" w:type="dxa"/>
            <w:tcBorders/>
            <w:shd w:fill="FFFFFF" w:val="clear"/>
            <w:vAlign w:val="center"/>
          </w:tcPr>
          <w:p>
            <w:pPr>
              <w:pStyle w:val="TableContents"/>
              <w:spacing w:before="0" w:after="283"/>
              <w:jc w:val="right"/>
              <w:rPr>
                <w:sz w:val="20"/>
              </w:rPr>
            </w:pPr>
            <w:r>
              <w:rPr>
                <w:sz w:val="20"/>
              </w:rPr>
              <w:t>-</w:t>
            </w:r>
          </w:p>
        </w:tc>
        <w:tc>
          <w:tcPr>
            <w:tcW w:w="60" w:type="dxa"/>
            <w:tcBorders/>
            <w:shd w:fill="FFFFFF" w:val="clear"/>
            <w:vAlign w:val="center"/>
          </w:tcPr>
          <w:p>
            <w:pPr>
              <w:pStyle w:val="TableContents"/>
              <w:spacing w:before="0" w:after="283"/>
              <w:jc w:val="left"/>
              <w:rPr/>
            </w:pPr>
            <w:r>
              <w:rPr/>
              <w:t> </w:t>
            </w:r>
          </w:p>
        </w:tc>
        <w:tc>
          <w:tcPr>
            <w:tcW w:w="171" w:type="dxa"/>
            <w:tcBorders/>
            <w:shd w:fill="FFFFFF" w:val="clear"/>
            <w:vAlign w:val="center"/>
          </w:tcPr>
          <w:p>
            <w:pPr>
              <w:pStyle w:val="TableContents"/>
              <w:spacing w:before="0" w:after="283"/>
              <w:jc w:val="left"/>
              <w:rPr/>
            </w:pPr>
            <w:r>
              <w:rPr/>
              <w:t> </w:t>
            </w:r>
          </w:p>
        </w:tc>
        <w:tc>
          <w:tcPr>
            <w:tcW w:w="1393" w:type="dxa"/>
            <w:tcBorders/>
            <w:shd w:fill="FFFFFF" w:val="clear"/>
            <w:vAlign w:val="center"/>
          </w:tcPr>
          <w:p>
            <w:pPr>
              <w:pStyle w:val="TableContents"/>
              <w:spacing w:before="0" w:after="283"/>
              <w:jc w:val="right"/>
              <w:rPr>
                <w:sz w:val="20"/>
              </w:rPr>
            </w:pPr>
            <w:r>
              <w:rPr>
                <w:sz w:val="20"/>
              </w:rPr>
              <w:t>(34</w:t>
            </w:r>
          </w:p>
        </w:tc>
        <w:tc>
          <w:tcPr>
            <w:tcW w:w="80" w:type="dxa"/>
            <w:tcBorders/>
            <w:shd w:fill="FFFFFF" w:val="clear"/>
            <w:vAlign w:val="center"/>
          </w:tcPr>
          <w:p>
            <w:pPr>
              <w:pStyle w:val="TableContents"/>
              <w:spacing w:before="0" w:after="283"/>
              <w:jc w:val="left"/>
              <w:rPr>
                <w:sz w:val="20"/>
              </w:rPr>
            </w:pPr>
            <w:r>
              <w:rPr>
                <w:sz w:val="20"/>
              </w:rPr>
              <w:t>)</w:t>
            </w:r>
          </w:p>
        </w:tc>
        <w:tc>
          <w:tcPr>
            <w:tcW w:w="176" w:type="dxa"/>
            <w:tcBorders/>
            <w:shd w:fill="FFFFFF" w:val="clear"/>
            <w:vAlign w:val="center"/>
          </w:tcPr>
          <w:p>
            <w:pPr>
              <w:pStyle w:val="TableContents"/>
              <w:spacing w:before="0" w:after="283"/>
              <w:jc w:val="left"/>
              <w:rPr/>
            </w:pPr>
            <w:r>
              <w:rPr/>
              <w:t> </w:t>
            </w:r>
          </w:p>
        </w:tc>
        <w:tc>
          <w:tcPr>
            <w:tcW w:w="683" w:type="dxa"/>
            <w:tcBorders/>
            <w:shd w:fill="FFFFFF" w:val="clear"/>
            <w:vAlign w:val="center"/>
          </w:tcPr>
          <w:p>
            <w:pPr>
              <w:pStyle w:val="TableContents"/>
              <w:spacing w:before="0" w:after="283"/>
              <w:jc w:val="right"/>
              <w:rPr>
                <w:sz w:val="20"/>
              </w:rPr>
            </w:pPr>
            <w:r>
              <w:rPr>
                <w:sz w:val="20"/>
              </w:rPr>
              <w:t>4.09</w:t>
            </w:r>
          </w:p>
        </w:tc>
        <w:tc>
          <w:tcPr>
            <w:tcW w:w="7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Expired</w:t>
            </w:r>
          </w:p>
        </w:tc>
        <w:tc>
          <w:tcPr>
            <w:tcW w:w="60" w:type="dxa"/>
            <w:tcBorders/>
            <w:shd w:fill="CCEEFF" w:val="clear"/>
            <w:vAlign w:val="center"/>
          </w:tcPr>
          <w:p>
            <w:pPr>
              <w:pStyle w:val="TableContents"/>
              <w:spacing w:before="0" w:after="283"/>
              <w:rPr/>
            </w:pPr>
            <w:r>
              <w:rPr/>
              <w:t> </w:t>
            </w:r>
          </w:p>
        </w:tc>
        <w:tc>
          <w:tcPr>
            <w:tcW w:w="17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(102</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16.54</w:t>
            </w:r>
          </w:p>
        </w:tc>
        <w:tc>
          <w:tcPr>
            <w:tcW w:w="60" w:type="dxa"/>
            <w:tcBorders/>
            <w:shd w:fill="CCEEFF" w:val="clear"/>
            <w:vAlign w:val="center"/>
          </w:tcPr>
          <w:p>
            <w:pPr>
              <w:pStyle w:val="TableContents"/>
              <w:spacing w:before="0" w:after="283"/>
              <w:jc w:val="left"/>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(170</w:t>
            </w:r>
          </w:p>
        </w:tc>
        <w:tc>
          <w:tcPr>
            <w:tcW w:w="80" w:type="dxa"/>
            <w:tcBorders/>
            <w:shd w:fill="CCEEFF" w:val="clear"/>
            <w:vAlign w:val="center"/>
          </w:tcPr>
          <w:p>
            <w:pPr>
              <w:pStyle w:val="TableContents"/>
              <w:spacing w:before="0" w:after="283"/>
              <w:jc w:val="left"/>
              <w:rPr>
                <w:sz w:val="20"/>
              </w:rPr>
            </w:pPr>
            <w:r>
              <w:rPr>
                <w:sz w:val="20"/>
              </w:rPr>
              <w:t>)</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30.83</w:t>
            </w:r>
          </w:p>
        </w:tc>
        <w:tc>
          <w:tcPr>
            <w:tcW w:w="7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jc w:val="left"/>
              <w:rPr>
                <w:sz w:val="20"/>
              </w:rPr>
            </w:pPr>
            <w:r>
              <w:rPr>
                <w:sz w:val="20"/>
              </w:rPr>
              <w:t>Outstanding, Dec. 31</w:t>
            </w:r>
          </w:p>
        </w:tc>
        <w:tc>
          <w:tcPr>
            <w:tcW w:w="60" w:type="dxa"/>
            <w:tcBorders/>
            <w:shd w:fill="FFFFFF" w:val="clear"/>
            <w:vAlign w:val="center"/>
          </w:tcPr>
          <w:p>
            <w:pPr>
              <w:pStyle w:val="TableContents"/>
              <w:spacing w:before="0" w:after="283"/>
              <w:rPr/>
            </w:pPr>
            <w:r>
              <w:rPr/>
              <w:t> </w:t>
            </w:r>
          </w:p>
        </w:tc>
        <w:tc>
          <w:tcPr>
            <w:tcW w:w="17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9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1,254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68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3.46</w:t>
            </w:r>
          </w:p>
        </w:tc>
        <w:tc>
          <w:tcPr>
            <w:tcW w:w="60" w:type="dxa"/>
            <w:tcBorders/>
            <w:shd w:fill="FFFFFF" w:val="clear"/>
            <w:vAlign w:val="center"/>
          </w:tcPr>
          <w:p>
            <w:pPr>
              <w:pStyle w:val="TableContents"/>
              <w:spacing w:before="0" w:after="283"/>
              <w:jc w:val="left"/>
              <w:rPr/>
            </w:pPr>
            <w:r>
              <w:rPr/>
              <w:t> </w:t>
            </w:r>
          </w:p>
        </w:tc>
        <w:tc>
          <w:tcPr>
            <w:tcW w:w="171" w:type="dxa"/>
            <w:tcBorders/>
            <w:shd w:fill="FFFFFF" w:val="clear"/>
            <w:vAlign w:val="center"/>
          </w:tcPr>
          <w:p>
            <w:pPr>
              <w:pStyle w:val="TableContents"/>
              <w:spacing w:before="0" w:after="283"/>
              <w:jc w:val="left"/>
              <w:rPr/>
            </w:pPr>
            <w:r>
              <w:rPr/>
              <w:t> </w:t>
            </w:r>
          </w:p>
        </w:tc>
        <w:tc>
          <w:tcPr>
            <w:tcW w:w="139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1,356</w:t>
            </w:r>
          </w:p>
        </w:tc>
        <w:tc>
          <w:tcPr>
            <w:tcW w:w="80" w:type="dxa"/>
            <w:tcBorders/>
            <w:shd w:fill="FFFFFF" w:val="clear"/>
            <w:vAlign w:val="center"/>
          </w:tcPr>
          <w:p>
            <w:pPr>
              <w:pStyle w:val="TableContents"/>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68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4.45</w:t>
            </w:r>
          </w:p>
        </w:tc>
        <w:tc>
          <w:tcPr>
            <w:tcW w:w="7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jc w:val="left"/>
              <w:rPr>
                <w:sz w:val="20"/>
              </w:rPr>
            </w:pPr>
            <w:r>
              <w:rPr>
                <w:sz w:val="20"/>
              </w:rPr>
              <w:t>Exercisable, Dec. 31</w:t>
            </w:r>
          </w:p>
        </w:tc>
        <w:tc>
          <w:tcPr>
            <w:tcW w:w="60" w:type="dxa"/>
            <w:tcBorders/>
            <w:shd w:fill="CCEEFF" w:val="clear"/>
            <w:vAlign w:val="center"/>
          </w:tcPr>
          <w:p>
            <w:pPr>
              <w:pStyle w:val="TableContents"/>
              <w:spacing w:before="0" w:after="283"/>
              <w:rPr/>
            </w:pPr>
            <w:r>
              <w:rPr/>
              <w:t> </w:t>
            </w:r>
          </w:p>
        </w:tc>
        <w:tc>
          <w:tcPr>
            <w:tcW w:w="17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1,254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68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3.46</w:t>
            </w:r>
          </w:p>
        </w:tc>
        <w:tc>
          <w:tcPr>
            <w:tcW w:w="60" w:type="dxa"/>
            <w:tcBorders/>
            <w:shd w:fill="CCEEFF" w:val="clear"/>
            <w:vAlign w:val="center"/>
          </w:tcPr>
          <w:p>
            <w:pPr>
              <w:pStyle w:val="TableContents"/>
              <w:spacing w:before="0" w:after="283"/>
              <w:jc w:val="left"/>
              <w:rPr/>
            </w:pPr>
            <w:r>
              <w:rPr/>
              <w:t> </w:t>
            </w:r>
          </w:p>
        </w:tc>
        <w:tc>
          <w:tcPr>
            <w:tcW w:w="171" w:type="dxa"/>
            <w:tcBorders/>
            <w:shd w:fill="CCEEFF" w:val="clear"/>
            <w:vAlign w:val="center"/>
          </w:tcPr>
          <w:p>
            <w:pPr>
              <w:pStyle w:val="TableContents"/>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1,356</w:t>
            </w:r>
          </w:p>
        </w:tc>
        <w:tc>
          <w:tcPr>
            <w:tcW w:w="80" w:type="dxa"/>
            <w:tcBorders/>
            <w:shd w:fill="CCEEFF" w:val="clear"/>
            <w:vAlign w:val="center"/>
          </w:tcPr>
          <w:p>
            <w:pPr>
              <w:pStyle w:val="TableContents"/>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68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4.45</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$13 thousand of intrinsic value contained in the vested stock option awards outstanding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 Award 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being marked-to-market each reporting period until they are distributed. The liability is recorded as a current liability in the Company’s consolidated balance sheet and was $18 thousand and $29 thousand at December 31, 2020 and December 31,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grants under the RSU Plans as of December 31, 2020 and 2019, and for the year then ended consisted of the following (in thousands):</w:t>
      </w:r>
    </w:p>
    <w:p>
      <w:pPr>
        <w:pStyle w:val="TextBody"/>
        <w:spacing w:before="0" w:after="0"/>
        <w:ind w:left="0" w:right="0" w:hanging="0"/>
        <w:jc w:val="both"/>
        <w:rPr>
          <w:caps w:val="false"/>
          <w:smallCaps w:val="false"/>
        </w:rPr>
      </w:pPr>
      <w:r>
        <w:rPr>
          <w:caps w:val="false"/>
          <w:smallCaps w:val="false"/>
        </w:rPr>
        <w:t> </w:t>
      </w:r>
    </w:p>
    <w:tbl>
      <w:tblPr>
        <w:tblW w:w="8996" w:type="dxa"/>
        <w:jc w:val="center"/>
        <w:tblInd w:w="0" w:type="dxa"/>
        <w:tblCellMar>
          <w:top w:w="0" w:type="dxa"/>
          <w:left w:w="0" w:type="dxa"/>
          <w:bottom w:w="0" w:type="dxa"/>
          <w:right w:w="0" w:type="dxa"/>
        </w:tblCellMar>
      </w:tblPr>
      <w:tblGrid>
        <w:gridCol w:w="1745"/>
        <w:gridCol w:w="60"/>
        <w:gridCol w:w="150"/>
        <w:gridCol w:w="1219"/>
        <w:gridCol w:w="80"/>
        <w:gridCol w:w="60"/>
        <w:gridCol w:w="216"/>
        <w:gridCol w:w="1753"/>
        <w:gridCol w:w="80"/>
        <w:gridCol w:w="60"/>
        <w:gridCol w:w="150"/>
        <w:gridCol w:w="1219"/>
        <w:gridCol w:w="80"/>
        <w:gridCol w:w="60"/>
        <w:gridCol w:w="216"/>
        <w:gridCol w:w="1753"/>
        <w:gridCol w:w="95"/>
      </w:tblGrid>
      <w:tr>
        <w:trPr/>
        <w:tc>
          <w:tcPr>
            <w:tcW w:w="1745" w:type="dxa"/>
            <w:tcBorders/>
            <w:shd w:fill="auto" w:val="clear"/>
            <w:vAlign w:val="center"/>
          </w:tcPr>
          <w:p>
            <w:pPr>
              <w:pStyle w:val="TableContents"/>
              <w:spacing w:before="0" w:after="283"/>
              <w:rPr/>
            </w:pPr>
            <w:r>
              <w:rPr/>
              <w:t> </w:t>
            </w:r>
          </w:p>
        </w:tc>
        <w:tc>
          <w:tcPr>
            <w:tcW w:w="7156" w:type="dxa"/>
            <w:gridSpan w:val="15"/>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Year Ended December 31,</w:t>
            </w:r>
          </w:p>
        </w:tc>
        <w:tc>
          <w:tcPr>
            <w:tcW w:w="9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78"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78"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RSUs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Vested RSUs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RSUs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9"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Number of Vested RSUs</w:t>
            </w:r>
          </w:p>
        </w:tc>
        <w:tc>
          <w:tcPr>
            <w:tcW w:w="9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283"/>
              <w:jc w:val="left"/>
              <w:rPr>
                <w:sz w:val="20"/>
              </w:rPr>
            </w:pPr>
            <w:r>
              <w:rPr>
                <w:sz w:val="20"/>
              </w:rPr>
              <w:t>Outstanding, Jan. 1</w:t>
            </w:r>
          </w:p>
        </w:tc>
        <w:tc>
          <w:tcPr>
            <w:tcW w:w="60" w:type="dxa"/>
            <w:tcBorders/>
            <w:shd w:fill="CCEEFF" w:val="cle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1,017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1,017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951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459</w:t>
            </w:r>
          </w:p>
        </w:tc>
        <w:tc>
          <w:tcPr>
            <w:tcW w:w="9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rPr>
                <w:sz w:val="20"/>
              </w:rPr>
            </w:pPr>
            <w:r>
              <w:rPr>
                <w:sz w:val="20"/>
              </w:rPr>
              <w:t>Granted</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219" w:type="dxa"/>
            <w:tcBorders/>
            <w:shd w:fill="FFFFFF" w:val="clear"/>
            <w:vAlign w:val="center"/>
          </w:tcPr>
          <w:p>
            <w:pPr>
              <w:pStyle w:val="TableContents"/>
              <w:spacing w:before="0" w:after="283"/>
              <w:jc w:val="right"/>
              <w:rPr>
                <w:sz w:val="20"/>
              </w:rPr>
            </w:pPr>
            <w:r>
              <w:rPr>
                <w:sz w:val="20"/>
              </w:rPr>
              <w:t>219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753"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219" w:type="dxa"/>
            <w:tcBorders/>
            <w:shd w:fill="FFFFFF" w:val="clear"/>
            <w:vAlign w:val="center"/>
          </w:tcPr>
          <w:p>
            <w:pPr>
              <w:pStyle w:val="TableContents"/>
              <w:spacing w:before="0" w:after="283"/>
              <w:jc w:val="right"/>
              <w:rPr>
                <w:sz w:val="20"/>
              </w:rPr>
            </w:pPr>
            <w:r>
              <w:rPr>
                <w:sz w:val="20"/>
              </w:rPr>
              <w:t>333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753" w:type="dxa"/>
            <w:tcBorders/>
            <w:shd w:fill="FFFFFF" w:val="clear"/>
            <w:vAlign w:val="center"/>
          </w:tcPr>
          <w:p>
            <w:pPr>
              <w:pStyle w:val="TableContents"/>
              <w:spacing w:before="0" w:after="283"/>
              <w:jc w:val="right"/>
              <w:rPr>
                <w:sz w:val="20"/>
              </w:rPr>
            </w:pPr>
            <w:r>
              <w:rPr>
                <w:sz w:val="20"/>
              </w:rPr>
              <w:t>-</w:t>
            </w:r>
          </w:p>
        </w:tc>
        <w:tc>
          <w:tcPr>
            <w:tcW w:w="9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Distributed</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219" w:type="dxa"/>
            <w:tcBorders/>
            <w:shd w:fill="CCEEFF" w:val="clear"/>
            <w:vAlign w:val="center"/>
          </w:tcPr>
          <w:p>
            <w:pPr>
              <w:pStyle w:val="TableContents"/>
              <w:spacing w:before="0" w:after="283"/>
              <w:jc w:val="right"/>
              <w:rPr>
                <w:sz w:val="20"/>
              </w:rPr>
            </w:pPr>
            <w:r>
              <w:rPr>
                <w:sz w:val="20"/>
              </w:rPr>
              <w:t>(397</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jc w:val="left"/>
              <w:rPr/>
            </w:pPr>
            <w:r>
              <w:rPr/>
              <w:t> </w:t>
            </w:r>
          </w:p>
        </w:tc>
        <w:tc>
          <w:tcPr>
            <w:tcW w:w="1753" w:type="dxa"/>
            <w:tcBorders/>
            <w:shd w:fill="CCEEFF" w:val="clear"/>
            <w:vAlign w:val="center"/>
          </w:tcPr>
          <w:p>
            <w:pPr>
              <w:pStyle w:val="TableContents"/>
              <w:spacing w:before="0" w:after="283"/>
              <w:jc w:val="right"/>
              <w:rPr>
                <w:sz w:val="20"/>
              </w:rPr>
            </w:pPr>
            <w:r>
              <w:rPr>
                <w:sz w:val="20"/>
              </w:rPr>
              <w:t>(397</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219" w:type="dxa"/>
            <w:tcBorders/>
            <w:shd w:fill="CCEEFF" w:val="clear"/>
            <w:vAlign w:val="center"/>
          </w:tcPr>
          <w:p>
            <w:pPr>
              <w:pStyle w:val="TableContents"/>
              <w:spacing w:before="0" w:after="283"/>
              <w:jc w:val="right"/>
              <w:rPr>
                <w:sz w:val="20"/>
              </w:rPr>
            </w:pPr>
            <w:r>
              <w:rPr>
                <w:sz w:val="20"/>
              </w:rPr>
              <w:t>(267</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jc w:val="left"/>
              <w:rPr/>
            </w:pPr>
            <w:r>
              <w:rPr/>
              <w:t> </w:t>
            </w:r>
          </w:p>
        </w:tc>
        <w:tc>
          <w:tcPr>
            <w:tcW w:w="1753" w:type="dxa"/>
            <w:tcBorders/>
            <w:shd w:fill="CCEEFF" w:val="clear"/>
            <w:vAlign w:val="center"/>
          </w:tcPr>
          <w:p>
            <w:pPr>
              <w:pStyle w:val="TableContents"/>
              <w:spacing w:before="0" w:after="283"/>
              <w:jc w:val="right"/>
              <w:rPr>
                <w:sz w:val="20"/>
              </w:rPr>
            </w:pPr>
            <w:r>
              <w:rPr>
                <w:sz w:val="20"/>
              </w:rPr>
              <w:t>(267</w:t>
            </w:r>
          </w:p>
        </w:tc>
        <w:tc>
          <w:tcPr>
            <w:tcW w:w="95" w:type="dxa"/>
            <w:tcBorders/>
            <w:shd w:fill="CCEEFF" w:val="clear"/>
            <w:vAlign w:val="center"/>
          </w:tcPr>
          <w:p>
            <w:pPr>
              <w:pStyle w:val="TableContents"/>
              <w:spacing w:before="0" w:after="283"/>
              <w:jc w:val="left"/>
              <w:rPr>
                <w:sz w:val="20"/>
              </w:rPr>
            </w:pPr>
            <w:r>
              <w:rPr>
                <w:sz w:val="20"/>
              </w:rPr>
              <w:t>)</w:t>
            </w:r>
          </w:p>
        </w:tc>
      </w:tr>
      <w:tr>
        <w:trPr/>
        <w:tc>
          <w:tcPr>
            <w:tcW w:w="1745" w:type="dxa"/>
            <w:tcBorders/>
            <w:shd w:fill="FFFFFF" w:val="clear"/>
            <w:vAlign w:val="center"/>
          </w:tcPr>
          <w:p>
            <w:pPr>
              <w:pStyle w:val="TableContents"/>
              <w:spacing w:before="0" w:after="283"/>
              <w:rPr>
                <w:sz w:val="20"/>
              </w:rPr>
            </w:pPr>
            <w:r>
              <w:rPr>
                <w:sz w:val="20"/>
              </w:rPr>
              <w:t>Vested</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219"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753" w:type="dxa"/>
            <w:tcBorders/>
            <w:shd w:fill="FFFFFF" w:val="clear"/>
            <w:vAlign w:val="center"/>
          </w:tcPr>
          <w:p>
            <w:pPr>
              <w:pStyle w:val="TableContents"/>
              <w:spacing w:before="0" w:after="283"/>
              <w:jc w:val="right"/>
              <w:rPr>
                <w:sz w:val="20"/>
              </w:rPr>
            </w:pPr>
            <w:r>
              <w:rPr>
                <w:sz w:val="20"/>
              </w:rPr>
              <w:t>219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219"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753" w:type="dxa"/>
            <w:tcBorders/>
            <w:shd w:fill="FFFFFF" w:val="clear"/>
            <w:vAlign w:val="center"/>
          </w:tcPr>
          <w:p>
            <w:pPr>
              <w:pStyle w:val="TableContents"/>
              <w:spacing w:before="0" w:after="283"/>
              <w:jc w:val="right"/>
              <w:rPr>
                <w:sz w:val="20"/>
              </w:rPr>
            </w:pPr>
            <w:r>
              <w:rPr>
                <w:sz w:val="20"/>
              </w:rPr>
              <w:t>825</w:t>
            </w:r>
          </w:p>
        </w:tc>
        <w:tc>
          <w:tcPr>
            <w:tcW w:w="95" w:type="dxa"/>
            <w:tcBorders/>
            <w:shd w:fill="FFFFFF" w:val="clear"/>
            <w:vAlign w:val="center"/>
          </w:tcPr>
          <w:p>
            <w:pPr>
              <w:pStyle w:val="TableContents"/>
              <w:spacing w:before="0" w:after="283"/>
              <w:jc w:val="left"/>
              <w:rPr/>
            </w:pPr>
            <w:r>
              <w:rPr/>
              <w:t> </w:t>
            </w:r>
          </w:p>
        </w:tc>
      </w:tr>
      <w:tr>
        <w:trPr/>
        <w:tc>
          <w:tcPr>
            <w:tcW w:w="1745" w:type="dxa"/>
            <w:tcBorders/>
            <w:shd w:fill="CCEEFF" w:val="clear"/>
            <w:vAlign w:val="center"/>
          </w:tcPr>
          <w:p>
            <w:pPr>
              <w:pStyle w:val="TableContents"/>
              <w:spacing w:before="0" w:after="283"/>
              <w:rPr>
                <w:sz w:val="20"/>
              </w:rPr>
            </w:pPr>
            <w:r>
              <w:rPr>
                <w:sz w:val="20"/>
              </w:rPr>
              <w:t>Forfeited</w:t>
            </w:r>
          </w:p>
        </w:tc>
        <w:tc>
          <w:tcPr>
            <w:tcW w:w="60" w:type="dxa"/>
            <w:tcBorders/>
            <w:shd w:fill="CCEEFF" w:val="cle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1745" w:type="dxa"/>
            <w:tcBorders/>
            <w:shd w:fill="FFFFFF" w:val="clear"/>
            <w:vAlign w:val="center"/>
          </w:tcPr>
          <w:p>
            <w:pPr>
              <w:pStyle w:val="TableContents"/>
              <w:spacing w:before="0" w:after="283"/>
              <w:jc w:val="left"/>
              <w:rPr>
                <w:sz w:val="20"/>
              </w:rPr>
            </w:pPr>
            <w:r>
              <w:rPr>
                <w:sz w:val="20"/>
              </w:rPr>
              <w:t>Outstanding, Dec. 31</w:t>
            </w:r>
          </w:p>
        </w:tc>
        <w:tc>
          <w:tcPr>
            <w:tcW w:w="60" w:type="dxa"/>
            <w:tcBorders/>
            <w:shd w:fill="FFFFFF" w:val="clear"/>
            <w:vAlign w:val="center"/>
          </w:tcPr>
          <w:p>
            <w:pPr>
              <w:pStyle w:val="TableContents"/>
              <w:spacing w:before="0" w:after="283"/>
              <w:rPr/>
            </w:pPr>
            <w:r>
              <w:rPr/>
              <w:t> </w:t>
            </w:r>
          </w:p>
        </w:tc>
        <w:tc>
          <w:tcPr>
            <w:tcW w:w="15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839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839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1,017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753"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1,017</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44" w:right="0" w:firstLine="144"/>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2017 Restricted Stock Unit Award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2017 RSU Plan was approved by shareholders in November 2017 and permits the grant of up to 1.5 million shares of our common stock pursuant to awards under the 2017 RSU Plan. There are no shares available for award under the 2017 RSU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awards under the 2017 RSU Plan is as follows: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December 2017, we awarded 200 thousand RSUs to our employees. Such RSU awards vested 100% after one full year of service. Distributions of the vested RSU awards to the employees will be made in three equal installments on the first business day of each of January 2020, 2021, and 2022 or earlier upon a qualifying change of control.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2018, we awarded approximately 67 thousand RSUs to each of our four non-employee directors which also allow for them to receive payment in cash, instead of stock, for up to 40% of each RSU award. Such awards vest 25% at the end of each calendar quarter in 2018. Settlement of this RSU award occurred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F-25</w:t>
      </w:r>
    </w:p>
    <w:p>
      <w:pPr>
        <w:pStyle w:val="TextBody"/>
        <w:spacing w:before="0" w:after="0"/>
        <w:ind w:left="0" w:right="0" w:hanging="0"/>
        <w:rPr/>
      </w:pPr>
      <w:r>
        <w:rPr/>
        <w:t> </w:t>
      </w:r>
    </w:p>
    <w:p>
      <w:pPr>
        <w:pStyle w:val="TextBody"/>
        <w:rPr/>
      </w:pPr>
      <w:r>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December 2018, we awarded 488 thousand RSUs to our employees. Such RSU awards vested 100% after one full year of service. Distributions of the vested RSU awards to the employees will be made in three equal installments on the first business day of each of January 2021, 2022, and 2023 or earlier upon a qualifying change of control.</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will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18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distribution of shares under the 2017 RSU Plan is as follows:</w:t>
      </w:r>
    </w:p>
    <w:p>
      <w:pPr>
        <w:pStyle w:val="TextBody"/>
        <w:spacing w:before="0" w:after="0"/>
        <w:ind w:left="180" w:right="0" w:hanging="18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2019, 267 thousand RSUs were distributed to our non-employee directors from their January 2018 award and settled in common stock.</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2020, 333 thousand RSUs were distributed to our non-employee directors from their January 2019 award with 296 thousand RSUs settled in common stock, 4 thousand RSUs used to settle the purchase price and 33 thousand RSUs settled in cash.</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2020, 64 thousand RSUs were distributed to our current and former employees representing the first distribution of one third of their 2017 award for which 54 thousand RSUs settled in common stock and 10 thousand RSUs were used to settle the purchase price and employee required payroll withholding taxes.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2021, 219 thousand RSUs were distributed to our non-employee directors from their January 2019 award with 219 thousand RSUs settled in common stock.</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In January 2021, 228 thousand RSUs were distributed to our current and former employees representing the second distribution of one third of their 2017 award and the first distribution of one third of their 2018 award for which 185 thousand RSUs settled in common stock and 43 thousand RSUs were used to settle the purchase price and required payroll withholding taxes.</w:t>
            </w:r>
          </w:p>
        </w:tc>
      </w:tr>
    </w:tbl>
    <w:p>
      <w:pPr>
        <w:pStyle w:val="TextBody"/>
        <w:spacing w:before="0" w:after="0"/>
        <w:ind w:left="144" w:right="0" w:firstLine="144"/>
        <w:jc w:val="both"/>
        <w:rPr>
          <w:caps w:val="false"/>
          <w:smallCaps w:val="false"/>
        </w:rPr>
      </w:pPr>
      <w:r>
        <w:rPr>
          <w:caps w:val="false"/>
          <w:smallCaps w:val="false"/>
        </w:rPr>
        <w:t> </w:t>
      </w:r>
    </w:p>
    <w:p>
      <w:pPr>
        <w:pStyle w:val="TextBody"/>
        <w:spacing w:before="0" w:after="0"/>
        <w:ind w:left="144" w:right="0" w:firstLine="144"/>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2014 Restricted Stock Unit Award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2014 RSU Plan was approved by shareholders in May 2014 and permits the grant of up to 400 thousand shares of our common stock pursuant to awards under the 2014 RSU Plan. There are no shares available for award under the 2014 RSU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between our provision for income taxes and the amounts computed by multiplying our loss before taxes by the U.S. statutory tax rate is as follows (in thousands):</w:t>
      </w:r>
    </w:p>
    <w:p>
      <w:pPr>
        <w:pStyle w:val="TextBody"/>
        <w:spacing w:before="0" w:after="0"/>
        <w:ind w:left="0" w:right="0" w:hanging="0"/>
        <w:rPr>
          <w:caps w:val="false"/>
          <w:smallCaps w:val="false"/>
        </w:rPr>
      </w:pPr>
      <w:r>
        <w:rPr>
          <w:caps w:val="false"/>
          <w:smallCaps w:val="false"/>
        </w:rPr>
        <w:t> </w:t>
      </w:r>
    </w:p>
    <w:tbl>
      <w:tblPr>
        <w:tblW w:w="5015" w:type="dxa"/>
        <w:jc w:val="center"/>
        <w:tblInd w:w="0" w:type="dxa"/>
        <w:tblCellMar>
          <w:top w:w="0" w:type="dxa"/>
          <w:left w:w="0" w:type="dxa"/>
          <w:bottom w:w="0" w:type="dxa"/>
          <w:right w:w="0" w:type="dxa"/>
        </w:tblCellMar>
      </w:tblPr>
      <w:tblGrid>
        <w:gridCol w:w="3680"/>
        <w:gridCol w:w="60"/>
        <w:gridCol w:w="125"/>
        <w:gridCol w:w="395"/>
        <w:gridCol w:w="80"/>
        <w:gridCol w:w="60"/>
        <w:gridCol w:w="125"/>
        <w:gridCol w:w="395"/>
        <w:gridCol w:w="95"/>
      </w:tblGrid>
      <w:tr>
        <w:trPr/>
        <w:tc>
          <w:tcPr>
            <w:tcW w:w="3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6"/>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December 31,</w:t>
            </w:r>
          </w:p>
        </w:tc>
        <w:tc>
          <w:tcPr>
            <w:tcW w:w="9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ind w:left="0" w:right="0" w:hanging="101"/>
              <w:rPr/>
            </w:pPr>
            <w:r>
              <w:rPr/>
              <w:t> </w:t>
            </w:r>
          </w:p>
        </w:tc>
      </w:tr>
      <w:tr>
        <w:trPr/>
        <w:tc>
          <w:tcPr>
            <w:tcW w:w="3680" w:type="dxa"/>
            <w:tcBorders/>
            <w:shd w:fill="CCEEFF" w:val="clear"/>
            <w:vAlign w:val="center"/>
          </w:tcPr>
          <w:p>
            <w:pPr>
              <w:pStyle w:val="TableContents"/>
              <w:spacing w:before="0" w:after="283"/>
              <w:jc w:val="left"/>
              <w:rPr>
                <w:sz w:val="20"/>
              </w:rPr>
            </w:pPr>
            <w:r>
              <w:rPr>
                <w:sz w:val="20"/>
              </w:rPr>
              <w:t>Benefit at U.S. statutory tax rate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395" w:type="dxa"/>
            <w:tcBorders/>
            <w:shd w:fill="CCEEFF" w:val="clear"/>
            <w:vAlign w:val="center"/>
          </w:tcPr>
          <w:p>
            <w:pPr>
              <w:pStyle w:val="TableContents"/>
              <w:spacing w:before="0" w:after="283"/>
              <w:jc w:val="right"/>
              <w:rPr>
                <w:sz w:val="20"/>
              </w:rPr>
            </w:pPr>
            <w:r>
              <w:rPr>
                <w:sz w:val="20"/>
              </w:rPr>
              <w:t>(254</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395" w:type="dxa"/>
            <w:tcBorders/>
            <w:shd w:fill="CCEEFF" w:val="clear"/>
            <w:vAlign w:val="center"/>
          </w:tcPr>
          <w:p>
            <w:pPr>
              <w:pStyle w:val="TableContents"/>
              <w:spacing w:before="0" w:after="283"/>
              <w:jc w:val="right"/>
              <w:rPr>
                <w:sz w:val="20"/>
              </w:rPr>
            </w:pPr>
            <w:r>
              <w:rPr>
                <w:sz w:val="20"/>
              </w:rPr>
              <w:t>(792</w:t>
            </w:r>
          </w:p>
        </w:tc>
        <w:tc>
          <w:tcPr>
            <w:tcW w:w="95" w:type="dxa"/>
            <w:tcBorders/>
            <w:shd w:fill="CCEEFF" w:val="clear"/>
            <w:vAlign w:val="center"/>
          </w:tcPr>
          <w:p>
            <w:pPr>
              <w:pStyle w:val="TableContents"/>
              <w:spacing w:before="0" w:after="283"/>
              <w:ind w:left="0" w:right="0" w:hanging="101"/>
              <w:jc w:val="left"/>
              <w:rPr>
                <w:sz w:val="20"/>
              </w:rPr>
            </w:pPr>
            <w:r>
              <w:rPr>
                <w:sz w:val="20"/>
              </w:rPr>
              <w:t>)</w:t>
            </w:r>
          </w:p>
        </w:tc>
      </w:tr>
      <w:tr>
        <w:trPr/>
        <w:tc>
          <w:tcPr>
            <w:tcW w:w="3680" w:type="dxa"/>
            <w:tcBorders/>
            <w:shd w:fill="FFFFFF" w:val="clear"/>
            <w:vAlign w:val="center"/>
          </w:tcPr>
          <w:p>
            <w:pPr>
              <w:pStyle w:val="TableContents"/>
              <w:spacing w:before="0" w:after="283"/>
              <w:jc w:val="left"/>
              <w:rPr>
                <w:sz w:val="20"/>
              </w:rPr>
            </w:pPr>
            <w:r>
              <w:rPr>
                <w:sz w:val="20"/>
              </w:rPr>
              <w:t>State taxes (benefit), net of federal effect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(76</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(138</w:t>
            </w:r>
          </w:p>
        </w:tc>
        <w:tc>
          <w:tcPr>
            <w:tcW w:w="95" w:type="dxa"/>
            <w:tcBorders/>
            <w:shd w:fill="FFFFFF" w:val="clear"/>
            <w:vAlign w:val="center"/>
          </w:tcPr>
          <w:p>
            <w:pPr>
              <w:pStyle w:val="TableContents"/>
              <w:spacing w:before="0" w:after="283"/>
              <w:ind w:left="0" w:right="0" w:hanging="101"/>
              <w:jc w:val="left"/>
              <w:rPr>
                <w:sz w:val="20"/>
              </w:rPr>
            </w:pPr>
            <w:r>
              <w:rPr>
                <w:sz w:val="20"/>
              </w:rPr>
              <w:t>)</w:t>
            </w:r>
          </w:p>
        </w:tc>
      </w:tr>
      <w:tr>
        <w:trPr/>
        <w:tc>
          <w:tcPr>
            <w:tcW w:w="3680" w:type="dxa"/>
            <w:tcBorders/>
            <w:shd w:fill="CCEEFF" w:val="clear"/>
            <w:vAlign w:val="center"/>
          </w:tcPr>
          <w:p>
            <w:pPr>
              <w:pStyle w:val="TableContents"/>
              <w:spacing w:before="0" w:after="283"/>
              <w:jc w:val="left"/>
              <w:rPr>
                <w:sz w:val="20"/>
              </w:rPr>
            </w:pPr>
            <w:r>
              <w:rPr>
                <w:sz w:val="20"/>
              </w:rPr>
              <w:t>State research and development tax credits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sz w:val="20"/>
              </w:rPr>
            </w:pPr>
            <w:r>
              <w:rPr>
                <w:sz w:val="20"/>
              </w:rPr>
              <w:t>(18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sz w:val="20"/>
              </w:rPr>
            </w:pPr>
            <w:r>
              <w:rPr>
                <w:sz w:val="20"/>
              </w:rPr>
              <w:t>(2</w:t>
            </w:r>
          </w:p>
        </w:tc>
        <w:tc>
          <w:tcPr>
            <w:tcW w:w="95" w:type="dxa"/>
            <w:tcBorders/>
            <w:shd w:fill="CCEEFF" w:val="clear"/>
            <w:vAlign w:val="center"/>
          </w:tcPr>
          <w:p>
            <w:pPr>
              <w:pStyle w:val="TableContents"/>
              <w:spacing w:before="0" w:after="283"/>
              <w:ind w:left="0" w:right="0" w:hanging="101"/>
              <w:jc w:val="left"/>
              <w:rPr>
                <w:sz w:val="20"/>
              </w:rPr>
            </w:pPr>
            <w:r>
              <w:rPr>
                <w:sz w:val="20"/>
              </w:rPr>
              <w:t>)</w:t>
            </w:r>
          </w:p>
        </w:tc>
      </w:tr>
      <w:tr>
        <w:trPr/>
        <w:tc>
          <w:tcPr>
            <w:tcW w:w="3680" w:type="dxa"/>
            <w:tcBorders/>
            <w:shd w:fill="FFFFFF" w:val="clear"/>
            <w:vAlign w:val="center"/>
          </w:tcPr>
          <w:p>
            <w:pPr>
              <w:pStyle w:val="TableContents"/>
              <w:spacing w:before="0" w:after="283"/>
              <w:jc w:val="left"/>
              <w:rPr>
                <w:sz w:val="20"/>
              </w:rPr>
            </w:pPr>
            <w:r>
              <w:rPr>
                <w:sz w:val="20"/>
              </w:rPr>
              <w:t>Federal research and development tax credits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(76</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(23</w:t>
            </w:r>
          </w:p>
        </w:tc>
        <w:tc>
          <w:tcPr>
            <w:tcW w:w="95" w:type="dxa"/>
            <w:tcBorders/>
            <w:shd w:fill="FFFFFF" w:val="clear"/>
            <w:vAlign w:val="center"/>
          </w:tcPr>
          <w:p>
            <w:pPr>
              <w:pStyle w:val="TableContents"/>
              <w:spacing w:before="0" w:after="283"/>
              <w:ind w:left="0" w:right="0" w:hanging="101"/>
              <w:jc w:val="left"/>
              <w:rPr>
                <w:sz w:val="20"/>
              </w:rPr>
            </w:pPr>
            <w:r>
              <w:rPr>
                <w:sz w:val="20"/>
              </w:rPr>
              <w:t>)</w:t>
            </w:r>
          </w:p>
        </w:tc>
      </w:tr>
      <w:tr>
        <w:trPr/>
        <w:tc>
          <w:tcPr>
            <w:tcW w:w="3680" w:type="dxa"/>
            <w:tcBorders/>
            <w:shd w:fill="CCEEFF" w:val="clear"/>
            <w:vAlign w:val="center"/>
          </w:tcPr>
          <w:p>
            <w:pPr>
              <w:pStyle w:val="TableContents"/>
              <w:spacing w:before="0" w:after="283"/>
              <w:rPr>
                <w:sz w:val="20"/>
              </w:rPr>
            </w:pPr>
            <w:r>
              <w:rPr>
                <w:sz w:val="20"/>
              </w:rPr>
              <w:t>Other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sz w:val="20"/>
              </w:rPr>
            </w:pPr>
            <w:r>
              <w:rPr>
                <w:sz w:val="20"/>
              </w:rPr>
              <w:t>(120</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39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ind w:left="0" w:right="0" w:hanging="101"/>
              <w:jc w:val="left"/>
              <w:rPr/>
            </w:pPr>
            <w:r>
              <w:rPr/>
              <w:t> </w:t>
            </w:r>
          </w:p>
        </w:tc>
      </w:tr>
      <w:tr>
        <w:trPr/>
        <w:tc>
          <w:tcPr>
            <w:tcW w:w="3680" w:type="dxa"/>
            <w:tcBorders/>
            <w:shd w:fill="FFFFFF" w:val="clear"/>
            <w:vAlign w:val="center"/>
          </w:tcPr>
          <w:p>
            <w:pPr>
              <w:pStyle w:val="TableContents"/>
              <w:spacing w:before="0" w:after="283"/>
              <w:jc w:val="left"/>
              <w:rPr>
                <w:sz w:val="20"/>
              </w:rPr>
            </w:pPr>
            <w:r>
              <w:rPr>
                <w:sz w:val="20"/>
              </w:rPr>
              <w:t>Share-based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395" w:type="dxa"/>
            <w:tcBorders/>
            <w:shd w:fill="FFFFFF" w:val="clear"/>
            <w:vAlign w:val="center"/>
          </w:tcPr>
          <w:p>
            <w:pPr>
              <w:pStyle w:val="TableContents"/>
              <w:spacing w:before="0" w:after="283"/>
              <w:jc w:val="right"/>
              <w:rPr>
                <w:sz w:val="20"/>
              </w:rPr>
            </w:pPr>
            <w:r>
              <w:rPr>
                <w:sz w:val="20"/>
              </w:rPr>
              <w:t>4</w:t>
            </w:r>
          </w:p>
        </w:tc>
        <w:tc>
          <w:tcPr>
            <w:tcW w:w="95" w:type="dxa"/>
            <w:tcBorders/>
            <w:shd w:fill="FFFFFF" w:val="clear"/>
            <w:vAlign w:val="center"/>
          </w:tcPr>
          <w:p>
            <w:pPr>
              <w:pStyle w:val="TableContents"/>
              <w:spacing w:before="0" w:after="283"/>
              <w:ind w:left="0" w:right="0" w:hanging="101"/>
              <w:jc w:val="left"/>
              <w:rPr/>
            </w:pPr>
            <w:r>
              <w:rPr/>
              <w:t> </w:t>
            </w:r>
          </w:p>
        </w:tc>
      </w:tr>
      <w:tr>
        <w:trPr/>
        <w:tc>
          <w:tcPr>
            <w:tcW w:w="3680" w:type="dxa"/>
            <w:tcBorders/>
            <w:shd w:fill="CCEEFF" w:val="clear"/>
            <w:vAlign w:val="center"/>
          </w:tcPr>
          <w:p>
            <w:pPr>
              <w:pStyle w:val="TableContents"/>
              <w:spacing w:before="0" w:after="283"/>
              <w:jc w:val="left"/>
              <w:rPr>
                <w:sz w:val="20"/>
              </w:rPr>
            </w:pPr>
            <w:r>
              <w:rPr>
                <w:sz w:val="20"/>
              </w:rPr>
              <w:t>Change in valuation allowance</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544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951</w:t>
            </w:r>
          </w:p>
        </w:tc>
        <w:tc>
          <w:tcPr>
            <w:tcW w:w="95" w:type="dxa"/>
            <w:tcBorders/>
            <w:shd w:fill="CCEEFF" w:val="clear"/>
            <w:vAlign w:val="center"/>
          </w:tcPr>
          <w:p>
            <w:pPr>
              <w:pStyle w:val="TableContents"/>
              <w:spacing w:before="0" w:after="283"/>
              <w:jc w:val="left"/>
              <w:rPr/>
            </w:pPr>
            <w:r>
              <w:rPr/>
              <w:t> </w:t>
            </w:r>
          </w:p>
        </w:tc>
      </w:tr>
      <w:tr>
        <w:trPr/>
        <w:tc>
          <w:tcPr>
            <w:tcW w:w="3680" w:type="dxa"/>
            <w:tcBorders/>
            <w:shd w:fill="FFFFFF" w:val="clear"/>
            <w:vAlign w:val="center"/>
          </w:tcPr>
          <w:p>
            <w:pPr>
              <w:pStyle w:val="TableContents"/>
              <w:spacing w:before="0" w:after="283"/>
              <w:jc w:val="left"/>
              <w:rPr>
                <w:sz w:val="20"/>
              </w:rPr>
            </w:pPr>
            <w:r>
              <w:rPr>
                <w:sz w:val="20"/>
              </w:rPr>
              <w:t>(Benefit) provision for income taxes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9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sz w:val="20"/>
              </w:rPr>
            </w:pPr>
            <w:r>
              <w:rPr>
                <w:sz w:val="20"/>
              </w:rPr>
              <w:t>$</w:t>
            </w:r>
          </w:p>
        </w:tc>
        <w:tc>
          <w:tcPr>
            <w:tcW w:w="39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Assets and Valuation Allowance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$138 million gross Federal NOLs at December 31, 2020 (of which approximately $132 million was generated prior to January 1, 2018). We believe the gross Federal NOL benefit we generated prior to January 1, 2018 available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while our Federal NOLs generated after 2017 can be carried forward indefinitely. Future common stock transactions, such as the exercise of common stock purchase warrants or the conversion of debt into common stock, may cause another qualifying event under IRC 382 which will most likely further limit our utilization of our NOLs.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our deferred tax assets are as follows (in thousands):</w:t>
      </w:r>
    </w:p>
    <w:p>
      <w:pPr>
        <w:pStyle w:val="TextBody"/>
        <w:spacing w:before="0" w:after="0"/>
        <w:ind w:left="0" w:right="0" w:hanging="0"/>
        <w:jc w:val="both"/>
        <w:rPr>
          <w:caps w:val="false"/>
          <w:smallCaps w:val="false"/>
        </w:rPr>
      </w:pPr>
      <w:r>
        <w:rPr>
          <w:caps w:val="false"/>
          <w:smallCaps w:val="false"/>
        </w:rPr>
        <w:t> </w:t>
      </w:r>
    </w:p>
    <w:tbl>
      <w:tblPr>
        <w:tblW w:w="4745" w:type="dxa"/>
        <w:jc w:val="center"/>
        <w:tblInd w:w="0" w:type="dxa"/>
        <w:tblCellMar>
          <w:top w:w="0" w:type="dxa"/>
          <w:left w:w="0" w:type="dxa"/>
          <w:bottom w:w="0" w:type="dxa"/>
          <w:right w:w="0" w:type="dxa"/>
        </w:tblCellMar>
      </w:tblPr>
      <w:tblGrid>
        <w:gridCol w:w="3110"/>
        <w:gridCol w:w="60"/>
        <w:gridCol w:w="125"/>
        <w:gridCol w:w="545"/>
        <w:gridCol w:w="80"/>
        <w:gridCol w:w="60"/>
        <w:gridCol w:w="125"/>
        <w:gridCol w:w="545"/>
        <w:gridCol w:w="95"/>
      </w:tblGrid>
      <w:tr>
        <w:trPr/>
        <w:tc>
          <w:tcPr>
            <w:tcW w:w="3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8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1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2020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0" w:type="dxa"/>
            <w:gridSpan w:val="2"/>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2019</w:t>
            </w:r>
          </w:p>
        </w:tc>
        <w:tc>
          <w:tcPr>
            <w:tcW w:w="95" w:type="dxa"/>
            <w:tcBorders/>
            <w:shd w:fill="auto" w:val="clear"/>
            <w:vAlign w:val="center"/>
          </w:tcPr>
          <w:p>
            <w:pPr>
              <w:pStyle w:val="TableContents"/>
              <w:spacing w:before="0" w:after="283"/>
              <w:rPr/>
            </w:pPr>
            <w:r>
              <w:rPr/>
              <w:t> </w:t>
            </w:r>
          </w:p>
        </w:tc>
      </w:tr>
      <w:tr>
        <w:trPr/>
        <w:tc>
          <w:tcPr>
            <w:tcW w:w="3110" w:type="dxa"/>
            <w:tcBorders/>
            <w:shd w:fill="CCEEFF" w:val="clear"/>
            <w:vAlign w:val="center"/>
          </w:tcPr>
          <w:p>
            <w:pPr>
              <w:pStyle w:val="TableContents"/>
              <w:spacing w:before="0" w:after="283"/>
              <w:jc w:val="left"/>
              <w:rPr>
                <w:sz w:val="20"/>
              </w:rPr>
            </w:pPr>
            <w:r>
              <w:rPr>
                <w:sz w:val="20"/>
              </w:rPr>
              <w:t>Deferred tax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rPr>
                <w:sz w:val="20"/>
              </w:rPr>
            </w:pPr>
            <w:r>
              <w:rPr>
                <w:sz w:val="20"/>
              </w:rPr>
              <w:t>Estimated future value of NOLs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110" w:type="dxa"/>
            <w:tcBorders/>
            <w:shd w:fill="CCEEFF" w:val="clear"/>
            <w:vAlign w:val="center"/>
          </w:tcPr>
          <w:p>
            <w:pPr>
              <w:pStyle w:val="TableContents"/>
              <w:spacing w:before="0" w:after="283"/>
              <w:rPr/>
            </w:pPr>
            <w:r>
              <w:rPr/>
              <w:t> </w:t>
            </w:r>
            <w:r>
              <w:rPr>
                <w:sz w:val="20"/>
              </w:rPr>
              <w:t>- Federal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2,269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545" w:type="dxa"/>
            <w:tcBorders/>
            <w:shd w:fill="CCEEFF" w:val="clear"/>
            <w:vAlign w:val="center"/>
          </w:tcPr>
          <w:p>
            <w:pPr>
              <w:pStyle w:val="TableContents"/>
              <w:spacing w:before="0" w:after="283"/>
              <w:jc w:val="right"/>
              <w:rPr>
                <w:sz w:val="20"/>
              </w:rPr>
            </w:pPr>
            <w:r>
              <w:rPr>
                <w:sz w:val="20"/>
              </w:rPr>
              <w:t>2,622</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rPr/>
            </w:pPr>
            <w:r>
              <w:rPr/>
              <w:t> </w:t>
            </w:r>
            <w:r>
              <w:rPr>
                <w:sz w:val="20"/>
              </w:rPr>
              <w:t>- State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903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869</w:t>
            </w:r>
          </w:p>
        </w:tc>
        <w:tc>
          <w:tcPr>
            <w:tcW w:w="95" w:type="dxa"/>
            <w:tcBorders/>
            <w:shd w:fill="FFFFFF" w:val="clear"/>
            <w:vAlign w:val="center"/>
          </w:tcPr>
          <w:p>
            <w:pPr>
              <w:pStyle w:val="TableContents"/>
              <w:spacing w:before="0" w:after="283"/>
              <w:jc w:val="left"/>
              <w:rPr/>
            </w:pPr>
            <w:r>
              <w:rPr/>
              <w:t> </w:t>
            </w:r>
          </w:p>
        </w:tc>
      </w:tr>
      <w:tr>
        <w:trPr/>
        <w:tc>
          <w:tcPr>
            <w:tcW w:w="3110" w:type="dxa"/>
            <w:tcBorders/>
            <w:shd w:fill="CCEEFF" w:val="clear"/>
            <w:vAlign w:val="center"/>
          </w:tcPr>
          <w:p>
            <w:pPr>
              <w:pStyle w:val="TableContents"/>
              <w:spacing w:before="0" w:after="283"/>
              <w:jc w:val="left"/>
              <w:rPr>
                <w:sz w:val="20"/>
              </w:rPr>
            </w:pPr>
            <w:r>
              <w:rPr>
                <w:sz w:val="20"/>
              </w:rPr>
              <w:t>Research and development tax credits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rPr/>
            </w:pPr>
            <w:r>
              <w:rPr/>
              <w:t> </w:t>
            </w:r>
            <w:r>
              <w:rPr>
                <w:sz w:val="20"/>
              </w:rPr>
              <w:t>- Federal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1,283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1,207</w:t>
            </w:r>
          </w:p>
        </w:tc>
        <w:tc>
          <w:tcPr>
            <w:tcW w:w="95" w:type="dxa"/>
            <w:tcBorders/>
            <w:shd w:fill="FFFFFF" w:val="clear"/>
            <w:vAlign w:val="center"/>
          </w:tcPr>
          <w:p>
            <w:pPr>
              <w:pStyle w:val="TableContents"/>
              <w:spacing w:before="0" w:after="283"/>
              <w:jc w:val="left"/>
              <w:rPr/>
            </w:pPr>
            <w:r>
              <w:rPr/>
              <w:t> </w:t>
            </w:r>
          </w:p>
        </w:tc>
      </w:tr>
      <w:tr>
        <w:trPr/>
        <w:tc>
          <w:tcPr>
            <w:tcW w:w="3110" w:type="dxa"/>
            <w:tcBorders/>
            <w:shd w:fill="CCEEFF" w:val="clear"/>
            <w:vAlign w:val="center"/>
          </w:tcPr>
          <w:p>
            <w:pPr>
              <w:pStyle w:val="TableContents"/>
              <w:spacing w:before="0" w:after="283"/>
              <w:rPr/>
            </w:pPr>
            <w:r>
              <w:rPr/>
              <w:t> </w:t>
            </w:r>
            <w:r>
              <w:rPr>
                <w:sz w:val="20"/>
              </w:rPr>
              <w:t>- State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31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8</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jc w:val="left"/>
              <w:rPr>
                <w:sz w:val="20"/>
              </w:rPr>
            </w:pPr>
            <w:r>
              <w:rPr>
                <w:sz w:val="20"/>
              </w:rPr>
              <w:t>Share-based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104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545" w:type="dxa"/>
            <w:tcBorders/>
            <w:shd w:fill="FFFFFF" w:val="clear"/>
            <w:vAlign w:val="center"/>
          </w:tcPr>
          <w:p>
            <w:pPr>
              <w:pStyle w:val="TableContents"/>
              <w:spacing w:before="0" w:after="283"/>
              <w:jc w:val="right"/>
              <w:rPr>
                <w:sz w:val="20"/>
              </w:rPr>
            </w:pPr>
            <w:r>
              <w:rPr>
                <w:sz w:val="20"/>
              </w:rPr>
              <w:t>72</w:t>
            </w:r>
          </w:p>
        </w:tc>
        <w:tc>
          <w:tcPr>
            <w:tcW w:w="95" w:type="dxa"/>
            <w:tcBorders/>
            <w:shd w:fill="FFFFFF" w:val="clear"/>
            <w:vAlign w:val="center"/>
          </w:tcPr>
          <w:p>
            <w:pPr>
              <w:pStyle w:val="TableContents"/>
              <w:spacing w:before="0" w:after="283"/>
              <w:jc w:val="left"/>
              <w:rPr/>
            </w:pPr>
            <w:r>
              <w:rPr/>
              <w:t> </w:t>
            </w:r>
          </w:p>
        </w:tc>
      </w:tr>
      <w:tr>
        <w:trPr/>
        <w:tc>
          <w:tcPr>
            <w:tcW w:w="3110" w:type="dxa"/>
            <w:tcBorders/>
            <w:shd w:fill="CCEEFF" w:val="clear"/>
            <w:vAlign w:val="center"/>
          </w:tcPr>
          <w:p>
            <w:pPr>
              <w:pStyle w:val="TableContents"/>
              <w:spacing w:before="0" w:after="283"/>
              <w:jc w:val="left"/>
              <w:rPr>
                <w:sz w:val="20"/>
              </w:rPr>
            </w:pPr>
            <w:r>
              <w:rPr>
                <w:sz w:val="20"/>
              </w:rPr>
              <w:t>Debt extinguishment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636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jc w:val="left"/>
              <w:rPr>
                <w:sz w:val="20"/>
              </w:rPr>
            </w:pPr>
            <w:r>
              <w:rPr>
                <w:sz w:val="20"/>
              </w:rPr>
              <w:t>Other, net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301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177</w:t>
            </w:r>
          </w:p>
        </w:tc>
        <w:tc>
          <w:tcPr>
            <w:tcW w:w="95" w:type="dxa"/>
            <w:tcBorders/>
            <w:shd w:fill="FFFFFF" w:val="clear"/>
            <w:vAlign w:val="center"/>
          </w:tcPr>
          <w:p>
            <w:pPr>
              <w:pStyle w:val="TableContents"/>
              <w:spacing w:before="0" w:after="283"/>
              <w:jc w:val="left"/>
              <w:rPr/>
            </w:pPr>
            <w:r>
              <w:rPr/>
              <w:t> </w:t>
            </w:r>
          </w:p>
        </w:tc>
      </w:tr>
      <w:tr>
        <w:trPr/>
        <w:tc>
          <w:tcPr>
            <w:tcW w:w="3110" w:type="dxa"/>
            <w:tcBorders/>
            <w:shd w:fill="CCEEFF" w:val="clear"/>
            <w:vAlign w:val="center"/>
          </w:tcPr>
          <w:p>
            <w:pPr>
              <w:pStyle w:val="TableContents"/>
              <w:spacing w:before="0" w:after="283"/>
              <w:jc w:val="both"/>
              <w:rPr>
                <w:sz w:val="20"/>
              </w:rPr>
            </w:pPr>
            <w:r>
              <w:rPr>
                <w:sz w:val="20"/>
              </w:rPr>
              <w:t>Total deferred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5,527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545" w:type="dxa"/>
            <w:tcBorders/>
            <w:shd w:fill="CCEEFF" w:val="clear"/>
            <w:vAlign w:val="center"/>
          </w:tcPr>
          <w:p>
            <w:pPr>
              <w:pStyle w:val="TableContents"/>
              <w:spacing w:before="0" w:after="283"/>
              <w:jc w:val="right"/>
              <w:rPr>
                <w:sz w:val="20"/>
              </w:rPr>
            </w:pPr>
            <w:r>
              <w:rPr>
                <w:sz w:val="20"/>
              </w:rPr>
              <w:t>4,955</w:t>
            </w:r>
          </w:p>
        </w:tc>
        <w:tc>
          <w:tcPr>
            <w:tcW w:w="95" w:type="dxa"/>
            <w:tcBorders/>
            <w:shd w:fill="CCEEFF" w:val="clear"/>
            <w:vAlign w:val="center"/>
          </w:tcPr>
          <w:p>
            <w:pPr>
              <w:pStyle w:val="TableContents"/>
              <w:spacing w:before="0" w:after="283"/>
              <w:jc w:val="left"/>
              <w:rPr/>
            </w:pPr>
            <w:r>
              <w:rPr/>
              <w:t> </w:t>
            </w:r>
          </w:p>
        </w:tc>
      </w:tr>
      <w:tr>
        <w:trPr/>
        <w:tc>
          <w:tcPr>
            <w:tcW w:w="3110" w:type="dxa"/>
            <w:tcBorders/>
            <w:shd w:fill="FFFFFF" w:val="clear"/>
            <w:vAlign w:val="center"/>
          </w:tcPr>
          <w:p>
            <w:pPr>
              <w:pStyle w:val="TableContents"/>
              <w:spacing w:before="0" w:after="283"/>
              <w:jc w:val="left"/>
              <w:rPr>
                <w:sz w:val="20"/>
              </w:rPr>
            </w:pPr>
            <w:r>
              <w:rPr>
                <w:sz w:val="20"/>
              </w:rPr>
              <w:t>Valuation allowance</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(5,527</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(4,955</w:t>
            </w:r>
          </w:p>
        </w:tc>
        <w:tc>
          <w:tcPr>
            <w:tcW w:w="95" w:type="dxa"/>
            <w:tcBorders/>
            <w:shd w:fill="FFFFFF" w:val="clear"/>
            <w:vAlign w:val="center"/>
          </w:tcPr>
          <w:p>
            <w:pPr>
              <w:pStyle w:val="TableContents"/>
              <w:spacing w:before="0" w:after="283"/>
              <w:jc w:val="left"/>
              <w:rPr>
                <w:sz w:val="20"/>
              </w:rPr>
            </w:pPr>
            <w:r>
              <w:rPr>
                <w:sz w:val="20"/>
              </w:rPr>
              <w:t>)</w:t>
            </w:r>
          </w:p>
        </w:tc>
      </w:tr>
      <w:tr>
        <w:trPr/>
        <w:tc>
          <w:tcPr>
            <w:tcW w:w="3110" w:type="dxa"/>
            <w:tcBorders/>
            <w:shd w:fill="CCEEFF" w:val="clear"/>
            <w:vAlign w:val="center"/>
          </w:tcPr>
          <w:p>
            <w:pPr>
              <w:pStyle w:val="TableContents"/>
              <w:spacing w:before="0" w:after="283"/>
              <w:jc w:val="left"/>
              <w:rPr>
                <w:sz w:val="20"/>
              </w:rPr>
            </w:pPr>
            <w:r>
              <w:rPr>
                <w:sz w:val="20"/>
              </w:rPr>
              <w:t>Net deferred tax assets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December 31, 2020 and 2019,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Uncertainty in 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FASB’s statement regarding accounting for uncertainty in income taxes which defined the threshold for recognizing the benefits of tax-return positions in the consolidated financial statements as "more-likely-than-not" to be sustained by the taxing authorities. At each of December 31, 2020 and 2019,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federal and state income tax returns and in the normal course of business the Company is subject to examination by these taxing authorities. As of December 31, 2020, the Company’s tax years of 2017, 2018 and 2019 are subject to examination by the taxing authorities. With few exceptions, we believe the Company is no longer subject to U.S. Federal, State and local examinations by taxing authorities for years before 2017.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BASIC AND DILUTED NET INCOME (LOSS)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 is computed by dividing net income or loss by the weighted average common shares outstanding during a period, including shares weighted related to both vested Restricted Stock Units (“RSUs”) which settle in shares (See Note 11) and a stock warrant exercisable for 10.0 million shares having an exercise price of $0.01 per share (See Note 7).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reported a net loss in 2020 and 2019 the effects of common stock equivalents were excluded as the diluted net loss per share calculation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numerators and denominators of basic and diluted earnings (loss) per share (“EPS”) consisted of the following (in thousands except per share data):</w:t>
      </w:r>
    </w:p>
    <w:p>
      <w:pPr>
        <w:pStyle w:val="TextBody"/>
        <w:spacing w:before="0" w:after="0"/>
        <w:ind w:left="0" w:right="0" w:hanging="0"/>
        <w:jc w:val="both"/>
        <w:rPr>
          <w:caps w:val="false"/>
          <w:smallCaps w:val="false"/>
        </w:rPr>
      </w:pPr>
      <w:r>
        <w:rPr>
          <w:caps w:val="false"/>
          <w:smallCaps w:val="false"/>
        </w:rPr>
        <w:t> </w:t>
      </w:r>
    </w:p>
    <w:tbl>
      <w:tblPr>
        <w:tblW w:w="6807" w:type="dxa"/>
        <w:jc w:val="left"/>
        <w:tblInd w:w="0" w:type="dxa"/>
        <w:tblCellMar>
          <w:top w:w="0" w:type="dxa"/>
          <w:left w:w="0" w:type="dxa"/>
          <w:bottom w:w="0" w:type="dxa"/>
          <w:right w:w="0" w:type="dxa"/>
        </w:tblCellMar>
      </w:tblPr>
      <w:tblGrid>
        <w:gridCol w:w="4490"/>
        <w:gridCol w:w="60"/>
        <w:gridCol w:w="172"/>
        <w:gridCol w:w="813"/>
        <w:gridCol w:w="110"/>
        <w:gridCol w:w="82"/>
        <w:gridCol w:w="172"/>
        <w:gridCol w:w="813"/>
        <w:gridCol w:w="95"/>
      </w:tblGrid>
      <w:tr>
        <w:trPr/>
        <w:tc>
          <w:tcPr>
            <w:tcW w:w="449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162" w:type="dxa"/>
            <w:gridSpan w:val="6"/>
            <w:tcBorders>
              <w:bottom w:val="single" w:sz="8" w:space="0" w:color="000000"/>
            </w:tcBorders>
            <w:shd w:fill="auto" w:val="clear"/>
            <w:tcMar>
              <w:bottom w:w="28"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 </w:t>
            </w:r>
          </w:p>
        </w:tc>
        <w:tc>
          <w:tcPr>
            <w:tcW w:w="95" w:type="dxa"/>
            <w:tcBorders/>
            <w:shd w:fill="auto" w:val="clear"/>
            <w:vAlign w:val="center"/>
          </w:tcPr>
          <w:p>
            <w:pPr>
              <w:pStyle w:val="TableContents"/>
              <w:spacing w:before="0" w:after="283"/>
              <w:rPr/>
            </w:pPr>
            <w:r>
              <w:rPr/>
              <w:t> </w:t>
            </w:r>
          </w:p>
        </w:tc>
      </w:tr>
      <w:tr>
        <w:trPr/>
        <w:tc>
          <w:tcPr>
            <w:tcW w:w="449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8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2020</w:t>
            </w:r>
          </w:p>
        </w:tc>
        <w:tc>
          <w:tcPr>
            <w:tcW w:w="11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98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2019</w:t>
            </w:r>
          </w:p>
        </w:tc>
        <w:tc>
          <w:tcPr>
            <w:tcW w:w="95" w:type="dxa"/>
            <w:tcBorders/>
            <w:shd w:fill="auto"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Earnings (loss) per share – basic and diluted</w:t>
            </w:r>
          </w:p>
        </w:tc>
        <w:tc>
          <w:tcPr>
            <w:tcW w:w="60"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Numerator: net loss</w:t>
            </w:r>
          </w:p>
        </w:tc>
        <w:tc>
          <w:tcPr>
            <w:tcW w:w="60"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(1,208</w:t>
            </w:r>
          </w:p>
        </w:tc>
        <w:tc>
          <w:tcPr>
            <w:tcW w:w="1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(3,774</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Denominator (weighted):</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Common shares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21,650</w:t>
            </w:r>
          </w:p>
        </w:tc>
        <w:tc>
          <w:tcPr>
            <w:tcW w:w="11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21,300</w:t>
            </w:r>
          </w:p>
        </w:tc>
        <w:tc>
          <w:tcPr>
            <w:tcW w:w="9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RSUs  - vested</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670</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296</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Common stock purchase warrant</w:t>
            </w:r>
          </w:p>
        </w:tc>
        <w:tc>
          <w:tcPr>
            <w:tcW w:w="60"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pPr>
            <w:r>
              <w:rPr/>
              <w:t> </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w:t>
            </w:r>
          </w:p>
        </w:tc>
        <w:tc>
          <w:tcPr>
            <w:tcW w:w="11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pPr>
            <w:r>
              <w:rPr/>
              <w:t> </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5,124</w:t>
            </w:r>
          </w:p>
        </w:tc>
        <w:tc>
          <w:tcPr>
            <w:tcW w:w="9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60"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32,320</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26,720</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Earnings (loss) per share – basic and diluted</w:t>
            </w:r>
          </w:p>
        </w:tc>
        <w:tc>
          <w:tcPr>
            <w:tcW w:w="60"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(0.04</w:t>
            </w:r>
          </w:p>
        </w:tc>
        <w:tc>
          <w:tcPr>
            <w:tcW w:w="1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(0.14</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Excluded securities (non-weighted):</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Common shares issuable:</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RSUs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Stock options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1,254</w:t>
            </w:r>
          </w:p>
        </w:tc>
        <w:tc>
          <w:tcPr>
            <w:tcW w:w="11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1,356</w:t>
            </w:r>
          </w:p>
        </w:tc>
        <w:tc>
          <w:tcPr>
            <w:tcW w:w="9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Common stock purchase warrants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1,782</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1,842</w:t>
            </w:r>
          </w:p>
        </w:tc>
        <w:tc>
          <w:tcPr>
            <w:tcW w:w="9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Convertible loan</w:t>
            </w:r>
          </w:p>
        </w:tc>
        <w:tc>
          <w:tcPr>
            <w:tcW w:w="60"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pPr>
            <w:r>
              <w:rPr/>
              <w:t> </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37,500</w:t>
            </w:r>
          </w:p>
        </w:tc>
        <w:tc>
          <w:tcPr>
            <w:tcW w:w="11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172" w:type="dxa"/>
            <w:tcBorders>
              <w:bottom w:val="single" w:sz="8" w:space="0" w:color="000000"/>
            </w:tcBorders>
            <w:shd w:fill="FFFFFF" w:val="clear"/>
            <w:tcMar>
              <w:bottom w:w="28" w:type="dxa"/>
            </w:tcMar>
            <w:vAlign w:val="center"/>
          </w:tcPr>
          <w:p>
            <w:pPr>
              <w:pStyle w:val="TableContents"/>
              <w:spacing w:before="0" w:after="283"/>
              <w:rPr/>
            </w:pPr>
            <w:r>
              <w:rPr/>
              <w:t> </w:t>
            </w:r>
          </w:p>
        </w:tc>
        <w:tc>
          <w:tcPr>
            <w:tcW w:w="8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37,500</w:t>
            </w:r>
          </w:p>
        </w:tc>
        <w:tc>
          <w:tcPr>
            <w:tcW w:w="9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Total excluded common shares</w:t>
            </w:r>
          </w:p>
        </w:tc>
        <w:tc>
          <w:tcPr>
            <w:tcW w:w="60"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40,536</w:t>
            </w:r>
          </w:p>
        </w:tc>
        <w:tc>
          <w:tcPr>
            <w:tcW w:w="11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72" w:type="dxa"/>
            <w:tcBorders>
              <w:bottom w:val="single" w:sz="8" w:space="0" w:color="000000"/>
            </w:tcBorders>
            <w:shd w:fill="CCEEFF" w:val="clear"/>
            <w:tcMar>
              <w:bottom w:w="28" w:type="dxa"/>
            </w:tcMar>
            <w:vAlign w:val="center"/>
          </w:tcPr>
          <w:p>
            <w:pPr>
              <w:pStyle w:val="TableContents"/>
              <w:spacing w:before="0" w:after="283"/>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40,698</w:t>
            </w:r>
          </w:p>
        </w:tc>
        <w:tc>
          <w:tcPr>
            <w:tcW w:w="95" w:type="dxa"/>
            <w:tcBorders/>
            <w:shd w:fill="CCEEFF"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2021, the Company was granted a loan (the “Loan”) from JP Morgan Chase Bank in the aggregate amount of $267 thousand, pursuant to the Paycheck Protection Program under Division A, Title I of the CARES Act, which was enacted March 27, 2020. Under the terms of the Paycheck Protection Program (“PPP”), certain amounts of the Loan may be forgiven if they are used for qualifying expenses as described in the CARES Act. The Company is continuing to evaluate the criteria and new guidance put out by the Small Business Administration regarding qualifications of loans under the PPP and criteria for meeting loan conditions. No assurance is provided that forgiveness for any portion of the Loan will be obtained.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F-28</w:t>
      </w:r>
    </w:p>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rPr/>
      </w:pPr>
      <w:bookmarkStart w:id="33" w:name="tm211138d1_ex10-53.htm"/>
      <w:bookmarkStart w:id="34" w:name="kstm211138d1_ex1053"/>
      <w:bookmarkEnd w:id="33"/>
      <w:bookmarkEnd w:id="34"/>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LICENSE, DEVELOPMENT AND COMMERCIALIZATION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LICENSE, DEVELOPMENT and COMMERCIALIZATION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June 28, 2019 between Acura Pharmaceuticals, Inc. (“</w:t>
      </w:r>
      <w:r>
        <w:rPr>
          <w:rFonts w:ascii="Times New Roman;Times;Serif" w:hAnsi="Times New Roman;Times;Serif"/>
          <w:b/>
          <w:i w:val="false"/>
          <w:caps w:val="false"/>
          <w:smallCaps w:val="false"/>
          <w:sz w:val="20"/>
        </w:rPr>
        <w:t>Acura</w:t>
      </w:r>
      <w:r>
        <w:rPr>
          <w:rFonts w:ascii="Times New Roman;Times;Serif" w:hAnsi="Times New Roman;Times;Serif"/>
          <w:b w:val="false"/>
          <w:i w:val="false"/>
          <w:caps w:val="false"/>
          <w:smallCaps w:val="false"/>
          <w:sz w:val="20"/>
        </w:rPr>
        <w:t>”), a New York corporation, having a place of business at 616 N. North Court, Suite 120, Palatine, IL 60067, and Abuse Deterrent Pharma, LLC (“</w:t>
      </w:r>
      <w:r>
        <w:rPr>
          <w:rFonts w:ascii="Times New Roman;Times;Serif" w:hAnsi="Times New Roman;Times;Serif"/>
          <w:b/>
          <w:i w:val="false"/>
          <w:caps w:val="false"/>
          <w:smallCaps w:val="false"/>
          <w:sz w:val="20"/>
        </w:rPr>
        <w:t>AD Pharma</w:t>
      </w:r>
      <w:r>
        <w:rPr>
          <w:rFonts w:ascii="Times New Roman;Times;Serif" w:hAnsi="Times New Roman;Times;Serif"/>
          <w:b w:val="false"/>
          <w:i w:val="false"/>
          <w:caps w:val="false"/>
          <w:smallCaps w:val="false"/>
          <w:sz w:val="20"/>
        </w:rPr>
        <w:t>”), a Kentucky partnership having a place of business at with offices at 333 E. Main Street, Suite 220, Louisville, Kentucky 40202, is made as of October 16,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Acura and AD Pharma are parties to the Agreement which became effective on June 28, 2019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desire to amend the Agreement as set forth herein to provide for an extension to the LIMITx™ Regulatory Submission Timeline.</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promises contained in the Agreement and this Amendment and other good and valuable consideration, the receipt and sufficiency of which are hereby acknowledged, Acura and AD Pharma agree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AMENDMENTS TO AGREEMENT</w:t>
      </w:r>
    </w:p>
    <w:p>
      <w:pPr>
        <w:pStyle w:val="TextBody"/>
        <w:spacing w:before="0" w:after="0"/>
        <w:ind w:left="0" w:right="0" w:hanging="0"/>
        <w:jc w:val="center"/>
        <w:rPr>
          <w:caps/>
        </w:rPr>
      </w:pPr>
      <w:r>
        <w:rPr>
          <w:caps/>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A new Section 1.50 is hereby added to the Agreement as follows: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Oxycodone Product</w:t>
      </w:r>
      <w:r>
        <w:rPr>
          <w:rFonts w:ascii="Times New Roman;Times;Serif" w:hAnsi="Times New Roman;Times;Serif"/>
          <w:b w:val="false"/>
          <w:i w:val="false"/>
          <w:caps w:val="false"/>
          <w:smallCaps w:val="false"/>
          <w:sz w:val="20"/>
        </w:rPr>
        <w:t>” means a pharmaceutical product containing the immediate-release combination of oxycodone hydrochloride and acetaminophen utilizing the LIMITX™ Technology in the 5/325mg, 7.5/325mg and 10/325mg dosage strengths.</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Section 1.34 is hereby amended and replaced in its entirety as follows: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means a pharmaceutical product containing the immediate-release combination of hydrocodone bitartrate and acetaminophen utilizing the LIMITX™ Technology in the 5/325mg, 7.5/325mg and 10/325mg dosage strengths (the “</w:t>
      </w:r>
      <w:r>
        <w:rPr>
          <w:rFonts w:ascii="Times New Roman;Times;Serif" w:hAnsi="Times New Roman;Times;Serif"/>
          <w:b/>
          <w:i w:val="false"/>
          <w:caps w:val="false"/>
          <w:smallCaps w:val="false"/>
          <w:sz w:val="20"/>
        </w:rPr>
        <w:t>Hydrocodone Product</w:t>
      </w:r>
      <w:r>
        <w:rPr>
          <w:rFonts w:ascii="Times New Roman;Times;Serif" w:hAnsi="Times New Roman;Times;Serif"/>
          <w:b w:val="false"/>
          <w:i w:val="false"/>
          <w:caps w:val="false"/>
          <w:smallCaps w:val="false"/>
          <w:sz w:val="20"/>
        </w:rPr>
        <w:t>”) along with the Alprazolam Product and the Oxycodone Product.</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Section 2.3 with respect to “Acura to use CRE” is hereby amended and replaced in its entirety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Acura to use CRE</w:t>
      </w:r>
      <w:r>
        <w:rPr>
          <w:rFonts w:ascii="Times New Roman;Times;Serif" w:hAnsi="Times New Roman;Times;Serif"/>
          <w:b w:val="false"/>
          <w:i w:val="false"/>
          <w:caps w:val="false"/>
          <w:smallCaps w:val="false"/>
          <w:sz w:val="20"/>
        </w:rPr>
        <w:t>. Acura shall use Commercially Reasonable Efforts to develop the Product in the United States, provided however, that any obligation of Acura to develop the Alprazolam Product and the Oxycodone Product will be subject to a separate development agreement to be negotiated between the Parties. Acura shall comply with all Applicable Laws in the development of the Product. For the avoidance of doubt, Acura’s obligations to develop a Product and any related development timelines and milestones shall be strictly limited to the Hydrocodone Product.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Page 1 of 3</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Section 2.11 is hereby amended by inserting at the end:</w:t>
      </w:r>
    </w:p>
    <w:p>
      <w:pPr>
        <w:pStyle w:val="TextBody"/>
        <w:spacing w:before="0" w:after="0"/>
        <w:ind w:left="0" w:right="0" w:firstLine="720"/>
        <w:rPr>
          <w:caps w:val="false"/>
          <w:smallCaps w:val="false"/>
        </w:rPr>
      </w:pPr>
      <w:r>
        <w:rPr>
          <w:caps w:val="false"/>
          <w:smallCaps w:val="false"/>
        </w:rPr>
        <w:t> </w:t>
      </w:r>
    </w:p>
    <w:p>
      <w:pPr>
        <w:pStyle w:val="TextBody"/>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of this Section 2.11 are limited to the Hydrocodone Product.</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Section 3.1.1 of hereby amended and replaced in its entirety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aggregate amount not to exceed Six Million Five Hundred Thousand Dollars ($6,500,000) (the “Maximum Pre-Regulatory Application Submission Payment”), each month AD Pharma shall pay Acura in non-refundable, non-creditable payments in immediately available funds as follows:</w:t>
      </w:r>
    </w:p>
    <w:p>
      <w:pPr>
        <w:pStyle w:val="TextBody"/>
        <w:spacing w:before="0" w:after="0"/>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Three Hundred Fifty Thousand Dollars ($350,000) commencing within Five (5) days of the Effective Date and continuing until April 2020;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Two Hundred Thousand Dollars ($200,000) commencing in May 2020 and continuing on the monthly anniversary of the Effective Date until the earlier of July 2021 or such monthly payments have occurred or the Maximum Pre-Regulatory Application Submission Payment is reached (as the timing of the latter, but not the amount, may be adjusted in accordance with Section 3.1.2).</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Section 3.4 is hereby amended and replaced in its entirety as follows, provided however that subsection 3.4.1 and 3.4.2 remain as in the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Sales Milestone Payments.</w:t>
      </w:r>
      <w:r>
        <w:rPr>
          <w:rFonts w:ascii="Times New Roman;Times;Serif" w:hAnsi="Times New Roman;Times;Serif"/>
          <w:b w:val="false"/>
          <w:i w:val="false"/>
          <w:caps w:val="false"/>
          <w:smallCaps w:val="false"/>
          <w:sz w:val="20"/>
        </w:rPr>
        <w:t xml:space="preserve"> AD Pharma shall make the following one-time, non-refundable, non-creditable payments within forty-five (45) days after the end of the year to Acura based on the attainment of the Net Sales in such calendar year for each Product and Product Line Extensions individually (i.e. a separate payment for each of the Hydrocodone Product, the Alprazolam Product and the Oxycodone Product) in the Territory (the “</w:t>
      </w:r>
      <w:r>
        <w:rPr>
          <w:rFonts w:ascii="Times New Roman;Times;Serif" w:hAnsi="Times New Roman;Times;Serif"/>
          <w:b/>
          <w:i w:val="false"/>
          <w:caps w:val="false"/>
          <w:smallCaps w:val="false"/>
          <w:sz w:val="20"/>
        </w:rPr>
        <w:t>Milestone Payments</w:t>
      </w:r>
      <w:r>
        <w:rPr>
          <w:rFonts w:ascii="Times New Roman;Times;Serif" w:hAnsi="Times New Roman;Times;Serif"/>
          <w:b w:val="false"/>
          <w:i w:val="false"/>
          <w:caps w:val="false"/>
          <w:smallCaps w:val="false"/>
          <w:sz w:val="20"/>
        </w:rPr>
        <w: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Option under Nexafed</w:t>
      </w:r>
      <w:r>
        <w:rPr>
          <w:rFonts w:ascii="Times New Roman;Times;Serif" w:hAnsi="Times New Roman;Times;Serif"/>
          <w:b w:val="false"/>
          <w:i w:val="false"/>
          <w:caps w:val="false"/>
          <w:smallCaps w:val="false"/>
          <w:position w:val="7"/>
          <w:sz w:val="16"/>
          <w:sz w:val="20"/>
          <w:u w:val="single"/>
        </w:rPr>
        <w:t xml:space="preserv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hereby deleted in its entirety.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Option for license to Alprazolam Product”</w:t>
      </w:r>
      <w:r>
        <w:rPr>
          <w:rFonts w:ascii="Times New Roman;Times;Serif" w:hAnsi="Times New Roman;Times;Serif"/>
          <w:b w:val="false"/>
          <w:i w:val="false"/>
          <w:caps w:val="false"/>
          <w:smallCaps w:val="false"/>
          <w:sz w:val="20"/>
        </w:rPr>
        <w:t xml:space="preserve"> is hereby deleted in its entirety.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rPr>
        <w:t>Item 3 of Schedule 1 “LIMITx™ Regulatory Application Submission Timeline” is hereby amended and replaced in its entirety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By the last day of the calendar month when the last of the monthly payments for the Maximum Pre-Regulatory Application Submission Payment has occurred, or before, Acura must gain filing acceptance by the FDA of a Regulatory Approval Application for the Product.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Page 2 of 3</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Schedule 1 is strictly limited to activities and timelines related to the Hydrocodone Product.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MISCELLANCEOUS</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Governing Law</w:t>
      </w:r>
      <w:r>
        <w:rPr>
          <w:rFonts w:ascii="Times New Roman;Times;Serif" w:hAnsi="Times New Roman;Times;Serif"/>
          <w:b w:val="false"/>
          <w:i w:val="false"/>
          <w:caps w:val="false"/>
          <w:smallCaps w:val="false"/>
          <w:sz w:val="20"/>
        </w:rPr>
        <w:t>. This Amendment shall be governed by the laws of the State of New York without regard to its conflict of laws rules or principles.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Amendments</w:t>
      </w:r>
      <w:r>
        <w:rPr>
          <w:rFonts w:ascii="Times New Roman;Times;Serif" w:hAnsi="Times New Roman;Times;Serif"/>
          <w:b w:val="false"/>
          <w:i w:val="false"/>
          <w:caps w:val="false"/>
          <w:smallCaps w:val="false"/>
          <w:sz w:val="20"/>
        </w:rPr>
        <w:t>. Except as expressly amended hereby, the Agreement shall remain unmodified and in full force and effect.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Entire Agreement</w:t>
      </w:r>
      <w:r>
        <w:rPr>
          <w:rFonts w:ascii="Times New Roman;Times;Serif" w:hAnsi="Times New Roman;Times;Serif"/>
          <w:b w:val="false"/>
          <w:i w:val="false"/>
          <w:caps w:val="false"/>
          <w:smallCaps w:val="false"/>
          <w:sz w:val="20"/>
        </w:rPr>
        <w:t>. This Amendment, the Agreement and the Schedules attached to the Agreement constitute the entire agreement of the Parties with respect to the subject matter hereof and supersede all prior understandings and writings between the Parties relating thereto.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Interpretation</w:t>
      </w:r>
      <w:r>
        <w:rPr>
          <w:rFonts w:ascii="Times New Roman;Times;Serif" w:hAnsi="Times New Roman;Times;Serif"/>
          <w:b w:val="false"/>
          <w:i w:val="false"/>
          <w:caps w:val="false"/>
          <w:smallCaps w:val="false"/>
          <w:sz w:val="20"/>
        </w:rPr>
        <w:t>. Any capitalized terms used in this Amendment and not otherwise defined herein shall have the meanings provided in the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Counterparts</w:t>
      </w:r>
      <w:r>
        <w:rPr>
          <w:rFonts w:ascii="Times New Roman;Times;Serif" w:hAnsi="Times New Roman;Times;Serif"/>
          <w:b w:val="false"/>
          <w:i w:val="false"/>
          <w:caps w:val="false"/>
          <w:smallCaps w:val="false"/>
          <w:sz w:val="20"/>
        </w:rPr>
        <w:t>. This Amendment may be executed manually, electronically in Adobe® PDF file format, or by facsimile by the Parties, in any number of counterparts, each of which shall be considered one and the same amendment and shall become effective when a counterpart hereof shall have been signed by each of the Parties and delivered to the other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in their names by their properly and duly authorized officers or representatives as of the date first written above.</w:t>
      </w:r>
    </w:p>
    <w:p>
      <w:pPr>
        <w:pStyle w:val="TextBody"/>
        <w:spacing w:before="0" w:after="0"/>
        <w:ind w:left="0" w:right="0" w:firstLine="720"/>
        <w:rPr>
          <w:caps w:val="false"/>
          <w:smallCaps w:val="false"/>
        </w:rPr>
      </w:pPr>
      <w:r>
        <w:rPr>
          <w:caps w:val="false"/>
          <w:smallCaps w:val="false"/>
        </w:rPr>
        <w:t> </w:t>
      </w:r>
    </w:p>
    <w:tbl>
      <w:tblPr>
        <w:tblW w:w="3290" w:type="dxa"/>
        <w:jc w:val="left"/>
        <w:tblInd w:w="0" w:type="dxa"/>
        <w:tblCellMar>
          <w:top w:w="0" w:type="dxa"/>
          <w:left w:w="0" w:type="dxa"/>
          <w:bottom w:w="0" w:type="dxa"/>
          <w:right w:w="0" w:type="dxa"/>
        </w:tblCellMar>
      </w:tblPr>
      <w:tblGrid>
        <w:gridCol w:w="3215"/>
        <w:gridCol w:w="75"/>
      </w:tblGrid>
      <w:tr>
        <w:trPr/>
        <w:tc>
          <w:tcPr>
            <w:tcW w:w="321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Robert B. Jones, 10/12/2020</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B. Jones</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 and President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2705" w:type="dxa"/>
        <w:jc w:val="left"/>
        <w:tblInd w:w="0" w:type="dxa"/>
        <w:tblCellMar>
          <w:top w:w="0" w:type="dxa"/>
          <w:left w:w="0" w:type="dxa"/>
          <w:bottom w:w="0" w:type="dxa"/>
          <w:right w:w="0" w:type="dxa"/>
        </w:tblCellMar>
      </w:tblPr>
      <w:tblGrid>
        <w:gridCol w:w="2630"/>
        <w:gridCol w:w="75"/>
      </w:tblGrid>
      <w:tr>
        <w:trPr/>
        <w:tc>
          <w:tcPr>
            <w:tcW w:w="26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Abuse Deterrent Pharma, LLC</w:t>
            </w:r>
          </w:p>
        </w:tc>
        <w:tc>
          <w:tcPr>
            <w:tcW w:w="75" w:type="dxa"/>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John Schutte, 10/16/2020</w:t>
            </w:r>
          </w:p>
        </w:tc>
        <w:tc>
          <w:tcPr>
            <w:tcW w:w="75" w:type="dxa"/>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John Schutte</w:t>
            </w:r>
          </w:p>
        </w:tc>
        <w:tc>
          <w:tcPr>
            <w:tcW w:w="75" w:type="dxa"/>
            <w:tcBorders/>
            <w:shd w:fill="auto" w:val="clear"/>
            <w:vAlign w:val="center"/>
          </w:tcPr>
          <w:p>
            <w:pPr>
              <w:pStyle w:val="TableContents"/>
              <w:spacing w:before="0" w:after="283"/>
              <w:rPr/>
            </w:pPr>
            <w:r>
              <w:rPr/>
              <w:t> </w:t>
            </w:r>
          </w:p>
        </w:tc>
      </w:tr>
      <w:tr>
        <w:trPr/>
        <w:tc>
          <w:tcPr>
            <w:tcW w:w="26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Page 3 of 3</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caps w:val="false"/>
          <w:smallCaps w:val="false"/>
        </w:rPr>
      </w:pPr>
      <w:bookmarkStart w:id="35" w:name="tm211138d1_ex23-1.htm"/>
      <w:bookmarkStart w:id="36" w:name="kstm211138d1_ex231"/>
      <w:bookmarkEnd w:id="35"/>
      <w:bookmarkEnd w:id="36"/>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Acura Pharmaceuticals, Inc.</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Palatine, Illinois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S-¬3 (Nos. 333-210039, 333-187075 and 333-146416) and Form S-8 (Nos. 333-221645, 333-213017, 333-195612, and 333-151620) of Acura Pharmaceuticals, Inc. of our report dated March 31, 2021, relating to the consolidated financial statements which appears in this Form 10-K. Our report contains an explanatory paragraph regarding the Company’s ability to continue as a going concern.</w:t>
      </w:r>
    </w:p>
    <w:p>
      <w:pPr>
        <w:pStyle w:val="TextBody"/>
        <w:spacing w:before="0" w:after="0"/>
        <w:ind w:left="0" w:right="0" w:hanging="0"/>
        <w:jc w:val="both"/>
        <w:rPr>
          <w:caps w:val="false"/>
          <w:smallCaps w:val="false"/>
        </w:rPr>
      </w:pPr>
      <w:r>
        <w:rPr>
          <w:caps w:val="false"/>
          <w:smallCaps w:val="false"/>
        </w:rPr>
        <w:t> </w:t>
      </w:r>
    </w:p>
    <w:tbl>
      <w:tblPr>
        <w:tblW w:w="1610" w:type="dxa"/>
        <w:jc w:val="left"/>
        <w:tblInd w:w="0" w:type="dxa"/>
        <w:tblCellMar>
          <w:top w:w="0" w:type="dxa"/>
          <w:left w:w="0" w:type="dxa"/>
          <w:bottom w:w="0" w:type="dxa"/>
          <w:right w:w="0" w:type="dxa"/>
        </w:tblCellMar>
      </w:tblPr>
      <w:tblGrid>
        <w:gridCol w:w="1535"/>
        <w:gridCol w:w="75"/>
      </w:tblGrid>
      <w:tr>
        <w:trPr/>
        <w:tc>
          <w:tcPr>
            <w:tcW w:w="15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tc>
        <w:tc>
          <w:tcPr>
            <w:tcW w:w="7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tc>
        <w:tc>
          <w:tcPr>
            <w:tcW w:w="75"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7" w:name="tm211138d1_ex31-1.htm"/>
      <w:bookmarkStart w:id="38" w:name="kstm211138d1_ex311"/>
      <w:bookmarkEnd w:id="37"/>
      <w:bookmarkEnd w:id="38"/>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B. Jones, certify that:</w:t>
      </w:r>
    </w:p>
    <w:p>
      <w:pPr>
        <w:pStyle w:val="TextBody"/>
        <w:spacing w:before="0" w:after="0"/>
        <w:ind w:left="0" w:right="0" w:hanging="0"/>
        <w:rPr>
          <w:caps w:val="false"/>
          <w:smallCaps w:val="false"/>
        </w:rPr>
      </w:pPr>
      <w:r>
        <w:rPr>
          <w:caps w:val="false"/>
          <w:smallCaps w:val="false"/>
        </w:rPr>
        <w:t> </w:t>
      </w:r>
    </w:p>
    <w:tbl>
      <w:tblPr>
        <w:tblW w:w="6805" w:type="dxa"/>
        <w:jc w:val="left"/>
        <w:tblInd w:w="0" w:type="dxa"/>
        <w:tblCellMar>
          <w:top w:w="0" w:type="dxa"/>
          <w:left w:w="0" w:type="dxa"/>
          <w:bottom w:w="0" w:type="dxa"/>
          <w:right w:w="0" w:type="dxa"/>
        </w:tblCellMar>
      </w:tblPr>
      <w:tblGrid>
        <w:gridCol w:w="185"/>
        <w:gridCol w:w="6620"/>
      </w:tblGrid>
      <w:tr>
        <w:trPr/>
        <w:tc>
          <w:tcPr>
            <w:tcW w:w="185" w:type="dxa"/>
            <w:tcBorders/>
            <w:shd w:fill="auto" w:val="clear"/>
            <w:vAlign w:val="center"/>
          </w:tcPr>
          <w:p>
            <w:pPr>
              <w:pStyle w:val="TableContents"/>
              <w:spacing w:before="0" w:after="283"/>
              <w:jc w:val="left"/>
              <w:rPr>
                <w:sz w:val="20"/>
              </w:rPr>
            </w:pPr>
            <w:r>
              <w:rPr>
                <w:sz w:val="20"/>
              </w:rPr>
              <w:t>1.</w:t>
            </w:r>
          </w:p>
        </w:tc>
        <w:tc>
          <w:tcPr>
            <w:tcW w:w="6620" w:type="dxa"/>
            <w:tcBorders/>
            <w:shd w:fill="auto" w:val="clear"/>
            <w:vAlign w:val="center"/>
          </w:tcPr>
          <w:p>
            <w:pPr>
              <w:pStyle w:val="TableContents"/>
              <w:spacing w:before="0" w:after="283"/>
              <w:jc w:val="both"/>
              <w:rPr>
                <w:sz w:val="20"/>
              </w:rPr>
            </w:pPr>
            <w:r>
              <w:rPr>
                <w:sz w:val="20"/>
              </w:rPr>
              <w:t>I have reviewed this Annual Report on Form 10-K of Acura Pharmaceuticals, Inc.;</w:t>
            </w:r>
          </w:p>
        </w:tc>
      </w:tr>
    </w:tbl>
    <w:p>
      <w:pPr>
        <w:pStyle w:val="TextBody"/>
        <w:spacing w:before="0" w:after="0"/>
        <w:ind w:left="36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sz w:val="20"/>
              </w:rPr>
            </w:pPr>
            <w:r>
              <w:rPr>
                <w:sz w:val="20"/>
              </w:rPr>
              <w:t>2.</w:t>
            </w:r>
          </w:p>
        </w:tc>
        <w:tc>
          <w:tcPr>
            <w:tcW w:w="10048" w:type="dxa"/>
            <w:tcBorders/>
            <w:shd w:fill="auto" w:val="clear"/>
            <w:vAlign w:val="center"/>
          </w:tcPr>
          <w:p>
            <w:pPr>
              <w:pStyle w:val="TableContents"/>
              <w:spacing w:before="0" w:after="283"/>
              <w:jc w:val="both"/>
              <w:rPr>
                <w:sz w:val="20"/>
              </w:rPr>
            </w:pPr>
            <w:r>
              <w:rPr>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36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rPr>
                <w:sz w:val="20"/>
              </w:rPr>
            </w:pPr>
            <w:r>
              <w:rPr>
                <w:sz w:val="20"/>
              </w:rPr>
              <w:t>3.</w:t>
            </w:r>
          </w:p>
        </w:tc>
        <w:tc>
          <w:tcPr>
            <w:tcW w:w="10046" w:type="dxa"/>
            <w:tcBorders/>
            <w:shd w:fill="auto" w:val="clear"/>
            <w:vAlign w:val="center"/>
          </w:tcPr>
          <w:p>
            <w:pPr>
              <w:pStyle w:val="TableContents"/>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36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sz w:val="20"/>
              </w:rPr>
            </w:pPr>
            <w:r>
              <w:rPr>
                <w:sz w:val="20"/>
              </w:rPr>
              <w:t>4.</w:t>
            </w:r>
          </w:p>
        </w:tc>
        <w:tc>
          <w:tcPr>
            <w:tcW w:w="10049" w:type="dxa"/>
            <w:tcBorders/>
            <w:shd w:fill="auto" w:val="clear"/>
            <w:vAlign w:val="center"/>
          </w:tcPr>
          <w:p>
            <w:pPr>
              <w:pStyle w:val="TableContents"/>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88"/>
        <w:gridCol w:w="9942"/>
      </w:tblGrid>
      <w:tr>
        <w:trPr/>
        <w:tc>
          <w:tcPr>
            <w:tcW w:w="75"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jc w:val="both"/>
              <w:rPr>
                <w:sz w:val="20"/>
              </w:rPr>
            </w:pPr>
            <w:r>
              <w:rPr>
                <w:sz w:val="20"/>
              </w:rPr>
              <w:t>(a)</w:t>
            </w:r>
          </w:p>
        </w:tc>
        <w:tc>
          <w:tcPr>
            <w:tcW w:w="9942"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4"/>
        <w:gridCol w:w="9926"/>
      </w:tblGrid>
      <w:tr>
        <w:trPr/>
        <w:tc>
          <w:tcPr>
            <w:tcW w:w="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jc w:val="both"/>
              <w:rPr>
                <w:sz w:val="20"/>
              </w:rPr>
            </w:pPr>
            <w:r>
              <w:rPr>
                <w:sz w:val="20"/>
              </w:rPr>
              <w:t>(b)</w:t>
            </w:r>
          </w:p>
        </w:tc>
        <w:tc>
          <w:tcPr>
            <w:tcW w:w="9926"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jc w:val="both"/>
              <w:rPr/>
            </w:pPr>
            <w:r>
              <w:rPr/>
              <w:t> </w:t>
            </w:r>
          </w:p>
        </w:tc>
        <w:tc>
          <w:tcPr>
            <w:tcW w:w="9926"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jc w:val="both"/>
              <w:rPr>
                <w:sz w:val="20"/>
              </w:rPr>
            </w:pPr>
            <w:r>
              <w:rPr>
                <w:sz w:val="20"/>
              </w:rPr>
              <w:t>(c)</w:t>
            </w:r>
          </w:p>
        </w:tc>
        <w:tc>
          <w:tcPr>
            <w:tcW w:w="9926" w:type="dxa"/>
            <w:tcBorders/>
            <w:shd w:fill="auto" w:val="clear"/>
            <w:vAlign w:val="center"/>
          </w:tcPr>
          <w:p>
            <w:pPr>
              <w:pStyle w:val="TableContents"/>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7"/>
        <w:gridCol w:w="9923"/>
      </w:tblGrid>
      <w:tr>
        <w:trPr/>
        <w:tc>
          <w:tcPr>
            <w:tcW w:w="75"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jc w:val="both"/>
              <w:rPr>
                <w:sz w:val="20"/>
              </w:rPr>
            </w:pPr>
            <w:r>
              <w:rPr>
                <w:sz w:val="20"/>
              </w:rPr>
              <w:t>(d)</w:t>
            </w:r>
          </w:p>
        </w:tc>
        <w:tc>
          <w:tcPr>
            <w:tcW w:w="9923" w:type="dxa"/>
            <w:tcBorders/>
            <w:shd w:fill="auto" w:val="clear"/>
            <w:vAlign w:val="center"/>
          </w:tcPr>
          <w:p>
            <w:pPr>
              <w:pStyle w:val="TableContents"/>
              <w:spacing w:before="0" w:after="283"/>
              <w:jc w:val="both"/>
              <w:rPr>
                <w:sz w:val="20"/>
              </w:rPr>
            </w:pPr>
            <w:r>
              <w:rPr>
                <w:sz w:val="20"/>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20"/>
              </w:rPr>
            </w:pPr>
            <w:r>
              <w:rPr>
                <w:sz w:val="20"/>
              </w:rPr>
              <w:t>5.</w:t>
            </w:r>
          </w:p>
        </w:tc>
        <w:tc>
          <w:tcPr>
            <w:tcW w:w="10047" w:type="dxa"/>
            <w:tcBorders/>
            <w:shd w:fill="auto" w:val="clear"/>
            <w:vAlign w:val="center"/>
          </w:tcPr>
          <w:p>
            <w:pPr>
              <w:pStyle w:val="TableContents"/>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both"/>
              <w:rPr>
                <w:sz w:val="20"/>
              </w:rPr>
            </w:pPr>
            <w:r>
              <w:rPr>
                <w:sz w:val="20"/>
              </w:rPr>
              <w:t>(a)</w:t>
            </w:r>
          </w:p>
        </w:tc>
        <w:tc>
          <w:tcPr>
            <w:tcW w:w="9934"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7"/>
        <w:gridCol w:w="9903"/>
      </w:tblGrid>
      <w:tr>
        <w:trPr/>
        <w:tc>
          <w:tcPr>
            <w:tcW w:w="7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both"/>
              <w:rPr>
                <w:sz w:val="20"/>
              </w:rPr>
            </w:pPr>
            <w:r>
              <w:rPr>
                <w:sz w:val="20"/>
              </w:rPr>
              <w:t>(b)</w:t>
            </w:r>
          </w:p>
        </w:tc>
        <w:tc>
          <w:tcPr>
            <w:tcW w:w="9903"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3177" w:type="dxa"/>
        <w:jc w:val="left"/>
        <w:tblInd w:w="0" w:type="dxa"/>
        <w:tblCellMar>
          <w:top w:w="0" w:type="dxa"/>
          <w:left w:w="0" w:type="dxa"/>
          <w:bottom w:w="0" w:type="dxa"/>
          <w:right w:w="0" w:type="dxa"/>
        </w:tblCellMar>
      </w:tblPr>
      <w:tblGrid>
        <w:gridCol w:w="83"/>
        <w:gridCol w:w="2947"/>
        <w:gridCol w:w="147"/>
      </w:tblGrid>
      <w:tr>
        <w:trPr/>
        <w:tc>
          <w:tcPr>
            <w:tcW w:w="3177" w:type="dxa"/>
            <w:gridSpan w:val="3"/>
            <w:tcBorders/>
            <w:shd w:fill="FFFFFF" w:val="clear"/>
            <w:vAlign w:val="center"/>
          </w:tcPr>
          <w:p>
            <w:pPr>
              <w:pStyle w:val="TableContents"/>
              <w:spacing w:before="0" w:after="283"/>
              <w:jc w:val="both"/>
              <w:rPr>
                <w:sz w:val="20"/>
              </w:rPr>
            </w:pPr>
            <w:r>
              <w:rPr>
                <w:sz w:val="20"/>
              </w:rPr>
              <w:t>Date: March 31, 2021</w:t>
            </w:r>
          </w:p>
        </w:tc>
      </w:tr>
      <w:tr>
        <w:trPr/>
        <w:tc>
          <w:tcPr>
            <w:tcW w:w="83"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2947" w:type="dxa"/>
            <w:tcBorders>
              <w:bottom w:val="single" w:sz="8" w:space="0" w:color="000000"/>
            </w:tcBorders>
            <w:shd w:fill="FFFFFF" w:val="clear"/>
            <w:tcMar>
              <w:bottom w:w="28" w:type="dxa"/>
            </w:tcMar>
            <w:vAlign w:val="center"/>
          </w:tcPr>
          <w:p>
            <w:pPr>
              <w:pStyle w:val="TableContents"/>
              <w:spacing w:before="0" w:after="283"/>
              <w:rPr>
                <w:sz w:val="20"/>
              </w:rPr>
            </w:pPr>
            <w:r>
              <w:rPr>
                <w:sz w:val="20"/>
              </w:rPr>
              <w:t>/s/Robert B. Jones</w:t>
            </w:r>
          </w:p>
        </w:tc>
        <w:tc>
          <w:tcPr>
            <w:tcW w:w="147" w:type="dxa"/>
            <w:tcBorders/>
            <w:shd w:fill="FFFFFF" w:val="clear"/>
            <w:vAlign w:val="center"/>
          </w:tcPr>
          <w:p>
            <w:pPr>
              <w:pStyle w:val="TableContents"/>
              <w:spacing w:before="0" w:after="283"/>
              <w:rPr/>
            </w:pPr>
            <w:r>
              <w:rPr/>
              <w:t> </w:t>
            </w:r>
          </w:p>
        </w:tc>
      </w:tr>
      <w:tr>
        <w:trPr/>
        <w:tc>
          <w:tcPr>
            <w:tcW w:w="83" w:type="dxa"/>
            <w:tcBorders/>
            <w:shd w:fill="FFFFFF" w:val="clear"/>
            <w:vAlign w:val="center"/>
          </w:tcPr>
          <w:p>
            <w:pPr>
              <w:pStyle w:val="TableContents"/>
              <w:spacing w:before="0" w:after="283"/>
              <w:rPr/>
            </w:pPr>
            <w:r>
              <w:rPr/>
              <w:t> </w:t>
            </w:r>
          </w:p>
        </w:tc>
        <w:tc>
          <w:tcPr>
            <w:tcW w:w="3094" w:type="dxa"/>
            <w:gridSpan w:val="2"/>
            <w:tcBorders/>
            <w:shd w:fill="FFFFFF" w:val="clear"/>
            <w:vAlign w:val="center"/>
          </w:tcPr>
          <w:p>
            <w:pPr>
              <w:pStyle w:val="TableContents"/>
              <w:spacing w:before="0" w:after="283"/>
              <w:rPr>
                <w:sz w:val="20"/>
              </w:rPr>
            </w:pPr>
            <w:r>
              <w:rPr>
                <w:sz w:val="20"/>
              </w:rPr>
              <w:t>Robert B. Jones</w:t>
            </w:r>
          </w:p>
        </w:tc>
      </w:tr>
      <w:tr>
        <w:trPr/>
        <w:tc>
          <w:tcPr>
            <w:tcW w:w="83" w:type="dxa"/>
            <w:tcBorders/>
            <w:shd w:fill="FFFFFF" w:val="clear"/>
            <w:vAlign w:val="center"/>
          </w:tcPr>
          <w:p>
            <w:pPr>
              <w:pStyle w:val="TableContents"/>
              <w:spacing w:before="0" w:after="283"/>
              <w:rPr/>
            </w:pPr>
            <w:r>
              <w:rPr/>
              <w:t> </w:t>
            </w:r>
          </w:p>
        </w:tc>
        <w:tc>
          <w:tcPr>
            <w:tcW w:w="3094" w:type="dxa"/>
            <w:gridSpan w:val="2"/>
            <w:tcBorders/>
            <w:shd w:fill="FFFFFF" w:val="clear"/>
            <w:vAlign w:val="center"/>
          </w:tcPr>
          <w:p>
            <w:pPr>
              <w:pStyle w:val="TableContents"/>
              <w:spacing w:before="0" w:after="283"/>
              <w:rPr>
                <w:sz w:val="20"/>
              </w:rPr>
            </w:pPr>
            <w:r>
              <w:rPr>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9" w:name="tm211138d1_ex31-2.htm"/>
      <w:bookmarkStart w:id="40" w:name="kstm211138d1_ex312"/>
      <w:bookmarkEnd w:id="39"/>
      <w:bookmarkEnd w:id="40"/>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A. Clemens, certify that:</w:t>
      </w:r>
    </w:p>
    <w:p>
      <w:pPr>
        <w:pStyle w:val="TextBody"/>
        <w:spacing w:before="0" w:after="0"/>
        <w:ind w:left="0" w:right="0" w:hanging="0"/>
        <w:rPr>
          <w:caps w:val="false"/>
          <w:smallCaps w:val="false"/>
        </w:rPr>
      </w:pPr>
      <w:r>
        <w:rPr>
          <w:caps w:val="false"/>
          <w:smallCaps w:val="false"/>
        </w:rPr>
        <w:t> </w:t>
      </w:r>
    </w:p>
    <w:tbl>
      <w:tblPr>
        <w:tblW w:w="8103" w:type="dxa"/>
        <w:jc w:val="left"/>
        <w:tblInd w:w="0" w:type="dxa"/>
        <w:tblCellMar>
          <w:top w:w="0" w:type="dxa"/>
          <w:left w:w="0" w:type="dxa"/>
          <w:bottom w:w="0" w:type="dxa"/>
          <w:right w:w="0" w:type="dxa"/>
        </w:tblCellMar>
      </w:tblPr>
      <w:tblGrid>
        <w:gridCol w:w="38"/>
        <w:gridCol w:w="200"/>
        <w:gridCol w:w="786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1.</w:t>
            </w:r>
          </w:p>
        </w:tc>
        <w:tc>
          <w:tcPr>
            <w:tcW w:w="7865" w:type="dxa"/>
            <w:tcBorders/>
            <w:shd w:fill="auto" w:val="clear"/>
            <w:vAlign w:val="center"/>
          </w:tcPr>
          <w:p>
            <w:pPr>
              <w:pStyle w:val="TableContents"/>
              <w:spacing w:before="0" w:after="283"/>
              <w:jc w:val="both"/>
              <w:rPr/>
            </w:pPr>
            <w:r>
              <w:rPr/>
              <w:t>I have reviewed this Annual Report on Form 10-K of Acura Pharmaceuticals, Inc.;</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8"/>
        <w:gridCol w:w="10009"/>
      </w:tblGrid>
      <w:tr>
        <w:trPr/>
        <w:tc>
          <w:tcPr>
            <w:tcW w:w="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pPr>
            <w:r>
              <w:rPr/>
              <w:t>2.</w:t>
            </w:r>
          </w:p>
        </w:tc>
        <w:tc>
          <w:tcPr>
            <w:tcW w:w="10009" w:type="dxa"/>
            <w:tcBorders/>
            <w:shd w:fill="auto" w:val="clear"/>
            <w:vAlign w:val="center"/>
          </w:tcPr>
          <w:p>
            <w:pPr>
              <w:pStyle w:val="TableContents"/>
              <w:spacing w:before="0" w:after="283"/>
              <w:jc w:val="both"/>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2"/>
        <w:gridCol w:w="10005"/>
      </w:tblGrid>
      <w:tr>
        <w:trPr/>
        <w:tc>
          <w:tcPr>
            <w:tcW w:w="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3.</w:t>
            </w:r>
          </w:p>
        </w:tc>
        <w:tc>
          <w:tcPr>
            <w:tcW w:w="10005"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8"/>
        <w:gridCol w:w="10009"/>
      </w:tblGrid>
      <w:tr>
        <w:trPr/>
        <w:tc>
          <w:tcPr>
            <w:tcW w:w="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pPr>
            <w:r>
              <w:rPr/>
              <w:t>4.</w:t>
            </w:r>
          </w:p>
        </w:tc>
        <w:tc>
          <w:tcPr>
            <w:tcW w:w="10009" w:type="dxa"/>
            <w:tcBorders/>
            <w:shd w:fill="auto" w:val="clear"/>
            <w:vAlign w:val="center"/>
          </w:tcPr>
          <w:p>
            <w:pPr>
              <w:pStyle w:val="TableContents"/>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0"/>
        <w:gridCol w:w="9947"/>
      </w:tblGrid>
      <w:tr>
        <w:trPr/>
        <w:tc>
          <w:tcPr>
            <w:tcW w:w="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pPr>
            <w:r>
              <w:rPr/>
              <w:t>(a)</w:t>
            </w:r>
          </w:p>
        </w:tc>
        <w:tc>
          <w:tcPr>
            <w:tcW w:w="9947"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(c)</w:t>
            </w:r>
          </w:p>
        </w:tc>
        <w:tc>
          <w:tcPr>
            <w:tcW w:w="9941"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8"/>
        <w:gridCol w:w="9929"/>
      </w:tblGrid>
      <w:tr>
        <w:trPr/>
        <w:tc>
          <w:tcPr>
            <w:tcW w:w="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pPr>
            <w:r>
              <w:rPr/>
              <w:t>(d)</w:t>
            </w:r>
          </w:p>
        </w:tc>
        <w:tc>
          <w:tcPr>
            <w:tcW w:w="9929"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1"/>
        <w:gridCol w:w="10006"/>
      </w:tblGrid>
      <w:tr>
        <w:trPr/>
        <w:tc>
          <w:tcPr>
            <w:tcW w:w="3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5.</w:t>
            </w:r>
          </w:p>
        </w:tc>
        <w:tc>
          <w:tcPr>
            <w:tcW w:w="10006" w:type="dxa"/>
            <w:tcBorders/>
            <w:shd w:fill="auto" w:val="clear"/>
            <w:vAlign w:val="center"/>
          </w:tcPr>
          <w:p>
            <w:pPr>
              <w:pStyle w:val="TableContents"/>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(a)</w:t>
            </w:r>
          </w:p>
        </w:tc>
        <w:tc>
          <w:tcPr>
            <w:tcW w:w="9939"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360" w:right="14"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pPr>
            <w:r>
              <w:rPr/>
              <w:t>(b)</w:t>
            </w:r>
          </w:p>
        </w:tc>
        <w:tc>
          <w:tcPr>
            <w:tcW w:w="9908"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5829" w:type="dxa"/>
        <w:jc w:val="left"/>
        <w:tblInd w:w="0" w:type="dxa"/>
        <w:tblCellMar>
          <w:top w:w="0" w:type="dxa"/>
          <w:left w:w="0" w:type="dxa"/>
          <w:bottom w:w="0" w:type="dxa"/>
          <w:right w:w="0" w:type="dxa"/>
        </w:tblCellMar>
      </w:tblPr>
      <w:tblGrid>
        <w:gridCol w:w="1805"/>
        <w:gridCol w:w="3848"/>
        <w:gridCol w:w="176"/>
      </w:tblGrid>
      <w:tr>
        <w:trPr/>
        <w:tc>
          <w:tcPr>
            <w:tcW w:w="1805" w:type="dxa"/>
            <w:tcBorders/>
            <w:shd w:fill="FFFFFF"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tc>
        <w:tc>
          <w:tcPr>
            <w:tcW w:w="4024" w:type="dxa"/>
            <w:gridSpan w:val="2"/>
            <w:tcBorders/>
            <w:shd w:fill="FFFFFF" w:val="clear"/>
            <w:vAlign w:val="center"/>
          </w:tcPr>
          <w:p>
            <w:pPr>
              <w:pStyle w:val="TableContents"/>
              <w:spacing w:before="0" w:after="283"/>
              <w:rPr/>
            </w:pPr>
            <w:r>
              <w:rPr/>
              <w:t> </w:t>
            </w:r>
          </w:p>
        </w:tc>
      </w:tr>
      <w:tr>
        <w:trPr/>
        <w:tc>
          <w:tcPr>
            <w:tcW w:w="1805" w:type="dxa"/>
            <w:tcBorders/>
            <w:shd w:fill="FFFFFF" w:val="clear"/>
            <w:vAlign w:val="center"/>
          </w:tcPr>
          <w:p>
            <w:pPr>
              <w:pStyle w:val="TableContents"/>
              <w:spacing w:before="0" w:after="283"/>
              <w:rPr/>
            </w:pPr>
            <w:r>
              <w:rPr/>
              <w:t> </w:t>
            </w:r>
          </w:p>
        </w:tc>
        <w:tc>
          <w:tcPr>
            <w:tcW w:w="4024" w:type="dxa"/>
            <w:gridSpan w:val="2"/>
            <w:tcBorders/>
            <w:shd w:fill="FFFFFF" w:val="clear"/>
            <w:vAlign w:val="center"/>
          </w:tcPr>
          <w:p>
            <w:pPr>
              <w:pStyle w:val="TableContents"/>
              <w:spacing w:before="0" w:after="283"/>
              <w:rPr/>
            </w:pPr>
            <w:r>
              <w:rPr/>
              <w:t> </w:t>
            </w:r>
          </w:p>
        </w:tc>
      </w:tr>
      <w:tr>
        <w:trPr/>
        <w:tc>
          <w:tcPr>
            <w:tcW w:w="1805" w:type="dxa"/>
            <w:tcBorders/>
            <w:shd w:fill="FFFFFF" w:val="clear"/>
            <w:vAlign w:val="center"/>
          </w:tcPr>
          <w:p>
            <w:pPr>
              <w:pStyle w:val="TableContents"/>
              <w:spacing w:before="0" w:after="283"/>
              <w:rPr/>
            </w:pPr>
            <w:r>
              <w:rPr/>
              <w:t> </w:t>
            </w:r>
          </w:p>
        </w:tc>
        <w:tc>
          <w:tcPr>
            <w:tcW w:w="3848" w:type="dxa"/>
            <w:tcBorders>
              <w:bottom w:val="single" w:sz="8" w:space="0" w:color="000000"/>
            </w:tcBorders>
            <w:shd w:fill="FFFFFF" w:val="clear"/>
            <w:tcMar>
              <w:bottom w:w="28" w:type="dxa"/>
            </w:tcMar>
            <w:vAlign w:val="center"/>
          </w:tcPr>
          <w:p>
            <w:pPr>
              <w:pStyle w:val="TableContents"/>
              <w:spacing w:before="0" w:after="283"/>
              <w:rPr>
                <w:sz w:val="20"/>
              </w:rPr>
            </w:pPr>
            <w:r>
              <w:rPr>
                <w:sz w:val="20"/>
              </w:rPr>
              <w:t>/s/ Peter A. Clemens</w:t>
            </w:r>
          </w:p>
        </w:tc>
        <w:tc>
          <w:tcPr>
            <w:tcW w:w="176" w:type="dxa"/>
            <w:tcBorders/>
            <w:shd w:fill="FFFFFF" w:val="clear"/>
            <w:vAlign w:val="center"/>
          </w:tcPr>
          <w:p>
            <w:pPr>
              <w:pStyle w:val="TableContents"/>
              <w:spacing w:before="0" w:after="283"/>
              <w:rPr/>
            </w:pPr>
            <w:r>
              <w:rPr/>
              <w:t> </w:t>
            </w:r>
          </w:p>
        </w:tc>
      </w:tr>
      <w:tr>
        <w:trPr/>
        <w:tc>
          <w:tcPr>
            <w:tcW w:w="1805" w:type="dxa"/>
            <w:tcBorders/>
            <w:shd w:fill="FFFFFF" w:val="clear"/>
            <w:vAlign w:val="center"/>
          </w:tcPr>
          <w:p>
            <w:pPr>
              <w:pStyle w:val="TableContents"/>
              <w:spacing w:before="0" w:after="283"/>
              <w:rPr/>
            </w:pPr>
            <w:r>
              <w:rPr/>
              <w:t> </w:t>
            </w:r>
          </w:p>
        </w:tc>
        <w:tc>
          <w:tcPr>
            <w:tcW w:w="4024" w:type="dxa"/>
            <w:gridSpan w:val="2"/>
            <w:tcBorders/>
            <w:shd w:fill="FFFFFF" w:val="clear"/>
            <w:vAlign w:val="center"/>
          </w:tcPr>
          <w:p>
            <w:pPr>
              <w:pStyle w:val="TableContents"/>
              <w:spacing w:before="0" w:after="283"/>
              <w:rPr>
                <w:sz w:val="20"/>
              </w:rPr>
            </w:pPr>
            <w:r>
              <w:rPr>
                <w:sz w:val="20"/>
              </w:rPr>
              <w:t>Peter A. Clemens</w:t>
            </w:r>
          </w:p>
        </w:tc>
      </w:tr>
      <w:tr>
        <w:trPr/>
        <w:tc>
          <w:tcPr>
            <w:tcW w:w="1805" w:type="dxa"/>
            <w:tcBorders/>
            <w:shd w:fill="FFFFFF" w:val="clear"/>
            <w:vAlign w:val="center"/>
          </w:tcPr>
          <w:p>
            <w:pPr>
              <w:pStyle w:val="TableContents"/>
              <w:spacing w:before="0" w:after="283"/>
              <w:rPr/>
            </w:pPr>
            <w:r>
              <w:rPr/>
              <w:t> </w:t>
            </w:r>
          </w:p>
        </w:tc>
        <w:tc>
          <w:tcPr>
            <w:tcW w:w="4024" w:type="dxa"/>
            <w:gridSpan w:val="2"/>
            <w:tcBorders/>
            <w:shd w:fill="FFFFFF" w:val="clear"/>
            <w:vAlign w:val="center"/>
          </w:tcPr>
          <w:p>
            <w:pPr>
              <w:pStyle w:val="TableContents"/>
              <w:spacing w:before="0" w:after="283"/>
              <w:rPr>
                <w:sz w:val="20"/>
              </w:rPr>
            </w:pPr>
            <w:r>
              <w:rPr>
                <w:sz w:val="20"/>
              </w:rPr>
              <w:t>Senior Vice President and 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41" w:name="tm211138d1_ex32.htm"/>
      <w:bookmarkStart w:id="42" w:name="kstm211138d1_ex32"/>
      <w:bookmarkEnd w:id="41"/>
      <w:bookmarkEnd w:id="42"/>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B. Jones, certify, pursuant to 18 U.S.C. 1350, as adopted pursuant to Section 906 of the Sarbanes-Oxley Act of 2002, that the Annual Report on Form 10-K of Acura Pharmaceuticals, Inc. for the fiscal year ended December 31, 2020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pStyle w:val="TextBody"/>
        <w:spacing w:before="0" w:after="0"/>
        <w:ind w:left="0" w:right="0" w:hanging="0"/>
        <w:jc w:val="both"/>
        <w:rPr>
          <w:caps w:val="false"/>
          <w:smallCaps w:val="false"/>
        </w:rPr>
      </w:pPr>
      <w:r>
        <w:rPr>
          <w:caps w:val="false"/>
          <w:smallCaps w:val="false"/>
        </w:rPr>
        <w:t> </w:t>
      </w:r>
    </w:p>
    <w:tbl>
      <w:tblPr>
        <w:tblW w:w="5279" w:type="dxa"/>
        <w:jc w:val="left"/>
        <w:tblInd w:w="0" w:type="dxa"/>
        <w:tblCellMar>
          <w:top w:w="0" w:type="dxa"/>
          <w:left w:w="0" w:type="dxa"/>
          <w:bottom w:w="0" w:type="dxa"/>
          <w:right w:w="0" w:type="dxa"/>
        </w:tblCellMar>
      </w:tblPr>
      <w:tblGrid>
        <w:gridCol w:w="1325"/>
        <w:gridCol w:w="320"/>
        <w:gridCol w:w="3465"/>
        <w:gridCol w:w="169"/>
      </w:tblGrid>
      <w:tr>
        <w:trPr/>
        <w:tc>
          <w:tcPr>
            <w:tcW w:w="1325" w:type="dxa"/>
            <w:tcBorders/>
            <w:shd w:fill="FFFFFF" w:val="clear"/>
            <w:vAlign w:val="center"/>
          </w:tcPr>
          <w:p>
            <w:pPr>
              <w:pStyle w:val="TableContents"/>
              <w:spacing w:before="0" w:after="283"/>
              <w:jc w:val="both"/>
              <w:rPr>
                <w:sz w:val="20"/>
              </w:rPr>
            </w:pPr>
            <w:r>
              <w:rPr>
                <w:sz w:val="20"/>
              </w:rPr>
              <w:t>March 31, 2021</w:t>
            </w:r>
          </w:p>
        </w:tc>
        <w:tc>
          <w:tcPr>
            <w:tcW w:w="320" w:type="dxa"/>
            <w:tcBorders/>
            <w:shd w:fill="FFFFFF" w:val="clear"/>
            <w:vAlign w:val="center"/>
          </w:tcPr>
          <w:p>
            <w:pPr>
              <w:pStyle w:val="TableContents"/>
              <w:spacing w:before="0" w:after="283"/>
              <w:rPr>
                <w:sz w:val="20"/>
              </w:rPr>
            </w:pPr>
            <w:r>
              <w:rPr>
                <w:sz w:val="20"/>
              </w:rPr>
              <w:t>By:</w:t>
            </w:r>
          </w:p>
        </w:tc>
        <w:tc>
          <w:tcPr>
            <w:tcW w:w="3465" w:type="dxa"/>
            <w:tcBorders>
              <w:bottom w:val="single" w:sz="8" w:space="0" w:color="000000"/>
            </w:tcBorders>
            <w:shd w:fill="FFFFFF" w:val="clear"/>
            <w:tcMar>
              <w:bottom w:w="28" w:type="dxa"/>
            </w:tcMar>
            <w:vAlign w:val="center"/>
          </w:tcPr>
          <w:p>
            <w:pPr>
              <w:pStyle w:val="TableContents"/>
              <w:spacing w:before="0" w:after="283"/>
              <w:rPr>
                <w:sz w:val="20"/>
              </w:rPr>
            </w:pPr>
            <w:r>
              <w:rPr>
                <w:sz w:val="20"/>
              </w:rPr>
              <w:t>/s/ Robert B. Jones</w:t>
            </w:r>
          </w:p>
        </w:tc>
        <w:tc>
          <w:tcPr>
            <w:tcW w:w="169" w:type="dxa"/>
            <w:tcBorders/>
            <w:shd w:fill="FFFFFF" w:val="clear"/>
            <w:vAlign w:val="center"/>
          </w:tcPr>
          <w:p>
            <w:pPr>
              <w:pStyle w:val="TableContents"/>
              <w:spacing w:before="0" w:after="283"/>
              <w:rPr/>
            </w:pPr>
            <w:r>
              <w:rPr/>
              <w:t> </w:t>
            </w:r>
          </w:p>
        </w:tc>
      </w:tr>
      <w:tr>
        <w:trPr/>
        <w:tc>
          <w:tcPr>
            <w:tcW w:w="1325" w:type="dxa"/>
            <w:tcBorders/>
            <w:shd w:fill="FFFFFF" w:val="clear"/>
            <w:vAlign w:val="center"/>
          </w:tcPr>
          <w:p>
            <w:pPr>
              <w:pStyle w:val="TableContents"/>
              <w:spacing w:before="0" w:after="283"/>
              <w:jc w:val="both"/>
              <w:rPr/>
            </w:pPr>
            <w:r>
              <w:rPr/>
              <w:t> </w:t>
            </w:r>
          </w:p>
        </w:tc>
        <w:tc>
          <w:tcPr>
            <w:tcW w:w="320" w:type="dxa"/>
            <w:tcBorders/>
            <w:shd w:fill="FFFFFF" w:val="clear"/>
            <w:vAlign w:val="center"/>
          </w:tcPr>
          <w:p>
            <w:pPr>
              <w:pStyle w:val="TableContents"/>
              <w:spacing w:before="0" w:after="283"/>
              <w:rPr/>
            </w:pPr>
            <w:r>
              <w:rPr/>
              <w:t> </w:t>
            </w:r>
          </w:p>
        </w:tc>
        <w:tc>
          <w:tcPr>
            <w:tcW w:w="3634" w:type="dxa"/>
            <w:gridSpan w:val="2"/>
            <w:tcBorders/>
            <w:shd w:fill="FFFFFF" w:val="clear"/>
            <w:vAlign w:val="center"/>
          </w:tcPr>
          <w:p>
            <w:pPr>
              <w:pStyle w:val="TableContents"/>
              <w:spacing w:before="0" w:after="283"/>
              <w:rPr/>
            </w:pPr>
            <w:r>
              <w:rPr/>
              <w:t>Robert B. Jones</w:t>
            </w:r>
          </w:p>
        </w:tc>
      </w:tr>
      <w:tr>
        <w:trPr/>
        <w:tc>
          <w:tcPr>
            <w:tcW w:w="1325" w:type="dxa"/>
            <w:tcBorders/>
            <w:shd w:fill="FFFFFF" w:val="clear"/>
            <w:vAlign w:val="center"/>
          </w:tcPr>
          <w:p>
            <w:pPr>
              <w:pStyle w:val="TableContents"/>
              <w:spacing w:before="0" w:after="283"/>
              <w:jc w:val="both"/>
              <w:rPr/>
            </w:pPr>
            <w:r>
              <w:rPr/>
              <w:t> </w:t>
            </w:r>
          </w:p>
        </w:tc>
        <w:tc>
          <w:tcPr>
            <w:tcW w:w="320" w:type="dxa"/>
            <w:tcBorders/>
            <w:shd w:fill="FFFFFF" w:val="clear"/>
            <w:vAlign w:val="center"/>
          </w:tcPr>
          <w:p>
            <w:pPr>
              <w:pStyle w:val="TableContents"/>
              <w:spacing w:before="0" w:after="283"/>
              <w:rPr/>
            </w:pPr>
            <w:r>
              <w:rPr/>
              <w:t> </w:t>
            </w:r>
          </w:p>
        </w:tc>
        <w:tc>
          <w:tcPr>
            <w:tcW w:w="3634" w:type="dxa"/>
            <w:gridSpan w:val="2"/>
            <w:tcBorders/>
            <w:shd w:fill="FFFFFF"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A. Clemens, certify, pursuant to 18 U.S.C. 1350, as adopted pursuant to Section 906 of the Sarbanes-Oxley Act of 2002, that the Annual Report on Form 10-K of Acura Pharmaceuticals, Inc. for the fiscal year ended December 31, 2020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389" w:type="dxa"/>
        <w:jc w:val="left"/>
        <w:tblInd w:w="0" w:type="dxa"/>
        <w:tblCellMar>
          <w:top w:w="0" w:type="dxa"/>
          <w:left w:w="0" w:type="dxa"/>
          <w:bottom w:w="0" w:type="dxa"/>
          <w:right w:w="0" w:type="dxa"/>
        </w:tblCellMar>
      </w:tblPr>
      <w:tblGrid>
        <w:gridCol w:w="1325"/>
        <w:gridCol w:w="320"/>
        <w:gridCol w:w="4537"/>
        <w:gridCol w:w="207"/>
      </w:tblGrid>
      <w:tr>
        <w:trPr/>
        <w:tc>
          <w:tcPr>
            <w:tcW w:w="1325" w:type="dxa"/>
            <w:tcBorders/>
            <w:shd w:fill="FFFFFF" w:val="clear"/>
            <w:vAlign w:val="center"/>
          </w:tcPr>
          <w:p>
            <w:pPr>
              <w:pStyle w:val="TableContents"/>
              <w:spacing w:before="0" w:after="283"/>
              <w:jc w:val="both"/>
              <w:rPr>
                <w:sz w:val="20"/>
              </w:rPr>
            </w:pPr>
            <w:r>
              <w:rPr>
                <w:sz w:val="20"/>
              </w:rPr>
              <w:t>March 31, 2021</w:t>
            </w:r>
          </w:p>
        </w:tc>
        <w:tc>
          <w:tcPr>
            <w:tcW w:w="320" w:type="dxa"/>
            <w:tcBorders/>
            <w:shd w:fill="FFFFFF" w:val="clear"/>
            <w:vAlign w:val="center"/>
          </w:tcPr>
          <w:p>
            <w:pPr>
              <w:pStyle w:val="TableContents"/>
              <w:spacing w:before="0" w:after="283"/>
              <w:ind w:left="0" w:right="0" w:hanging="552"/>
              <w:rPr>
                <w:sz w:val="20"/>
              </w:rPr>
            </w:pPr>
            <w:r>
              <w:rPr>
                <w:sz w:val="20"/>
              </w:rPr>
              <w:t>By:</w:t>
            </w:r>
          </w:p>
        </w:tc>
        <w:tc>
          <w:tcPr>
            <w:tcW w:w="4537" w:type="dxa"/>
            <w:tcBorders>
              <w:bottom w:val="single" w:sz="8" w:space="0" w:color="000000"/>
            </w:tcBorders>
            <w:shd w:fill="FFFFFF" w:val="clear"/>
            <w:tcMar>
              <w:bottom w:w="28" w:type="dxa"/>
            </w:tcMar>
            <w:vAlign w:val="center"/>
          </w:tcPr>
          <w:p>
            <w:pPr>
              <w:pStyle w:val="TableContents"/>
              <w:spacing w:before="0" w:after="283"/>
              <w:ind w:left="0" w:right="0" w:hanging="552"/>
              <w:rPr>
                <w:sz w:val="20"/>
              </w:rPr>
            </w:pPr>
            <w:r>
              <w:rPr>
                <w:sz w:val="20"/>
              </w:rPr>
              <w:t>/s/ Peter A. Clemens</w:t>
            </w:r>
          </w:p>
        </w:tc>
        <w:tc>
          <w:tcPr>
            <w:tcW w:w="207" w:type="dxa"/>
            <w:tcBorders/>
            <w:shd w:fill="FFFFFF" w:val="clear"/>
            <w:vAlign w:val="center"/>
          </w:tcPr>
          <w:p>
            <w:pPr>
              <w:pStyle w:val="TableContents"/>
              <w:spacing w:before="0" w:after="283"/>
              <w:rPr/>
            </w:pPr>
            <w:r>
              <w:rPr/>
              <w:t> </w:t>
            </w:r>
          </w:p>
        </w:tc>
      </w:tr>
      <w:tr>
        <w:trPr/>
        <w:tc>
          <w:tcPr>
            <w:tcW w:w="1325" w:type="dxa"/>
            <w:tcBorders/>
            <w:shd w:fill="FFFFFF" w:val="clear"/>
            <w:vAlign w:val="center"/>
          </w:tcPr>
          <w:p>
            <w:pPr>
              <w:pStyle w:val="TableContents"/>
              <w:spacing w:before="0" w:after="283"/>
              <w:jc w:val="both"/>
              <w:rPr/>
            </w:pPr>
            <w:r>
              <w:rPr/>
              <w:t> </w:t>
            </w:r>
          </w:p>
        </w:tc>
        <w:tc>
          <w:tcPr>
            <w:tcW w:w="320" w:type="dxa"/>
            <w:tcBorders/>
            <w:shd w:fill="FFFFFF" w:val="clear"/>
            <w:vAlign w:val="center"/>
          </w:tcPr>
          <w:p>
            <w:pPr>
              <w:pStyle w:val="TableContents"/>
              <w:spacing w:before="0" w:after="283"/>
              <w:ind w:left="0" w:right="0" w:hanging="552"/>
              <w:rPr/>
            </w:pPr>
            <w:r>
              <w:rPr/>
              <w:t> </w:t>
            </w:r>
          </w:p>
        </w:tc>
        <w:tc>
          <w:tcPr>
            <w:tcW w:w="4744" w:type="dxa"/>
            <w:gridSpan w:val="2"/>
            <w:tcBorders/>
            <w:shd w:fill="FFFFFF" w:val="clear"/>
            <w:vAlign w:val="center"/>
          </w:tcPr>
          <w:p>
            <w:pPr>
              <w:pStyle w:val="TableContents"/>
              <w:spacing w:before="0" w:after="283"/>
              <w:rPr/>
            </w:pPr>
            <w:r>
              <w:rPr/>
              <w:t>Peter A. Clemens</w:t>
            </w:r>
          </w:p>
        </w:tc>
      </w:tr>
      <w:tr>
        <w:trPr/>
        <w:tc>
          <w:tcPr>
            <w:tcW w:w="1325" w:type="dxa"/>
            <w:tcBorders/>
            <w:shd w:fill="FFFFFF" w:val="clear"/>
            <w:vAlign w:val="center"/>
          </w:tcPr>
          <w:p>
            <w:pPr>
              <w:pStyle w:val="TableContents"/>
              <w:spacing w:before="0" w:after="283"/>
              <w:jc w:val="both"/>
              <w:rPr/>
            </w:pPr>
            <w:r>
              <w:rPr/>
              <w:t> </w:t>
            </w:r>
          </w:p>
        </w:tc>
        <w:tc>
          <w:tcPr>
            <w:tcW w:w="320" w:type="dxa"/>
            <w:tcBorders/>
            <w:shd w:fill="FFFFFF" w:val="clear"/>
            <w:vAlign w:val="center"/>
          </w:tcPr>
          <w:p>
            <w:pPr>
              <w:pStyle w:val="TableContents"/>
              <w:spacing w:before="0" w:after="283"/>
              <w:ind w:left="0" w:right="0" w:hanging="552"/>
              <w:rPr/>
            </w:pPr>
            <w:r>
              <w:rPr/>
              <w:t> </w:t>
            </w:r>
          </w:p>
        </w:tc>
        <w:tc>
          <w:tcPr>
            <w:tcW w:w="4744" w:type="dxa"/>
            <w:gridSpan w:val="2"/>
            <w:tcBorders/>
            <w:shd w:fill="FFFFFF" w:val="clear"/>
            <w:vAlign w:val="center"/>
          </w:tcPr>
          <w:p>
            <w:pPr>
              <w:pStyle w:val="TableContents"/>
              <w:spacing w:before="0" w:after="283"/>
              <w:rPr/>
            </w:pPr>
            <w:r>
              <w:rPr/>
              <w:t>Senior Vice President and 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283"/>
        <w:ind w:left="0" w:right="0" w:hanging="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6947/000114420415040397/v414486_ex1-1.htm" TargetMode="External"/><Relationship Id="rId3" Type="http://schemas.openxmlformats.org/officeDocument/2006/relationships/hyperlink" Target="http://www.sec.gov/Archives/edgar/data/786947/000114420415040397/v414486_ex1-1.htm" TargetMode="External"/><Relationship Id="rId4" Type="http://schemas.openxmlformats.org/officeDocument/2006/relationships/hyperlink" Target="http://www.sec.gov/Archives/edgar/data/786947/000114420409034341/v153020_ex3-1.htm" TargetMode="External"/><Relationship Id="rId5" Type="http://schemas.openxmlformats.org/officeDocument/2006/relationships/hyperlink" Target="http://www.sec.gov/Archives/edgar/data/786947/000114420409034341/v153020_ex3-1.htm" TargetMode="External"/><Relationship Id="rId6" Type="http://schemas.openxmlformats.org/officeDocument/2006/relationships/hyperlink" Target="http://www.sec.gov/Archives/edgar/data/786947/000114420407065762/v096320_ex3-1.htm" TargetMode="External"/><Relationship Id="rId7" Type="http://schemas.openxmlformats.org/officeDocument/2006/relationships/hyperlink" Target="http://www.sec.gov/Archives/edgar/data/786947/000114420407065762/v096320_ex3-1.htm" TargetMode="External"/><Relationship Id="rId8" Type="http://schemas.openxmlformats.org/officeDocument/2006/relationships/hyperlink" Target="http://www.sec.gov/Archives/edgar/data/786947/000114420415052383/v419250_ex3-1.htm" TargetMode="External"/><Relationship Id="rId9" Type="http://schemas.openxmlformats.org/officeDocument/2006/relationships/hyperlink" Target="http://www.sec.gov/Archives/edgar/data/786947/000114420415052383/v419250_ex3-1.htm" TargetMode="External"/><Relationship Id="rId10" Type="http://schemas.openxmlformats.org/officeDocument/2006/relationships/hyperlink" Target="http://www.sec.gov/Archives/edgar/data/786947/000114420418028166/tv493947_ex3-2.htm" TargetMode="External"/><Relationship Id="rId11" Type="http://schemas.openxmlformats.org/officeDocument/2006/relationships/hyperlink" Target="http://www.sec.gov/Archives/edgar/data/786947/000114420418028166/tv493947_ex3-2.htm" TargetMode="External"/><Relationship Id="rId12" Type="http://schemas.openxmlformats.org/officeDocument/2006/relationships/hyperlink" Target="http://www.sec.gov/Archives/edgar/data/786947/000114420416086913/v433718_ex4-1.htm" TargetMode="External"/><Relationship Id="rId13" Type="http://schemas.openxmlformats.org/officeDocument/2006/relationships/hyperlink" Target="http://www.sec.gov/Archives/edgar/data/786947/000114420416086913/v433718_ex4-1.htm" TargetMode="External"/><Relationship Id="rId14" Type="http://schemas.openxmlformats.org/officeDocument/2006/relationships/hyperlink" Target="http://www.sec.gov/Archives/edgar/data/786947/000114420415013292/v400005_ex10-9.htm" TargetMode="External"/><Relationship Id="rId15" Type="http://schemas.openxmlformats.org/officeDocument/2006/relationships/hyperlink" Target="http://www.sec.gov/Archives/edgar/data/786947/000114420415013292/v400005_ex10-9.htm" TargetMode="External"/><Relationship Id="rId16" Type="http://schemas.openxmlformats.org/officeDocument/2006/relationships/hyperlink" Target="http://www.sec.gov/Archives/edgar/data/786947/000114420415013292/v400005_ex10-10.htm" TargetMode="External"/><Relationship Id="rId17" Type="http://schemas.openxmlformats.org/officeDocument/2006/relationships/hyperlink" Target="http://www.sec.gov/Archives/edgar/data/786947/000114420415013292/v400005_ex10-10.htm" TargetMode="External"/><Relationship Id="rId18" Type="http://schemas.openxmlformats.org/officeDocument/2006/relationships/hyperlink" Target="http://www.sec.gov/Archives/edgar/data/786947/000114420415013292/v400005_ex10-11.htm" TargetMode="External"/><Relationship Id="rId19" Type="http://schemas.openxmlformats.org/officeDocument/2006/relationships/hyperlink" Target="http://www.sec.gov/Archives/edgar/data/786947/000114420415013292/v400005_ex10-11.htm" TargetMode="External"/><Relationship Id="rId20" Type="http://schemas.openxmlformats.org/officeDocument/2006/relationships/hyperlink" Target="http://www.sec.gov/Archives/edgar/data/786947/000114420417038822/v471679_ex4-1.htm" TargetMode="External"/><Relationship Id="rId21" Type="http://schemas.openxmlformats.org/officeDocument/2006/relationships/hyperlink" Target="http://www.sec.gov/Archives/edgar/data/786947/000114420417038822/v471679_ex4-1.htm" TargetMode="External"/><Relationship Id="rId22" Type="http://schemas.openxmlformats.org/officeDocument/2006/relationships/hyperlink" Target="http://www.sec.gov/Archives/edgar/data/786947/000114420411042215/v229537_ex10-1.htm" TargetMode="External"/><Relationship Id="rId23" Type="http://schemas.openxmlformats.org/officeDocument/2006/relationships/hyperlink" Target="http://www.sec.gov/Archives/edgar/data/786947/000114420411042215/v229537_ex10-1.htm" TargetMode="External"/><Relationship Id="rId24" Type="http://schemas.openxmlformats.org/officeDocument/2006/relationships/hyperlink" Target="http://www.sec.gov/Archives/edgar/data/786947/000114420407045483/v085726_ex10-1.htm" TargetMode="External"/><Relationship Id="rId25" Type="http://schemas.openxmlformats.org/officeDocument/2006/relationships/hyperlink" Target="http://www.sec.gov/Archives/edgar/data/786947/000114420407045483/v085726_ex10-1.htm" TargetMode="External"/><Relationship Id="rId26" Type="http://schemas.openxmlformats.org/officeDocument/2006/relationships/hyperlink" Target="http://www.sec.gov/Archives/edgar/data/786947/000114420417038822/v471679_ex10-1.htm" TargetMode="External"/><Relationship Id="rId27" Type="http://schemas.openxmlformats.org/officeDocument/2006/relationships/hyperlink" Target="http://www.sec.gov/Archives/edgar/data/786947/000114420417038822/v471679_ex10-1.htm" TargetMode="External"/><Relationship Id="rId28" Type="http://schemas.openxmlformats.org/officeDocument/2006/relationships/hyperlink" Target="http://www.sec.gov/Archives/edgar/data/786947/000114420414012919/v367838_ex10-6.htm" TargetMode="External"/><Relationship Id="rId29" Type="http://schemas.openxmlformats.org/officeDocument/2006/relationships/hyperlink" Target="http://www.sec.gov/Archives/edgar/data/786947/000114420414012919/v367838_ex10-6.htm" TargetMode="External"/><Relationship Id="rId30" Type="http://schemas.openxmlformats.org/officeDocument/2006/relationships/hyperlink" Target="http://www.sec.gov/Archives/edgar/data/786947/000114420415013292/v400005_ex10-8.htm" TargetMode="External"/><Relationship Id="rId31" Type="http://schemas.openxmlformats.org/officeDocument/2006/relationships/hyperlink" Target="http://www.sec.gov/Archives/edgar/data/786947/000114420415013292/v400005_ex10-8.htm" TargetMode="External"/><Relationship Id="rId32" Type="http://schemas.openxmlformats.org/officeDocument/2006/relationships/hyperlink" Target="http://www.sec.gov/Archives/edgar/data/786947/000114420417005960/v457956_ex10-6.htm" TargetMode="External"/><Relationship Id="rId33" Type="http://schemas.openxmlformats.org/officeDocument/2006/relationships/hyperlink" Target="http://www.sec.gov/Archives/edgar/data/786947/000114420417005960/v457956_ex10-6.htm" TargetMode="External"/><Relationship Id="rId34" Type="http://schemas.openxmlformats.org/officeDocument/2006/relationships/hyperlink" Target="http://www.sec.gov/Archives/edgar/data/786947/000114420414012919/v367838_ex10-8.htm" TargetMode="External"/><Relationship Id="rId35" Type="http://schemas.openxmlformats.org/officeDocument/2006/relationships/hyperlink" Target="http://www.sec.gov/Archives/edgar/data/786947/000114420414012919/v367838_ex10-8.htm" TargetMode="External"/><Relationship Id="rId36" Type="http://schemas.openxmlformats.org/officeDocument/2006/relationships/hyperlink" Target="http://www.sec.gov/Archives/edgar/data/786947/000114420415013292/v400005_ex10-13.htm" TargetMode="External"/><Relationship Id="rId37" Type="http://schemas.openxmlformats.org/officeDocument/2006/relationships/hyperlink" Target="http://www.sec.gov/Archives/edgar/data/786947/000114420415013292/v400005_ex10-13.htm" TargetMode="External"/><Relationship Id="rId38" Type="http://schemas.openxmlformats.org/officeDocument/2006/relationships/hyperlink" Target="http://www.sec.gov/Archives/edgar/data/786947/000114420416082837/v431764_ex10-1.htm" TargetMode="External"/><Relationship Id="rId39" Type="http://schemas.openxmlformats.org/officeDocument/2006/relationships/hyperlink" Target="http://www.sec.gov/Archives/edgar/data/786947/000114420416082837/v431764_ex10-1.htm" TargetMode="External"/><Relationship Id="rId40" Type="http://schemas.openxmlformats.org/officeDocument/2006/relationships/hyperlink" Target="http://www.sec.gov/Archives/edgar/data/786947/000095012304001491/y93872exv10w5.txt" TargetMode="External"/><Relationship Id="rId41" Type="http://schemas.openxmlformats.org/officeDocument/2006/relationships/hyperlink" Target="http://www.sec.gov/Archives/edgar/data/786947/000095012304001491/y93872exv10w5.txt" TargetMode="External"/><Relationship Id="rId42" Type="http://schemas.openxmlformats.org/officeDocument/2006/relationships/hyperlink" Target="http://www.sec.gov/Archives/edgar/data/786947/000114420405034837/v028675_ex10-1.htm" TargetMode="External"/><Relationship Id="rId43" Type="http://schemas.openxmlformats.org/officeDocument/2006/relationships/hyperlink" Target="http://www.sec.gov/Archives/edgar/data/786947/000114420405034837/v028675_ex10-1.htm" TargetMode="External"/><Relationship Id="rId44" Type="http://schemas.openxmlformats.org/officeDocument/2006/relationships/hyperlink" Target="http://www.sec.gov/Archives/edgar/data/786947/000114420408004376/v100684_ex10-1.htm" TargetMode="External"/><Relationship Id="rId45" Type="http://schemas.openxmlformats.org/officeDocument/2006/relationships/hyperlink" Target="http://www.sec.gov/Archives/edgar/data/786947/000114420408004376/v100684_ex10-1.htm" TargetMode="External"/><Relationship Id="rId46" Type="http://schemas.openxmlformats.org/officeDocument/2006/relationships/hyperlink" Target="http://www.sec.gov/Archives/edgar/data/786947/000114420412054488/v324997_ex10-1.htm" TargetMode="External"/><Relationship Id="rId47" Type="http://schemas.openxmlformats.org/officeDocument/2006/relationships/hyperlink" Target="http://www.sec.gov/Archives/edgar/data/786947/000114420412054488/v324997_ex10-1.htm" TargetMode="External"/><Relationship Id="rId48" Type="http://schemas.openxmlformats.org/officeDocument/2006/relationships/hyperlink" Target="http://www.sec.gov/Archives/edgar/data/786947/000114420417039478/v471981_ex10-1.htm" TargetMode="External"/><Relationship Id="rId49" Type="http://schemas.openxmlformats.org/officeDocument/2006/relationships/hyperlink" Target="http://www.sec.gov/Archives/edgar/data/786947/000114420417039478/v471981_ex10-1.htm" TargetMode="External"/><Relationship Id="rId50" Type="http://schemas.openxmlformats.org/officeDocument/2006/relationships/hyperlink" Target="http://www.sec.gov/Archives/edgar/data/786947/000114420409025736/v148764_def14a.htm" TargetMode="External"/><Relationship Id="rId51" Type="http://schemas.openxmlformats.org/officeDocument/2006/relationships/hyperlink" Target="http://www.sec.gov/Archives/edgar/data/786947/000114420409025736/v148764_def14a.htm" TargetMode="External"/><Relationship Id="rId52" Type="http://schemas.openxmlformats.org/officeDocument/2006/relationships/hyperlink" Target="http://www.sec.gov/Archives/edgar/data/786947/000114420408020214/v109215_def14a.htm" TargetMode="External"/><Relationship Id="rId53" Type="http://schemas.openxmlformats.org/officeDocument/2006/relationships/hyperlink" Target="http://www.sec.gov/Archives/edgar/data/786947/000114420408020214/v109215_def14a.htm" TargetMode="External"/><Relationship Id="rId54" Type="http://schemas.openxmlformats.org/officeDocument/2006/relationships/hyperlink" Target="http://www.sec.gov/Archives/edgar/data/786947/000114420417058998/tv479450_ex10-1.htm" TargetMode="External"/><Relationship Id="rId55" Type="http://schemas.openxmlformats.org/officeDocument/2006/relationships/hyperlink" Target="http://www.sec.gov/Archives/edgar/data/786947/000114420417058998/tv479450_ex10-1.htm" TargetMode="External"/><Relationship Id="rId56" Type="http://schemas.openxmlformats.org/officeDocument/2006/relationships/hyperlink" Target="http://www.sec.gov/Archives/edgar/data/786947/000114420409025736/v148764_def14a.htm" TargetMode="External"/><Relationship Id="rId57" Type="http://schemas.openxmlformats.org/officeDocument/2006/relationships/hyperlink" Target="http://www.sec.gov/Archives/edgar/data/786947/000114420409025736/v148764_def14a.htm" TargetMode="External"/><Relationship Id="rId58" Type="http://schemas.openxmlformats.org/officeDocument/2006/relationships/hyperlink" Target="http://www.sec.gov/Archives/edgar/data/786947/000114420416097159/v438308_ex10-1.htm" TargetMode="External"/><Relationship Id="rId59" Type="http://schemas.openxmlformats.org/officeDocument/2006/relationships/hyperlink" Target="http://www.sec.gov/Archives/edgar/data/786947/000114420416097159/v438308_ex10-1.htm" TargetMode="External"/><Relationship Id="rId60" Type="http://schemas.openxmlformats.org/officeDocument/2006/relationships/hyperlink" Target="http://www.sec.gov/Archives/edgar/data/786947/0000950123-98-003851-index.html" TargetMode="External"/><Relationship Id="rId61" Type="http://schemas.openxmlformats.org/officeDocument/2006/relationships/hyperlink" Target="http://www.sec.gov/Archives/edgar/data/786947/0000950123-98-003851-index.html" TargetMode="External"/><Relationship Id="rId62" Type="http://schemas.openxmlformats.org/officeDocument/2006/relationships/hyperlink" Target="http://www.sec.gov/Archives/edgar/data/786947/000114420406007151/ex10-44.htm" TargetMode="External"/><Relationship Id="rId63" Type="http://schemas.openxmlformats.org/officeDocument/2006/relationships/hyperlink" Target="http://www.sec.gov/Archives/edgar/data/786947/000114420406007151/ex10-44.htm" TargetMode="External"/><Relationship Id="rId64" Type="http://schemas.openxmlformats.org/officeDocument/2006/relationships/hyperlink" Target="http://www.sec.gov/Archives/edgar/data/786947/000114420405002824/v011996_ex99-1.htm" TargetMode="External"/><Relationship Id="rId65" Type="http://schemas.openxmlformats.org/officeDocument/2006/relationships/hyperlink" Target="http://www.sec.gov/Archives/edgar/data/786947/000114420405002824/v011996_ex99-1.htm" TargetMode="External"/><Relationship Id="rId66" Type="http://schemas.openxmlformats.org/officeDocument/2006/relationships/hyperlink" Target="http://www.sec.gov/Archives/edgar/data/786947/000114420405040948/v031958_ex99-2.htm" TargetMode="External"/><Relationship Id="rId67" Type="http://schemas.openxmlformats.org/officeDocument/2006/relationships/hyperlink" Target="http://www.sec.gov/Archives/edgar/data/786947/000114420405040948/v031958_ex99-2.htm" TargetMode="External"/><Relationship Id="rId68" Type="http://schemas.openxmlformats.org/officeDocument/2006/relationships/hyperlink" Target="http://www.sec.gov/Archives/edgar/data/786947/000114420408013490/v105388_ex10-28.htm" TargetMode="External"/><Relationship Id="rId69" Type="http://schemas.openxmlformats.org/officeDocument/2006/relationships/hyperlink" Target="http://www.sec.gov/Archives/edgar/data/786947/000114420408013490/v105388_ex10-28.htm" TargetMode="External"/><Relationship Id="rId70" Type="http://schemas.openxmlformats.org/officeDocument/2006/relationships/hyperlink" Target="http://www.sec.gov/Archives/edgar/data/786947/000114420408039398/v119471_ex10-4.htm" TargetMode="External"/><Relationship Id="rId71" Type="http://schemas.openxmlformats.org/officeDocument/2006/relationships/hyperlink" Target="http://www.sec.gov/Archives/edgar/data/786947/000114420408039398/v119471_ex10-4.htm" TargetMode="External"/><Relationship Id="rId72" Type="http://schemas.openxmlformats.org/officeDocument/2006/relationships/hyperlink" Target="http://www.sec.gov/Archives/edgar/data/786947/000114420412068117/v330396_ex10-2.htm" TargetMode="External"/><Relationship Id="rId73" Type="http://schemas.openxmlformats.org/officeDocument/2006/relationships/hyperlink" Target="http://www.sec.gov/Archives/edgar/data/786947/000114420412068117/v330396_ex10-2.htm" TargetMode="External"/><Relationship Id="rId74" Type="http://schemas.openxmlformats.org/officeDocument/2006/relationships/hyperlink" Target="http://www.sec.gov/Archives/edgar/data/786947/000114420414012919/v367838_ex10-24.htm" TargetMode="External"/><Relationship Id="rId75" Type="http://schemas.openxmlformats.org/officeDocument/2006/relationships/hyperlink" Target="http://www.sec.gov/Archives/edgar/data/786947/000114420414012919/v367838_ex10-24.htm" TargetMode="External"/><Relationship Id="rId76" Type="http://schemas.openxmlformats.org/officeDocument/2006/relationships/hyperlink" Target="http://www.sec.gov/Archives/edgar/data/786947/000114420408016872/v107633_ex10-1.htm" TargetMode="External"/><Relationship Id="rId77" Type="http://schemas.openxmlformats.org/officeDocument/2006/relationships/hyperlink" Target="http://www.sec.gov/Archives/edgar/data/786947/000114420408016872/v107633_ex10-1.htm" TargetMode="External"/><Relationship Id="rId78" Type="http://schemas.openxmlformats.org/officeDocument/2006/relationships/hyperlink" Target="http://www.sec.gov/Archives/edgar/data/786947/000114420408016872/v107633_ex10-1.htm" TargetMode="External"/><Relationship Id="rId79" Type="http://schemas.openxmlformats.org/officeDocument/2006/relationships/hyperlink" Target="http://www.sec.gov/Archives/edgar/data/786947/000114420411042613/v227897_ex10-1.htm" TargetMode="External"/><Relationship Id="rId80" Type="http://schemas.openxmlformats.org/officeDocument/2006/relationships/hyperlink" Target="http://www.sec.gov/Archives/edgar/data/786947/000114420411042613/v227897_ex10-1.htm" TargetMode="External"/><Relationship Id="rId81" Type="http://schemas.openxmlformats.org/officeDocument/2006/relationships/hyperlink" Target="http://www.sec.gov/Archives/edgar/data/786947/000114420411042613/v227897_ex10-1.htm" TargetMode="External"/><Relationship Id="rId82" Type="http://schemas.openxmlformats.org/officeDocument/2006/relationships/hyperlink" Target="http://www.sec.gov/Archives/edgar/data/786947/000114420411042613/v227897_ex10-2.htm" TargetMode="External"/><Relationship Id="rId83" Type="http://schemas.openxmlformats.org/officeDocument/2006/relationships/hyperlink" Target="http://www.sec.gov/Archives/edgar/data/786947/000114420411042613/v227897_ex10-2.htm" TargetMode="External"/><Relationship Id="rId84" Type="http://schemas.openxmlformats.org/officeDocument/2006/relationships/hyperlink" Target="http://www.sec.gov/Archives/edgar/data/786947/000114420411042613/v227897_ex10-2.htm" TargetMode="External"/><Relationship Id="rId85" Type="http://schemas.openxmlformats.org/officeDocument/2006/relationships/hyperlink" Target="http://www.sec.gov/Archives/edgar/data/786947/000114420412068117/v330396_ex10-1.htm" TargetMode="External"/><Relationship Id="rId86" Type="http://schemas.openxmlformats.org/officeDocument/2006/relationships/hyperlink" Target="http://www.sec.gov/Archives/edgar/data/786947/000114420412068117/v330396_ex10-1.htm" TargetMode="External"/><Relationship Id="rId87" Type="http://schemas.openxmlformats.org/officeDocument/2006/relationships/hyperlink" Target="http://www.sec.gov/Archives/edgar/data/786947/000114420412068117/v330396_ex10-1.htm" TargetMode="External"/><Relationship Id="rId88" Type="http://schemas.openxmlformats.org/officeDocument/2006/relationships/hyperlink" Target="http://www.sec.gov/Archives/edgar/data/786947/000114420415040397/v414486_ex10-1.htm" TargetMode="External"/><Relationship Id="rId89" Type="http://schemas.openxmlformats.org/officeDocument/2006/relationships/hyperlink" Target="http://www.sec.gov/Archives/edgar/data/786947/000114420415040397/v414486_ex10-1.htm" TargetMode="External"/><Relationship Id="rId90" Type="http://schemas.openxmlformats.org/officeDocument/2006/relationships/hyperlink" Target="http://www.sec.gov/Archives/edgar/data/786947/000114420417026909/v464992_ex10-2.htm" TargetMode="External"/><Relationship Id="rId91" Type="http://schemas.openxmlformats.org/officeDocument/2006/relationships/hyperlink" Target="http://www.sec.gov/Archives/edgar/data/786947/000114420417026909/v464992_ex10-2.htm" TargetMode="External"/><Relationship Id="rId92" Type="http://schemas.openxmlformats.org/officeDocument/2006/relationships/hyperlink" Target="http://www.sec.gov/Archives/edgar/data/786947/000114420418033269/tv490022_ex10-34.htm" TargetMode="External"/><Relationship Id="rId93" Type="http://schemas.openxmlformats.org/officeDocument/2006/relationships/hyperlink" Target="http://www.sec.gov/Archives/edgar/data/786947/000114420418033269/tv490022_ex10-34.htm" TargetMode="External"/><Relationship Id="rId94" Type="http://schemas.openxmlformats.org/officeDocument/2006/relationships/hyperlink" Target="http://www.sec.gov/Archives/edgar/data/786947/000114420418044691/tv500081_ex10-35.htm" TargetMode="External"/><Relationship Id="rId95" Type="http://schemas.openxmlformats.org/officeDocument/2006/relationships/hyperlink" Target="http://www.sec.gov/Archives/edgar/data/786947/000114420418044691/tv500081_ex10-35.htm" TargetMode="External"/><Relationship Id="rId96" Type="http://schemas.openxmlformats.org/officeDocument/2006/relationships/hyperlink" Target="http://www.sec.gov/Archives/edgar/data/786947/000114420418044691/tv500081_ex10-36.htm" TargetMode="External"/><Relationship Id="rId97" Type="http://schemas.openxmlformats.org/officeDocument/2006/relationships/hyperlink" Target="http://www.sec.gov/Archives/edgar/data/786947/000114420418044691/tv500081_ex10-36.htm" TargetMode="External"/><Relationship Id="rId98" Type="http://schemas.openxmlformats.org/officeDocument/2006/relationships/hyperlink" Target="http://www.sec.gov/Archives/edgar/data/786947/000114420418044691/tv500081_ex10-37.htm" TargetMode="External"/><Relationship Id="rId99" Type="http://schemas.openxmlformats.org/officeDocument/2006/relationships/hyperlink" Target="http://www.sec.gov/Archives/edgar/data/786947/000114420418044691/tv500081_ex10-37.htm" TargetMode="External"/><Relationship Id="rId100" Type="http://schemas.openxmlformats.org/officeDocument/2006/relationships/hyperlink" Target="http://www.sec.gov/Archives/edgar/data/786947/000114420418044691/tv500081_ex10-38.htm" TargetMode="External"/><Relationship Id="rId101" Type="http://schemas.openxmlformats.org/officeDocument/2006/relationships/hyperlink" Target="http://www.sec.gov/Archives/edgar/data/786947/000114420418044691/tv500081_ex10-38.htm" TargetMode="External"/><Relationship Id="rId102" Type="http://schemas.openxmlformats.org/officeDocument/2006/relationships/hyperlink" Target="http://www.sec.gov/Archives/edgar/data/786947/000114420418061732/tv506170_ex10-39.htm" TargetMode="External"/><Relationship Id="rId103" Type="http://schemas.openxmlformats.org/officeDocument/2006/relationships/hyperlink" Target="http://www.sec.gov/Archives/edgar/data/786947/000114420418061732/tv506170_ex10-39.htm" TargetMode="External"/><Relationship Id="rId104" Type="http://schemas.openxmlformats.org/officeDocument/2006/relationships/hyperlink" Target="http://www.sec.gov/Archives/edgar/data/786947/000114420418061732/tv506170_ex10-40.htm" TargetMode="External"/><Relationship Id="rId105" Type="http://schemas.openxmlformats.org/officeDocument/2006/relationships/hyperlink" Target="http://www.sec.gov/Archives/edgar/data/786947/000114420418061732/tv506170_ex10-40.htm" TargetMode="External"/><Relationship Id="rId106" Type="http://schemas.openxmlformats.org/officeDocument/2006/relationships/hyperlink" Target="http://www.sec.gov/Archives/edgar/data/786947/000114420419044723/tv528338_ex10-42.htm" TargetMode="External"/><Relationship Id="rId107" Type="http://schemas.openxmlformats.org/officeDocument/2006/relationships/hyperlink" Target="http://www.sec.gov/Archives/edgar/data/786947/000114420419044723/tv528338_ex10-42.htm" TargetMode="External"/><Relationship Id="rId108" Type="http://schemas.openxmlformats.org/officeDocument/2006/relationships/hyperlink" Target="http://www.sec.gov/Archives/edgar/data/786947/000114420419044723/tv528338_ex10-43.htm" TargetMode="External"/><Relationship Id="rId109" Type="http://schemas.openxmlformats.org/officeDocument/2006/relationships/hyperlink" Target="http://www.sec.gov/Archives/edgar/data/786947/000114420419044723/tv528338_ex10-43.htm" TargetMode="External"/><Relationship Id="rId110" Type="http://schemas.openxmlformats.org/officeDocument/2006/relationships/hyperlink" Target="http://www.sec.gov/Archives/edgar/data/786947/000114420419044723/tv528338_ex10-44.htm" TargetMode="External"/><Relationship Id="rId111" Type="http://schemas.openxmlformats.org/officeDocument/2006/relationships/hyperlink" Target="http://www.sec.gov/Archives/edgar/data/786947/000114420419044723/tv528338_ex10-44.htm" TargetMode="External"/><Relationship Id="rId112" Type="http://schemas.openxmlformats.org/officeDocument/2006/relationships/hyperlink" Target="http://www.sec.gov/Archives/edgar/data/786947/000114420419044723/tv528338_ex10-45.htm" TargetMode="External"/><Relationship Id="rId113" Type="http://schemas.openxmlformats.org/officeDocument/2006/relationships/hyperlink" Target="http://www.sec.gov/Archives/edgar/data/786947/000114420419044723/tv528338_ex10-45.htm" TargetMode="External"/><Relationship Id="rId114" Type="http://schemas.openxmlformats.org/officeDocument/2006/relationships/hyperlink" Target="http://www.sec.gov/Archives/edgar/data/786947/000114420419046746/tv529974_ex10-46.htm" TargetMode="External"/><Relationship Id="rId115" Type="http://schemas.openxmlformats.org/officeDocument/2006/relationships/hyperlink" Target="http://www.sec.gov/Archives/edgar/data/786947/000114420419046746/tv529974_ex10-46.htm" TargetMode="External"/><Relationship Id="rId116" Type="http://schemas.openxmlformats.org/officeDocument/2006/relationships/hyperlink" Target="http://www.sec.gov/Archives/edgar/data/786947/000110465920013529/tm1928371d1_ex10-47.htm" TargetMode="External"/><Relationship Id="rId117" Type="http://schemas.openxmlformats.org/officeDocument/2006/relationships/hyperlink" Target="http://www.sec.gov/Archives/edgar/data/786947/000110465920013529/tm1928371d1_ex10-47.htm" TargetMode="External"/><Relationship Id="rId118" Type="http://schemas.openxmlformats.org/officeDocument/2006/relationships/hyperlink" Target="http://www.sec.gov/Archives/edgar/data/786947/000110465920013529/tm1928371d1_ex10-48.htm" TargetMode="External"/><Relationship Id="rId119" Type="http://schemas.openxmlformats.org/officeDocument/2006/relationships/hyperlink" Target="http://www.sec.gov/Archives/edgar/data/786947/000110465920013529/tm1928371d1_ex10-48.htm" TargetMode="External"/><Relationship Id="rId120" Type="http://schemas.openxmlformats.org/officeDocument/2006/relationships/hyperlink" Target="http://www.sec.gov/Archives/edgar/data/786947/000110465920026512/tm1919463d1_ex10-49.htm" TargetMode="External"/><Relationship Id="rId121" Type="http://schemas.openxmlformats.org/officeDocument/2006/relationships/hyperlink" Target="http://www.sec.gov/Archives/edgar/data/786947/000110465920026512/tm1919463d1_ex10-49.htm" TargetMode="External"/><Relationship Id="rId122" Type="http://schemas.openxmlformats.org/officeDocument/2006/relationships/hyperlink" Target="http://www.sec.gov/Archives/edgar/data/786947/000110465920040632/tm205365d1_ex10-50.htm" TargetMode="External"/><Relationship Id="rId123" Type="http://schemas.openxmlformats.org/officeDocument/2006/relationships/hyperlink" Target="http://www.sec.gov/Archives/edgar/data/786947/000110465920040632/tm205365d1_ex10-50.htm" TargetMode="External"/><Relationship Id="rId124" Type="http://schemas.openxmlformats.org/officeDocument/2006/relationships/hyperlink" Target="http://www.sec.gov/Archives/edgar/data/786947/000110465920040632/tm205365d1_ex10-51.htm" TargetMode="External"/><Relationship Id="rId125" Type="http://schemas.openxmlformats.org/officeDocument/2006/relationships/hyperlink" Target="http://www.sec.gov/Archives/edgar/data/786947/000110465920040632/tm205365d1_ex10-51.htm" TargetMode="External"/><Relationship Id="rId126" Type="http://schemas.openxmlformats.org/officeDocument/2006/relationships/hyperlink" Target="http://www.sec.gov/Archives/edgar/data/786947/000110465920040632/tm205365d1_ex10-52.htm" TargetMode="External"/><Relationship Id="rId127" Type="http://schemas.openxmlformats.org/officeDocument/2006/relationships/hyperlink" Target="http://www.sec.gov/Archives/edgar/data/786947/000110465920040632/tm205365d1_ex10-52.htm" TargetMode="External"/><Relationship Id="rId128" Type="http://schemas.openxmlformats.org/officeDocument/2006/relationships/hyperlink" Target="http://www.sec.gov/Archives/edgar/data/786947/000114420407066585/v096766_ex14-1.htm" TargetMode="External"/><Relationship Id="rId129" Type="http://schemas.openxmlformats.org/officeDocument/2006/relationships/hyperlink" Target="http://www.sec.gov/Archives/edgar/data/786947/000114420407066585/v096766_ex14-1.htm" TargetMode="External"/><Relationship Id="rId130" Type="http://schemas.openxmlformats.org/officeDocument/2006/relationships/hyperlink" Target="http://www.sec.gov/Archives/edgar/data/786947/000114420407012867/v068376_ex21.htm" TargetMode="External"/><Relationship Id="rId131" Type="http://schemas.openxmlformats.org/officeDocument/2006/relationships/hyperlink" Target="http://www.sec.gov/Archives/edgar/data/786947/000114420407012867/v068376_ex21.htm" TargetMode="Externa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57063</Words>
  <CharactersWithSpaces>372843</CharactersWithSpaces>
  <Paragraphs>6196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