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0" w:lineRule="exact"/>
        <w:rPr>
          <w:sz w:val="24"/>
          <w:szCs w:val="24"/>
          <w:color w:val="auto"/>
        </w:rPr>
      </w:pPr>
    </w:p>
    <w:p>
      <w:pPr>
        <w:spacing w:after="0" w:line="291" w:lineRule="exact"/>
        <w:rPr>
          <w:sz w:val="24"/>
          <w:szCs w:val="24"/>
          <w:color w:val="auto"/>
        </w:rPr>
      </w:pPr>
    </w:p>
    <w:p>
      <w:pPr>
        <w:ind w:left="3740" w:right="980" w:hanging="3084"/>
        <w:spacing w:after="0" w:line="501"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w:t>
      </w:r>
    </w:p>
    <w:p>
      <w:pPr>
        <w:spacing w:after="0" w:line="22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transition period from ___ to____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1-10113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Acura Pharmaceuticals,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New York</w:t>
            </w:r>
          </w:p>
        </w:tc>
        <w:tc>
          <w:tcPr>
            <w:tcW w:w="366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60" w:type="dxa"/>
            <w:vAlign w:val="bottom"/>
          </w:tcPr>
          <w:p>
            <w:pPr>
              <w:jc w:val="center"/>
              <w:ind w:left="9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66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60" w:type="dxa"/>
            <w:vAlign w:val="bottom"/>
          </w:tcPr>
          <w:p>
            <w:pPr>
              <w:jc w:val="center"/>
              <w:ind w:left="99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 (</w:t>
      </w:r>
      <w:r>
        <w:rPr>
          <w:rFonts w:ascii="Arial" w:cs="Arial" w:eastAsia="Arial" w:hAnsi="Arial"/>
          <w:sz w:val="18"/>
          <w:szCs w:val="18"/>
          <w:b w:val="1"/>
          <w:bCs w:val="1"/>
          <w:color w:val="auto"/>
        </w:rPr>
        <w:t>847) 705-7709</w:t>
      </w:r>
    </w:p>
    <w:p>
      <w:pPr>
        <w:spacing w:after="0" w:line="200" w:lineRule="exact"/>
        <w:rPr>
          <w:sz w:val="24"/>
          <w:szCs w:val="24"/>
          <w:color w:val="auto"/>
        </w:rPr>
      </w:pPr>
    </w:p>
    <w:p>
      <w:pPr>
        <w:spacing w:after="0" w:line="245"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3920" w:type="dxa"/>
            <w:vAlign w:val="bottom"/>
          </w:tcPr>
          <w:p>
            <w:pPr>
              <w:ind w:left="10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2940" w:type="dxa"/>
            <w:vAlign w:val="bottom"/>
            <w:vMerge w:val="restart"/>
          </w:tcPr>
          <w:p>
            <w:pPr>
              <w:ind w:left="76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0"/>
                <w:szCs w:val="20"/>
                <w:color w:val="auto"/>
              </w:rPr>
            </w:pPr>
            <w:r>
              <w:rPr>
                <w:rFonts w:ascii="Arial" w:cs="Arial" w:eastAsia="Arial" w:hAnsi="Arial"/>
                <w:sz w:val="18"/>
                <w:szCs w:val="18"/>
                <w:color w:val="auto"/>
              </w:rPr>
              <w:t>þ Non-accelerated filer</w:t>
            </w:r>
          </w:p>
        </w:tc>
        <w:tc>
          <w:tcPr>
            <w:tcW w:w="3920" w:type="dxa"/>
            <w:vAlign w:val="bottom"/>
          </w:tcPr>
          <w:p>
            <w:pPr>
              <w:ind w:left="1040"/>
              <w:spacing w:after="0"/>
              <w:rPr>
                <w:sz w:val="20"/>
                <w:szCs w:val="20"/>
                <w:color w:val="auto"/>
              </w:rPr>
            </w:pPr>
            <w:r>
              <w:rPr>
                <w:rFonts w:ascii="Arial" w:cs="Arial" w:eastAsia="Arial" w:hAnsi="Arial"/>
                <w:sz w:val="18"/>
                <w:szCs w:val="18"/>
                <w:color w:val="auto"/>
              </w:rPr>
              <w:t>þ Smaller reporting company</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OTC Pink</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$0.01 par value Shares outstanding as of February 28, 2020: 21,650,294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670"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2019</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Part 1.</w:t>
            </w:r>
          </w:p>
        </w:tc>
        <w:tc>
          <w:tcPr>
            <w:tcW w:w="9640" w:type="dxa"/>
            <w:vAlign w:val="bottom"/>
            <w:gridSpan w:val="16"/>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Page No.</w:t>
            </w:r>
          </w:p>
        </w:tc>
      </w:tr>
      <w:tr>
        <w:trPr>
          <w:trHeight w:val="39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20" w:type="dxa"/>
            <w:vAlign w:val="bottom"/>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 xml:space="preserve">Consolidated Balance Sheets </w:t>
              </w:r>
              <w:r>
                <w:rPr>
                  <w:rFonts w:ascii="Arial" w:cs="Arial" w:eastAsia="Arial" w:hAnsi="Arial"/>
                  <w:sz w:val="18"/>
                  <w:szCs w:val="18"/>
                  <w:i w:val="1"/>
                  <w:iCs w:val="1"/>
                  <w:color w:val="0000EE"/>
                  <w:w w:val="88"/>
                </w:rPr>
                <w:t>as of September 30, 2019 and December 31, 2018</w:t>
              </w:r>
            </w:hyperlink>
          </w:p>
        </w:tc>
        <w:tc>
          <w:tcPr>
            <w:tcW w:w="3400" w:type="dxa"/>
            <w:vAlign w:val="bottom"/>
            <w:gridSpan w:val="5"/>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Statements of Operations </w:t>
              </w:r>
              <w:r>
                <w:rPr>
                  <w:rFonts w:ascii="Arial" w:cs="Arial" w:eastAsia="Arial" w:hAnsi="Arial"/>
                  <w:sz w:val="18"/>
                  <w:szCs w:val="18"/>
                  <w:i w:val="1"/>
                  <w:iCs w:val="1"/>
                  <w:color w:val="0000EE"/>
                </w:rPr>
                <w:t>for the Three and Nine months Ended September 30, 2019 and 2018</w:t>
              </w:r>
            </w:hyperlink>
          </w:p>
        </w:tc>
        <w:tc>
          <w:tcPr>
            <w:tcW w:w="11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 xml:space="preserve">Consolidated Statement of Changes in Accumulated Stockholders’ Deficit </w:t>
              </w:r>
              <w:r>
                <w:rPr>
                  <w:rFonts w:ascii="Arial" w:cs="Arial" w:eastAsia="Arial" w:hAnsi="Arial"/>
                  <w:sz w:val="18"/>
                  <w:szCs w:val="18"/>
                  <w:i w:val="1"/>
                  <w:iCs w:val="1"/>
                  <w:color w:val="0000EE"/>
                  <w:w w:val="92"/>
                </w:rPr>
                <w:t>for the Three and Nine months Ended September</w:t>
              </w:r>
            </w:hyperlink>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i w:val="1"/>
                <w:iCs w:val="1"/>
                <w:color w:val="0000EE"/>
                <w:w w:val="87"/>
              </w:rPr>
            </w:pPr>
            <w:hyperlink w:anchor="page5">
              <w:r>
                <w:rPr>
                  <w:rFonts w:ascii="Arial" w:cs="Arial" w:eastAsia="Arial" w:hAnsi="Arial"/>
                  <w:sz w:val="18"/>
                  <w:szCs w:val="18"/>
                  <w:i w:val="1"/>
                  <w:iCs w:val="1"/>
                  <w:color w:val="0000EE"/>
                  <w:w w:val="87"/>
                </w:rPr>
                <w:t>30, 2019 and 2018</w:t>
              </w:r>
            </w:hyperlink>
          </w:p>
        </w:tc>
        <w:tc>
          <w:tcPr>
            <w:tcW w:w="7540" w:type="dxa"/>
            <w:vAlign w:val="bottom"/>
            <w:tcBorders>
              <w:top w:val="single" w:sz="8" w:color="0000EE"/>
            </w:tcBorders>
            <w:gridSpan w:val="9"/>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Consolidated Statements of Cash Flows </w:t>
              </w:r>
              <w:r>
                <w:rPr>
                  <w:rFonts w:ascii="Arial" w:cs="Arial" w:eastAsia="Arial" w:hAnsi="Arial"/>
                  <w:sz w:val="18"/>
                  <w:szCs w:val="18"/>
                  <w:i w:val="1"/>
                  <w:iCs w:val="1"/>
                  <w:color w:val="0000EE"/>
                </w:rPr>
                <w:t>for the Nine months Ended September 30, 2019 and 2018</w:t>
              </w:r>
            </w:hyperlink>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3880" w:type="dxa"/>
            <w:vAlign w:val="bottom"/>
            <w:gridSpan w:val="3"/>
          </w:tcPr>
          <w:p>
            <w:pPr>
              <w:spacing w:after="0"/>
              <w:rPr>
                <w:sz w:val="24"/>
                <w:szCs w:val="24"/>
                <w:color w:val="auto"/>
              </w:rPr>
            </w:pPr>
          </w:p>
        </w:tc>
        <w:tc>
          <w:tcPr>
            <w:tcW w:w="2100" w:type="dxa"/>
            <w:vAlign w:val="bottom"/>
            <w:gridSpan w:val="3"/>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1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628"/>
        </w:trPr>
        <w:tc>
          <w:tcPr>
            <w:tcW w:w="10280" w:type="dxa"/>
            <w:vAlign w:val="bottom"/>
            <w:gridSpan w:val="18"/>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7600" w:type="dxa"/>
            <w:vAlign w:val="bottom"/>
            <w:gridSpan w:val="9"/>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1A.</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1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114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28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114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indicated or the context otherwise requires, references to the “Company”, “Acura”,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Collaboration revenue receivable from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 net of accumulated amortization of $1,138 and $983 (Note 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debt to related party, net of discounts (Note 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Accrued interest to related party (Note 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 $0.01 par value per share; 100,000 shares authorized, 21,300 and 21,034 shares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383,021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(4,917)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20" w:type="dxa"/>
            <w:vAlign w:val="bottom"/>
          </w:tcPr>
          <w:p>
            <w:pPr>
              <w:ind w:left="3100"/>
              <w:spacing w:after="0"/>
              <w:rPr>
                <w:sz w:val="20"/>
                <w:szCs w:val="20"/>
                <w:color w:val="auto"/>
              </w:rPr>
            </w:pPr>
            <w:r>
              <w:rPr>
                <w:rFonts w:ascii="Arial" w:cs="Arial" w:eastAsia="Arial" w:hAnsi="Arial"/>
                <w:sz w:val="18"/>
                <w:szCs w:val="18"/>
                <w:color w:val="auto"/>
                <w:w w:val="91"/>
              </w:rPr>
              <w:t>See accompanying notes to unaudited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2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License fees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(Note 10)</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25,023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21,168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25,023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2440" w:type="dxa"/>
            <w:vAlign w:val="bottom"/>
            <w:gridSpan w:val="6"/>
          </w:tcPr>
          <w:p>
            <w:pPr>
              <w:ind w:left="66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Number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Paid-in</w:t>
            </w:r>
          </w:p>
        </w:tc>
        <w:tc>
          <w:tcPr>
            <w:tcW w:w="120" w:type="dxa"/>
            <w:vAlign w:val="bottom"/>
          </w:tcPr>
          <w:p>
            <w:pPr>
              <w:spacing w:after="0"/>
              <w:rPr>
                <w:sz w:val="17"/>
                <w:szCs w:val="17"/>
                <w:color w:val="auto"/>
              </w:rPr>
            </w:pPr>
          </w:p>
        </w:tc>
        <w:tc>
          <w:tcPr>
            <w:tcW w:w="1140" w:type="dxa"/>
            <w:vAlign w:val="bottom"/>
            <w:gridSpan w:val="3"/>
          </w:tcPr>
          <w:p>
            <w:pPr>
              <w:jc w:val="center"/>
              <w:ind w:right="7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Par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39"/>
              <w:spacing w:after="0"/>
              <w:rPr>
                <w:sz w:val="20"/>
                <w:szCs w:val="20"/>
                <w:color w:val="auto"/>
              </w:rPr>
            </w:pPr>
            <w:r>
              <w:rPr>
                <w:rFonts w:ascii="Arial" w:cs="Arial" w:eastAsia="Arial" w:hAnsi="Arial"/>
                <w:sz w:val="16"/>
                <w:szCs w:val="16"/>
                <w:color w:val="auto"/>
                <w:w w:val="98"/>
              </w:rPr>
              <w:t>Deficit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w w:val="97"/>
              </w:rPr>
              <w:t>Net distribution of common stock pursuant to restricted stock unit award plan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(385,010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Debt premium from debt modification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Issuance of warrant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382,992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(388,351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06"/>
        </w:trPr>
        <w:tc>
          <w:tcPr>
            <w:tcW w:w="5280" w:type="dxa"/>
            <w:vAlign w:val="bottom"/>
          </w:tcPr>
          <w:p>
            <w:pPr>
              <w:spacing w:after="0"/>
              <w:rPr>
                <w:sz w:val="24"/>
                <w:szCs w:val="24"/>
                <w:color w:val="auto"/>
              </w:rPr>
            </w:pPr>
          </w:p>
        </w:tc>
        <w:tc>
          <w:tcPr>
            <w:tcW w:w="2440" w:type="dxa"/>
            <w:vAlign w:val="bottom"/>
            <w:gridSpan w:val="6"/>
          </w:tcPr>
          <w:p>
            <w:pPr>
              <w:ind w:left="66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color w:val="auto"/>
              </w:rPr>
              <w:t>Number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Paid-in</w:t>
            </w:r>
          </w:p>
        </w:tc>
        <w:tc>
          <w:tcPr>
            <w:tcW w:w="120" w:type="dxa"/>
            <w:vAlign w:val="bottom"/>
          </w:tcPr>
          <w:p>
            <w:pPr>
              <w:spacing w:after="0"/>
              <w:rPr>
                <w:sz w:val="17"/>
                <w:szCs w:val="17"/>
                <w:color w:val="auto"/>
              </w:rPr>
            </w:pPr>
          </w:p>
        </w:tc>
        <w:tc>
          <w:tcPr>
            <w:tcW w:w="1140" w:type="dxa"/>
            <w:vAlign w:val="bottom"/>
            <w:gridSpan w:val="3"/>
          </w:tcPr>
          <w:p>
            <w:pPr>
              <w:jc w:val="center"/>
              <w:ind w:right="7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Par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39"/>
              <w:spacing w:after="0"/>
              <w:rPr>
                <w:sz w:val="20"/>
                <w:szCs w:val="20"/>
                <w:color w:val="auto"/>
              </w:rPr>
            </w:pPr>
            <w:r>
              <w:rPr>
                <w:rFonts w:ascii="Arial" w:cs="Arial" w:eastAsia="Arial" w:hAnsi="Arial"/>
                <w:sz w:val="16"/>
                <w:szCs w:val="16"/>
                <w:color w:val="auto"/>
                <w:w w:val="98"/>
              </w:rPr>
              <w:t>Deficit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(380,380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w w:val="97"/>
              </w:rPr>
              <w:t>Net distribution of common stock pursuant to restricted stock unit award plan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June 30,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380,299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(383,135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(2,626</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Non-cash share-based compensation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2"/>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(384,230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share-based compensation</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Capitalized debt discount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debt discount and deferred debt issuance costs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Amortization of intangible asset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debt extinguishment</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Loss on disposal of equipment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Royalty receivable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Collaboration revenue receivable from related party</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 refundable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Refundable retainer deposits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interest on loan</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Accrued interest on related party loans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Proceeds from distribution of restricted stock units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related party loans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Principal payments on loan</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at beginning of period</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end of period</w:t>
            </w:r>
          </w:p>
        </w:tc>
        <w:tc>
          <w:tcPr>
            <w:tcW w:w="1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interest payments on loan</w:t>
            </w:r>
          </w:p>
        </w:tc>
        <w:tc>
          <w:tcPr>
            <w:tcW w:w="1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2019</w:t>
      </w:r>
    </w:p>
    <w:p>
      <w:pPr>
        <w:spacing w:after="0" w:line="225" w:lineRule="exact"/>
        <w:rPr>
          <w:sz w:val="20"/>
          <w:szCs w:val="20"/>
          <w:color w:val="auto"/>
        </w:rPr>
      </w:pPr>
    </w:p>
    <w:p>
      <w:pPr>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related party $650 loans made to the Company through June 27, 2019, amounted to $13, and was recorded in interest income with a corresponding like amount recorded as debt discount against the principal amount of the loan.</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28, 2019, modifications made to the related party $5,000 loan resulted in a debt extinguishment. A $2,600 loss on debt extinguishment was recorded comprising $1,150 for a common stock purchase warrant issued to the related party lender, the excess fair value premium on the newly issued convertible debt of $1,380, and the write-off of unamortized debt discount of approximately $70.</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interest payable of $274 on the related party $5,000 loan was rolled into principal under modifications made to the loan occurring on June 28, 2019 and the related party receivable of $725 was received on July 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2018</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imputed interest on the below market rate element of the related party $1,500 loans, amounted to $74, and was recorded in interest income with a corresponding like amount recorded as debt discount against the principal amount of the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SEPTEMBER 30, 2019 AND SEPTEMBER 30, 2018</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8" w:lineRule="exact"/>
        <w:rPr>
          <w:sz w:val="20"/>
          <w:szCs w:val="20"/>
          <w:color w:val="auto"/>
        </w:rPr>
      </w:pPr>
    </w:p>
    <w:p>
      <w:pPr>
        <w:jc w:val="both"/>
        <w:ind w:left="660" w:hanging="328"/>
        <w:spacing w:after="0" w:line="276" w:lineRule="auto"/>
        <w:tabs>
          <w:tab w:leader="none" w:pos="651"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75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79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2018. In the opinion of the Company, all normal recurring adjustments have been made that are necessary to present fairly the results of operations for the interim periods. Operating results for the three and nine month periods ended September 30, 2019 are not necessarily indicative of the results that may be expected for the year ending December 31, 2019.</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going concern basis of presentation assumes that we will continue in operation one year after the date these financial statements are issued and we will be able to realize our assets and discharge our liabilities and commitments in the normal course of business. As of September 30, 2019, we had cash of $615 thousand, working capital deficit of $252 thousand and an accumulated deficit of $388 million. We had a loss from operations of $994 thousand and a net loss of $3.9 million for the nine months ended September 30, 2019. We have suffered recurring losses from operations and have not generated positive cash flows from operations. We had a loss from operations of $3.92 million and a net loss of $3.84 million for the year ended December 31, 2018. We anticipate operating losses to continue for the foreseeable future. As of February 28, 2020 we had cash of approximately $1.0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6"/>
          <w:szCs w:val="16"/>
          <w:color w:val="auto"/>
        </w:rPr>
        <w:t>On June 28, 2019, we entered into with Abuse Deterrent Pharma, LLC (“AD Pharma”), a License, Development and Commercialization Agreement (the “AD Pharma Agreement”). AD Pharma has the right to terminate the AD Pharma Agreement for “convenience on 30 days prior written notice”. Under the AD Pharma Agreement, the required monthly license payments by AD Pharma will only continue until November 2020 if AD Pharma does not exercise their right to terminate the AD Pharma Agreement.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auditors included in their report relating to our 2018 financial statements a “going concern” explanatory paragraph as to substantial doubt on our ability to continue as a going concern.</w:t>
      </w:r>
    </w:p>
    <w:p>
      <w:pPr>
        <w:spacing w:after="0" w:line="3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The classification of the lease will affect the pattern of expense recognition in the income statement such that operating leases are expensed using the straight-line method whereas financing leases will be treated similarly to a capital lease under the current standard. The standard also requires disclosures to help investors and other financial statement users better understand the amount, timing and uncertainty of cash flows arising from leases.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Accounting Standards Codification Topic 840, Leases (ASC 840).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The Company adopted ASC 842 using the modified retrospective transition approach during Q1 2019, which allows the Company to not adjust the comparative periods presented. The Company has elected to adopt the package of transition practical expedients and, therefore, has not reassessed whether existing or expired contracts contain a lease or the lease classification for existing or expired. The Company did not elect the practical expedient to use hindsight for leases existing at the adoption date. Upon adoption, operating leases would be reported on the balance sheet as a gross-up of assets and liabilities, however the Company has elected, as an accounting policy, to not recognize ROU assets and lease liabilities for all short-term leases that have a lease term of 12 months or less. The adoption of ASC 842 did not have an impact on the Company’s financial statements as the Company has no leases with a term of more than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28, 2019 we entered into with Abuse Deterrent Pharma, LLC (“AD Pharma”), a License, Development and Commercialization Agreement (the "AD Pharma Agreement"), for the development and license of LTX-03 (hydrocodone bitartrate with acetaminophen) immediate-release tablets utilizing Acura’s patented LIMITx™. Acura will receive a monthly license payment of $350 thousand by AD Pharma for 18 months until November 2020. The first license payment was received July 2, 2019. AD Pharma will pay for and reimburse Acura for all outside development costs on LTX-03. If the NDA filing for LTX-03 is not accepted by the FDA within 18 months, AD Pharma may terminate the AD Pharma Agreement and take ownership of the Limitx intellectual property. AD Pharma does have the right to terminate the AD Pharma Agreement anytime for “convenience on 30 days prior written notice”. AD Pharma retains commercialization rights from which Acura will receive stepped royalties on sales and potential sales related milestones.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(See MainPointe Agreement covering Nexafed products). The Option Product exercise price of $500 thousand is waived if the exercise of the option occurs by June 28, 2024 (five years from the effective date of the AD Pharma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Mr. John Schutte assigned and transferred to AD Pharma his $6.0 million promissory note, the common stock purchase warrant for 10.0 million common shares, and the security agreement granting a security interest in all of the Company’s assets. (See Note 8). Mr. Schutte is our largest shareholder and directly owns approximately 47.5% of our common stock (after giving effect to the exercise of remaining common stock purchase warrants he holds). Mr. Schutte controls MainPointe and is the principal investor in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agreement was terminated. Amortization of the patent for the years 2019 through 2021 is expected to approximate $208 thousand each year and $52 thousand be quarter.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Zyla US, Inc. and Zyla Ltd., each a subsidiary of Zyla Corporation, or collectively Zyla, entered into a Collaboration and License Agreement (the “Zyla Agreement”) to commercialize Aversion Oxycodone (formerly known as Oxecta®)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6"/>
          <w:szCs w:val="16"/>
          <w:color w:val="auto"/>
        </w:rPr>
        <w:t>In accordance with the Zyla Agreement, we and Zyla formed a joint steering committee to coordinate commercialization strategies and the development of product line extensions although no meetings were held in 2019 or to date in 2020. Zyla is responsible for the fees and expenses relating to the Oxaydo NDA and product line extensions of Oxaydo, provided that Zyla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receiving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 and assignment thereof to AD Pharma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REVENUE FROM CONTRACTS WITH CUSTOMER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September 30, 2019.</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licenses for currently marketed products containing its technologies; the Nexafed products containing the Impede Technology to MainPointe and Oxaydo containing the Aversion Technology to Zyla. All of the Company’s royalty revenues are earned from these two licenses and from the licensee’s sale of products in the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On June 28, 2019 we entered into an agreement with AD Pharma for the development and license of LTX-03 (hydrocodone bitartrate with acetaminophen) immediate-release tablets utilizing Acura’s patented LIMITx™ having a monthly license payment of $350 thousand by AD Pharma for 18 months until November 2020. The first license payment was received July 2,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Royalty revenues by licensee are summarized below:</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8"/>
                <w:szCs w:val="18"/>
                <w:color w:val="auto"/>
                <w:w w:val="92"/>
              </w:rPr>
              <w:t>Three months Ended</w:t>
            </w:r>
          </w:p>
        </w:tc>
        <w:tc>
          <w:tcPr>
            <w:tcW w:w="100" w:type="dxa"/>
            <w:vAlign w:val="bottom"/>
          </w:tcPr>
          <w:p>
            <w:pPr>
              <w:spacing w:after="0"/>
              <w:rPr>
                <w:sz w:val="24"/>
                <w:szCs w:val="2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5"/>
          </w:tcPr>
          <w:p>
            <w:pPr>
              <w:jc w:val="right"/>
              <w:ind w:right="460"/>
              <w:spacing w:after="0"/>
              <w:rPr>
                <w:sz w:val="20"/>
                <w:szCs w:val="20"/>
                <w:color w:val="auto"/>
              </w:rPr>
            </w:pPr>
            <w:r>
              <w:rPr>
                <w:rFonts w:ascii="Arial" w:cs="Arial" w:eastAsia="Arial" w:hAnsi="Arial"/>
                <w:sz w:val="18"/>
                <w:szCs w:val="18"/>
                <w:color w:val="auto"/>
                <w:w w:val="99"/>
              </w:rPr>
              <w:t>September 30,</w:t>
            </w:r>
          </w:p>
        </w:tc>
        <w:tc>
          <w:tcPr>
            <w:tcW w:w="100" w:type="dxa"/>
            <w:vAlign w:val="bottom"/>
          </w:tcPr>
          <w:p>
            <w:pPr>
              <w:spacing w:after="0"/>
              <w:rPr>
                <w:sz w:val="20"/>
                <w:szCs w:val="20"/>
                <w:color w:val="auto"/>
              </w:rPr>
            </w:pPr>
          </w:p>
        </w:tc>
        <w:tc>
          <w:tcPr>
            <w:tcW w:w="1640" w:type="dxa"/>
            <w:vAlign w:val="bottom"/>
            <w:gridSpan w:val="6"/>
          </w:tcPr>
          <w:p>
            <w:pPr>
              <w:jc w:val="center"/>
              <w:ind w:right="160"/>
              <w:spacing w:after="0"/>
              <w:rPr>
                <w:sz w:val="20"/>
                <w:szCs w:val="20"/>
                <w:color w:val="auto"/>
              </w:rPr>
            </w:pPr>
            <w:r>
              <w:rPr>
                <w:rFonts w:ascii="Arial" w:cs="Arial" w:eastAsia="Arial" w:hAnsi="Arial"/>
                <w:sz w:val="18"/>
                <w:szCs w:val="18"/>
                <w:color w:val="auto"/>
                <w:w w:val="88"/>
              </w:rPr>
              <w:t>September 30,</w:t>
            </w:r>
          </w:p>
        </w:tc>
      </w:tr>
      <w:tr>
        <w:trPr>
          <w:trHeight w:val="210"/>
        </w:trPr>
        <w:tc>
          <w:tcPr>
            <w:tcW w:w="2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2019</w:t>
            </w: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6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color w:val="auto"/>
                <w:w w:val="90"/>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Egalet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MainPointe</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Royalty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no contract assets and contract liability balances under the license and collaboration agreements at either September 30, 2019 or December 31, 2018. Contract assets may be reported in future periods under prepaid expenses or other current assets on the balance sheet. Contract liabilities may be reported in future periods consisting of deferred revenue as presented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 We did not have any remaining obligations under cancelable arrangements, nor did we have any prepaid CRO costs or prepaid clinical trial study expenses at September 30, 2019 or December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September 30, 2019 and December 31, 2018 are summarized as follows: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September</w:t>
            </w:r>
          </w:p>
        </w:tc>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auto"/>
                <w:w w:val="96"/>
              </w:rPr>
              <w:t>December</w:t>
            </w:r>
          </w:p>
        </w:tc>
      </w:tr>
      <w:tr>
        <w:trPr>
          <w:trHeight w:val="216"/>
        </w:trPr>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2019</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gridSpan w:val="2"/>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Scientific equipment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3840" w:type="dxa"/>
            <w:vAlign w:val="bottom"/>
          </w:tcPr>
          <w:p>
            <w:pPr>
              <w:ind w:left="1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10"/>
        </w:trPr>
        <w:tc>
          <w:tcPr>
            <w:tcW w:w="3840" w:type="dxa"/>
            <w:vAlign w:val="bottom"/>
          </w:tcPr>
          <w:p>
            <w:pPr>
              <w:ind w:left="120"/>
              <w:spacing w:after="0"/>
              <w:rPr>
                <w:sz w:val="20"/>
                <w:szCs w:val="20"/>
                <w:color w:val="auto"/>
              </w:rPr>
            </w:pPr>
            <w:r>
              <w:rPr>
                <w:rFonts w:ascii="Arial" w:cs="Arial" w:eastAsia="Arial" w:hAnsi="Arial"/>
                <w:sz w:val="18"/>
                <w:szCs w:val="18"/>
                <w:color w:val="auto"/>
              </w:rPr>
              <w:t>Net property, plant and equipment</w:t>
            </w:r>
          </w:p>
        </w:tc>
        <w:tc>
          <w:tcPr>
            <w:tcW w:w="1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 Depreciation expense was $51 thousand and $56 thousand for the nine month periods ended September 30, 2019 and 2018, respectively and was $17 thousand and $18 thousand for the three month periods ended September 30, 2019 and 2018. The Company leases administrative office space in Palatine, Illinois on a month to month basis at the rate of approximately $2 thousand per month.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w w:val="99"/>
              </w:rPr>
              <w:t>Accrued expenses at September 30, 2019 and December 31, 2018 are summarized as follows: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2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w w:val="95"/>
              </w:rPr>
              <w:t>September</w:t>
            </w:r>
          </w:p>
        </w:tc>
        <w:tc>
          <w:tcPr>
            <w:tcW w:w="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98"/>
              </w:rPr>
              <w:t>December</w:t>
            </w:r>
          </w:p>
        </w:tc>
      </w:tr>
      <w:tr>
        <w:trPr>
          <w:trHeight w:val="216"/>
        </w:trPr>
        <w:tc>
          <w:tcPr>
            <w:tcW w:w="20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2019</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2018</w:t>
            </w:r>
          </w:p>
        </w:tc>
        <w:tc>
          <w:tcPr>
            <w:tcW w:w="60" w:type="dxa"/>
            <w:vAlign w:val="bottom"/>
          </w:tcPr>
          <w:p>
            <w:pPr>
              <w:spacing w:after="0"/>
              <w:rPr>
                <w:sz w:val="20"/>
                <w:szCs w:val="20"/>
                <w:color w:val="auto"/>
              </w:rPr>
            </w:pPr>
          </w:p>
        </w:tc>
      </w:tr>
      <w:tr>
        <w:trPr>
          <w:trHeight w:val="210"/>
        </w:trPr>
        <w:tc>
          <w:tcPr>
            <w:tcW w:w="2000" w:type="dxa"/>
            <w:vAlign w:val="bottom"/>
          </w:tcPr>
          <w:p>
            <w:pPr>
              <w:spacing w:after="0"/>
              <w:rPr>
                <w:sz w:val="18"/>
                <w:szCs w:val="18"/>
                <w:color w:val="auto"/>
              </w:rPr>
            </w:pPr>
          </w:p>
        </w:tc>
        <w:tc>
          <w:tcPr>
            <w:tcW w:w="5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20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20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20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Franchise taxes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2013, we entered into a Loan and Security Agreement (the “Oxford Loan Agreement”) with Oxford Finance LLC (“Oxford” or the “Lender”), for a term loan to the Company in the principal amount of $10.0 million (the “Term Loan”). In October 2018 we borrowed $1.8 million from Mr. Schutte and used $1.5 million from the loan proceeds to negotiate, settle and pay-off in full the Oxford Loan for $1.5 million. We recognized a net gain of $296 thousand on the debt settlement. All security interests of Oxford with respect to the Oxford Term Loan have been released.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Oxford Term Loan accrued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was due and payable in full on December 1, 2018. As security for its obligations under the initial Oxford Loan Agreement (prior to the Third Amendment), the Company granted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20"/>
        <w:spacing w:after="0" w:line="312"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a total $231 thousand in deferred debt issue costs. We have amortized these costs, including debt modification additional costs, into interest expense over the term of the Term Loan using the loan’s effective interest rate of 10.16%.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January 1, 2019 and through June 27, 2019, we borrowed an aggregate of $650 thousand from Mr. Schutte and issued various promissory notes to him with the same terms and conditions from the previous loans. Because we believed the Schutte Notes’ rate of interest is below current market rates for us, we imputed interest on the below market rate element of the loans using the 10.16% interest rate under the Oxford Loan Agreement and this has aggregated to $185 thousand as of June 27, 2019. We recorded these benefits to interest income in the period we received the loan, with a corresponding like amount as debt discount against the principal amount of the loan. The debt discount will be amortized to interest expense over the term on the loans. All our assets are pledged as collateral under the Schutte Notes, including our intellectual property.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27, 2019 the aggregate amount of the loans made to the Company by Mr. Schutte aggregated $5.0 million. On June 28, 2019 we entered into an agreement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modifications to the loan and the method of accounting for the loan changes resulted in a $2.6 million loss on debt extinguishment. The $6.0 million promissory note, the common stock purchase warrant and the security agreement were all assigned and transferred by Mr. Schutte to AD Pharma on June 28, 2019.</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events of default under the $6.0 million note are limited to bankruptcy defaults, failure to pay interest and principal when due on July 1, 2023 or upon the termination of the AD Pharma agreement covering LTX-03. The $6.0 million note may be prepaid at any time in whole or in part but only with the consent of the noteholder.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Our debt interest expense for the three and nine month months ended September 30, 2019 and 2018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5"/>
          </w:tcPr>
          <w:p>
            <w:pPr>
              <w:jc w:val="right"/>
              <w:ind w:right="185"/>
              <w:spacing w:after="0"/>
              <w:rPr>
                <w:sz w:val="20"/>
                <w:szCs w:val="20"/>
                <w:color w:val="auto"/>
              </w:rPr>
            </w:pPr>
            <w:r>
              <w:rPr>
                <w:rFonts w:ascii="Arial" w:cs="Arial" w:eastAsia="Arial" w:hAnsi="Arial"/>
                <w:sz w:val="18"/>
                <w:szCs w:val="18"/>
                <w:color w:val="auto"/>
              </w:rPr>
              <w:t>Nine months Ended</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color w:val="auto"/>
                <w:w w:val="88"/>
              </w:rPr>
              <w:t>September 30,</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3"/>
          </w:tcPr>
          <w:p>
            <w:pPr>
              <w:jc w:val="right"/>
              <w:ind w:right="430"/>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4"/>
          </w:tcPr>
          <w:p>
            <w:pPr>
              <w:jc w:val="right"/>
              <w:ind w:right="365"/>
              <w:spacing w:after="0"/>
              <w:rPr>
                <w:sz w:val="20"/>
                <w:szCs w:val="20"/>
                <w:color w:val="auto"/>
              </w:rPr>
            </w:pPr>
            <w:r>
              <w:rPr>
                <w:rFonts w:ascii="Arial" w:cs="Arial" w:eastAsia="Arial" w:hAnsi="Arial"/>
                <w:sz w:val="18"/>
                <w:szCs w:val="18"/>
                <w:color w:val="auto"/>
                <w:w w:val="91"/>
              </w:rPr>
              <w:t>(in thousands)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Fully paid term loan</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68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Related party term loans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Debt issue costs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Financed insurance premiums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tcBorders>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Less: imputed interest income on related party loan</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interest expense, net</w:t>
            </w: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Mr. John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three months ended 2019 and 2018 is $3 thousand and $6 thousand, respectively and for the nine months ended 2019 and 2018 is $15 thousand and $14 thousand, respectively of royalty revenue from MainPointe (See Note 3). On January 1, 2020, MainPointe assigned to AD Pharma, with Acura’s consent, all of its right, title and interest in the MainPointe Agreement between MainPointe and Acura.</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Loans with Mr. John Schutte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28, 2019, we entered into a License, Development and Commercialization Agreement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Financial arrangements include:</w:t>
      </w:r>
    </w:p>
    <w:p>
      <w:pPr>
        <w:spacing w:after="0" w:line="173" w:lineRule="exact"/>
        <w:rPr>
          <w:sz w:val="20"/>
          <w:szCs w:val="20"/>
          <w:color w:val="auto"/>
        </w:rPr>
      </w:pPr>
    </w:p>
    <w:p>
      <w:pPr>
        <w:ind w:left="700" w:right="20" w:hanging="327"/>
        <w:spacing w:after="0" w:line="25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 thousand up to the earlier of 18 months or FDA’s acceptance of a New Drug Application (“NDA”) for LTX-03;</w:t>
      </w:r>
    </w:p>
    <w:p>
      <w:pPr>
        <w:spacing w:after="0" w:line="1" w:lineRule="exact"/>
        <w:rPr>
          <w:rFonts w:ascii="Arial" w:cs="Arial" w:eastAsia="Arial" w:hAnsi="Arial"/>
          <w:sz w:val="18"/>
          <w:szCs w:val="18"/>
          <w:color w:val="auto"/>
        </w:rPr>
      </w:pPr>
    </w:p>
    <w:p>
      <w:pPr>
        <w:ind w:left="700" w:hanging="32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jc w:val="both"/>
        <w:ind w:left="700" w:hanging="327"/>
        <w:spacing w:after="0" w:line="25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AD Pharma may terminate the AD Pharma Agreement at any time. Additionally, if the NDA for LTX-03 is not accepted by the FDA within 18 months, AD Pharma may terminate the AD Pharma Agreement and take ownership of the intellectual property. On July 2, 2019 we received the first monthly license payment of $350 thousand and have received monthly license payments in each of the subsequent months through February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for the nine months ended September 30, 2019 and 2018 consisted of the following (in thousands except price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Nine Months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40" w:type="dxa"/>
            <w:vAlign w:val="bottom"/>
            <w:gridSpan w:val="5"/>
          </w:tcPr>
          <w:p>
            <w:pPr>
              <w:jc w:val="right"/>
              <w:ind w:right="5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1"/>
              </w:rPr>
              <w:t>WAvg</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1"/>
              </w:rPr>
              <w:t>WAvg</w:t>
            </w:r>
          </w:p>
        </w:tc>
        <w:tc>
          <w:tcPr>
            <w:tcW w:w="228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Exercise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Exercise</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Number</w:t>
            </w:r>
          </w:p>
        </w:tc>
        <w:tc>
          <w:tcPr>
            <w:tcW w:w="8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Number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right="110"/>
              <w:spacing w:after="0"/>
              <w:rPr>
                <w:sz w:val="20"/>
                <w:szCs w:val="20"/>
                <w:color w:val="auto"/>
              </w:rPr>
            </w:pPr>
            <w:r>
              <w:rPr>
                <w:rFonts w:ascii="Arial" w:cs="Arial" w:eastAsia="Arial" w:hAnsi="Arial"/>
                <w:sz w:val="18"/>
                <w:szCs w:val="18"/>
                <w:color w:val="auto"/>
                <w:w w:val="92"/>
              </w:rPr>
              <w:t>Price</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440" w:type="dxa"/>
            <w:vAlign w:val="bottom"/>
          </w:tcPr>
          <w:p>
            <w:pPr>
              <w:ind w:left="480"/>
              <w:spacing w:after="0"/>
              <w:rPr>
                <w:sz w:val="20"/>
                <w:szCs w:val="20"/>
                <w:color w:val="auto"/>
              </w:rPr>
            </w:pPr>
            <w:r>
              <w:rPr>
                <w:rFonts w:ascii="Arial" w:cs="Arial" w:eastAsia="Arial" w:hAnsi="Arial"/>
                <w:sz w:val="18"/>
                <w:szCs w:val="18"/>
                <w:color w:val="auto"/>
              </w:rPr>
              <w:t>Issued</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ind w:left="480"/>
              <w:spacing w:after="0"/>
              <w:rPr>
                <w:sz w:val="20"/>
                <w:szCs w:val="20"/>
                <w:color w:val="auto"/>
              </w:rPr>
            </w:pPr>
            <w:r>
              <w:rPr>
                <w:rFonts w:ascii="Arial" w:cs="Arial" w:eastAsia="Arial" w:hAnsi="Arial"/>
                <w:sz w:val="18"/>
                <w:szCs w:val="18"/>
                <w:color w:val="auto"/>
              </w:rPr>
              <w:t>Expired</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Modification</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Outstanding, Sept. 30</w:t>
            </w:r>
          </w:p>
        </w:tc>
        <w:tc>
          <w:tcPr>
            <w:tcW w:w="9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In connection with the issuance of the $10.0 million secured promissory notes to Oxford in December 2013, we issued a common stock purchase warrant (“warrant”)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July 2017 private placement transaction with Mr. Schutte, we issued a warrant to purchase approx. 1.782 million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warrant is immediately exercisable at a price of $0.528 per share and expire five years after issuance (See Note 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(see Note 8). The warrant was assigned and transferred by Mr. Schutte to AD Pharma on June 28,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long-term debt. The carrying amounts of these financial instruments, other than our debt, are representative of their respective fair values due to their relatively short maturities. On June 28, 2019, we restructured the $5.0 million related party loan and reported the debt using fair value for the changes to the loan resulting in the recognizing a $2.6 million loss on debt extinguishment.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non-cash and cash-portioned instruments issued to our employees and directors comprised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gridSpan w:val="4"/>
          </w:tcPr>
          <w:p>
            <w:pPr>
              <w:jc w:val="right"/>
              <w:ind w:right="59"/>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80" w:type="dxa"/>
            <w:vAlign w:val="bottom"/>
            <w:gridSpan w:val="4"/>
          </w:tcPr>
          <w:p>
            <w:pPr>
              <w:jc w:val="right"/>
              <w:ind w:right="259"/>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2019</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(in thousands)</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8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10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20" w:type="dxa"/>
            <w:vAlign w:val="bottom"/>
            <w:tcBorders>
              <w:bottom w:val="single" w:sz="8" w:color="CCEEFF"/>
            </w:tcBorders>
          </w:tcPr>
          <w:p>
            <w:pPr>
              <w:jc w:val="center"/>
              <w:ind w:right="2130"/>
              <w:spacing w:after="0"/>
              <w:rPr>
                <w:sz w:val="20"/>
                <w:szCs w:val="20"/>
                <w:color w:val="auto"/>
              </w:rPr>
            </w:pPr>
            <w:r>
              <w:rPr>
                <w:rFonts w:ascii="Arial" w:cs="Arial" w:eastAsia="Arial" w:hAnsi="Arial"/>
                <w:sz w:val="18"/>
                <w:szCs w:val="18"/>
                <w:color w:val="auto"/>
                <w:w w:val="90"/>
              </w:rPr>
              <w:t>Subtotal</w:t>
            </w:r>
          </w:p>
        </w:tc>
        <w:tc>
          <w:tcPr>
            <w:tcW w:w="10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99"/>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82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20" w:type="dxa"/>
            <w:vAlign w:val="bottom"/>
            <w:shd w:val="clear" w:color="auto" w:fill="CCEEFF"/>
          </w:tcPr>
          <w:p>
            <w:pPr>
              <w:jc w:val="center"/>
              <w:ind w:right="2130"/>
              <w:spacing w:after="0"/>
              <w:rPr>
                <w:sz w:val="20"/>
                <w:szCs w:val="20"/>
                <w:color w:val="auto"/>
              </w:rPr>
            </w:pPr>
            <w:r>
              <w:rPr>
                <w:rFonts w:ascii="Arial" w:cs="Arial" w:eastAsia="Arial" w:hAnsi="Arial"/>
                <w:sz w:val="18"/>
                <w:szCs w:val="18"/>
                <w:color w:val="auto"/>
                <w:w w:val="90"/>
              </w:rPr>
              <w:t>Subtotal</w:t>
            </w:r>
          </w:p>
        </w:tc>
        <w:tc>
          <w:tcPr>
            <w:tcW w:w="10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jc w:val="center"/>
              <w:ind w:right="2090"/>
              <w:spacing w:after="0"/>
              <w:rPr>
                <w:sz w:val="20"/>
                <w:szCs w:val="20"/>
                <w:color w:val="auto"/>
              </w:rPr>
            </w:pPr>
            <w:r>
              <w:rPr>
                <w:rFonts w:ascii="Arial" w:cs="Arial" w:eastAsia="Arial" w:hAnsi="Arial"/>
                <w:sz w:val="18"/>
                <w:szCs w:val="18"/>
                <w:color w:val="auto"/>
                <w:w w:val="89"/>
              </w:rPr>
              <w:t>Total</w:t>
            </w:r>
          </w:p>
        </w:tc>
        <w:tc>
          <w:tcPr>
            <w:tcW w:w="10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nine month periods ending September 30, 2019 and 2018 is shown below:</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Nine Months Ended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18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8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Weighted</w:t>
            </w:r>
          </w:p>
        </w:tc>
        <w:tc>
          <w:tcPr>
            <w:tcW w:w="60" w:type="dxa"/>
            <w:vAlign w:val="bottom"/>
            <w:gridSpan w:val="2"/>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Average</w:t>
            </w:r>
          </w:p>
        </w:tc>
      </w:tr>
      <w:tr>
        <w:trPr>
          <w:trHeight w:val="216"/>
        </w:trPr>
        <w:tc>
          <w:tcPr>
            <w:tcW w:w="306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Exercise</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90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0"/>
        </w:trPr>
        <w:tc>
          <w:tcPr>
            <w:tcW w:w="306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(000’s)</w:t>
            </w:r>
          </w:p>
        </w:tc>
        <w:tc>
          <w:tcPr>
            <w:tcW w:w="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Price</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(000’s)</w:t>
            </w:r>
          </w:p>
        </w:tc>
        <w:tc>
          <w:tcPr>
            <w:tcW w:w="8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Price</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060" w:type="dxa"/>
            <w:vAlign w:val="bottom"/>
          </w:tcPr>
          <w:p>
            <w:pPr>
              <w:ind w:left="3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60" w:type="dxa"/>
            <w:vAlign w:val="bottom"/>
          </w:tcPr>
          <w:p>
            <w:pPr>
              <w:ind w:left="320"/>
              <w:spacing w:after="0"/>
              <w:rPr>
                <w:sz w:val="20"/>
                <w:szCs w:val="20"/>
                <w:color w:val="auto"/>
              </w:rPr>
            </w:pPr>
            <w:r>
              <w:rPr>
                <w:rFonts w:ascii="Arial" w:cs="Arial" w:eastAsia="Arial" w:hAnsi="Arial"/>
                <w:sz w:val="18"/>
                <w:szCs w:val="18"/>
                <w:color w:val="auto"/>
              </w:rPr>
              <w:t>Forfeited or expired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(30.83)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(1.77)</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 30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Options exercisable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nonvested stock options outstanding at September 30, 2019 (in thousands except price data):</w:t>
      </w: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Weighted</w:t>
            </w:r>
          </w:p>
        </w:tc>
      </w:tr>
      <w:tr>
        <w:trPr>
          <w:trHeight w:val="216"/>
        </w:trPr>
        <w:tc>
          <w:tcPr>
            <w:tcW w:w="49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Not</w:t>
            </w: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Average</w:t>
            </w:r>
          </w:p>
        </w:tc>
      </w:tr>
      <w:tr>
        <w:trPr>
          <w:trHeight w:val="230"/>
        </w:trPr>
        <w:tc>
          <w:tcPr>
            <w:tcW w:w="49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Exercisable</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Fair Value</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960" w:type="dxa"/>
            <w:vAlign w:val="bottom"/>
          </w:tcPr>
          <w:p>
            <w:pPr>
              <w:ind w:left="3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49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(0.10)</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each of September 30, 2019 and 2018 was $0. The total remaining unrecognized compensation cost on unvested option awards outstanding at September 30, 2019 was $4 thousand, and is expected to be recognized in operating expense in varying amounts over the eight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The 2017 RSU Plan was approved by our shareholders in November 2017 and permits the grant of up to 1.5 million shares of our common stock pursuant to awards under the 2017 RSU Plan. The 2014 RSU Plan was approved by shareholders in May 2014 and permits the grant of up to 400 thousand shares of our common stock pursuant to awards under the 2014 RSU Plan. As of September 30, 2019 there are approximately 219 thousand shares available for award under the 2017 RSU Plan and there are no remaining shares available for award under the 2014 RSU Plan.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Vesting of an RSU entitles the holder to receive a share of our common stock on a distribution date. The RSU awards to our non-employee directors allow for them to receive payment in cash upon the RSU award’s distribution, instead of an exchange into our common stock, for up to 40% of each RSU award. The portion of the RSU award subject to cash settlement is recorded as a liability in the Company’s balance sheet and to either general and administrative expense or research and development expense while being marked-to-market each reporting period until the award is distributed. The liability was $29 thousand and $11 thousand at September 30, 2019 and December 31, 2018,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The compensation cost to be incurred by the Company on a granted RSU award without a cash settlement option is the RSU’s fair value, which is the market price of our common stock on the date of grant, less its exercise cost. The compensation cost is amortized over the vesting period of the RSU award to either general and administrative expense or research and development expense and recorded as additional paid-in capital.</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grants under the RSU Plans as of September 30, 2019 and 2018, and for the nine month period then ended consisted of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8"/>
                <w:szCs w:val="18"/>
                <w:color w:val="auto"/>
                <w:w w:val="91"/>
              </w:rPr>
              <w:t>Nine Months Ended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color w:val="auto"/>
                <w:w w:val="88"/>
              </w:rPr>
              <w:t>September 30,</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color w:val="auto"/>
                <w:w w:val="89"/>
              </w:rPr>
              <w:t>(in thousands)</w:t>
            </w: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5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Number of</w:t>
            </w:r>
          </w:p>
        </w:tc>
        <w:tc>
          <w:tcPr>
            <w:tcW w:w="1560" w:type="dxa"/>
            <w:vAlign w:val="bottom"/>
            <w:gridSpan w:val="3"/>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gridSpan w:val="2"/>
          </w:tcPr>
          <w:p>
            <w:pPr>
              <w:spacing w:after="0"/>
              <w:rPr>
                <w:sz w:val="16"/>
                <w:szCs w:val="16"/>
                <w:color w:val="auto"/>
              </w:rPr>
            </w:pPr>
          </w:p>
        </w:tc>
      </w:tr>
      <w:tr>
        <w:trPr>
          <w:trHeight w:val="230"/>
        </w:trPr>
        <w:tc>
          <w:tcPr>
            <w:tcW w:w="5620" w:type="dxa"/>
            <w:vAlign w:val="bottom"/>
          </w:tcPr>
          <w:p>
            <w:pPr>
              <w:spacing w:after="0"/>
              <w:rPr>
                <w:sz w:val="20"/>
                <w:szCs w:val="20"/>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Number of RSUs</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Vested RSUs</w:t>
            </w: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RSUs</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Vested RSUs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Distributed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r>
      <w:tr>
        <w:trPr>
          <w:trHeight w:val="216"/>
        </w:trPr>
        <w:tc>
          <w:tcPr>
            <w:tcW w:w="5620" w:type="dxa"/>
            <w:vAlign w:val="bottom"/>
          </w:tcPr>
          <w:p>
            <w:pPr>
              <w:ind w:left="50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Forfeited or expired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Sept. 30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 activity under the RSU Plans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2017, we awarded 200 thousand RSUs to employees and such RSU awards were fully vested on December 31, 2018. Distribution of these awards and the exchange into common stock will occur in one third amounts on each of January 1, 2020, 2021 and 2022. The employees have the option to pay the par value of the common stock and settle payroll withholding taxes in shares of common stock they would otherwise be receiving resulting in a net share settlement.</w:t>
      </w:r>
    </w:p>
    <w:p>
      <w:pPr>
        <w:spacing w:after="0" w:line="1" w:lineRule="exact"/>
        <w:rPr>
          <w:rFonts w:ascii="Arial" w:cs="Arial" w:eastAsia="Arial" w:hAnsi="Arial"/>
          <w:sz w:val="18"/>
          <w:szCs w:val="18"/>
          <w:color w:val="auto"/>
        </w:rPr>
      </w:pPr>
    </w:p>
    <w:p>
      <w:pPr>
        <w:jc w:val="both"/>
        <w:ind w:left="500" w:hanging="168"/>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2017, we awarded approximately 60 thousand RSUs to each of our non-employee directors. Such awards vested 25% at the end of each calendar quarter during 2017. In January 2018, these awards were distributed and they were exchanged into 214 thousand shares of our common stock while 24 thousand RSUs were settled in cash. There were also 24 thousand RSUs exchanged into common stock from prior year awards.</w:t>
      </w:r>
    </w:p>
    <w:p>
      <w:pPr>
        <w:spacing w:after="0" w:line="2" w:lineRule="exact"/>
        <w:rPr>
          <w:rFonts w:ascii="Arial" w:cs="Arial" w:eastAsia="Arial" w:hAnsi="Arial"/>
          <w:sz w:val="16"/>
          <w:szCs w:val="16"/>
          <w:color w:val="auto"/>
        </w:rPr>
      </w:pPr>
    </w:p>
    <w:p>
      <w:pPr>
        <w:ind w:left="500" w:hanging="168"/>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2018, we awarded approximately 67 thousand RSUs to each of our non-employee directors. Such awards vested 25% at the end of each calendar quarter during 2018. In January 2019, these awards were distributed and they were exchanged into 266 shares of our common stock.</w:t>
      </w:r>
    </w:p>
    <w:p>
      <w:pPr>
        <w:spacing w:after="0" w:line="1" w:lineRule="exact"/>
        <w:rPr>
          <w:rFonts w:ascii="Arial" w:cs="Arial" w:eastAsia="Arial" w:hAnsi="Arial"/>
          <w:sz w:val="16"/>
          <w:szCs w:val="16"/>
          <w:color w:val="auto"/>
        </w:rPr>
      </w:pPr>
    </w:p>
    <w:p>
      <w:pPr>
        <w:jc w:val="both"/>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2018, we awarded 492 thousand RSUs to employees and such RSU awards will vested in full on December 31, 2019. Distribution of these awards and the exchange into common stock will occur in one third amounts on each of January 1, 2021, 2022 and 2023. The employees have the option to pay the par value of the common stock and settle payroll withholding taxes in shares of common stock they would otherwise be receiving resulting in a net share settlement.</w:t>
      </w:r>
    </w:p>
    <w:p>
      <w:pPr>
        <w:spacing w:after="0" w:line="1" w:lineRule="exact"/>
        <w:rPr>
          <w:rFonts w:ascii="Arial" w:cs="Arial" w:eastAsia="Arial" w:hAnsi="Arial"/>
          <w:sz w:val="18"/>
          <w:szCs w:val="18"/>
          <w:color w:val="auto"/>
        </w:rPr>
      </w:pPr>
    </w:p>
    <w:p>
      <w:pPr>
        <w:jc w:val="both"/>
        <w:ind w:left="500" w:hanging="168"/>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non-employee directors. Such awards vest 25% at the end of each calendar quarter during 2019. These awards will be distributed and exchanged into common stock will occur in one third amounts on each of January 2020 and up to 40% of the award can be settled in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$171.8 million gross Federal NOLs at December 31, 2018 (of which approximately $167.7 million were generated prior to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2019 and December 31, 2018,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INCOME (LOSS) PER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(loss) per share (“EPS”) is computed by dividing net income or loss by the weighted average common shares outstanding during a period, including shares weighted related to both the vested Restricted Stock Units (“RSUs”) which settle in shares (See Note 12) and the stock warrant exercisable for 10.0 million shares having an exercise price of $0.01 per share (See Note 8).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2019 or 2018 as the Company reported a net loss for the three and nine month periods, or in the event of reporting net income the basic EPS was $0, and including the effects of the common stock equivalents in the diluted EPS calculations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80" w:type="dxa"/>
            <w:vAlign w:val="bottom"/>
            <w:gridSpan w:val="4"/>
          </w:tcPr>
          <w:p>
            <w:pPr>
              <w:jc w:val="right"/>
              <w:ind w:right="18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8"/>
                <w:szCs w:val="18"/>
                <w:color w:val="auto"/>
              </w:rPr>
              <w:t>Nine months Ended</w:t>
            </w:r>
          </w:p>
        </w:tc>
      </w:tr>
      <w:tr>
        <w:trPr>
          <w:trHeight w:val="230"/>
        </w:trPr>
        <w:tc>
          <w:tcPr>
            <w:tcW w:w="5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6"/>
              </w:rPr>
              <w:t>September 30,</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60" w:type="dxa"/>
            <w:vAlign w:val="bottom"/>
          </w:tcPr>
          <w:p>
            <w:pPr>
              <w:ind w:left="320"/>
              <w:spacing w:after="0"/>
              <w:rPr>
                <w:sz w:val="20"/>
                <w:szCs w:val="20"/>
                <w:color w:val="auto"/>
              </w:rPr>
            </w:pPr>
            <w:r>
              <w:rPr>
                <w:rFonts w:ascii="Arial" w:cs="Arial" w:eastAsia="Arial" w:hAnsi="Arial"/>
                <w:sz w:val="18"/>
                <w:szCs w:val="18"/>
                <w:color w:val="auto"/>
              </w:rPr>
              <w:t>Numerator: net income (loss)</w:t>
            </w:r>
          </w:p>
        </w:tc>
        <w:tc>
          <w:tcPr>
            <w:tcW w:w="860" w:type="dxa"/>
            <w:vAlign w:val="bottom"/>
          </w:tcPr>
          <w:p>
            <w:pPr>
              <w:jc w:val="right"/>
              <w:ind w:right="69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(3,929)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(3,850)</w:t>
            </w:r>
          </w:p>
        </w:tc>
      </w:tr>
      <w:tr>
        <w:trPr>
          <w:trHeight w:val="210"/>
        </w:trPr>
        <w:tc>
          <w:tcPr>
            <w:tcW w:w="5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Denominator (weighted):</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21,300</w:t>
            </w:r>
          </w:p>
        </w:tc>
        <w:tc>
          <w:tcPr>
            <w:tcW w:w="8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21,034</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21,300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21,033</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 - vested</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30"/>
        </w:trPr>
        <w:tc>
          <w:tcPr>
            <w:tcW w:w="5160" w:type="dxa"/>
            <w:vAlign w:val="bottom"/>
          </w:tcPr>
          <w:p>
            <w:pPr>
              <w:ind w:left="320"/>
              <w:spacing w:after="0"/>
              <w:rPr>
                <w:sz w:val="20"/>
                <w:szCs w:val="20"/>
                <w:color w:val="auto"/>
              </w:rPr>
            </w:pPr>
            <w:r>
              <w:rPr>
                <w:rFonts w:ascii="Arial" w:cs="Arial" w:eastAsia="Arial" w:hAnsi="Arial"/>
                <w:sz w:val="18"/>
                <w:szCs w:val="18"/>
                <w:color w:val="auto"/>
              </w:rPr>
              <w:t>Common stock purchase warrant</w:t>
            </w:r>
          </w:p>
        </w:tc>
        <w:tc>
          <w:tcPr>
            <w:tcW w:w="8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10,000</w:t>
            </w:r>
          </w:p>
        </w:tc>
        <w:tc>
          <w:tcPr>
            <w:tcW w:w="8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3,480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31,593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21,168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per share – basic and diluted</w:t>
            </w:r>
          </w:p>
        </w:tc>
        <w:tc>
          <w:tcPr>
            <w:tcW w:w="860" w:type="dxa"/>
            <w:vAlign w:val="bottom"/>
            <w:tcBorders>
              <w:bottom w:val="single" w:sz="8" w:color="auto"/>
            </w:tcBorders>
          </w:tcPr>
          <w:p>
            <w:pPr>
              <w:jc w:val="right"/>
              <w:ind w:right="69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Common shares issuable: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 – nonvested</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Stock options – vested and nonvested</w:t>
            </w: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8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purchase warrants</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1,842</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r>
      <w:tr>
        <w:trPr>
          <w:trHeight w:val="230"/>
        </w:trPr>
        <w:tc>
          <w:tcPr>
            <w:tcW w:w="5160" w:type="dxa"/>
            <w:vAlign w:val="bottom"/>
          </w:tcPr>
          <w:p>
            <w:pPr>
              <w:ind w:left="320"/>
              <w:spacing w:after="0"/>
              <w:rPr>
                <w:sz w:val="20"/>
                <w:szCs w:val="20"/>
                <w:color w:val="auto"/>
              </w:rPr>
            </w:pPr>
            <w:r>
              <w:rPr>
                <w:rFonts w:ascii="Arial" w:cs="Arial" w:eastAsia="Arial" w:hAnsi="Arial"/>
                <w:sz w:val="18"/>
                <w:szCs w:val="18"/>
                <w:color w:val="auto"/>
              </w:rPr>
              <w:t>Convertible loan</w:t>
            </w:r>
          </w:p>
        </w:tc>
        <w:tc>
          <w:tcPr>
            <w:tcW w:w="8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37,500</w:t>
            </w:r>
          </w:p>
        </w:tc>
        <w:tc>
          <w:tcPr>
            <w:tcW w:w="8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37,500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excluded potentially dilutive shares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41,262</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41,262</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first quarter of 2020. Legal fees related to this matter have been covered by our insurance carrier. Based upon the current status and evaluation, we have not accrued for any potential loss related to these matters as of September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23"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Zyla Life Sciences’ or Zyla (formerly known as Egalet Corporation) for Oxaydo;</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80" w:hanging="248"/>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80" w:hanging="248"/>
        <w:spacing w:after="0" w:line="261"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2018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Zyla US, Inc. and Zyla Ltd., each a subsidiary of Zyla Corporation,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 We are not actively developing product candidates utilizing our Aversion Technology.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with Acura’s consent, all of its right, title and interest in the Agreement between MainPointe and Acura dated March 16, 2017.</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and completion of development of LTX-03. The Agreement grants AD Pharma exclusive commercialization rights in the United States to LTX-03.</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of our abuse deterrent products, such our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Overdose Minimized Opioid Products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50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rPr>
              <w:t>Limitx Technology Products</w:t>
            </w:r>
          </w:p>
        </w:tc>
        <w:tc>
          <w:tcPr>
            <w:tcW w:w="580" w:type="dxa"/>
            <w:vAlign w:val="bottom"/>
            <w:tcBorders>
              <w:top w:val="single" w:sz="8" w:color="auto"/>
              <w:bottom w:val="single" w:sz="8" w:color="auto"/>
              <w:right w:val="single" w:sz="8" w:color="auto"/>
            </w:tcBorders>
          </w:tcPr>
          <w:p>
            <w:pPr>
              <w:spacing w:after="0"/>
              <w:rPr>
                <w:sz w:val="24"/>
                <w:szCs w:val="24"/>
                <w:color w:val="auto"/>
              </w:rPr>
            </w:pPr>
          </w:p>
        </w:tc>
        <w:tc>
          <w:tcPr>
            <w:tcW w:w="534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24"/>
        </w:trPr>
        <w:tc>
          <w:tcPr>
            <w:tcW w:w="5500" w:type="dxa"/>
            <w:vAlign w:val="bottom"/>
            <w:tcBorders>
              <w:left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Immediate-release hydrocodone bitartrate with acetaminophen (LTX-03)</w:t>
            </w:r>
          </w:p>
        </w:tc>
        <w:tc>
          <w:tcPr>
            <w:tcW w:w="580" w:type="dxa"/>
            <w:vAlign w:val="bottom"/>
            <w:tcBorders>
              <w:right w:val="single" w:sz="8" w:color="auto"/>
            </w:tcBorders>
            <w:shd w:val="clear" w:color="auto" w:fill="CCEEFF"/>
          </w:tcPr>
          <w:p>
            <w:pPr>
              <w:spacing w:after="0"/>
              <w:rPr>
                <w:sz w:val="19"/>
                <w:szCs w:val="19"/>
                <w:color w:val="auto"/>
              </w:rPr>
            </w:pPr>
          </w:p>
        </w:tc>
        <w:tc>
          <w:tcPr>
            <w:tcW w:w="534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Initial buffer dose ranging study completed October 2017</w:t>
            </w:r>
          </w:p>
        </w:tc>
        <w:tc>
          <w:tcPr>
            <w:tcW w:w="0" w:type="dxa"/>
            <w:vAlign w:val="bottom"/>
          </w:tcPr>
          <w:p>
            <w:pPr>
              <w:spacing w:after="0"/>
              <w:rPr>
                <w:sz w:val="1"/>
                <w:szCs w:val="1"/>
                <w:color w:val="auto"/>
              </w:rPr>
            </w:pPr>
          </w:p>
        </w:tc>
      </w:tr>
      <w:tr>
        <w:trPr>
          <w:trHeight w:val="94"/>
        </w:trPr>
        <w:tc>
          <w:tcPr>
            <w:tcW w:w="5500" w:type="dxa"/>
            <w:vAlign w:val="bottom"/>
            <w:tcBorders>
              <w:left w:val="single" w:sz="8" w:color="auto"/>
            </w:tcBorders>
            <w:vMerge w:val="continue"/>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534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500" w:type="dxa"/>
            <w:vAlign w:val="bottom"/>
            <w:tcBorders>
              <w:left w:val="single" w:sz="8" w:color="auto"/>
            </w:tcBorders>
            <w:shd w:val="clear" w:color="auto" w:fill="CCEEFF"/>
          </w:tcPr>
          <w:p>
            <w:pPr>
              <w:spacing w:after="0"/>
              <w:rPr>
                <w:sz w:val="24"/>
                <w:szCs w:val="24"/>
                <w:color w:val="auto"/>
              </w:rPr>
            </w:pPr>
          </w:p>
        </w:tc>
        <w:tc>
          <w:tcPr>
            <w:tcW w:w="580" w:type="dxa"/>
            <w:vAlign w:val="bottom"/>
            <w:tcBorders>
              <w:right w:val="single" w:sz="8" w:color="auto"/>
            </w:tcBorders>
            <w:shd w:val="clear" w:color="auto" w:fill="CCEEFF"/>
          </w:tcPr>
          <w:p>
            <w:pPr>
              <w:spacing w:after="0"/>
              <w:rPr>
                <w:sz w:val="24"/>
                <w:szCs w:val="24"/>
                <w:color w:val="auto"/>
              </w:rPr>
            </w:pPr>
          </w:p>
        </w:tc>
        <w:tc>
          <w:tcPr>
            <w:tcW w:w="534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Follow on dose ranging study completed in January 2018</w:t>
            </w:r>
          </w:p>
        </w:tc>
        <w:tc>
          <w:tcPr>
            <w:tcW w:w="0" w:type="dxa"/>
            <w:vAlign w:val="bottom"/>
          </w:tcPr>
          <w:p>
            <w:pPr>
              <w:spacing w:after="0"/>
              <w:rPr>
                <w:sz w:val="1"/>
                <w:szCs w:val="1"/>
                <w:color w:val="auto"/>
              </w:rPr>
            </w:pPr>
          </w:p>
        </w:tc>
      </w:tr>
      <w:tr>
        <w:trPr>
          <w:trHeight w:val="418"/>
        </w:trPr>
        <w:tc>
          <w:tcPr>
            <w:tcW w:w="5500" w:type="dxa"/>
            <w:vAlign w:val="bottom"/>
            <w:tcBorders>
              <w:left w:val="single" w:sz="8" w:color="auto"/>
            </w:tcBorders>
            <w:shd w:val="clear" w:color="auto" w:fill="CCEEFF"/>
          </w:tcPr>
          <w:p>
            <w:pPr>
              <w:spacing w:after="0"/>
              <w:rPr>
                <w:sz w:val="24"/>
                <w:szCs w:val="24"/>
                <w:color w:val="auto"/>
              </w:rPr>
            </w:pPr>
          </w:p>
        </w:tc>
        <w:tc>
          <w:tcPr>
            <w:tcW w:w="580" w:type="dxa"/>
            <w:vAlign w:val="bottom"/>
            <w:tcBorders>
              <w:right w:val="single" w:sz="8" w:color="auto"/>
            </w:tcBorders>
            <w:shd w:val="clear" w:color="auto" w:fill="CCEEFF"/>
          </w:tcPr>
          <w:p>
            <w:pPr>
              <w:spacing w:after="0"/>
              <w:rPr>
                <w:sz w:val="24"/>
                <w:szCs w:val="24"/>
                <w:color w:val="auto"/>
              </w:rPr>
            </w:pPr>
          </w:p>
        </w:tc>
        <w:tc>
          <w:tcPr>
            <w:tcW w:w="534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Manufacturing scale-up initiated. Formulation and manufacturing</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bottom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process optimized for commercial scale.</w:t>
            </w:r>
          </w:p>
        </w:tc>
        <w:tc>
          <w:tcPr>
            <w:tcW w:w="0" w:type="dxa"/>
            <w:vAlign w:val="bottom"/>
          </w:tcPr>
          <w:p>
            <w:pPr>
              <w:spacing w:after="0"/>
              <w:rPr>
                <w:sz w:val="1"/>
                <w:szCs w:val="1"/>
                <w:color w:val="auto"/>
              </w:rPr>
            </w:pPr>
          </w:p>
        </w:tc>
      </w:tr>
      <w:tr>
        <w:trPr>
          <w:trHeight w:val="318"/>
        </w:trPr>
        <w:tc>
          <w:tcPr>
            <w:tcW w:w="5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Immediate-release oxycodone HCl (LTX-01) &amp; (LTX-02)</w:t>
            </w:r>
          </w:p>
        </w:tc>
        <w:tc>
          <w:tcPr>
            <w:tcW w:w="580" w:type="dxa"/>
            <w:vAlign w:val="bottom"/>
            <w:tcBorders>
              <w:bottom w:val="single" w:sz="8" w:color="auto"/>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Formulation development in process</w:t>
            </w:r>
          </w:p>
        </w:tc>
        <w:tc>
          <w:tcPr>
            <w:tcW w:w="0" w:type="dxa"/>
            <w:vAlign w:val="bottom"/>
          </w:tcPr>
          <w:p>
            <w:pPr>
              <w:spacing w:after="0"/>
              <w:rPr>
                <w:sz w:val="1"/>
                <w:szCs w:val="1"/>
                <w:color w:val="auto"/>
              </w:rPr>
            </w:pPr>
          </w:p>
        </w:tc>
      </w:tr>
      <w:tr>
        <w:trPr>
          <w:trHeight w:val="318"/>
        </w:trPr>
        <w:tc>
          <w:tcPr>
            <w:tcW w:w="550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Immediate-release non-opioid drug (LTX-09)</w:t>
            </w:r>
          </w:p>
        </w:tc>
        <w:tc>
          <w:tcPr>
            <w:tcW w:w="580" w:type="dxa"/>
            <w:vAlign w:val="bottom"/>
            <w:tcBorders>
              <w:bottom w:val="single" w:sz="8" w:color="auto"/>
              <w:right w:val="single" w:sz="8" w:color="auto"/>
            </w:tcBorders>
            <w:shd w:val="clear" w:color="auto" w:fill="CCEEFF"/>
          </w:tcPr>
          <w:p>
            <w:pPr>
              <w:spacing w:after="0"/>
              <w:rPr>
                <w:sz w:val="24"/>
                <w:szCs w:val="24"/>
                <w:color w:val="auto"/>
              </w:rPr>
            </w:pP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Formulation development in process</w:t>
            </w:r>
          </w:p>
        </w:tc>
        <w:tc>
          <w:tcPr>
            <w:tcW w:w="0" w:type="dxa"/>
            <w:vAlign w:val="bottom"/>
          </w:tcPr>
          <w:p>
            <w:pPr>
              <w:spacing w:after="0"/>
              <w:rPr>
                <w:sz w:val="1"/>
                <w:szCs w:val="1"/>
                <w:color w:val="auto"/>
              </w:rPr>
            </w:pPr>
          </w:p>
        </w:tc>
      </w:tr>
      <w:tr>
        <w:trPr>
          <w:trHeight w:val="303"/>
        </w:trPr>
        <w:tc>
          <w:tcPr>
            <w:tcW w:w="5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Immediate-release hydromorphone HCI (LTX-04)</w:t>
            </w:r>
          </w:p>
        </w:tc>
        <w:tc>
          <w:tcPr>
            <w:tcW w:w="58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Two Phase I exploratory pharmacokinetic studies completed. IND no</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longer active.</w:t>
            </w:r>
          </w:p>
        </w:tc>
        <w:tc>
          <w:tcPr>
            <w:tcW w:w="0" w:type="dxa"/>
            <w:vAlign w:val="bottom"/>
          </w:tcPr>
          <w:p>
            <w:pPr>
              <w:spacing w:after="0"/>
              <w:rPr>
                <w:sz w:val="1"/>
                <w:szCs w:val="1"/>
                <w:color w:val="auto"/>
              </w:rPr>
            </w:pPr>
          </w:p>
        </w:tc>
      </w:tr>
      <w:tr>
        <w:trPr>
          <w:trHeight w:val="642"/>
        </w:trPr>
        <w:tc>
          <w:tcPr>
            <w:tcW w:w="5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w:t>
            </w: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are currently conducting the scale-up of the commercial manufacturing process as to-be-marketed formulations are required for all NDA development work. Among other things, we believe we will have to demonstrate a scientific link between Cmax reductions and a reduction in the risk of respiratory depression.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receive royalties and potential sales related milestones.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 thousand up to the earlier of 18 months or FDA’s acceptance of a New Drug Application (“NDA”) for LTX-03 and reimbursement by AP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Limitx intellectual property.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Mr. Schutte is our largest shareholder and directly owns approximately 47.5% of our common stock (after giving effect to the exercise of warrants he holds).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Schutte also controls MainPointe and is an investor in AD Pharma.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20" w:hanging="264"/>
        <w:spacing w:after="0" w:line="258"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20" w:hanging="264"/>
        <w:spacing w:after="0" w:line="250"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920" w:hanging="264"/>
        <w:spacing w:after="0" w:line="261"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Zyla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Zyla Agreement, we and Zyla have formed a joint steering committee to oversee commercialization strategies and the development of product line extensions. Zyla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will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Meth Resistant</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Meth</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7"/>
        </w:trPr>
        <w:tc>
          <w:tcPr>
            <w:tcW w:w="6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Product/Formulation</w:t>
            </w:r>
          </w:p>
        </w:tc>
        <w:tc>
          <w:tcPr>
            <w:tcW w:w="8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Technology</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7"/>
              </w:rPr>
              <w:t>Recovery</w:t>
            </w:r>
            <w:r>
              <w:rPr>
                <w:rFonts w:ascii="Arial" w:cs="Arial" w:eastAsia="Arial" w:hAnsi="Arial"/>
                <w:sz w:val="30"/>
                <w:szCs w:val="30"/>
                <w:color w:val="auto"/>
                <w:w w:val="87"/>
                <w:vertAlign w:val="superscript"/>
              </w:rPr>
              <w:t>1</w:t>
            </w:r>
          </w:p>
        </w:tc>
        <w:tc>
          <w:tcPr>
            <w:tcW w:w="2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ind w:left="300"/>
              <w:spacing w:after="0" w:line="266" w:lineRule="exact"/>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tcBorders>
              <w:bottom w:val="single" w:sz="8" w:color="CCEEFF"/>
            </w:tcBorders>
          </w:tcPr>
          <w:p>
            <w:pPr>
              <w:spacing w:after="0"/>
              <w:rPr>
                <w:sz w:val="23"/>
                <w:szCs w:val="23"/>
                <w:color w:val="auto"/>
              </w:rPr>
            </w:pPr>
          </w:p>
        </w:tc>
      </w:tr>
      <w:tr>
        <w:trPr>
          <w:trHeight w:val="223"/>
        </w:trPr>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Sudafed® 30mg Tablets</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none</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6280" w:type="dxa"/>
            <w:vAlign w:val="bottom"/>
            <w:gridSpan w:val="2"/>
          </w:tcPr>
          <w:p>
            <w:pPr>
              <w:ind w:left="100"/>
              <w:spacing w:after="0"/>
              <w:rPr>
                <w:sz w:val="20"/>
                <w:szCs w:val="20"/>
                <w:color w:val="auto"/>
              </w:rPr>
            </w:pPr>
            <w:r>
              <w:rPr>
                <w:rFonts w:ascii="Arial" w:cs="Arial" w:eastAsia="Arial" w:hAnsi="Arial"/>
                <w:sz w:val="18"/>
                <w:szCs w:val="18"/>
                <w:color w:val="auto"/>
              </w:rPr>
              <w:t>Nexafed 30mg Technology</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Impede® 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Zephrex-D® 30mg Pills</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Tarex®</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30"/>
        </w:trPr>
        <w:tc>
          <w:tcPr>
            <w:tcW w:w="6280" w:type="dxa"/>
            <w:vAlign w:val="bottom"/>
            <w:gridSpan w:val="2"/>
          </w:tcPr>
          <w:p>
            <w:pPr>
              <w:ind w:left="100"/>
              <w:spacing w:after="0"/>
              <w:rPr>
                <w:sz w:val="20"/>
                <w:szCs w:val="20"/>
                <w:color w:val="auto"/>
              </w:rPr>
            </w:pPr>
            <w:r>
              <w:rPr>
                <w:rFonts w:ascii="Arial" w:cs="Arial" w:eastAsia="Arial" w:hAnsi="Arial"/>
                <w:sz w:val="18"/>
                <w:szCs w:val="18"/>
                <w:color w:val="auto"/>
              </w:rPr>
              <w:t>Nexafed 120mg Extended-release tablets</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Impede® 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ind w:left="760" w:hanging="104"/>
        <w:spacing w:after="0" w:line="190" w:lineRule="auto"/>
        <w:tabs>
          <w:tab w:leader="none" w:pos="76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3"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4" w:name="page35"/>
    <w:bookmarkEnd w:id="34"/>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have developed additional products for our Nexafed franchise:</w:t>
      </w:r>
    </w:p>
    <w:p>
      <w:pPr>
        <w:spacing w:after="0" w:line="165"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5680" w:type="dxa"/>
            <w:vAlign w:val="bottom"/>
            <w:tcBorders>
              <w:top w:val="single" w:sz="8" w:color="auto"/>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Impede Technology Products</w:t>
            </w:r>
          </w:p>
        </w:tc>
        <w:tc>
          <w:tcPr>
            <w:tcW w:w="4600" w:type="dxa"/>
            <w:vAlign w:val="bottom"/>
            <w:tcBorders>
              <w:top w:val="single" w:sz="8" w:color="auto"/>
              <w:bottom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95"/>
        </w:trPr>
        <w:tc>
          <w:tcPr>
            <w:tcW w:w="5680" w:type="dxa"/>
            <w:vAlign w:val="bottom"/>
            <w:tcBorders>
              <w:left w:val="single" w:sz="8" w:color="auto"/>
              <w:right w:val="single" w:sz="8" w:color="auto"/>
            </w:tcBorders>
            <w:shd w:val="clear" w:color="auto" w:fill="CCEEFF"/>
          </w:tcPr>
          <w:p>
            <w:pPr>
              <w:spacing w:after="0"/>
              <w:rPr>
                <w:sz w:val="16"/>
                <w:szCs w:val="16"/>
                <w:color w:val="auto"/>
              </w:rPr>
            </w:pPr>
          </w:p>
        </w:tc>
        <w:tc>
          <w:tcPr>
            <w:tcW w:w="4600" w:type="dxa"/>
            <w:vAlign w:val="bottom"/>
            <w:tcBorders>
              <w:right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3"/>
              </w:rPr>
              <w:t>Pilot pharmacokinetic testing demonstrated bioequivalence</w:t>
            </w:r>
          </w:p>
        </w:tc>
        <w:tc>
          <w:tcPr>
            <w:tcW w:w="0" w:type="dxa"/>
            <w:vAlign w:val="bottom"/>
          </w:tcPr>
          <w:p>
            <w:pPr>
              <w:spacing w:after="0"/>
              <w:rPr>
                <w:sz w:val="1"/>
                <w:szCs w:val="1"/>
                <w:color w:val="auto"/>
              </w:rPr>
            </w:pPr>
          </w:p>
        </w:tc>
      </w:tr>
      <w:tr>
        <w:trPr>
          <w:trHeight w:val="216"/>
        </w:trPr>
        <w:tc>
          <w:tcPr>
            <w:tcW w:w="5680" w:type="dxa"/>
            <w:vAlign w:val="bottom"/>
            <w:tcBorders>
              <w:left w:val="single" w:sz="8" w:color="auto"/>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Extended-release formulation utilizing Impede 2.0 Technology</w:t>
            </w:r>
          </w:p>
        </w:tc>
        <w:tc>
          <w:tcPr>
            <w:tcW w:w="46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to Sudafed® 12-hour Tablets. Pre-IND meeting held with</w:t>
            </w:r>
          </w:p>
        </w:tc>
        <w:tc>
          <w:tcPr>
            <w:tcW w:w="0" w:type="dxa"/>
            <w:vAlign w:val="bottom"/>
          </w:tcPr>
          <w:p>
            <w:pPr>
              <w:spacing w:after="0"/>
              <w:rPr>
                <w:sz w:val="1"/>
                <w:szCs w:val="1"/>
                <w:color w:val="auto"/>
              </w:rPr>
            </w:pPr>
          </w:p>
        </w:tc>
      </w:tr>
      <w:tr>
        <w:trPr>
          <w:trHeight w:val="122"/>
        </w:trPr>
        <w:tc>
          <w:tcPr>
            <w:tcW w:w="56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60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the FDA</w:t>
            </w:r>
          </w:p>
        </w:tc>
        <w:tc>
          <w:tcPr>
            <w:tcW w:w="0" w:type="dxa"/>
            <w:vAlign w:val="bottom"/>
          </w:tcPr>
          <w:p>
            <w:pPr>
              <w:spacing w:after="0"/>
              <w:rPr>
                <w:sz w:val="1"/>
                <w:szCs w:val="1"/>
                <w:color w:val="auto"/>
              </w:rPr>
            </w:pPr>
          </w:p>
        </w:tc>
      </w:tr>
      <w:tr>
        <w:trPr>
          <w:trHeight w:val="94"/>
        </w:trPr>
        <w:tc>
          <w:tcPr>
            <w:tcW w:w="5680" w:type="dxa"/>
            <w:vAlign w:val="bottom"/>
            <w:tcBorders>
              <w:left w:val="single" w:sz="8" w:color="auto"/>
              <w:right w:val="single" w:sz="8" w:color="auto"/>
            </w:tcBorders>
            <w:shd w:val="clear" w:color="auto" w:fill="CCEEFF"/>
          </w:tcPr>
          <w:p>
            <w:pPr>
              <w:spacing w:after="0"/>
              <w:rPr>
                <w:sz w:val="8"/>
                <w:szCs w:val="8"/>
                <w:color w:val="auto"/>
              </w:rPr>
            </w:pPr>
          </w:p>
        </w:tc>
        <w:tc>
          <w:tcPr>
            <w:tcW w:w="46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6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6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6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Extended-release combination products</w:t>
            </w:r>
          </w:p>
        </w:tc>
        <w:tc>
          <w:tcPr>
            <w:tcW w:w="4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6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Loratadine with pseudoephedrine</w:t>
            </w:r>
          </w:p>
        </w:tc>
        <w:tc>
          <w:tcPr>
            <w:tcW w:w="46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Retail</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Sales</w:t>
            </w:r>
          </w:p>
        </w:tc>
        <w:tc>
          <w:tcPr>
            <w:tcW w:w="0" w:type="dxa"/>
            <w:vAlign w:val="bottom"/>
          </w:tcPr>
          <w:p>
            <w:pPr>
              <w:spacing w:after="0"/>
              <w:rPr>
                <w:sz w:val="1"/>
                <w:szCs w:val="1"/>
                <w:color w:val="auto"/>
              </w:rPr>
            </w:pPr>
          </w:p>
        </w:tc>
      </w:tr>
      <w:tr>
        <w:trPr>
          <w:trHeight w:val="216"/>
        </w:trPr>
        <w:tc>
          <w:tcPr>
            <w:tcW w:w="5520" w:type="dxa"/>
            <w:vAlign w:val="bottom"/>
            <w:vMerge w:val="restart"/>
          </w:tcPr>
          <w:p>
            <w:pPr>
              <w:ind w:left="212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0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60"/>
              <w:spacing w:after="0"/>
              <w:rPr>
                <w:sz w:val="20"/>
                <w:szCs w:val="20"/>
                <w:color w:val="auto"/>
              </w:rPr>
            </w:pPr>
            <w:r>
              <w:rPr>
                <w:rFonts w:ascii="Arial" w:cs="Arial" w:eastAsia="Arial" w:hAnsi="Arial"/>
                <w:sz w:val="18"/>
                <w:szCs w:val="18"/>
                <w:color w:val="auto"/>
              </w:rPr>
              <w:t>Active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Ingredient(s)</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1800" w:type="dxa"/>
            <w:vAlign w:val="bottom"/>
            <w:shd w:val="clear" w:color="auto" w:fill="CCEEFF"/>
          </w:tcPr>
          <w:p>
            <w:pPr>
              <w:ind w:left="100"/>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1800" w:type="dxa"/>
            <w:vAlign w:val="bottom"/>
          </w:tcPr>
          <w:p>
            <w:pPr>
              <w:ind w:left="100"/>
              <w:spacing w:after="0" w:line="269" w:lineRule="exact"/>
              <w:rPr>
                <w:sz w:val="20"/>
                <w:szCs w:val="20"/>
                <w:color w:val="auto"/>
              </w:rPr>
            </w:pPr>
            <w:r>
              <w:rPr>
                <w:rFonts w:ascii="Arial" w:cs="Arial" w:eastAsia="Arial" w:hAnsi="Arial"/>
                <w:sz w:val="18"/>
                <w:szCs w:val="18"/>
                <w:color w:val="auto"/>
                <w:w w:val="94"/>
              </w:rPr>
              <w:t>PSE &amp; Fexofenadine</w:t>
            </w:r>
            <w:r>
              <w:rPr>
                <w:rFonts w:ascii="Arial" w:cs="Arial" w:eastAsia="Arial" w:hAnsi="Arial"/>
                <w:sz w:val="30"/>
                <w:szCs w:val="30"/>
                <w:color w:val="auto"/>
                <w:w w:val="94"/>
                <w:vertAlign w:val="superscript"/>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1800" w:type="dxa"/>
            <w:vAlign w:val="bottom"/>
            <w:shd w:val="clear" w:color="auto" w:fill="CCEEFF"/>
          </w:tcPr>
          <w:p>
            <w:pPr>
              <w:ind w:left="100"/>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1800" w:type="dxa"/>
            <w:vAlign w:val="bottom"/>
          </w:tcPr>
          <w:p>
            <w:pPr>
              <w:ind w:left="100"/>
              <w:spacing w:after="0"/>
              <w:rPr>
                <w:sz w:val="20"/>
                <w:szCs w:val="20"/>
                <w:color w:val="auto"/>
              </w:rPr>
            </w:pPr>
            <w:r>
              <w:rPr>
                <w:rFonts w:ascii="Arial" w:cs="Arial" w:eastAsia="Arial" w:hAnsi="Arial"/>
                <w:sz w:val="18"/>
                <w:szCs w:val="18"/>
                <w:color w:val="auto"/>
              </w:rPr>
              <w:t>PSE &amp; Ibuprofen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1800" w:type="dxa"/>
            <w:vAlign w:val="bottom"/>
            <w:shd w:val="clear" w:color="auto" w:fill="CCEEFF"/>
          </w:tcPr>
          <w:p>
            <w:pPr>
              <w:ind w:left="100"/>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1800" w:type="dxa"/>
            <w:vAlign w:val="bottom"/>
          </w:tcPr>
          <w:p>
            <w:pPr>
              <w:ind w:left="100"/>
              <w:spacing w:after="0"/>
              <w:rPr>
                <w:sz w:val="20"/>
                <w:szCs w:val="20"/>
                <w:color w:val="auto"/>
              </w:rPr>
            </w:pPr>
            <w:r>
              <w:rPr>
                <w:rFonts w:ascii="Arial" w:cs="Arial" w:eastAsia="Arial" w:hAnsi="Arial"/>
                <w:sz w:val="18"/>
                <w:szCs w:val="18"/>
                <w:color w:val="auto"/>
              </w:rPr>
              <w:t>PSE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4" w:lineRule="auto"/>
        <w:tabs>
          <w:tab w:leader="none" w:pos="7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MainPointe controls the price of Nexafed and Nexafed Sinus under the terms of the MainPointe Agreement.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will be marketed pursuant to an NDA or ANDA and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2016 US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Prescriptions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900" w:type="dxa"/>
            <w:vAlign w:val="bottom"/>
            <w:gridSpan w:val="2"/>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040" w:type="dxa"/>
            <w:vAlign w:val="bottom"/>
            <w:gridSpan w:val="2"/>
          </w:tcPr>
          <w:p>
            <w:pPr>
              <w:jc w:val="center"/>
              <w:ind w:right="120"/>
              <w:spacing w:after="0" w:line="266" w:lineRule="exact"/>
              <w:rPr>
                <w:sz w:val="20"/>
                <w:szCs w:val="20"/>
                <w:color w:val="auto"/>
              </w:rPr>
            </w:pPr>
            <w:r>
              <w:rPr>
                <w:rFonts w:ascii="Arial" w:cs="Arial" w:eastAsia="Arial" w:hAnsi="Arial"/>
                <w:sz w:val="18"/>
                <w:szCs w:val="18"/>
                <w:color w:val="auto"/>
                <w:w w:val="95"/>
              </w:rPr>
              <w:t>(Millions)</w:t>
            </w:r>
            <w:r>
              <w:rPr>
                <w:rFonts w:ascii="Arial" w:cs="Arial" w:eastAsia="Arial" w:hAnsi="Arial"/>
                <w:sz w:val="30"/>
                <w:szCs w:val="30"/>
                <w:color w:val="auto"/>
                <w:w w:val="95"/>
                <w:vertAlign w:val="superscript"/>
              </w:rPr>
              <w:t>(2)</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Hydrocodone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vMerge w:val="continue"/>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Oxycodone</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Tramadol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Codeine</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 Others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920" w:right="940" w:hanging="157"/>
        <w:spacing w:after="0" w:line="207" w:lineRule="auto"/>
        <w:tabs>
          <w:tab w:leader="none" w:pos="287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ind w:left="2880" w:hanging="117"/>
        <w:spacing w:after="0" w:line="184" w:lineRule="auto"/>
        <w:tabs>
          <w:tab w:leader="none" w:pos="28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IMS Health, 2016</w:t>
      </w:r>
    </w:p>
    <w:p>
      <w:pPr>
        <w:spacing w:after="0" w:line="20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Opioid Products Using Our Technologies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Zyla has committed to the FDA to undertake epidemiological studies to assess the actual consequences of abuse of Oxaydo in the market. Under the terms of the Zyla Agreement, we share a minority portion of the fees and expenses relating to such FDA required epidemiological studies, provided Zyla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60" w:type="dxa"/>
            <w:vAlign w:val="bottom"/>
            <w:tcBorders>
              <w:top w:val="single" w:sz="8" w:color="auto"/>
              <w:lef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gridSpan w:val="2"/>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9,101,636</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9,320,796</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9,662,393</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May 2017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10,441,657 (US)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 2019</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2,892,908</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(CAN)</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5,922,851</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(JAPAN)</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4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7,201,920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Pharmaceutical  compositions  including  a  mixture  of  functional  inactive</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ingredients and specific opioid analgesics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7,510,726 (US)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A wider range of compositions than those described in the 7,201,920 Patent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 2009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7,981,439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Pharmaceutical compositions including any water soluble drug susceptible to</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July 2011</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2024</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8,409,616 (US)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Pharmaceutical compositions of immediate-release abuse deterrent dosage forms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2013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8,637,540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9,492,443 (US)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products</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60" w:type="dxa"/>
            <w:vAlign w:val="bottom"/>
            <w:tcBorders>
              <w:top w:val="single" w:sz="8" w:color="auto"/>
              <w:lef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gridSpan w:val="2"/>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7,476,402</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of certain combinations of kappa and mu opioid</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16"/>
        </w:trPr>
        <w:tc>
          <w:tcPr>
            <w:tcW w:w="860" w:type="dxa"/>
            <w:vAlign w:val="bottom"/>
            <w:tcBorders>
              <w:lef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61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receptor agonists and other ingredients intended to deter opioid analgesic product</w:t>
            </w:r>
          </w:p>
        </w:tc>
        <w:tc>
          <w:tcPr>
            <w:tcW w:w="126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misuse and 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8,822,489</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Pharmaceutical compositions of certain abuse deterrent products that contain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July 2014</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polymers, surfactant and polysorb 80</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2,004,294,953 (AUS)</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2,010,200,979 (AUS)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8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2,547,334</w:t>
            </w:r>
          </w:p>
        </w:tc>
        <w:tc>
          <w:tcPr>
            <w:tcW w:w="1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8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2,647,360</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May 2012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2027</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175,863 (ISR)</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221,018 (ISR)</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1694260 (EUR)</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642"/>
        </w:trPr>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37</w:t>
            </w:r>
          </w:p>
        </w:tc>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6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Patent No.</w:t>
            </w:r>
          </w:p>
        </w:tc>
        <w:tc>
          <w:tcPr>
            <w:tcW w:w="5940" w:type="dxa"/>
            <w:vAlign w:val="bottom"/>
            <w:tcBorders>
              <w:top w:val="single" w:sz="8" w:color="auto"/>
              <w:right w:val="single" w:sz="8" w:color="auto"/>
            </w:tcBorders>
          </w:tcPr>
          <w:p>
            <w:pPr>
              <w:ind w:left="2420"/>
              <w:spacing w:after="0"/>
              <w:rPr>
                <w:sz w:val="20"/>
                <w:szCs w:val="20"/>
                <w:color w:val="auto"/>
              </w:rPr>
            </w:pPr>
            <w:r>
              <w:rPr>
                <w:rFonts w:ascii="Arial" w:cs="Arial" w:eastAsia="Arial" w:hAnsi="Arial"/>
                <w:sz w:val="18"/>
                <w:szCs w:val="18"/>
                <w:color w:val="auto"/>
              </w:rPr>
              <w:t>Subject Matter</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66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(Jurisdiction)</w:t>
            </w:r>
          </w:p>
        </w:tc>
        <w:tc>
          <w:tcPr>
            <w:tcW w:w="5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8,901,113 (US)</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9,757,466 (US)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2017</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10,004,699 (US)</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Methods and compositions for interfering with extraction or conversion of a</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2018</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2035</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2010300641 (AUS)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2,775,890 (CAN)</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2,488,029 (EUR)</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218533 (ISR)</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5"/>
              </w:rPr>
              <w:t>Jan.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2015274936 (AUS)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Methods and compositions for interfering with extraction or conversion of a</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June 2035</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drug susceptible to abuse</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13102020.5 (HK)</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Oct.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Zyla’s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Zyla in the United States District Court for the District of Delaware alleging our Oxaydo product infringes Purdue’s U.S. Patent No. 8,389,007, or the 007 Patent. In April 2016, Purdue commenced a second patent infringement lawsuit against us and Zyla in the United States District Court for the District of Delaware alleging our Oxaydo product infringes Purdue’s then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20, 2016, we, Purdue and Zyla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2019 we had $615 thousand of cash and at December 31, 2018 we had cash of $0.1 million. We had an accumulated deficit of $388 million at September 30, 2019. We had loss from operations of $994 thousand and net loss of $3.9 million for the nine months ended September 30, 2019 and we had a net loss from operations of $3.92 million and a net loss of $3.84 million for the year ended December 31, 2018.</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28, 2019, we entered into License, Development and Commercialization Agreement (the Agreement) with Abuse Deterrent Pharma, LLC (“AD Pharma”). The Agreement grants AD Pharma exclusive commercialization rights in the United States to LTX-03. Financial arrangements include monthly license payments by AD Pharma of $350 thousand up to the earlier of 18 months or FDA’s acceptance of a New Drug Application (NDA) for LTX-03 and reimbursement by AD Pharma of Acura’s LTX-03 outside development expenses. Upon commercialization of LTX-03, Acura receives stepped royalties on sales and is eligible for certain sales related milestones. However, if the NDA application for LTX-03 is not accepted by the FDA within 18 months, AD Pharma may terminate the Agreement and take ownership of the intellectual property.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Agreement allows AD Pharma to terminate the Agreement for “convenience on 30 days prior written notice”.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independent auditors have included in their report relating to our 2018 financial statements a “going concern” explanatory paragraph as to substantial doubt of our ability to continue as a going concern.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2019 Compared to Three months Ended September 30, 2018</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840"/>
              <w:spacing w:after="0"/>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gridSpan w:val="3"/>
          </w:tcPr>
          <w:p>
            <w:pPr>
              <w:jc w:val="right"/>
              <w:ind w:right="760"/>
              <w:spacing w:after="0"/>
              <w:rPr>
                <w:sz w:val="20"/>
                <w:szCs w:val="20"/>
                <w:color w:val="auto"/>
              </w:rPr>
            </w:pPr>
            <w:r>
              <w:rPr>
                <w:rFonts w:ascii="Arial" w:cs="Arial" w:eastAsia="Arial" w:hAnsi="Arial"/>
                <w:sz w:val="18"/>
                <w:szCs w:val="18"/>
                <w:color w:val="auto"/>
                <w:w w:val="98"/>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$000’s</w:t>
            </w: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Percent</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License fees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1,050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3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(1,295)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(1,295)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our agreement with Zyla for Oxaydo tablets, we earn a royalty based on Oxaydo net sales. We recognized $171 thousand and $70 thousand of royalty revenue during the three months ended September 30, 2019 and 2018,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$1 thousand and $3 thousand of royalty revenue during the three months ended September 30, 2019 and 2018,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License Fees and 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agreement entered into with Abuse Deterrent Pharma, LLC (“AD Pharma”) on June 28, 2019 for the development and license of LTX-03 (hydrocodone bitartrate with acetaminophen) immediate-release tablets utilizing Acura’s patented LIMITx™, we recognized monthly license fees aggregating $1.05 million. AD Pharma will reimburse Acura for outside development costs on LTX-03 and during the period we recognized $102 thousand of this as collaboration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expense is primarily associated with our Limitx Technology TLX-03 development activity under the AD Pharma agreement. Included in each of September 30, 2019 and 2018 reported quarterly expenses are share-based compensation expenses of approximately $5 thousand and $16 thousand, respectively. Excluding the share-based compensation expense, our research and development expenses decreased by $73 thousand between reporting periods primarily in the categories of salaries, company insurance premiums and outside clinical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Included in each of the September 30, 2019 and 2018 quarterly results are share-based compensation expenses of approximately $43 thousand and $32 thousand, respectively. Excluding this share-based compensation expense, our general and administrative expenses remained primarily unchanged between reporting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2019 and 2018, we incurred net interest expense of $111 thousand and $76 thousand, respectively on our term loans. The term loan from Oxford having a maturity date of December 1, 2018, was negotiated and settled in October 2018 using loan proceeds from Mr. Schutte.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2019 and 2018 show no federal or state income tax benefit provisions due to 100% allowances placed against them for the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2019 Compared to Nine months Ended September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6"/>
          </w:tcPr>
          <w:p>
            <w:pPr>
              <w:jc w:val="right"/>
              <w:ind w:right="6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570"/>
              <w:spacing w:after="0"/>
              <w:rPr>
                <w:sz w:val="20"/>
                <w:szCs w:val="20"/>
                <w:color w:val="auto"/>
              </w:rPr>
            </w:pPr>
            <w:r>
              <w:rPr>
                <w:rFonts w:ascii="Arial" w:cs="Arial" w:eastAsia="Arial" w:hAnsi="Arial"/>
                <w:sz w:val="18"/>
                <w:szCs w:val="18"/>
                <w:color w:val="auto"/>
                <w:w w:val="97"/>
              </w:rPr>
              <w:t>Increase (decrease)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$000’s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Percent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Royalty revenue</w:t>
            </w:r>
          </w:p>
        </w:tc>
        <w:tc>
          <w:tcPr>
            <w:tcW w:w="15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fees</w:t>
            </w:r>
          </w:p>
        </w:tc>
        <w:tc>
          <w:tcPr>
            <w:tcW w:w="1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Operating loss</w:t>
            </w:r>
          </w:p>
        </w:tc>
        <w:tc>
          <w:tcPr>
            <w:tcW w:w="1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8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before income taxes</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8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with Zyla for Oxaydo tablets, we earn a royalty based on Oxaydo net sales. We recognized $269 thousand and $330 thousand of royalty revenue during the nine months ended September 30, 2019 and 2018, respectively. Included in the 2018 results is a one-time benefit of $89 thousand on royalty revenue reported to us by Zyla for the effect of their adoption of ASC 606 on Oxaydo net sales.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$16 thousand and $17 thousand of royalty revenue during the nine months ended September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 and 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agreement entered into with Abuse Deterrent Pharma, LLC (“AD Pharma”) on June 28, 2019 for the development and license of LTX-03 (hydrocodone bitartrate with acetaminophen) immediate-release tablets utilizing Acura’s patented LIMITx™, we recognized monthly license fees aggregating $1.05 million. AD Pharma will reimburse Acura for outside development costs on LTX-03 and during the period we recognized $102 thousand of this as collaboration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is primarily associated with our Limitx Technology development activity, and specifically product candidate LTX-03 during the third quarter 2019 under the AD Pharma license agreement. Included in each of September 30, 2019 and 2018 reported nine month expenses are share-based compensation expenses of approximately $17 thousand and $54 thousand, respectively. Excluding the share-based compensation expense, our research and development expenses decreased by $599 thousand between reporting periods primarily in the categories of salaries, company insurance premiums and outside clinical and development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primarily consisted of legal, audit and other professional services, corporate insurance, and payroll. Included in each of the September 30, 2019 and 2018 nine month results are share-based compensation expenses of approximately $99 thousand and $136 thousand, respectively. Excluding this share-based compensation expense, our general and administrative expenses decreased by $904 thousand between reporting periods, resulting primarily in the categories of salaries, company insurance premiums, patent and general legal activities, director compensation, and investment and accounting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2019, we modified the $5.0 million related party loan with Mr. Schutte and the accounting method used for the changes to the loan resulted in the recognition of a $2.6 million loss on debt extinguishment.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and 2018, we incurred net interest expense of $335 thousand and $189 thousand, respectively, on our term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2019 and 2018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2019 we had cash of $615 thousand and December 31, 2018 we had cash of $0.1 million. As of February 28, 2020 our cash balance was approximately $1.0 million. Additionally, the License, Development and Commercialization Agreement dated June 28, 2019 (the “Agreement”) requires AD Pharma to pay us monthly license payments of $350 thousand from July 2019 through November 2020 and pay all outside development costs for LTX-03.</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However, the Agreement allows AD Pharma to terminate the Agreement for “convenience on 30 days prior written notice”.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independent auditors have included in their report relating to our 2018 financial statements a “going concern” explanatory paragraph as to substantial doubt of our ability to continue as a going concern.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Consolidated Financial Statements, in the Company’s 2018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2018 Annual Report are also applicable to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573"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462"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2019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15,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2018 Annual Report on Form 10-K:</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February 28, 2020 our cash balance was approximately $1.0 million. Additionally, the Agreement with AD Pharma calls for monthly license payments of $350 thousand from July 2019 through November 2020 and as well as their payment of all outside development costs for LTX-03. We expect these amounts will fund operations through 2020. The monthly payments by AD Pharma cease in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880" w:type="dxa"/>
            <w:vAlign w:val="bottom"/>
          </w:tcPr>
          <w:p>
            <w:pPr>
              <w:spacing w:after="0"/>
              <w:rPr>
                <w:sz w:val="17"/>
                <w:szCs w:val="17"/>
                <w:color w:val="auto"/>
              </w:rPr>
            </w:pPr>
          </w:p>
        </w:tc>
        <w:tc>
          <w:tcPr>
            <w:tcW w:w="1012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Promissory Note Dated June 28, 2019</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5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20" w:type="dxa"/>
            <w:vAlign w:val="bottom"/>
            <w:gridSpan w:val="5"/>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Periodic Report by Chief Executive Officer pursuant to Rule 13a-14 and 15d-14 of the Securities Exchange Act of 1934.</w:t>
              </w:r>
            </w:hyperlink>
          </w:p>
        </w:tc>
      </w:tr>
      <w:tr>
        <w:trPr>
          <w:trHeight w:val="412"/>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pursuant to Section 906 of the Sarbanes-Oxley Act of 2002.</w:t>
              </w:r>
            </w:hyperlink>
          </w:p>
        </w:tc>
        <w:tc>
          <w:tcPr>
            <w:tcW w:w="5800" w:type="dxa"/>
            <w:vAlign w:val="bottom"/>
            <w:gridSpan w:val="3"/>
          </w:tcPr>
          <w:p>
            <w:pPr>
              <w:spacing w:after="0"/>
              <w:rPr>
                <w:sz w:val="17"/>
                <w:szCs w:val="17"/>
                <w:color w:val="auto"/>
              </w:rPr>
            </w:pPr>
          </w:p>
        </w:tc>
      </w:tr>
      <w:tr>
        <w:trPr>
          <w:trHeight w:val="453"/>
        </w:trPr>
        <w:tc>
          <w:tcPr>
            <w:tcW w:w="13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gridSpan w:val="3"/>
          </w:tcPr>
          <w:p>
            <w:pPr>
              <w:ind w:left="4320"/>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10200"/>
        <w:spacing w:after="0"/>
        <w:rPr>
          <w:sz w:val="20"/>
          <w:szCs w:val="20"/>
          <w:color w:val="auto"/>
        </w:rPr>
      </w:pPr>
      <w:r>
        <w:rPr>
          <w:rFonts w:ascii="Arial" w:cs="Arial" w:eastAsia="Arial" w:hAnsi="Arial"/>
          <w:sz w:val="19"/>
          <w:szCs w:val="19"/>
          <w:b w:val="1"/>
          <w:bCs w:val="1"/>
          <w:color w:val="auto"/>
        </w:rPr>
        <w:t>Exhibit 10.49</w:t>
      </w: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NOTE AND THE SHARES ISSUABLE HEREUNDER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THE SECURITIES LAWS OF ANY STATE AND, EXCEPT AS SET FORTH IN SECTION 9.2 BELOW, MAY NOT BE OFFERED, SOLD, PLEDGED OR OTHERWISE TRANSFERRED UNLESS AND UNTIL REGISTERED UNDER THE SECURITIES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CONSOLIDATED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SECURED PROMISSORY 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28, 2019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VALUE RECEIVED, and subject to the terms and conditions set forth herein, ACURA PHARMACEUTICALS, INC., a New York corporation with offices located at 616 N. North Court, Suite 120, Palatine, Illinois (the “</w:t>
      </w:r>
      <w:r>
        <w:rPr>
          <w:rFonts w:ascii="Arial" w:cs="Arial" w:eastAsia="Arial" w:hAnsi="Arial"/>
          <w:sz w:val="18"/>
          <w:szCs w:val="18"/>
          <w:b w:val="1"/>
          <w:bCs w:val="1"/>
          <w:color w:val="auto"/>
        </w:rPr>
        <w:t>Company</w:t>
      </w:r>
      <w:r>
        <w:rPr>
          <w:rFonts w:ascii="Arial" w:cs="Arial" w:eastAsia="Arial" w:hAnsi="Arial"/>
          <w:sz w:val="18"/>
          <w:szCs w:val="18"/>
          <w:color w:val="auto"/>
        </w:rPr>
        <w:t>”), hereby unconditionally promises to pay to the order of John Schutte c/o MainPointe Pharmaceuticals, LLC, 333 E. Main Street, Suite 200, Louisville, KY 40202 (together with any successor or permitted assignee or transferee of this Note or of any shares issued upon conversion hereof, the “</w:t>
      </w:r>
      <w:r>
        <w:rPr>
          <w:rFonts w:ascii="Arial" w:cs="Arial" w:eastAsia="Arial" w:hAnsi="Arial"/>
          <w:sz w:val="18"/>
          <w:szCs w:val="18"/>
          <w:b w:val="1"/>
          <w:bCs w:val="1"/>
          <w:color w:val="auto"/>
        </w:rPr>
        <w:t>Noteholder</w:t>
      </w:r>
      <w:r>
        <w:rPr>
          <w:rFonts w:ascii="Arial" w:cs="Arial" w:eastAsia="Arial" w:hAnsi="Arial"/>
          <w:sz w:val="18"/>
          <w:szCs w:val="18"/>
          <w:color w:val="auto"/>
        </w:rPr>
        <w:t xml:space="preserve">”), the aggregate principal sum of </w:t>
      </w:r>
      <w:r>
        <w:rPr>
          <w:rFonts w:ascii="Arial" w:cs="Arial" w:eastAsia="Arial" w:hAnsi="Arial"/>
          <w:sz w:val="18"/>
          <w:szCs w:val="18"/>
          <w:b w:val="1"/>
          <w:bCs w:val="1"/>
          <w:color w:val="auto"/>
        </w:rPr>
        <w:t>SIX MILLION DOLLARS</w:t>
      </w:r>
      <w:r>
        <w:rPr>
          <w:rFonts w:ascii="Arial" w:cs="Arial" w:eastAsia="Arial" w:hAnsi="Arial"/>
          <w:sz w:val="18"/>
          <w:szCs w:val="18"/>
          <w:color w:val="auto"/>
        </w:rPr>
        <w:t xml:space="preserve"> ($</w:t>
      </w:r>
      <w:r>
        <w:rPr>
          <w:rFonts w:ascii="Arial" w:cs="Arial" w:eastAsia="Arial" w:hAnsi="Arial"/>
          <w:sz w:val="18"/>
          <w:szCs w:val="18"/>
          <w:b w:val="1"/>
          <w:bCs w:val="1"/>
          <w:color w:val="auto"/>
        </w:rPr>
        <w:t>6,000,000</w:t>
      </w:r>
      <w:r>
        <w:rPr>
          <w:rFonts w:ascii="Arial" w:cs="Arial" w:eastAsia="Arial" w:hAnsi="Arial"/>
          <w:sz w:val="18"/>
          <w:szCs w:val="18"/>
          <w:color w:val="auto"/>
        </w:rPr>
        <w:t>), together with interest thereon, as provided in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Note amends, consolidates, restates and replaces the following promissory notes made by the Company to the order of the Noteholder in the aggregate original principal amount of $5,000,000 (collectively, the “</w:t>
      </w:r>
      <w:r>
        <w:rPr>
          <w:rFonts w:ascii="Arial" w:cs="Arial" w:eastAsia="Arial" w:hAnsi="Arial"/>
          <w:sz w:val="16"/>
          <w:szCs w:val="16"/>
          <w:b w:val="1"/>
          <w:bCs w:val="1"/>
          <w:color w:val="auto"/>
        </w:rPr>
        <w:t>Prior Notes</w:t>
      </w:r>
      <w:r>
        <w:rPr>
          <w:rFonts w:ascii="Arial" w:cs="Arial" w:eastAsia="Arial" w:hAnsi="Arial"/>
          <w:sz w:val="16"/>
          <w:szCs w:val="16"/>
          <w:color w:val="auto"/>
        </w:rPr>
        <w:t>”): (i) original principal amount of $1,800,000 dated October 5, 2018; (ii) original principal amount of $1,000,000 dated May 7, 2018; (iii) original principal amount of $500,000 dated June 28, 2018; (iv) original principal amount of $400,000 dated August 2, 2018; (v) original principal amount of $300,000 dated September 13, 2018; (vi) original principal amount of $200,000 dated December 20, 2018; (vii) original principal amount of $200,000 dated January 28, 2019; (viii) original principal amount of $200,000 dated March 25, 2019;</w:t>
      </w:r>
    </w:p>
    <w:p>
      <w:pPr>
        <w:spacing w:after="0" w:line="2" w:lineRule="exact"/>
        <w:rPr>
          <w:sz w:val="20"/>
          <w:szCs w:val="20"/>
          <w:color w:val="auto"/>
        </w:rPr>
      </w:pPr>
    </w:p>
    <w:p>
      <w:pPr>
        <w:jc w:val="both"/>
        <w:ind w:firstLine="8"/>
        <w:spacing w:after="0" w:line="268" w:lineRule="auto"/>
        <w:tabs>
          <w:tab w:leader="none" w:pos="3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original principal amount of $150,000 dated November 21, 2018; (x) original principal amount of $100,000 dated May 1, 2019; and (xi) original principal amount of $150,000 dated June 12, 2019. This Note is not intended to be, and shall not be construed as, a novation of the indebtedness evidenced by the Prior Notes. The principal amount of this Note includes the interest previously accrued on the Prior Notes as of the date of the issuance of this Note. This Note shall be entitled to the benefits (in the same priority) of, </w:t>
      </w:r>
      <w:r>
        <w:rPr>
          <w:rFonts w:ascii="Arial" w:cs="Arial" w:eastAsia="Arial" w:hAnsi="Arial"/>
          <w:sz w:val="17"/>
          <w:szCs w:val="17"/>
          <w:i w:val="1"/>
          <w:iCs w:val="1"/>
          <w:color w:val="auto"/>
        </w:rPr>
        <w:t>inter alia</w:t>
      </w:r>
      <w:r>
        <w:rPr>
          <w:rFonts w:ascii="Arial" w:cs="Arial" w:eastAsia="Arial" w:hAnsi="Arial"/>
          <w:sz w:val="17"/>
          <w:szCs w:val="17"/>
          <w:color w:val="auto"/>
        </w:rPr>
        <w:t>, any security at any time granted and pledged by the Company to the Noteholder in conjunction with the original execution and delivery of the Prior Notes or predecessor notes or by the Company or any other person at any time thereafter. This Note also evidences an additional loan from the Noteholder to the Company made on the date hereof in the original principal amount of Seven Hundred Twenty-five Thousand Eight Hundred Eighty-four Dollars ($725,884.00). For and in consideration of the loans made by the Noteholder to the Company evidenced by this Note, the Company is simultaneously herewith issuing to the Noteholder (or to its designated assign) a warrant to purchase shares of common stock of the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firstLine="65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72" w:lineRule="exact"/>
        <w:rPr>
          <w:sz w:val="20"/>
          <w:szCs w:val="20"/>
          <w:color w:val="auto"/>
        </w:rPr>
      </w:pPr>
    </w:p>
    <w:p>
      <w:pPr>
        <w:jc w:val="both"/>
        <w:ind w:firstLine="65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any direct or indirect liability, contingent or not, of the Company for (a) any indebtedness, lease, dividend, letter of credit or other obligation of another such as an obligation directly or indirectly guaranteed, endorsed, co-made, discounted or sold with recourse by the Company, or for which the Company is directly or indirectly liable; (b) any obligations for undrawn letters of credit for the account of the Company; and</w:t>
      </w:r>
    </w:p>
    <w:p>
      <w:pPr>
        <w:spacing w:after="0" w:line="2" w:lineRule="exact"/>
        <w:rPr>
          <w:sz w:val="20"/>
          <w:szCs w:val="20"/>
          <w:color w:val="auto"/>
        </w:rPr>
      </w:pPr>
    </w:p>
    <w:p>
      <w:pPr>
        <w:jc w:val="both"/>
        <w:ind w:firstLine="8"/>
        <w:spacing w:after="0" w:line="292"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the Company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Company in good faith; but the amount may not exceed the maximum of the obligations under any guarantee or other support arrangement.</w:t>
      </w:r>
    </w:p>
    <w:p>
      <w:pPr>
        <w:spacing w:after="0" w:line="159" w:lineRule="exact"/>
        <w:rPr>
          <w:sz w:val="20"/>
          <w:szCs w:val="20"/>
          <w:color w:val="auto"/>
        </w:rPr>
      </w:pPr>
    </w:p>
    <w:p>
      <w:pPr>
        <w:jc w:val="both"/>
        <w:ind w:firstLine="65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jc w:val="both"/>
        <w:ind w:firstLine="65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the Company’s Indebtedness to the Noteholder under this Note; (b) Subordinated Debt; (c) Indebtedness existing on the date hereof and disclosed on the Perfection Certificate(s) delivered in accordance with the Security Agreement; (d) unsecured Indebtedness to trade creditors incurred in the ordinary course of business; (e) Indebtedness consisting of capitalized lease obligations and purchase money Indebtedness, in each case incurred by the Company to finance the acquisition, repair, improvement or construction of fixed or capital assets of such person, provided that</w:t>
      </w:r>
    </w:p>
    <w:p>
      <w:pPr>
        <w:spacing w:after="0" w:line="3"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aggregate outstanding principal amount of all such Indebtedness does not exceed Two Hundred Fifty Thousand Dollars ($250,000.00) at any time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principal amount of such Indebtedness does not exceed the lower of the cost or fair market value of the property so acquired or built or of such repairs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improvements financed with such Indebtedness (each measured at the time of such acquisition, repair, improvement or construction is made);</w:t>
      </w:r>
    </w:p>
    <w:p>
      <w:pPr>
        <w:spacing w:after="0" w:line="21" w:lineRule="exact"/>
        <w:rPr>
          <w:sz w:val="20"/>
          <w:szCs w:val="20"/>
          <w:color w:val="auto"/>
        </w:rPr>
      </w:pPr>
    </w:p>
    <w:p>
      <w:pPr>
        <w:jc w:val="both"/>
        <w:ind w:firstLine="8"/>
        <w:spacing w:after="0" w:line="277" w:lineRule="auto"/>
        <w:tabs>
          <w:tab w:leader="none" w:pos="2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the Company’s business; and (g) extensions, refinancings, modifications, amendments and restatements of any items of Permitted Indebtedness (a) through (e) above, provided that the principal amount thereof is not increased or the terms thereof are not modified to impose materially more burdensome terms upon the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5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both"/>
        <w:ind w:firstLine="69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the Company subordinated to all Indebtedness of the Company to the Noteholder (pursuant to a subordination, intercreditor, or other similar agreement in form and substance satisfactory to the Noteholder, entered into between the Noteholder, the Company, and the other creditor), on terms acceptable to the Noteholder.</w:t>
      </w:r>
    </w:p>
    <w:p>
      <w:pPr>
        <w:spacing w:after="0" w:line="18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Dates; Prepayment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Payment Dates</w:t>
      </w:r>
      <w:r>
        <w:rPr>
          <w:rFonts w:ascii="Arial" w:cs="Arial" w:eastAsia="Arial" w:hAnsi="Arial"/>
          <w:sz w:val="18"/>
          <w:szCs w:val="18"/>
          <w:color w:val="auto"/>
        </w:rPr>
        <w:t>. Unless this Note has been converted pursuant to Section 4.1 below, the aggregate unpaid principal amount of this Note together with all accrued and unpaid interest thereon shall be due and payable on July 1, 2023 (the “</w:t>
      </w:r>
      <w:r>
        <w:rPr>
          <w:rFonts w:ascii="Arial" w:cs="Arial" w:eastAsia="Arial" w:hAnsi="Arial"/>
          <w:sz w:val="18"/>
          <w:szCs w:val="18"/>
          <w:b w:val="1"/>
          <w:bCs w:val="1"/>
          <w:color w:val="auto"/>
        </w:rPr>
        <w:t>Maturity Date</w:t>
      </w:r>
      <w:r>
        <w:rPr>
          <w:rFonts w:ascii="Arial" w:cs="Arial" w:eastAsia="Arial" w:hAnsi="Arial"/>
          <w:sz w:val="18"/>
          <w:szCs w:val="18"/>
          <w:color w:val="auto"/>
        </w:rPr>
        <w:t>”). Time shall be of the essence with respect to all of the Company’s obligations under this Note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Prepayment</w:t>
      </w:r>
      <w:r>
        <w:rPr>
          <w:rFonts w:ascii="Arial" w:cs="Arial" w:eastAsia="Arial" w:hAnsi="Arial"/>
          <w:sz w:val="18"/>
          <w:szCs w:val="18"/>
          <w:color w:val="auto"/>
        </w:rPr>
        <w:t>. This Note may not be prepaid by the Company in cash (either in whole or in part) without the prior written consent of the Noteholder in its sole discretion. The Noteholder may elect in its sole discretion, by notice to the Company in writing, to cause the entire outstanding principal amount of and all accrued but unpaid interest on this Note to convert into fully paid and nonassessable shares of common stock of the Company pursuant to Section 4.1 below.</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 All payments on this Note shall be applied first to the payment of any expenses or charges payable hereunder, and next to accrued interest, and then to the principal balance hereof, or in such other order as the Noteholder may elect in its sole discretion.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Rescission</w:t>
      </w:r>
      <w:r>
        <w:rPr>
          <w:rFonts w:ascii="Arial" w:cs="Arial" w:eastAsia="Arial" w:hAnsi="Arial"/>
          <w:sz w:val="16"/>
          <w:szCs w:val="16"/>
          <w:color w:val="auto"/>
        </w:rPr>
        <w:t>. If at any time any payment made against this Note (whether payment is made by the Company, any guarantor, or any other Person) is rescinded or must otherwise be restored or returned upon the insolvency, bankruptcy, or reorganization of the Company or such other Person who made the payment, or otherwise, or if any check or other written order to pay any amount to the Noteholder is dishonored or returned as unpaid by the bank against whom it is drawn, the Company’s obligation to make such payment shall be reinstated as though such payment had not been made.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ind w:firstLine="8"/>
        <w:spacing w:after="0" w:line="264" w:lineRule="auto"/>
        <w:tabs>
          <w:tab w:leader="none" w:pos="74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outstanding principal amount of this Note shall bear interest at a fixed rate equal to seven and one-half percent (7.5%)per annum and shall accrue and be payable at the Maturity Date. All computations of interest shall be made on the basis of a 360 day year consisting of 12 months of 30 days.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Option to Convert</w:t>
      </w:r>
      <w:r>
        <w:rPr>
          <w:rFonts w:ascii="Arial" w:cs="Arial" w:eastAsia="Arial" w:hAnsi="Arial"/>
          <w:sz w:val="18"/>
          <w:szCs w:val="18"/>
          <w:color w:val="auto"/>
        </w:rPr>
        <w:t>. The Noteholder shall have the right, exercisable at its option at any time while this Note remains outstanding, by notice to the Company in writing, to cause the entire outstanding principal amount of and all accrued but unpaid interest on this Note to convert into fully paid and nonassessable shares of common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The number of Shares into which this Note may be converted pursuant to this Section 4.1 shall be determined by dividing (x) the entire outstanding principal amount of and all accrued but unpaid interest on this Note as of the date of conversion by (y) $0.16 (as adjusted in the event of any stock dividend, stock split, combination or other similar recapitalization with respect to the common stock of the Company).</w:t>
      </w:r>
    </w:p>
    <w:p>
      <w:pPr>
        <w:spacing w:after="0" w:line="19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Mechanics and Effect of Conversion</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of any conversion of this Note pursuant to Section 4.1 above, such conversion shall be deemed to have been made immediately upon (i) delivery of notice in accordance with the requirements of Section 4.1 above and (ii) the surrender of this Note to the Company, and on and after such date the Noteholder shall be treated for all purpose as the record holder of such Shares. Upon conversion or payment in cash of the entire outstanding principal amount of and all accrued interest on this Note pursuant to the terms hereof, the Company shall be forever released from all its obligations and liabilities under this Note.</w:t>
      </w:r>
    </w:p>
    <w:p>
      <w:pPr>
        <w:spacing w:after="0" w:line="184"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5.1</w:t>
            </w:r>
          </w:p>
        </w:tc>
        <w:tc>
          <w:tcPr>
            <w:tcW w:w="9860" w:type="dxa"/>
            <w:vAlign w:val="bottom"/>
            <w:gridSpan w:val="7"/>
          </w:tcPr>
          <w:p>
            <w:pPr>
              <w:jc w:val="right"/>
              <w:spacing w:after="0"/>
              <w:rPr>
                <w:sz w:val="20"/>
                <w:szCs w:val="20"/>
                <w:color w:val="auto"/>
              </w:rPr>
            </w:pPr>
            <w:r>
              <w:rPr>
                <w:rFonts w:ascii="Arial" w:cs="Arial" w:eastAsia="Arial" w:hAnsi="Arial"/>
                <w:sz w:val="18"/>
                <w:szCs w:val="18"/>
                <w:color w:val="auto"/>
                <w:w w:val="91"/>
              </w:rPr>
              <w:t>Failure to Pay. The Company fails to pay any amount of principal of, or interest on, this Note when due and such failure continues for 5</w:t>
            </w:r>
          </w:p>
        </w:tc>
      </w:tr>
      <w:tr>
        <w:trPr>
          <w:trHeight w:val="20"/>
        </w:trPr>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37"/>
        </w:trPr>
        <w:tc>
          <w:tcPr>
            <w:tcW w:w="11420" w:type="dxa"/>
            <w:vAlign w:val="bottom"/>
            <w:gridSpan w:val="8"/>
          </w:tcPr>
          <w:p>
            <w:pPr>
              <w:spacing w:after="0"/>
              <w:rPr>
                <w:sz w:val="20"/>
                <w:szCs w:val="20"/>
                <w:color w:val="auto"/>
              </w:rPr>
            </w:pPr>
            <w:r>
              <w:rPr>
                <w:rFonts w:ascii="Arial" w:cs="Arial" w:eastAsia="Arial" w:hAnsi="Arial"/>
                <w:sz w:val="18"/>
                <w:szCs w:val="18"/>
                <w:color w:val="auto"/>
              </w:rPr>
              <w:t>days after written notice to the Company.</w:t>
            </w: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5"/>
          </w:tcPr>
          <w:p>
            <w:pPr>
              <w:jc w:val="right"/>
              <w:spacing w:after="0"/>
              <w:rPr>
                <w:sz w:val="20"/>
                <w:szCs w:val="20"/>
                <w:color w:val="auto"/>
              </w:rPr>
            </w:pPr>
            <w:r>
              <w:rPr>
                <w:rFonts w:ascii="Arial" w:cs="Arial" w:eastAsia="Arial" w:hAnsi="Arial"/>
                <w:sz w:val="18"/>
                <w:szCs w:val="18"/>
                <w:color w:val="auto"/>
                <w:w w:val="96"/>
              </w:rPr>
              <w:t>Other Failure to Perform. The Company fails to perform any other covenant or obligation set forth in this Note or the Security</w:t>
            </w:r>
          </w:p>
        </w:tc>
      </w:tr>
      <w:tr>
        <w:trPr>
          <w:trHeight w:val="237"/>
        </w:trPr>
        <w:tc>
          <w:tcPr>
            <w:tcW w:w="1560" w:type="dxa"/>
            <w:vAlign w:val="bottom"/>
          </w:tcPr>
          <w:p>
            <w:pPr>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740" w:type="dxa"/>
            <w:vAlign w:val="bottom"/>
          </w:tcPr>
          <w:p>
            <w:pPr>
              <w:spacing w:after="0"/>
              <w:rPr>
                <w:sz w:val="20"/>
                <w:szCs w:val="20"/>
                <w:color w:val="auto"/>
              </w:rPr>
            </w:pP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9760" w:type="dxa"/>
            <w:vAlign w:val="bottom"/>
            <w:gridSpan w:val="6"/>
          </w:tcPr>
          <w:p>
            <w:pPr>
              <w:jc w:val="right"/>
              <w:spacing w:after="0"/>
              <w:rPr>
                <w:sz w:val="20"/>
                <w:szCs w:val="20"/>
                <w:color w:val="auto"/>
              </w:rPr>
            </w:pPr>
            <w:r>
              <w:rPr>
                <w:rFonts w:ascii="Arial" w:cs="Arial" w:eastAsia="Arial" w:hAnsi="Arial"/>
                <w:sz w:val="18"/>
                <w:szCs w:val="18"/>
                <w:color w:val="auto"/>
                <w:w w:val="92"/>
              </w:rPr>
              <w:t>LIMITx. Termination of the License, Development and Commercialization Agreement dated as of June 28, 2019 by and between the</w:t>
            </w:r>
          </w:p>
        </w:tc>
      </w:tr>
      <w:tr>
        <w:trPr>
          <w:trHeight w:val="20"/>
        </w:trPr>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740" w:type="dxa"/>
            <w:vAlign w:val="bottom"/>
            <w:gridSpan w:val="2"/>
          </w:tcPr>
          <w:p>
            <w:pPr>
              <w:spacing w:after="0" w:line="20" w:lineRule="exact"/>
              <w:rPr>
                <w:sz w:val="1"/>
                <w:szCs w:val="1"/>
                <w:color w:val="auto"/>
              </w:rPr>
            </w:pPr>
          </w:p>
        </w:tc>
      </w:tr>
      <w:tr>
        <w:trPr>
          <w:trHeight w:val="237"/>
        </w:trPr>
        <w:tc>
          <w:tcPr>
            <w:tcW w:w="11420" w:type="dxa"/>
            <w:vAlign w:val="bottom"/>
            <w:gridSpan w:val="8"/>
          </w:tcPr>
          <w:p>
            <w:pPr>
              <w:spacing w:after="0"/>
              <w:rPr>
                <w:sz w:val="20"/>
                <w:szCs w:val="20"/>
                <w:color w:val="auto"/>
              </w:rPr>
            </w:pPr>
            <w:r>
              <w:rPr>
                <w:rFonts w:ascii="Arial" w:cs="Arial" w:eastAsia="Arial" w:hAnsi="Arial"/>
                <w:sz w:val="18"/>
                <w:szCs w:val="18"/>
                <w:color w:val="auto"/>
              </w:rPr>
              <w:t>Company and the Noteholder by the Noteholder pursuant to Section 3.1.3 or 3.1.4 thereof.</w:t>
            </w: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5"/>
          </w:tcPr>
          <w:p>
            <w:pPr>
              <w:jc w:val="right"/>
              <w:spacing w:after="0"/>
              <w:rPr>
                <w:sz w:val="20"/>
                <w:szCs w:val="20"/>
                <w:color w:val="auto"/>
              </w:rPr>
            </w:pPr>
            <w:r>
              <w:rPr>
                <w:rFonts w:ascii="Arial" w:cs="Arial" w:eastAsia="Arial" w:hAnsi="Arial"/>
                <w:sz w:val="18"/>
                <w:szCs w:val="18"/>
                <w:color w:val="auto"/>
                <w:w w:val="95"/>
              </w:rPr>
              <w:t>Bankruptcy. (A) The Company commences any case, proceeding or other action (i) under any existing or future law relating to</w:t>
            </w: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Company makes a general assignment for the benefit of its creditors; or (B) there is commenced against the Company any case, proceeding or other action of a nature referred to in Section 5.4(A) above which (i) results in the entry of an order for relief or any such adjudication or appointment or (ii) remains undismissed, undischarged or unbonded for a period of 60 days.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8"/>
        <w:spacing w:after="0" w:line="279" w:lineRule="auto"/>
        <w:tabs>
          <w:tab w:leader="none" w:pos="71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Company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5.4 shall occur, the principal of and accrued interest on this Note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and Covenants of Company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Noteholder that all Shares which may be issued upon the conversion of this Note,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common stock such number of shares of common stock and other securities as will be sufficient to permit the conversion in full of this Note and the conversion of the Shares into common stock or such other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330"/>
              <w:spacing w:after="0"/>
              <w:rPr>
                <w:sz w:val="20"/>
                <w:szCs w:val="20"/>
                <w:color w:val="auto"/>
              </w:rPr>
            </w:pPr>
            <w:r>
              <w:rPr>
                <w:rFonts w:ascii="Arial" w:cs="Arial" w:eastAsia="Arial" w:hAnsi="Arial"/>
                <w:sz w:val="18"/>
                <w:szCs w:val="18"/>
                <w:color w:val="auto"/>
              </w:rPr>
              <w:t>7.2</w:t>
            </w:r>
          </w:p>
        </w:tc>
        <w:tc>
          <w:tcPr>
            <w:tcW w:w="10120" w:type="dxa"/>
            <w:vAlign w:val="bottom"/>
            <w:gridSpan w:val="3"/>
          </w:tcPr>
          <w:p>
            <w:pPr>
              <w:ind w:left="400"/>
              <w:spacing w:after="0"/>
              <w:rPr>
                <w:sz w:val="20"/>
                <w:szCs w:val="20"/>
                <w:color w:val="auto"/>
              </w:rPr>
            </w:pPr>
            <w:r>
              <w:rPr>
                <w:rFonts w:ascii="Arial" w:cs="Arial" w:eastAsia="Arial" w:hAnsi="Arial"/>
                <w:sz w:val="18"/>
                <w:szCs w:val="18"/>
                <w:color w:val="auto"/>
                <w:w w:val="94"/>
              </w:rPr>
              <w:t>Negative Covenants. The Company shall not do any of the following without the prior written consent of the Noteholder in its sole</w:t>
            </w:r>
          </w:p>
        </w:tc>
      </w:tr>
      <w:tr>
        <w:trPr>
          <w:trHeight w:val="237"/>
        </w:trPr>
        <w:tc>
          <w:tcPr>
            <w:tcW w:w="1300" w:type="dxa"/>
            <w:vAlign w:val="bottom"/>
          </w:tcPr>
          <w:p>
            <w:pPr>
              <w:jc w:val="right"/>
              <w:ind w:right="450"/>
              <w:spacing w:after="0"/>
              <w:rPr>
                <w:sz w:val="20"/>
                <w:szCs w:val="20"/>
                <w:color w:val="auto"/>
              </w:rPr>
            </w:pPr>
            <w:r>
              <w:rPr>
                <w:rFonts w:ascii="Arial" w:cs="Arial" w:eastAsia="Arial" w:hAnsi="Arial"/>
                <w:sz w:val="18"/>
                <w:szCs w:val="18"/>
                <w:color w:val="auto"/>
                <w:w w:val="90"/>
              </w:rPr>
              <w:t>discretion:</w:t>
            </w:r>
          </w:p>
        </w:tc>
        <w:tc>
          <w:tcPr>
            <w:tcW w:w="4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8320" w:type="dxa"/>
            <w:vAlign w:val="bottom"/>
          </w:tcPr>
          <w:p>
            <w:pPr>
              <w:spacing w:after="0"/>
              <w:rPr>
                <w:sz w:val="20"/>
                <w:szCs w:val="20"/>
                <w:color w:val="auto"/>
              </w:rPr>
            </w:pPr>
          </w:p>
        </w:tc>
      </w:tr>
    </w:tbl>
    <w:p>
      <w:pPr>
        <w:spacing w:after="0" w:line="202" w:lineRule="exact"/>
        <w:rPr>
          <w:sz w:val="20"/>
          <w:szCs w:val="20"/>
          <w:color w:val="auto"/>
        </w:rPr>
      </w:pPr>
    </w:p>
    <w:p>
      <w:pPr>
        <w:jc w:val="both"/>
        <w:ind w:left="80" w:firstLine="1225"/>
        <w:spacing w:after="0" w:line="312" w:lineRule="auto"/>
        <w:tabs>
          <w:tab w:leader="none" w:pos="19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create, or authorize the creation of, or issue or obligate itself to issue any securities (other than the issuance of stock options, restricted stock units or other equity incentive grants of the Company pursuant to the terms of stock option plans, restricted stock unit plans or similar plans, provided such issuances do not exceed, in the aggregate, 1,250,000 shares during the period of eighteen (18) months commencing on the date of this Note);</w:t>
      </w:r>
    </w:p>
    <w:p>
      <w:pPr>
        <w:spacing w:after="0" w:line="146" w:lineRule="exact"/>
        <w:rPr>
          <w:rFonts w:ascii="Arial" w:cs="Arial" w:eastAsia="Arial" w:hAnsi="Arial"/>
          <w:sz w:val="16"/>
          <w:szCs w:val="16"/>
          <w:color w:val="auto"/>
        </w:rPr>
      </w:pPr>
    </w:p>
    <w:p>
      <w:pPr>
        <w:ind w:left="1820" w:hanging="515"/>
        <w:spacing w:after="0"/>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incur, assume, or be liable for any Indebtedness, other than Permitted Indebtedness;</w:t>
      </w:r>
    </w:p>
    <w:p>
      <w:pPr>
        <w:spacing w:after="0" w:line="225" w:lineRule="exact"/>
        <w:rPr>
          <w:rFonts w:ascii="Arial" w:cs="Arial" w:eastAsia="Arial" w:hAnsi="Arial"/>
          <w:sz w:val="18"/>
          <w:szCs w:val="18"/>
          <w:color w:val="auto"/>
        </w:rPr>
      </w:pPr>
    </w:p>
    <w:p>
      <w:pPr>
        <w:ind w:left="80" w:firstLine="1225"/>
        <w:spacing w:after="0" w:line="277" w:lineRule="auto"/>
        <w:tabs>
          <w:tab w:leader="none" w:pos="1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the directors of the Company cash compensation during any twelve (12) month period in an amount exceeding, in the aggregate, one-half (½) of the total cash compensation paid to all directors of the Company in calendar year 2018; or</w:t>
      </w:r>
    </w:p>
    <w:p>
      <w:pPr>
        <w:spacing w:after="0" w:line="170" w:lineRule="exact"/>
        <w:rPr>
          <w:rFonts w:ascii="Arial" w:cs="Arial" w:eastAsia="Arial" w:hAnsi="Arial"/>
          <w:sz w:val="18"/>
          <w:szCs w:val="18"/>
          <w:color w:val="auto"/>
        </w:rPr>
      </w:pPr>
    </w:p>
    <w:p>
      <w:pPr>
        <w:jc w:val="both"/>
        <w:ind w:left="80" w:firstLine="1225"/>
        <w:spacing w:after="0" w:line="264" w:lineRule="auto"/>
        <w:tabs>
          <w:tab w:leader="none" w:pos="18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any press release or make any public statement other than as required to satisfy its statutory or regulatory filing and reporting obligations or to comply with any other legal or regulatory requirements to which the Company is subject, provided that the Company takes reasonable steps to minimize the extent of any such disclosure.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660"/>
        <w:spacing w:after="0"/>
        <w:tabs>
          <w:tab w:leader="none" w:pos="15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305"/>
        <w:spacing w:after="0" w:line="277" w:lineRule="auto"/>
        <w:tabs>
          <w:tab w:leader="none" w:pos="19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18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common stock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 or</w:t>
      </w:r>
    </w:p>
    <w:p>
      <w:pPr>
        <w:spacing w:after="0" w:line="210" w:lineRule="exact"/>
        <w:rPr>
          <w:rFonts w:ascii="Arial" w:cs="Arial" w:eastAsia="Arial" w:hAnsi="Arial"/>
          <w:sz w:val="16"/>
          <w:szCs w:val="16"/>
          <w:color w:val="auto"/>
        </w:rPr>
      </w:pPr>
    </w:p>
    <w:p>
      <w:pPr>
        <w:ind w:left="1820" w:hanging="515"/>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in connection with each such event, the Company shall give Noteholder:</w:t>
      </w:r>
    </w:p>
    <w:p>
      <w:pPr>
        <w:spacing w:after="0" w:line="225" w:lineRule="exact"/>
        <w:rPr>
          <w:sz w:val="20"/>
          <w:szCs w:val="20"/>
          <w:color w:val="auto"/>
        </w:rPr>
      </w:pPr>
    </w:p>
    <w:p>
      <w:pPr>
        <w:jc w:val="both"/>
        <w:ind w:left="660" w:right="20" w:firstLine="1293"/>
        <w:spacing w:after="0" w:line="264" w:lineRule="auto"/>
        <w:tabs>
          <w:tab w:leader="none" w:pos="26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common stock will be entitled thereto) or for determining rights to vote, if any, in respect of the matters referred to in (a) and (b) above; and</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5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Noteholder</w:t>
      </w:r>
      <w:r>
        <w:rPr>
          <w:rFonts w:ascii="Arial" w:cs="Arial" w:eastAsia="Arial" w:hAnsi="Arial"/>
          <w:sz w:val="18"/>
          <w:szCs w:val="18"/>
          <w:color w:val="auto"/>
        </w:rPr>
        <w:t>. The Noteholder represents and warrants to the Company as follows: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Note and the securities to be acquired upon conversion of this Note by Noteholder are being acquired for investment for Noteholder’s account, not as a nominee or agent, and not with a view to the public resale or distribution within the meaning of the Securities Act. Noteholder also represents that it has not been formed for the specific purpose of acquiring this Note or the Shares.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Noteholder is aware of the Company’s business affairs and financial condition and has received or has had full access to all the information it considers necessary or appropriate to make an informed investment decision with respect to the acquisition of this Note and its underlying securities. Noteholder further has had an opportunity to ask questions and receive answers from the Company regarding the terms and conditions of the offering of this Note and its underlying securities and to obtain additional information (to the extent the Company possessed such information or could acquire it without unreasonable effort or expense) necessary to verify any information furnished to Noteholder or to which Noteholder has access.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Noteholder understands that the purchase of this Note and its underlying securities involves substantial risk. Noteholder has experience as an investor in securities of companies in the development stage and acknowledges that Noteholder can bear the economic risk of such Noteholder’s investment in this Note and its underlying securities and has such knowledge and experience in financial or business matters that Noteholder is capable of evaluating the merits and risks of its investment in this Note and its underlying securities and/or has a preexisting personal or business relationship with the Company and certain of its officers, directors or controlling persons of a nature and duration that enables Noteholder to be aware of the character, business acumen and financial circumstances of such persons.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8.4</w:t>
            </w:r>
          </w:p>
        </w:tc>
        <w:tc>
          <w:tcPr>
            <w:tcW w:w="9880" w:type="dxa"/>
            <w:vAlign w:val="bottom"/>
            <w:gridSpan w:val="3"/>
          </w:tcPr>
          <w:p>
            <w:pPr>
              <w:jc w:val="right"/>
              <w:spacing w:after="0"/>
              <w:rPr>
                <w:sz w:val="20"/>
                <w:szCs w:val="20"/>
                <w:color w:val="auto"/>
              </w:rPr>
            </w:pPr>
            <w:r>
              <w:rPr>
                <w:rFonts w:ascii="Arial" w:cs="Arial" w:eastAsia="Arial" w:hAnsi="Arial"/>
                <w:sz w:val="18"/>
                <w:szCs w:val="18"/>
                <w:color w:val="auto"/>
                <w:w w:val="91"/>
              </w:rPr>
              <w:t>Accredited Investor Status. Noteholder is an “accredited investor” within the meaning of Regulation D promulgated under the Securities</w:t>
            </w:r>
          </w:p>
        </w:tc>
      </w:tr>
      <w:tr>
        <w:trPr>
          <w:trHeight w:val="237"/>
        </w:trPr>
        <w:tc>
          <w:tcPr>
            <w:tcW w:w="1540" w:type="dxa"/>
            <w:vAlign w:val="bottom"/>
          </w:tcPr>
          <w:p>
            <w:pPr>
              <w:jc w:val="right"/>
              <w:ind w:right="1130"/>
              <w:spacing w:after="0"/>
              <w:rPr>
                <w:sz w:val="20"/>
                <w:szCs w:val="20"/>
                <w:color w:val="auto"/>
              </w:rPr>
            </w:pPr>
            <w:r>
              <w:rPr>
                <w:rFonts w:ascii="Arial" w:cs="Arial" w:eastAsia="Arial" w:hAnsi="Arial"/>
                <w:sz w:val="18"/>
                <w:szCs w:val="18"/>
                <w:color w:val="auto"/>
                <w:w w:val="96"/>
              </w:rPr>
              <w:t>Act.</w:t>
            </w:r>
          </w:p>
        </w:tc>
        <w:tc>
          <w:tcPr>
            <w:tcW w:w="1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7980" w:type="dxa"/>
            <w:vAlign w:val="bottom"/>
          </w:tcPr>
          <w:p>
            <w:pPr>
              <w:spacing w:after="0"/>
              <w:rPr>
                <w:sz w:val="20"/>
                <w:szCs w:val="20"/>
                <w:color w:val="auto"/>
              </w:rPr>
            </w:pPr>
          </w:p>
        </w:tc>
      </w:tr>
      <w:tr>
        <w:trPr>
          <w:trHeight w:val="392"/>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8.5</w:t>
            </w:r>
          </w:p>
        </w:tc>
        <w:tc>
          <w:tcPr>
            <w:tcW w:w="9880" w:type="dxa"/>
            <w:vAlign w:val="bottom"/>
            <w:gridSpan w:val="3"/>
          </w:tcPr>
          <w:p>
            <w:pPr>
              <w:jc w:val="right"/>
              <w:spacing w:after="0"/>
              <w:rPr>
                <w:sz w:val="20"/>
                <w:szCs w:val="20"/>
                <w:color w:val="auto"/>
              </w:rPr>
            </w:pPr>
            <w:r>
              <w:rPr>
                <w:rFonts w:ascii="Arial" w:cs="Arial" w:eastAsia="Arial" w:hAnsi="Arial"/>
                <w:sz w:val="18"/>
                <w:szCs w:val="18"/>
                <w:color w:val="auto"/>
                <w:w w:val="89"/>
              </w:rPr>
              <w:t>The Securities Act. Noteholder understands that this Note and the Shares issuable upon conversion hereof have not been registered under</w:t>
            </w:r>
          </w:p>
        </w:tc>
      </w:tr>
      <w:tr>
        <w:trPr>
          <w:trHeight w:val="20"/>
        </w:trPr>
        <w:tc>
          <w:tcPr>
            <w:tcW w:w="154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Act in reliance upon a specific exemption therefrom, which exemption depends upon, among other things, the bona fide nature of the Noteholder’s investment intent as expressed herein. Noteholder understands that this Note and the Shares issued upon any conversion hereof must be held indefinitely unless subsequently registered under the Securities Act and qualified under applicable state securities laws, or unless exemption from such registration and qualification are otherwise available. Noteholder is aware of the provisions of Rule 144 promulgated under the Securities Act.</w:t>
      </w:r>
    </w:p>
    <w:p>
      <w:pPr>
        <w:spacing w:after="0" w:line="17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Noteholder, as the holder of this Note, will not have any voting rights until the conversion of this Note.</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 of this Note and the Shares Issuable on Conversion Hereof</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right="1300"/>
        <w:spacing w:after="0" w:line="272"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“SECURITIES ACT”), OR THE SECURITIES LAWS OF ANY STATE AND, EXCEPT AS SET FORTH IN THAT CERTAIN CONVERTIBLE PROMISSORY NOTE ISSUED BY THE ISSUER TO NOTEHOLDER DATED JUNE 28, 2019, MAY NOT BE OFFERED, SOLD, PLEDGED OR OTHERWISE TRANSFERRED UNLESS AND UNTIL REGISTERED UNDER THE SECURITIES ACT AND LAWS OR, IN THE OPINION OF LEGAL COUNSEL IN FORM AND SUBSTANCE SATISFACTORY TO THE ISSUER, SUCH OFFER, SALE, PLEDGE OR OTHER TRANSFER IS EXEMPT FROM SUCH REGISTRATION.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Note and the Shares issued upon conversion of this Note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the Noteholder to provide an opinion of counsel if the transfer is to an affiliate of the Noteholder, provided that any such transferee is an “accredited investor” as defined in Regulation D promulgated under the Securities Act. Additionally, the Company shall also not require an opinion of counsel if there is no material question as to the availability of Rule 144 promulgated under the Securities Act.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Transfer Procedure</w:t>
      </w:r>
      <w:r>
        <w:rPr>
          <w:rFonts w:ascii="Arial" w:cs="Arial" w:eastAsia="Arial" w:hAnsi="Arial"/>
          <w:sz w:val="17"/>
          <w:szCs w:val="17"/>
          <w:color w:val="auto"/>
        </w:rPr>
        <w:t>. The Noteholder may transfer all or part of this Note or the Shares issuable upon conversion of this Note (or the Shares issuable directly or indirectly, upon conversion of the Shares, if any) to one or more of the Noteholder’s affiliates (each, an “</w:t>
      </w:r>
      <w:r>
        <w:rPr>
          <w:rFonts w:ascii="Arial" w:cs="Arial" w:eastAsia="Arial" w:hAnsi="Arial"/>
          <w:sz w:val="17"/>
          <w:szCs w:val="17"/>
          <w:b w:val="1"/>
          <w:bCs w:val="1"/>
          <w:color w:val="auto"/>
        </w:rPr>
        <w:t>Affiliate</w:t>
      </w:r>
      <w:r>
        <w:rPr>
          <w:rFonts w:ascii="Arial" w:cs="Arial" w:eastAsia="Arial" w:hAnsi="Arial"/>
          <w:sz w:val="17"/>
          <w:szCs w:val="17"/>
          <w:color w:val="auto"/>
        </w:rPr>
        <w:t>”). Subject to the provisions of Section 9.2 and upon providing the Company with written notice, the Noteholder, any such Affiliate and any subsequent Noteholder, may transfer all or part of this Note or the Shares issuable upon conversion of this Note (or the Shares issuable directly or indirectly, upon conversion of the Shares, if any) to any other transferee, provided, however, in connection with any such transfer, the Affiliate(s) or any subsequent Noteholder will give the Company notice of the portion of the Note being transferred with the name, address and taxpayer identification number of the transferee and the Noteholder will surrender this Note to the Company for reissuance to the transferee(s) (and the Noteholder if applicable).</w:t>
      </w:r>
    </w:p>
    <w:p>
      <w:pPr>
        <w:spacing w:after="0" w:line="178" w:lineRule="exact"/>
        <w:rPr>
          <w:sz w:val="20"/>
          <w:szCs w:val="20"/>
          <w:color w:val="auto"/>
        </w:rPr>
      </w:pPr>
    </w:p>
    <w:p>
      <w:pPr>
        <w:ind w:left="860" w:hanging="852"/>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Commonwealth of Kentucky, without giving effect to conflict of law provisions. The Company hereby consents to the jurisdiction of any state or federal court located within the County of Jefferson, Commonwealth of Kentucky, and irrevocably agrees that, subject to the Noteholder’s sole and absolute election, any case or proceeding relating to Title 11 of the United States Code and any actions relating to the indebtedness evidenced hereby shall be litigated in such courts, and the Company waives any objection that it may have based on improper venue or forum non conveniens to the conduct of any proceeding in any such court. Nothing contained in this paragraph shall affect the right of the Noteholder to bring any action or proceeding against the Company or its property in the courts of any other jurisdiction.</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THE NOTEHOLDER AND COMPANY ACKNOWLEDGE THAT THE TIME AND EXPENSE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REQUIRED FOR TRIAL BY JURY EXCEED THE TIME AND EXPENSE REQUIRED FOR A BENCH TRIAL AND HEREBY KNOWINGLY AND VOLUNTARILY WAIVE, TO THE FULLEST EXTENT PERMITTED BY LAW, AND AFTER HAVING CONSULTED (OR HAVING HAD AMPLE OPPORTUNITY TO CONSULT) THEIR RESPECTIVE LEGAL COUNSEL CONCERNING THE CONSEQUENCES OF SUCH WAIVER, TRIAL BY JURY IN ANY ACTION OR OTHER PROCEEDING BROUGHT TO ENFORCE OR DEFEND AGAINST COLLECTION OF OR OTHERWISE IN CONNECTION WITH THIS NOTE OR ANY RELATED DOCUMENTS.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not assign or transfer this Note or any of its rights hereunder without the prior written consent of the Noteholder. This Note shall inure to the benefit of and be binding upon the parties hereto and their permitted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Waiver of Notice</w:t>
      </w:r>
      <w:r>
        <w:rPr>
          <w:rFonts w:ascii="Arial" w:cs="Arial" w:eastAsia="Arial" w:hAnsi="Arial"/>
          <w:sz w:val="18"/>
          <w:szCs w:val="18"/>
          <w:color w:val="auto"/>
        </w:rPr>
        <w:t>. The Company hereby waives demand for payment, presentment for payment, protest, notice of payment, notice of dishonor, notice of nonpayment, notice of acceleration of maturity and diligence in taking any action to collect sums owing hereunder.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the Company. Any waiver of the terms hereof shall be effective only in the specific instance and for the specific purpose given.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by and entitled to the benefits of that certain Security Agreement dated as of the date hereof by and between the Company and the Noteholder, as the same may be amended or restated and including any successor agreement (the “</w:t>
      </w:r>
      <w:r>
        <w:rPr>
          <w:rFonts w:ascii="Arial" w:cs="Arial" w:eastAsia="Arial" w:hAnsi="Arial"/>
          <w:sz w:val="16"/>
          <w:szCs w:val="16"/>
          <w:b w:val="1"/>
          <w:bCs w:val="1"/>
          <w:color w:val="auto"/>
        </w:rPr>
        <w:t>Security Agreement</w:t>
      </w:r>
      <w:r>
        <w:rPr>
          <w:rFonts w:ascii="Arial" w:cs="Arial" w:eastAsia="Arial" w:hAnsi="Arial"/>
          <w:sz w:val="16"/>
          <w:szCs w:val="16"/>
          <w:color w:val="auto"/>
        </w:rPr>
        <w:t>”).</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[End of text;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firstLine="648"/>
        <w:spacing w:after="0" w:line="277" w:lineRule="auto"/>
        <w:rPr>
          <w:sz w:val="20"/>
          <w:szCs w:val="20"/>
          <w:color w:val="auto"/>
        </w:rPr>
      </w:pPr>
      <w:r>
        <w:rPr>
          <w:rFonts w:ascii="Arial" w:cs="Arial" w:eastAsia="Arial" w:hAnsi="Arial"/>
          <w:sz w:val="18"/>
          <w:szCs w:val="18"/>
          <w:color w:val="auto"/>
        </w:rPr>
        <w:t>IN WITNESS WHEREOF, the Company has executed this Amended, Consolidated and Restated Convertible Secured Promissory Note as of June 28,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A. Clemens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920" w:hanging="264"/>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920" w:hanging="264"/>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920" w:hanging="264"/>
        <w:spacing w:after="0" w:line="308" w:lineRule="auto"/>
        <w:tabs>
          <w:tab w:leader="none" w:pos="9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20" w:hanging="264"/>
        <w:spacing w:after="0" w:line="342" w:lineRule="auto"/>
        <w:tabs>
          <w:tab w:leader="none" w:pos="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20" w:right="20" w:hanging="264"/>
        <w:spacing w:after="0" w:line="342" w:lineRule="auto"/>
        <w:tabs>
          <w:tab w:leader="none" w:pos="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700"/>
              <w:spacing w:after="0"/>
              <w:rPr>
                <w:sz w:val="20"/>
                <w:szCs w:val="20"/>
                <w:color w:val="auto"/>
              </w:rPr>
            </w:pPr>
            <w:r>
              <w:rPr>
                <w:rFonts w:ascii="Arial" w:cs="Arial" w:eastAsia="Arial" w:hAnsi="Arial"/>
                <w:sz w:val="18"/>
                <w:szCs w:val="18"/>
                <w:color w:val="auto"/>
              </w:rPr>
              <w:t>February 28,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920" w:hanging="264"/>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920" w:hanging="264"/>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hanging="264"/>
        <w:spacing w:after="0" w:line="308" w:lineRule="auto"/>
        <w:tabs>
          <w:tab w:leader="none" w:pos="9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20" w:hanging="264"/>
        <w:spacing w:after="0" w:line="342"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20" w:right="20" w:hanging="264"/>
        <w:spacing w:after="0" w:line="342"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700"/>
              <w:spacing w:after="0"/>
              <w:rPr>
                <w:sz w:val="20"/>
                <w:szCs w:val="20"/>
                <w:color w:val="auto"/>
              </w:rPr>
            </w:pPr>
            <w:r>
              <w:rPr>
                <w:rFonts w:ascii="Arial" w:cs="Arial" w:eastAsia="Arial" w:hAnsi="Arial"/>
                <w:sz w:val="18"/>
                <w:szCs w:val="18"/>
                <w:color w:val="auto"/>
              </w:rPr>
              <w:t>February 28,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32.1</w:t>
      </w:r>
    </w:p>
    <w:p>
      <w:pPr>
        <w:spacing w:after="0" w:line="24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2019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580"/>
              <w:spacing w:after="0"/>
              <w:rPr>
                <w:sz w:val="20"/>
                <w:szCs w:val="20"/>
                <w:color w:val="auto"/>
              </w:rPr>
            </w:pPr>
            <w:r>
              <w:rPr>
                <w:rFonts w:ascii="Arial" w:cs="Arial" w:eastAsia="Arial" w:hAnsi="Arial"/>
                <w:sz w:val="18"/>
                <w:szCs w:val="18"/>
                <w:color w:val="auto"/>
              </w:rPr>
              <w:t>February 28,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þ"/>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1"/>
      <w:numFmt w:val="bullet"/>
      <w:start w:val="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2"/>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Roman"/>
      <w:start w:val="9"/>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Letter"/>
      <w:start w:val="6"/>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6"/>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1"/>
    </w:lvl>
    <w:lvl w:ilvl="1">
      <w:lvlJc w:val="left"/>
      <w:lvlText w:val="(%2)"/>
      <w:numFmt w:val="decimal"/>
      <w:start w:val="1"/>
    </w:lvl>
  </w:abstractNum>
  <w:abstractNum w:abstractNumId="28">
    <w:nsid w:val="737B8DDC"/>
    <w:multiLevelType w:val="hybridMultilevel"/>
    <w:lvl w:ilvl="0">
      <w:lvlJc w:val="left"/>
      <w:lvlText w:val="%1."/>
      <w:numFmt w:val="decimal"/>
      <w:start w:val="8"/>
    </w:lvl>
    <w:lvl w:ilvl="1">
      <w:lvlJc w:val="left"/>
      <w:lvlText w:val="%2"/>
      <w:numFmt w:val="decimal"/>
      <w:start w:val="1"/>
    </w:lvl>
  </w:abstractNum>
  <w:abstractNum w:abstractNumId="29">
    <w:nsid w:val="6CEAF087"/>
    <w:multiLevelType w:val="hybridMultilevel"/>
    <w:lvl w:ilvl="0">
      <w:lvlJc w:val="left"/>
      <w:lvlText w:val="%1."/>
      <w:numFmt w:val="decimal"/>
      <w:start w:val="9"/>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2020-02-28T05:44:28Z</dcterms:created>
  <dcterms:modified xsi:type="dcterms:W3CDTF">2020-02-28T05:44:28Z</dcterms:modified>
</cp:coreProperties>
</file>