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740" w:right="1560" w:hanging="3732"/>
        <w:spacing w:after="0" w:line="490"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20" w:right="1380" w:hanging="4112"/>
        <w:spacing w:after="0" w:line="501"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 to____</w:t>
      </w: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1-10113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55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New York</w:t>
            </w:r>
          </w:p>
        </w:tc>
        <w:tc>
          <w:tcPr>
            <w:tcW w:w="368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54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68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554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847 705-7709</w:t>
      </w:r>
      <w:r>
        <w:rPr>
          <w:rFonts w:ascii="Arial" w:cs="Arial" w:eastAsia="Arial" w:hAnsi="Arial"/>
          <w:sz w:val="18"/>
          <w:szCs w:val="18"/>
          <w:i w:val="1"/>
          <w:iCs w:val="1"/>
          <w:color w:val="auto"/>
        </w:rPr>
        <w:t>)</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formal fiscal year, if changed since last report.)</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submit and post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74" w:right="23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þ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þ Smaller reporting company</w:t>
      </w:r>
    </w:p>
    <w:p>
      <w:pPr>
        <w:spacing w:after="0" w:line="3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140" w:space="720"/>
            <w:col w:w="4560"/>
          </w:cols>
          <w:pgMar w:left="240" w:top="774" w:right="239" w:bottom="1440" w:gutter="0" w:footer="0" w:header="0"/>
          <w:type w:val="continuous"/>
        </w:sectPr>
      </w:pPr>
    </w:p>
    <w:p>
      <w:pPr>
        <w:spacing w:after="0" w:line="3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p>
      <w:pPr>
        <w:spacing w:after="0" w:line="23" w:lineRule="exact"/>
        <w:rPr>
          <w:sz w:val="24"/>
          <w:szCs w:val="24"/>
          <w:color w:val="auto"/>
        </w:rPr>
      </w:pPr>
    </w:p>
    <w:p>
      <w:pPr>
        <w:spacing w:after="0"/>
        <w:tabs>
          <w:tab w:leader="none" w:pos="456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6"/>
          <w:szCs w:val="16"/>
          <w:color w:val="auto"/>
        </w:rPr>
        <w:t>Shares outstanding as of November 26, 2018: 21,033,528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2018</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gridSpan w:val="4"/>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880" w:type="dxa"/>
            <w:vAlign w:val="bottom"/>
            <w:gridSpan w:val="12"/>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2018 and December 31, 2017</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Nine months Ended September 30, 2018 and 2017</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80" w:type="dxa"/>
            <w:vAlign w:val="bottom"/>
            <w:gridSpan w:val="12"/>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Changes in Accumulated Stockholders’ Deficit for the Nine months Ended September 30, 2018</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2018 and 2017</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7"/>
                <w:szCs w:val="17"/>
                <w:color w:val="auto"/>
              </w:rPr>
            </w:pPr>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2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8880" w:type="dxa"/>
            <w:vAlign w:val="bottom"/>
            <w:gridSpan w:val="1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indicated or the context otherwise requires, references to the “Company”,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20" w:type="dxa"/>
            <w:vAlign w:val="bottom"/>
          </w:tcPr>
          <w:p>
            <w:pPr>
              <w:jc w:val="center"/>
              <w:ind w:left="2870"/>
              <w:spacing w:after="0"/>
              <w:rPr>
                <w:sz w:val="20"/>
                <w:szCs w:val="20"/>
                <w:color w:val="auto"/>
              </w:rPr>
            </w:pPr>
            <w:r>
              <w:rPr>
                <w:rFonts w:ascii="Arial" w:cs="Arial" w:eastAsia="Arial" w:hAnsi="Arial"/>
                <w:sz w:val="18"/>
                <w:szCs w:val="18"/>
                <w:b w:val="1"/>
                <w:bCs w:val="1"/>
                <w:color w:val="auto"/>
              </w:rPr>
              <w:t>ACURA PHARMACEUTICALS, INC.</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receivable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Refundable retainer deposits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 net of accumulated amortization of $931 and $776 (Note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Accrued expenses (Note 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Debt, net of discounts (Note 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to related party</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Debt to related party, net of discounts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 $.01 par value per share; 100,000 shares authorized, 21,034 and 20,796 shares issued and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outstanding at September 30, 2018 and December 31, 2017, respectively</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(380,380)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liabilities and stockholders’ deficit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20" w:type="dxa"/>
            <w:vAlign w:val="bottom"/>
            <w:tcBorders>
              <w:bottom w:val="single" w:sz="8" w:color="auto"/>
            </w:tcBorders>
          </w:tcPr>
          <w:p>
            <w:pPr>
              <w:jc w:val="center"/>
              <w:ind w:left="2870"/>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1,676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2,332</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and expenses</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(3,661)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(Note 8)</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21,101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21,168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16,686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21,101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8"/>
                <w:szCs w:val="18"/>
                <w:color w:val="auto"/>
              </w:rPr>
              <w:t>3</w:t>
            </w:r>
          </w:p>
        </w:tc>
        <w:tc>
          <w:tcPr>
            <w:tcW w:w="9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96" w:lineRule="auto"/>
        <w:framePr w:w="180" w:h="160" w:wrap="auto" w:vAnchor="page" w:hAnchor="page" w:x="5860" w:y="5557"/>
        <w:rPr>
          <w:rFonts w:ascii="Arial" w:cs="Arial" w:eastAsia="Arial" w:hAnsi="Arial"/>
          <w:sz w:val="17"/>
          <w:szCs w:val="17"/>
          <w:color w:val="auto"/>
        </w:rPr>
      </w:pPr>
      <w:r>
        <w:rPr>
          <w:rFonts w:ascii="Arial" w:cs="Arial" w:eastAsia="Arial" w:hAnsi="Arial"/>
          <w:sz w:val="17"/>
          <w:szCs w:val="17"/>
          <w:color w:val="auto"/>
        </w:rPr>
        <w:t>4</w:t>
      </w: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Par Value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(380,380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4"/>
              </w:rPr>
              <w:t>Non-cash share-based compensation</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2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1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(384,230)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20" w:type="dxa"/>
            <w:vAlign w:val="bottom"/>
            <w:gridSpan w:val="10"/>
          </w:tcPr>
          <w:p>
            <w:pPr>
              <w:ind w:left="240"/>
              <w:spacing w:after="0"/>
              <w:rPr>
                <w:sz w:val="20"/>
                <w:szCs w:val="20"/>
                <w:color w:val="auto"/>
              </w:rPr>
            </w:pPr>
            <w:r>
              <w:rPr>
                <w:rFonts w:ascii="Arial" w:cs="Arial" w:eastAsia="Arial" w:hAnsi="Arial"/>
                <w:sz w:val="18"/>
                <w:szCs w:val="18"/>
                <w:color w:val="auto"/>
                <w:w w:val="92"/>
              </w:rPr>
              <w:t>See accompanying notes to unaudited consolidated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(3,850)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sales returns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Non-cash share-based compensation</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Capitalized debt discount</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Amortization of debt discount and deferred debt issue costs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Gain on disposal of machinery &amp; equipment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Trade accounts receivable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Collaboration revenue receivable</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Royalty receivable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Inventory</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Refundable retainer deposits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Accrued interest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Sales returns liability</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transfer of equipment to licensee</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Proceeds from transfer of inventory to licensee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Issuance of common stock</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Proceeds from distribution of restricted stock units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loan maturing January 2, 2020</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Principal payments on loan maturing December 1, 2018</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interest payments on loan maturing December 1, 2018</w:t>
            </w:r>
          </w:p>
        </w:tc>
        <w:tc>
          <w:tcPr>
            <w:tcW w:w="1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such amounts shown in the consolidated statements of cash flows: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740" w:type="dxa"/>
            <w:vAlign w:val="bottom"/>
            <w:gridSpan w:val="6"/>
          </w:tcPr>
          <w:p>
            <w:pPr>
              <w:ind w:left="2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2017</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equivalents</w:t>
            </w:r>
          </w:p>
        </w:tc>
        <w:tc>
          <w:tcPr>
            <w:tcW w:w="5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color w:val="auto"/>
              </w:rPr>
              <w:t>Total cash and cash equivalents cash show in the consolidated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00" w:type="dxa"/>
            <w:vAlign w:val="bottom"/>
            <w:gridSpan w:val="2"/>
          </w:tcPr>
          <w:p>
            <w:pPr>
              <w:spacing w:after="0"/>
              <w:rPr>
                <w:sz w:val="20"/>
                <w:szCs w:val="20"/>
                <w:color w:val="auto"/>
              </w:rPr>
            </w:pPr>
            <w:r>
              <w:rPr>
                <w:rFonts w:ascii="Arial" w:cs="Arial" w:eastAsia="Arial" w:hAnsi="Arial"/>
                <w:sz w:val="18"/>
                <w:szCs w:val="18"/>
                <w:color w:val="auto"/>
              </w:rPr>
              <w:t>statements of cash flows</w:t>
            </w:r>
          </w:p>
        </w:tc>
        <w:tc>
          <w:tcPr>
            <w:tcW w:w="580" w:type="dxa"/>
            <w:vAlign w:val="bottom"/>
          </w:tcPr>
          <w:p>
            <w:pPr>
              <w:jc w:val="right"/>
              <w:ind w:right="41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2018</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imputed interest on the below market rate element of the related party $2.2 million loan amounted to $103 thousand recorded as a benefit to interest income with a corresponding like amount as debt discount against the principal amount of the loan. The debt discount will be amortized to interest expense over the term on the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2017</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are no supplemental disclosure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SEPTEMBER 30, 2018 AND SEPTEMBER 30,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Limitx™ Technology is intended to address methods of product tampering associated with opioid abuse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into methamphetamine.</w:t>
      </w:r>
    </w:p>
    <w:p>
      <w:pPr>
        <w:spacing w:after="0" w:line="178"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Limitx Technology is in development with immediate-release tablets containing hydrocodone bitartrate and acetaminophen as the lead product candidate due to its large market size and its known prevalence of oral excessive tablet abuse.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Aversion Technology has been licensed to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our Impede Technology in the United States and Canada to commercialize our Nexafed products.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Substantial Doubt in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have been prepared assuming the Company will continue as a going concern and in accordance with generally accepted accounting principles in the United States of America for interim financial information, the instructions to Form 10-Q and Article 10 of Regulation S-X. Accordingly, they do not contain all disclosures required by generally accepted accounting principles. Reference should be made to the Company’s Annual Report on Form 10-K for the year ended December 31, 2017. In the opinion of the Company, all normal recurring adjustments have been made that are necessary to present fairly the results of operations for the interim periods. Operating results for the nine month period ended September 30, 2018 are not necessarily indicative of the results that may be expected for the year ending December 31, 2018.</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going concern basis of presentation assumes that we will continue in operation one year after the date these financial statements are issued and we will be able to realize our assets and discharge our liabilities and commitments in the normal course of business. As of September 30, 2018, we had cash and refundable retainer deposits of $98 thousand, working capital deficit of $3.3 million and an accumulated deficit of $384.2 million. We had a loss from operations of $3.7 million and a net loss of $3.9 million for the nine months ended September 30, 2018. We have suffered recurring losses from operations and have not generated positive cash flows from operations. We had a loss from operations of $5.2 million and a net loss of $5.7 million for the year ended December 31, 2017. We anticipate operating losses to continue for the foreseeable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date, we have borrowed a total of $4.15 million from John Schutte, a principal of MainPointe and our largest shareholder, including $150 thousand received on November 21, 2018. As of November 26, 2018 we had cash of $150 thousand. With the net proceeds to the Company resulting from the loans from Mr. Schutte, we expect our cash will only be sufficient to fund operations into early December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color w:val="auto"/>
        </w:rPr>
        <w:t>These factors, among others, raise substantial doubt about the Company's ability to continue as a going concern. We must seek sources to raise additional financing and seek to enter into license or collaboration agreements with third parties relating to our technologies. The Company is exploring a variety of capital raising and other transactions to provide additional funding to continue operations. These include potential private offerings of common stock to accredited and/or institutional investors and licensing transactions with pharmaceutical company partners for our proprietary technologies, including Limitx. We are actively seeking a licensing partner for our Limitx Technology, with the objective of receiving an upfront license fee, development milestone payments and royalties on the net sales of products utilizing the Limitx Technology, similar to the Egalet Agreement. We are also exploring licensing or selling select assets and intellectual property in an effort to raise capital and reduce operating expenses. Finally, the Company continues to evaluate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within one year after the date these financial statements are issued,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Accounting Standards Codification Topic 606—Revenue from Contracts with Customers, or Topic 606, on January 1, 2018, resulting in a change to its accounting policy for revenue recognition. The Company used the modified retrospective method and the cumulative effect of initially applying Topic 606 would be recognized as an adjustment to the opening accumulated deficit at January 1, 2018. Accordingly, comparative information has not been adjusted and continues to be reported under the previous accounting standards. The implementation of Topic 606 had no financial impact (See Note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Modification Accounting, Stock 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No. 2017-09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adopted this new standard on January 1, 2018 which did not have a material impact on the Company’s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Statement of Cash Flows - Classification of Certain Cash Receipts and Cash Payments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which clarifies existing guidance on how companies present and classify certain cash receipts and cash payments in the statement of cash flows by addressing specific cash flow issues in an effort to reduce diversity in practice, including guidance on debt prepayment or extinguishment costs and contingent consideration payments made after a business combination. This update is effective for annual reporting periods beginning after December 15, 2017, with early adoption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ASU 2016-16 eliminates from Topic 740, Income Taxes, the recognition exception for intra-entity asset transfers other than inventory so that an entity’s financial statements reflect the current and deferred tax consequences of those intra-entity asset transfers when they occur. The new standard will be effective for annual and interim periods, within those fiscal years, beginning after December 15, 2017 but early adoption is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not been adopted on or before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Fair Value Measurement (Topic 820): Disclosure Framework – 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ASU 2018-13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This standard is effective for fiscal years beginning after December 15, 2019, including interim reporting periods within those years, with early adoption permitted. The Company is currently evaluating the impact that the standard will have on the financial statements and related footnote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2016-02, Leases,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transition method existing at or entered into after the beginning of the earliest comparative period presented in the financial statements, but it does not require transition accounting for leases that expire prior to the date of initial application. Upon adoption, operating leases will be reported on the balance sheet as a gross-up of assets and liabilities. The Company is currently evaluating the impact that the standard will have on the financial statements and related footnote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Company’s revenues are comprised of amounts earned under its license and collaboration agreements, royalties, and until March 2017 did previously include the Nexafed products’ net product sales. Revenue recognition occurs when a customer obtains control of promised goods or services in an amount that reflects the consideration the Company expects to receive in exchange for those goods or services based on a short-term credit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The recoverability of the Aversion intangible asset is contingent upon future Egalet royalty revenues. We have recorded amortization expense of $155 thousand in each of the nine month periods ending September 30, 2018 and 2017. Annual amortization of the patent for its remaining life through 2021 is expected to approximate $208 thousand each year or $52 thousand per quarter.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In January 2015, we and Egalet US, Inc. and Egalet Ltd., each a subsidiary of Egalet Corporation, or collectively Egalet, entered into a Collaboration and License Agreement (the “Egalet Agreement”) to commercialize Aversion Oxycodone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sales-based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On October 31, 2018, Egalet issued a press release and filed a SEC Form 8-K announcing its filing for voluntary pre-arranged plan of reorganization under Chapter 11 of the United States Bankruptcy Code in the District of Delaware. As Egalet’s announcement is very recent, at this time it is uncertain as to the impact on our license agreement with them, but we do anticipate a delay in the Egalet’s payment of their third quarter 2018 royalty payment to us until the first quarter 2019, assuming no objections or changes to their Chapter 11 proceedings. Our royalty receivable is $80 thousand at September 30, 2018 and remains unreserved for collectability at this time as we monitor the proceedings. We have recognized royalty revenue under the Egalet license agreement of $70 thousand and $330 thousand for the three and nine month periods ending September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Bayer Agreement Covering Methamphetamine Resistant Pseudoephedrine-containing Product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In June 2017, we received Bayer’s notice of termination of the Bayer Agreement pursuant to its convenience termination right exercised prior to the Company’s completion of its product development obligations under the Bayer Agreement. We have received reimbursement of certain of our development costs under the Bayer Agreement. Following Bayer’s termination of the Bayer Agreement the Bayer Licensed Product is now subject to MainPointe’s option rights under the MainPointe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Topic 606 on January 1, 2018 applying the modified retrospective method to all contracts that were not completed as of January 1, 2018. While the timing of future revenues under ASC Topic 606 may differ from the Company’s historical accounting practices under ASC Topic 605, the cumulative effect recorded through the Consolidated Statement of Stockholder’s Deficit was zero because there was no change in timing or measurement of revenues for open contracts at January 1, 2018.</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September 30, 2018.</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licensing the Nexafed products to MainPointe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We recognized revenue from our Nexafed products sales when the price was fixed and determinable at the date of sale, title and risk of ownership were transferred to the customer, and returns could be reasonably estimated, which generally occurred at the time of product shipment. ASC 606 did not change the practice under which the Company previously recognized the product revenue from sales of the Nexafed products, which was at the time the product was shipped to a customer. As a result of the Company’s license agreement with MainPointe completed in March 2017, the Company no longer sold the Nexafed products. There was no impact from the recognition of revenue for Nexafed product sales under the adoption of ASC 606.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Egalet and MainPointe. Payments of sales-based milestones are generally due within 30 days after the end of a calendar year. Payments of royalties are generally due within 45 days after the end of a calendar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when the option is exercised and any obligations on behalf of the Company, such as to transfer know-how, has been fulfilled, which may result in later recognition as compared to the previous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two licenses for currently marketed products containing its technologies; the Nexafed products containing the Impede Technology to MainPointe and Oxaydo containing the Aversion Technology to Egalet. All of the Company’s royalty revenues are earned from these two licenses and from the licensee’s sale of products in the U.S. Royalty revenues by licensee are summarized below:</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Three months</w:t>
            </w:r>
          </w:p>
        </w:tc>
        <w:tc>
          <w:tcPr>
            <w:tcW w:w="8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82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Egalet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330</w:t>
            </w:r>
          </w:p>
        </w:tc>
        <w:tc>
          <w:tcPr>
            <w:tcW w:w="60" w:type="dxa"/>
            <w:vAlign w:val="bottom"/>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MainPointe</w:t>
            </w: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r>
      <w:tr>
        <w:trPr>
          <w:trHeight w:val="210"/>
        </w:trPr>
        <w:tc>
          <w:tcPr>
            <w:tcW w:w="4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Royalty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reported contract assets and contract liability balances under the license and collaboration agreements at either September 30, 2018 or December 31, 2017 was $0 thousand. Contract assets may be reported in future periods under prepaid expenses or other current assets on the balance sheet. Contract liabilities may be reported in future periods consisting of deferred revenue as presented on the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 We did not have any remaining obligations under cancelable arrangements, nor did we have any prepaid CRO costs or prepaid clinical trial study expenses at September 30, 2018 or December 31,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September 30, 2018 and December 31, 2017 are summarized as follows: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w:t>
            </w: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Borders>
              <w:bottom w:val="single" w:sz="8" w:color="CCEEFF"/>
            </w:tcBorders>
            <w:gridSpan w:val="2"/>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450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10"/>
        </w:trPr>
        <w:tc>
          <w:tcPr>
            <w:tcW w:w="4500" w:type="dxa"/>
            <w:vAlign w:val="bottom"/>
          </w:tcPr>
          <w:p>
            <w:pPr>
              <w:ind w:left="16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2018 and December 31, 2017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w:t>
            </w:r>
          </w:p>
        </w:tc>
        <w:tc>
          <w:tcPr>
            <w:tcW w:w="172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4"/>
              </w:rPr>
              <w:t>Cost sharing expenses under license agreement</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Financed insurance premiums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7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Franchise taxes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939</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Loan due December 1, 2018</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December 2013, we entered into a Loan and Security Agreement (the “Oxford Loan Agreement”) with Oxford Finance LLC (“Oxford” or the “Lender”), for a term loan to the Company in the principal amount of $10.0 million (the “Term Loan”). On October 5, 2018 and November 21, 2018, we borrowed $1.8 million and $150 thousand, respectively from John Schutte. We used $1.5 million from the October 5, 2018 loan proceeds to fully pay-off the debt outstanding under the Oxford Loan Agreement. (See Note 16). All security interests of Oxford with respect to the Oxford Term Loan have been released.</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Oxford Term Loan accrued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initial Oxford Loan Agreement (prior to the Third Amendment), the Company granted Lender a security interest in substantially all of its existing and after−acquired assets, exclusive of its intellectual property assets.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2015, we and Oxford amended the Oxford Loan Agreement providing for the exercise price of the warrants to be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Term Loan using the loan’s effective interest rate of 10.16%.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due January 2, 2020</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$1.5 million and $0.7 million during the second and third quarters 2018, respectively, and have borrowed an aggregate $2.2 million as of September 30, 2018 from John Schutte, a related-party, and issued four promissory notes (the Schutte Notes), in that aggregate principal amount to him. The Schutte Notes bear interest at prime plus 2.0%, and mature on January 2, 2020, at which time all principal and interest is due, and are unsecured until all obligations to Oxford are satisfied at which time we are required to grant a security interest to Mr. Schutte in all of our assets. Because we believe the promissory notes’ rate of interest is below current market rates for us, we imputed interest on the below market rate element of the loans using the 10.16% interest rate under the Oxford Loan Agreement which has amounted to $103 thousand as of September 30, 2018. We recorded the $74 thousand and $29 thousand as a benefit to interest income in the three month periods ended June 30, 2018 and September 30, 2018, respectively, with a corresponding like amount as debt discount against the principal amount of the loan. The debt discount will be amortized to interest expense over the term on the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events of default under the Schutte Notes are limited to bankruptcy defaults and failure to pay interest and principal when due on January 2, 2020. In addition, Mr. Schutte and Oxford entered into a subordination agreement, approved by us and our subsidiary, pursuant to which Mr. Schutte subordinated the Schutte Notes to our obligations to Oxford under the Oxford Loan Agreement. The Schutte Notes may be prepaid at any time in whole or in part, however while Oxford’s loan is outstanding such prepayment will require Oxford’s consent.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On October 5, 2018 and November 21, 2018, we borrowed $1.8 million and $150 thousand, respectively from John Schutte. We used $1.5 million from the October 5, 2018 loan proceeds to fully pay-off the debt outstanding under the Oxford Loan Agreement and therefore, all our assets are pledged as collateral under the Schutte Notes, including our intellectual property. (See Note 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Our debt at September 30, 2018 is summarized below (in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780" w:type="dxa"/>
            <w:vAlign w:val="bottom"/>
            <w:gridSpan w:val="2"/>
          </w:tcPr>
          <w:p>
            <w:pPr>
              <w:ind w:left="86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Current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Long-term</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Loan Due December 1, 2018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Balance at Jan. 1, 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 30, 2018</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Loan Due January 2,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Borrowings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 30, 2018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Debt Discount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Long-term</w:t>
            </w:r>
          </w:p>
        </w:tc>
        <w:tc>
          <w:tcPr>
            <w:tcW w:w="180" w:type="dxa"/>
            <w:vAlign w:val="bottom"/>
          </w:tcPr>
          <w:p>
            <w:pPr>
              <w:spacing w:after="0"/>
              <w:rPr>
                <w:sz w:val="20"/>
                <w:szCs w:val="20"/>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Balance at Sept. 30, 2018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Deferred Debt Issuance Costs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Long-term</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expense</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 30, 2018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Debt, net at Sept. 30, 2018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interest expense for the three and nine months ended September 30, 2018 and 2017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Term loan – due December 1, 2018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Term loans – due January 2, 2020</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Debt issue costs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3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Financed insurance premiums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gridSpan w:val="2"/>
          </w:tcPr>
          <w:p>
            <w:pPr>
              <w:ind w:left="34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top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Less: imputed interest income on related party loan</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Less: interest income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5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expense, net</w:t>
            </w:r>
          </w:p>
        </w:tc>
        <w:tc>
          <w:tcPr>
            <w:tcW w:w="82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John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Investor is a principal of MainPointe, a Kentucky limited liability company.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will receive a 7.5% royalty on sales of licensed products. MainPointe also has options to expand the territory and products covered for additional sums. Included in the reported revenue for the nine month period ending September 30, 2018 is $17 thousand of royalty revenue from MainPointe. (See Note 3).</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closing of the Transaction, the Company,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Galen has not designated a director and lost that right in December 2017 when it disposed of its shares. Investor has not designated a director as of the date of filing of this Report.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and third quarters of 2018, we borrowed $1.5 million and $0.7 million, respectively, from John Schutte and issued promissory notes aggregating $2.2 million principal amount to him.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October 5, 2018 and November 21, 2018, we borrowed $1.8 million and $150 thousand, respectively from John Schutte. (See Note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activity in our warrants for either the nine months ended September 30, 2018 or 2017. Our warrants consisted of the following (in thousands except price data):</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WAvg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WAvg</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Sept. 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As part of our July 2017 private placement transaction with John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these warrants as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debt. The carrying amounts of these financial instruments, other than our debt, are representative of their respective fair values due to their relatively short maturities.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total share-based compensation expense recognized in the Company’s results of operations from all types of issued instruments comprised the following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80" w:type="dxa"/>
            <w:vAlign w:val="bottom"/>
            <w:gridSpan w:val="4"/>
          </w:tcPr>
          <w:p>
            <w:pPr>
              <w:jc w:val="right"/>
              <w:ind w:right="305"/>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18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 Compensation</w:t>
            </w:r>
          </w:p>
        </w:tc>
        <w:tc>
          <w:tcPr>
            <w:tcW w:w="1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180" w:type="dxa"/>
            <w:vAlign w:val="bottom"/>
            <w:gridSpan w:val="2"/>
            <w:shd w:val="clear" w:color="auto" w:fill="CCEEFF"/>
          </w:tcPr>
          <w:p>
            <w:pPr>
              <w:jc w:val="right"/>
              <w:ind w:right="69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w:t>
            </w:r>
          </w:p>
        </w:tc>
        <w:tc>
          <w:tcPr>
            <w:tcW w:w="13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Subtotal</w:t>
            </w:r>
          </w:p>
        </w:tc>
        <w:tc>
          <w:tcPr>
            <w:tcW w:w="1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218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Subtotal</w:t>
            </w:r>
          </w:p>
        </w:tc>
        <w:tc>
          <w:tcPr>
            <w:tcW w:w="1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69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46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the table’s reported totals for general and administrative costs is share-based compensation expense from the mark-to-market accounting of a portion of the RSUs granted to our directors is approximately $5 thousand benefit and $5 thousand for the three month periods ended September 30, 2018 and 2017, respectively and approximately $15 thousand and $30 thousand for the nine month periods ended September 30,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nine month periods ending September 30, 2018 and 2017 is shown below (in thousands except price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(000’s)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 30,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nonvested stock options outstanding at September 30, 2018 (in thousands except price data):</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Options Not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 2018</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 30, 2018</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the option awards which were vested and outstanding at each of September 30, 2018 and 2017 was $0 thousand. The total remaining unrecognized compensation cost on unvested option awards outstanding at September 30, 2018 was $12 thousand, and is expected to be recognized in operating expense in varying amounts over the 2 months remaining in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at their election, to receive payment in cash, instead of stock, for up to 40% of each RSU award. The portion of the RSU awards subject to cash settlement are recorded as a liability in the Company’s balance sheet as they vest and are being marked-to-market each reporting period until they are distributed. The cash settlement liability for vested RSU awards was $15 thousand and $41 thousand at September 30, 2018 and December 31, 2017, respectively.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 The total remaining unrecognized compensation cost on unvested RSU awards outstanding at September 30, 2018 was $11 thousand, and is expected to be recognized in operating expense over the two months remaining in the requisite service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A summary of the award activity under the RSU Plans as of September 30, 2018 and 2017, and for each of the nine month periods then ended consisted of the following: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620" w:type="dxa"/>
            <w:vAlign w:val="bottom"/>
            <w:gridSpan w:val="7"/>
          </w:tcPr>
          <w:p>
            <w:pPr>
              <w:jc w:val="center"/>
              <w:ind w:left="830"/>
              <w:spacing w:after="0"/>
              <w:rPr>
                <w:sz w:val="20"/>
                <w:szCs w:val="20"/>
                <w:color w:val="auto"/>
              </w:rPr>
            </w:pPr>
            <w:r>
              <w:rPr>
                <w:rFonts w:ascii="Arial" w:cs="Arial" w:eastAsia="Arial" w:hAnsi="Arial"/>
                <w:sz w:val="18"/>
                <w:szCs w:val="18"/>
                <w:b w:val="1"/>
                <w:bCs w:val="1"/>
                <w:color w:val="auto"/>
                <w:w w:val="89"/>
              </w:rPr>
              <w:t>Nine months Ended September 30,</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Vested</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of RSUs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RSUs</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RSUs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RSUs</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Sept. 30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2017 RSU Plan was approved by shareholders in November 2017 and permits the grant of up to 1.5 million shares of our common stock pursuant to awards under the 2017 RSU Plan. As of September 30, 2018, approximately 1.0 million shares are available for award under the 2017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both"/>
        <w:ind w:left="500" w:hanging="168"/>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will vest 100% after one full year of service. Distributions of the vested RSU awards to the employees will be made in three equal installments on the first business day of each of January 2020, 2021, and 2022 or earlier upon a qualifying change of control.</w:t>
      </w:r>
    </w:p>
    <w:p>
      <w:pPr>
        <w:spacing w:after="0" w:line="181" w:lineRule="exact"/>
        <w:rPr>
          <w:rFonts w:ascii="Arial" w:cs="Arial" w:eastAsia="Arial" w:hAnsi="Arial"/>
          <w:sz w:val="18"/>
          <w:szCs w:val="18"/>
          <w:color w:val="auto"/>
        </w:rPr>
      </w:pPr>
    </w:p>
    <w:p>
      <w:pPr>
        <w:jc w:val="both"/>
        <w:ind w:left="500" w:hanging="168"/>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2018, we awarded approximately 67 thousand RSUs to each of our 4 non-employee directors which also allow for them to receive payment in cash, instead of stock, for up to 40% of each RSU award. Such awards vest 25% at the end of each calendar quarter in 2018. Settlement of this RSU award will occur on January 2, 2019, the first business day of the year after vesting. The portion of the RSU awards which are subject to cash settlement are also subject to marked-to market accounting and the liability recorded in the Company’s balance sheet as an estimate for such cash settlement was $15 thousand at September 30, 2018.</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2014 RSU Plan was approved by shareholders in May 2014 and permits the grant of up to 400 thousand shares of our common stock pursuant to awards under the 2014 RSU Plan. As of September 30, 2018, approximately 3 thousand shares are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during 2017 and 2018 is as follows:</w:t>
      </w:r>
    </w:p>
    <w:p>
      <w:pPr>
        <w:spacing w:after="0" w:line="225" w:lineRule="exact"/>
        <w:rPr>
          <w:sz w:val="20"/>
          <w:szCs w:val="20"/>
          <w:color w:val="auto"/>
        </w:rPr>
      </w:pPr>
    </w:p>
    <w:p>
      <w:pPr>
        <w:jc w:val="both"/>
        <w:ind w:left="500" w:hanging="168"/>
        <w:spacing w:after="0" w:line="302"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balance sheet as an estimate for such cash settlement was $41 thousand at December 31, 2017. The RSU award was settled on January 2,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jc w:val="both"/>
        <w:ind w:left="500" w:hanging="168"/>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2017, 1 thousand RSUs from the May 2014 award and 66 thousand RSUs from the January 2016 award were distributed. There were 1 thousand RSUs from the May 1 2014 award and 22 thousand RSUs from the January 2016 award which remained deferred until a future distribution date, which occurred on January 1, 2018. Of the 67 thousand RSUs distributed, 49 thousand RSUs were settled in common stock and 18 thousand RSUs were settled in cash.</w:t>
      </w:r>
    </w:p>
    <w:p>
      <w:pPr>
        <w:spacing w:after="0" w:line="186"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2018, all outstanding 262 thousand RSUs from the 2014 RSU Plan were distributed. Of the approximately 262 thousand RSUs distributed, 238 thousand RSUs were settled in common stock and 24 thousand RSUs were settled in cash.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On December 22, 2017, the Tax Cuts and Jobs Act of 2017 (the “Act”) was signed into law making significant changes to the Internal Revenue Code. Changes include, but are not limited to, a corporate tax rate decrease from 35% to 21% effective for tax years beginning after December 31, 2017 and requiring adjustment to 2017 deferred taxes.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$169 million gross Federal NOLs at September 30, 2018 (of which approximately $168 million were generated prior to 2018). Because we believe the ability for us to use the Federal NOLs generated prior to January 1, 2018 to offset future taxable income is severely limited, as prescribed under Internal Revenue Code (“IRC”) Section 382, we have estimated and recorded an amount for the likely limitation to our deferred tax asset. The amount we recorded thereby reduced the aggregate estimated benefit of the Federal NOLs generated prior to January 1, 2018 to approximately $1.0 million. We believe the gross Federal NOL benefit we generated prior to January 1, 2018 to offset future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January 1, 2018 and Federal NOLs generated after December 31, 2017 can be carried forward indefinitely. Future common stock transactions may cause another qualifying event under IRC 382 which may further limit our utilization of our NOLs.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2018 and December 31, 2017,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12).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2018 or 2017 as the Company reported a net loss for each of the nine month periods, and including the effects of the common stock equivalents in the diluted EPS calculations would have been antidilutive. The weighted-average common shares outstanding diluted computation is not impacted during any period where the exercise price of a stock option or common stock warrant is greater than the average market price.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Numerator: 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(3,850)</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(3,944)</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16,544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21,033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14,103</w:t>
            </w: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RSUs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Excluded securities (non-weighted):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issuable: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Stock options – vested and nonvested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1,328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1,494</w:t>
            </w: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Nonvested RSUs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Common stock purchase warrants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excluded common shares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20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Pennsylvania, the trial court proceedings were stayed on January 12, 2017. On June 15, 2017, the Court entered an Order approving a stipulation which dismisses nearly all of the individual cases against us based upon lack of product identification without prejudice and provides for these cases to be dismissed finally, with prejudice, as of June 15, 2018. We expect that the Court will finally dismiss the Pennsylvania-based litigation against us with prejudice in 2018. Legal fees related to this matter are currently covered by our insurance carrier.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California, on May 24, 2016, the Court entered an Order approving a stipulation which stays the individual cases against us and provides for an agreed upon dismissal protocol for all cases where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 prejudice later in 2018. Legal fees related to this matter are currently covered by our insurance carrier.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September 30, 2018 and we are presently unable to determine if any potential loss would be covered by our insurance carrier.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DES Litigation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April 12, 2018, an action was commenced against the Company, as successor to Halsey Drug Company, and over twenty-five other pharmaceutical manufacturers in New York State Supreme Court, New York County, captioned </w:t>
      </w:r>
      <w:r>
        <w:rPr>
          <w:rFonts w:ascii="Arial" w:cs="Arial" w:eastAsia="Arial" w:hAnsi="Arial"/>
          <w:sz w:val="16"/>
          <w:szCs w:val="16"/>
          <w:i w:val="1"/>
          <w:iCs w:val="1"/>
          <w:color w:val="auto"/>
        </w:rPr>
        <w:t>Cotto et al. v. Abbott Laboratories, Inc., et al</w:t>
      </w:r>
      <w:r>
        <w:rPr>
          <w:rFonts w:ascii="Arial" w:cs="Arial" w:eastAsia="Arial" w:hAnsi="Arial"/>
          <w:sz w:val="16"/>
          <w:szCs w:val="16"/>
          <w:color w:val="auto"/>
        </w:rPr>
        <w:t xml:space="preserve"> (index 153339/2018). The Complaint contains seven causes of action, including negligence, strict liability, and breach of warranty, wrongful death, among others, in connection with the alleged exposure of the deceased plaintiff in utero to diethylstilbestrol (DES) in approximately 1956 as the result of the ingestion of the drug by her mother. The plaintiffs are the personal representative of the deceased and her two daughters, individually. The plaintiffs were unable to determine which of the defendants produced the DES used by the deceased, but regardless seeks to hold all defendants jointly and severally liable. The Complaint seeks $10.0 million in compensatory and $10.0 million in punitive damages on each of five counts and damages in an amount to be determined for wrongful death and additional punitive damages in an unstated amount. As any potential loss is neither probable nor estimable, we have not accrued for any potential loss related to these matters as of September 30, 2018. We are presently unable to determine if any potential loss would be covered by any of our insurance carriers.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September 30, 2018 we have accrued approximately $443 thousand of these potential cost sharing reimbursable expenses under the Egalet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on a month to month basis at the rate of approximately $2 thousand per month.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Restructure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5, 2018 we received a $1.8 million loan from John Schutte, and another $150 thousand loan on November 21, 2018, which combined with earlier loans received in the second and third quarters of 2018, total $4.15 million in loans from Mr. Schutte. In connection the recently received two loans aggregating $1.95 million, we issued two promissory notes, or the Schutte Notes, in each of that principal amount to him. The Schutte Notes bear interest at prime plus 2%, and mature on January 2, 2020, at which time all principal and interest is due. The terms of these notes are the same as the terms for the $2.2 million loans previously received from Mr. Schutte which are also represented by promissory notes (together with the Schutte Notes, the “Aggregate Schutte Notes”). Events of Default under the Aggregate Schutte Notes include bankruptcy events and failure to pay interest and principal when due.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Using a portion of the proceeds from the $1.8 million Schutte loan, we made a lump sum payment of $1.5 million on October 5, 2018 to Oxford Finance to settle, in full, all remaining obligations of the Oxford Loan Agreement. Loans from Mr. Schutte provide that they be secured after our obligations to Oxford Finance have been satisfied in full. As a result of the termination of the Loan Agreement with Oxford Finance, we are now required to secure payment of the Aggregate Schutte Notes with a security interest in our assets and these Notes now become our senior secured debt. The Aggregate Schutte Notes may be prepaid in whole or part at any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Egalet’s ability to continue as a going concern, including consummation of their proposed plan of reorganization filed in their Chapter 11 proceedings;</w:t>
      </w:r>
    </w:p>
    <w:p>
      <w:pPr>
        <w:spacing w:after="0" w:line="32" w:lineRule="exact"/>
        <w:rPr>
          <w:rFonts w:ascii="Arial" w:cs="Arial" w:eastAsia="Arial" w:hAnsi="Arial"/>
          <w:sz w:val="16"/>
          <w:szCs w:val="16"/>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500" w:hanging="168"/>
        <w:spacing w:after="0" w:line="261"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“anticipate,” “believe,” “continue,” “could,” “estimate,” “expect,” “indicate,” “intend,” “look forward to,” “may,” “plan,” “potential,” “predict,” “project,” “should,” “suggest,” “target,” “will,” “would,” and other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John Schutte, who became our largest shareholder pursuant to a private placement completed in July 2017 and also became a creditor in May 2018.</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2017, Bayer Healthcare LLC, or Bayer, terminated a 2015 License and Development Agreement in which we granted Bayer an exclusive worldwide license to our Impede Technology for use in an undisclosed methamphetamine resistant PSE containing product. As a result of the termination, MainPointe has the option to license our Impede Technology with respect to such product in the United States and Canada upon payment of a fee. MainPointe has not yet exercised this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or Cmax, was reduced in healthy adult fasted subjects by 50% to 65% when excessive buffer levels were ingested or a situation consistent with over-ingestion of tablets. Study AP-LTX-301, or Study 301, the results for which were announced in January 2018, demonstrated drug Cmax from LTX-03, a Limitx hydrocodone bitartrate and acetaminophen combination product, in healthy adult fasted subjects trended toward bioequivalence in test formulations A through E while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Study AP-LTX-300, or Study 300, was inconclusive in its results due to observed issues with drug release from over-encapsulated test product. The FDA has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actively seeking a licensing partner for our Limitx product candidates.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 to 684,000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completed a pilot pharmacokinetic study for a PSE and loratadine-combination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5050(b)(2) NDA submission. The Company intends to upgrade this formulation with its Impede 2.0 Technology before determining any advancement in development, however, we have not yet committed to that level of development.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Development of our Limitx and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During 2017 we redirected our development focus from LTX-04 to a hydrocodone/APAP product utilizing our Limitx Technology (LTX-03). In August 2015, April 2016, and May 2017 the United States Patent and Trademark Office, or USPTO, issued to us patents 9,101,636, 9,320,796 and 9,662,393, respectively, covering, among other things, our Limitx Technology.</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LTX-04 development program was also designated as Fast Track by the FDA for its potential to address an unmet medical need but we have voluntarily placed the IND for LTX-04 on inactive status to pursue development of LTX-03.</w:t>
      </w:r>
    </w:p>
    <w:p>
      <w:pPr>
        <w:sectPr>
          <w:pgSz w:w="11900" w:h="16838" w:orient="portrait"/>
          <w:cols w:equalWidth="0" w:num="1">
            <w:col w:w="11420"/>
          </w:cols>
          <w:pgMar w:left="240" w:top="90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have the following products in development utilizing our Limitx Technology:</w:t>
      </w:r>
    </w:p>
    <w:p>
      <w:pPr>
        <w:spacing w:after="0" w:line="24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Limitx Technology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73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hydrocodone bitartrate with acetaminophen (LTX-03)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oxycodone HCl (LTX-01) &amp; (LTX-02)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non-opioid drug (LTX-09)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Two Phase I exploratory pharmacokinetic studies completed. IND no longer active.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Initial buffer dose ranging study completed October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 on dose ranging study completed in January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scale-up in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632" w:lineRule="exact"/>
        <w:rPr>
          <w:sz w:val="20"/>
          <w:szCs w:val="20"/>
          <w:color w:val="auto"/>
        </w:rPr>
      </w:pPr>
    </w:p>
    <w:p>
      <w:pPr>
        <w:sectPr>
          <w:pgSz w:w="11900" w:h="16838" w:orient="portrait"/>
          <w:cols w:equalWidth="0" w:num="2">
            <w:col w:w="5860" w:space="320"/>
            <w:col w:w="5240"/>
          </w:cols>
          <w:pgMar w:left="240" w:top="904" w:right="23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Study 300, completed in October 2017, yielded unreliable and inconclusive results due to inconsistent drug release from over-encapsulated test product.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commenced the scale-up of the commercial manufacturing process in the second quarter of 2018 as to-be-marketed formulations are required for all NDA development work. We may run additional exploratory studies before manufacturing scale-up is complete to further understand the Limitx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Egalet has advised that late in the fourth quarter of 2016 it filed a supplemental NDA for Oxaydo with the FDA to support an abuse-deterrent label claim for the intravenous route of abuse. Egalet reported that it submitted a prior approval supplement to support approval of 10 and 15 mg dosage strengths which was accepted by the FDA on April 18, 2017. On June 20, 2017, Egalet announced that it had received a complete response letter from the FDA in response to this prior approval supplement. Eaglet has advised that the FDA is requesting more information regarding the effect of food on Oxaydo 15mg and the intranasal abuse-deterrent properties of Oxaydo 10mg and 15mg.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Egalet commenced shipping Oxaydo in October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$5.0 million upon signing of the Egalet Agreement and a $2.5 million milestone in October 2015 in connection with the launch of Oxaydo. In addition, we will be entitled to a one-time $12.5 million milestone payment when worldwide Oxaydo net sales reach $150.0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On October 31, 2018, Egalet issued a press release and filed a SEC Form 8-K announcing its filing for voluntary pre-arranged plan of reorganization under Chapter 11 of the United States Bankruptcy Code in the District of Delaware. As Egalet’s announcement is very recent, at this time it is uncertain as to the impact on our license agreement with them, but we do anticipate a delay in the Egalet’s payment of their third quarter 2018 royalty payment to us until the first quarter 2019, assuming no objections or changes to their Chapter 11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developed a next generation, or Impede 2.0 Technology to improve the meth-resistance of our technology. We have previously completed one-pot, direct conversion meth testing performed by our CRO on the following commercially available products and on our Nexafed Impede 2.0 extended-release product, with the following results: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Meth Resistant</w:t>
            </w:r>
          </w:p>
        </w:tc>
        <w:tc>
          <w:tcPr>
            <w:tcW w:w="160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w w:val="94"/>
              </w:rPr>
              <w:t>Meth Recovery</w:t>
            </w:r>
            <w:r>
              <w:rPr>
                <w:rFonts w:ascii="Arial" w:cs="Arial" w:eastAsia="Arial" w:hAnsi="Arial"/>
                <w:sz w:val="30"/>
                <w:szCs w:val="30"/>
                <w:b w:val="1"/>
                <w:bCs w:val="1"/>
                <w:color w:val="auto"/>
                <w:w w:val="94"/>
                <w:vertAlign w:val="superscript"/>
              </w:rPr>
              <w:t>1</w:t>
            </w:r>
          </w:p>
        </w:tc>
        <w:tc>
          <w:tcPr>
            <w:tcW w:w="1280" w:type="dxa"/>
            <w:vAlign w:val="bottom"/>
            <w:gridSpan w:val="2"/>
            <w:vMerge w:val="restart"/>
          </w:tcPr>
          <w:p>
            <w:pPr>
              <w:jc w:val="right"/>
              <w:ind w:right="35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Product/Formulation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Technology</w:t>
            </w:r>
          </w:p>
        </w:tc>
        <w:tc>
          <w:tcPr>
            <w:tcW w:w="1600" w:type="dxa"/>
            <w:vAlign w:val="bottom"/>
            <w:gridSpan w:val="3"/>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Impede® 1.0</w:t>
            </w: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Tarex®</w:t>
            </w:r>
          </w:p>
        </w:tc>
        <w:tc>
          <w:tcPr>
            <w:tcW w:w="16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Impede® 2.0</w:t>
            </w: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 Prior to the completion of the MainPointe Agreement in March 2017, we previously completed a project to integrate Impede 2.0 Technology into our commercially available Nexafed 30mg tablet while moving supply to an alternate contract manufacturer. We believe MainPointe launched the new formulation into the market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2017.</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Nexafed products currently marketed, Nexafed and Nexafed Sinus Pressure + Pain, consist of immediate release tablets. Nexafed is a 30mg pseudoephedrine tablet which until the third quarter of 2017 incorporated our patented Impede 1.0 Technology and commencing in such quarter incorporated our Impede 2.0 Technology and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to the MainPointe Agreement completed in March 2017, we capitalized on this consumer-pharmacist interaction at the point of sale by soliciting distribution to pharmacies and educating and encouraging pharmacists to recommend Nexafed to their customers. Under the terms of the MainPointe Agreement, MainPointe controls the marketing and sale of our Nexafed products.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90" w:lineRule="auto"/>
        <w:rPr>
          <w:sz w:val="20"/>
          <w:szCs w:val="20"/>
          <w:color w:val="auto"/>
        </w:rPr>
      </w:pPr>
      <w:r>
        <w:rPr>
          <w:rFonts w:ascii="Arial" w:cs="Arial" w:eastAsia="Arial" w:hAnsi="Arial"/>
          <w:sz w:val="16"/>
          <w:szCs w:val="16"/>
          <w:color w:val="auto"/>
        </w:rPr>
        <w:t>We launched Nexafed commercially in mid-December 2012 into the United States OTC market for cold and allergy products. Prior to the MainPointe Agreement, we distributed our Nexafed products through several regional and national drug wholesalers for redistribution to pharmacies, which included the three largest U.S. drug wholesalers: McKesson, Cardinal Health and AmerisourceBergen and we also shipped directly to the warehouses of certain pharmacy chains. Prior to the MainPointe Agreement,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recommended Nexafed to their customers while some replaced all 30mg PSE products, brand and generic, with Nexafed. Rite Aid, the nation’s fourth largest pharmacy operator, began purchasing Nexafed in late 2013. In late 2014, Kmart and Kroger initiated chain-wide stocking of Nexafed.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MainPointe Agreement covering Nexafed Products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8" w:right="239" w:bottom="1440" w:gutter="0" w:footer="0" w:header="0"/>
        </w:sectPr>
      </w:pPr>
    </w:p>
    <w:p>
      <w:pPr>
        <w:spacing w:after="0" w:line="16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Impede Technology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370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Nexafed 30mg with Impede 2.0 Technology</w:t>
      </w:r>
    </w:p>
    <w:p>
      <w:pPr>
        <w:spacing w:after="0" w:line="200" w:lineRule="exact"/>
        <w:rPr>
          <w:sz w:val="20"/>
          <w:szCs w:val="20"/>
          <w:color w:val="auto"/>
        </w:rPr>
      </w:pPr>
    </w:p>
    <w:p>
      <w:pPr>
        <w:spacing w:after="0" w:line="241"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361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2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Manufacturing validation complete. We believe MainPointe launched commercial shipments in third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Nexafed Sinus Pressure + Pain launched and licensed to MainPointe</w:t>
      </w:r>
    </w:p>
    <w:p>
      <w:pPr>
        <w:spacing w:after="0" w:line="200" w:lineRule="exact"/>
        <w:rPr>
          <w:sz w:val="20"/>
          <w:szCs w:val="20"/>
          <w:color w:val="auto"/>
        </w:rPr>
      </w:pPr>
    </w:p>
    <w:p>
      <w:pPr>
        <w:spacing w:after="0" w:line="25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No imminent development planned</w:t>
      </w:r>
    </w:p>
    <w:p>
      <w:pPr>
        <w:spacing w:after="0" w:line="181" w:lineRule="exact"/>
        <w:rPr>
          <w:sz w:val="20"/>
          <w:szCs w:val="20"/>
          <w:color w:val="auto"/>
        </w:rPr>
      </w:pPr>
    </w:p>
    <w:p>
      <w:pPr>
        <w:sectPr>
          <w:pgSz w:w="11900" w:h="16838" w:orient="portrait"/>
          <w:cols w:equalWidth="0" w:num="2">
            <w:col w:w="5500" w:space="340"/>
            <w:col w:w="5580"/>
          </w:cols>
          <w:pgMar w:left="240" w:top="908" w:right="239" w:bottom="1440" w:gutter="0" w:footer="0" w:header="0"/>
          <w:type w:val="continuous"/>
        </w:sectPr>
      </w:pPr>
    </w:p>
    <w:p>
      <w:pPr>
        <w:ind w:left="300"/>
        <w:spacing w:after="0"/>
        <w:tabs>
          <w:tab w:leader="none" w:pos="5820" w:val="left"/>
        </w:tabs>
        <w:rPr>
          <w:sz w:val="20"/>
          <w:szCs w:val="20"/>
          <w:color w:val="auto"/>
        </w:rPr>
      </w:pPr>
      <w:r>
        <w:rPr>
          <w:rFonts w:ascii="Arial" w:cs="Arial" w:eastAsia="Arial" w:hAnsi="Arial"/>
          <w:sz w:val="18"/>
          <w:szCs w:val="18"/>
          <w:color w:val="auto"/>
        </w:rPr>
        <w:t>Extended-release combination products</w:t>
      </w:r>
      <w:r>
        <w:rPr>
          <w:sz w:val="20"/>
          <w:szCs w:val="20"/>
          <w:color w:val="auto"/>
        </w:rPr>
        <w:tab/>
      </w:r>
      <w:r>
        <w:rPr>
          <w:rFonts w:ascii="Arial" w:cs="Arial" w:eastAsia="Arial" w:hAnsi="Arial"/>
          <w:sz w:val="16"/>
          <w:szCs w:val="16"/>
          <w:color w:val="auto"/>
        </w:rPr>
        <w:t>No imminent development planned</w:t>
      </w:r>
    </w:p>
    <w:p>
      <w:pPr>
        <w:spacing w:after="0" w:line="225" w:lineRule="exact"/>
        <w:rPr>
          <w:sz w:val="20"/>
          <w:szCs w:val="20"/>
          <w:color w:val="auto"/>
        </w:rPr>
      </w:pPr>
    </w:p>
    <w:p>
      <w:pPr>
        <w:ind w:left="300"/>
        <w:spacing w:after="0"/>
        <w:tabs>
          <w:tab w:leader="none" w:pos="5820" w:val="left"/>
        </w:tabs>
        <w:rPr>
          <w:sz w:val="20"/>
          <w:szCs w:val="20"/>
          <w:color w:val="auto"/>
        </w:rPr>
      </w:pPr>
      <w:r>
        <w:rPr>
          <w:rFonts w:ascii="Arial" w:cs="Arial" w:eastAsia="Arial" w:hAnsi="Arial"/>
          <w:sz w:val="18"/>
          <w:szCs w:val="18"/>
          <w:color w:val="auto"/>
        </w:rPr>
        <w:t>Loratadine with pseudoephedrine</w:t>
      </w:r>
      <w:r>
        <w:rPr>
          <w:sz w:val="20"/>
          <w:szCs w:val="20"/>
          <w:color w:val="auto"/>
        </w:rPr>
        <w:tab/>
      </w:r>
      <w:r>
        <w:rPr>
          <w:rFonts w:ascii="Arial" w:cs="Arial" w:eastAsia="Arial" w:hAnsi="Arial"/>
          <w:sz w:val="16"/>
          <w:szCs w:val="16"/>
          <w:color w:val="auto"/>
        </w:rPr>
        <w:t>Final formulation development ready. No imminent development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planned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intends to upgrade this formulation with its Impede 2.0 Technology before determining any advancement in development.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We received reimbursement of certain our development expenses, and were entitled to success-based development and regulatory milestone payments, and low mid-single digit royalties on the net sales of the developed product. On June 28, 2017, we received Bayer’s written notice terminating the Bayer Agreement. Bayer exercised its convenience termination right prior to the completion of our development obligations under the Bayer Agreement, which we believe is as a result of Bayer’s de-prioritization of development of the methamphetamine resistant PSE-containing product contemplated in the Agreement. As a result of the termination, MainPointe has the option to license such product in the U.S. and Canada upon payment to us of $500 thousand, (additional amounts would be due for expansion of the territory – See “–MainPointe Agreement covering Nexafed Products”, above), together with royalty of 7.5% of net sales of such product, under the MainPointe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Reference Brand</w:t>
            </w:r>
            <w:r>
              <w:rPr>
                <w:rFonts w:ascii="Arial" w:cs="Arial" w:eastAsia="Arial" w:hAnsi="Arial"/>
                <w:sz w:val="30"/>
                <w:szCs w:val="30"/>
                <w:b w:val="1"/>
                <w:bCs w:val="1"/>
                <w:color w:val="auto"/>
                <w:vertAlign w:val="superscript"/>
              </w:rPr>
              <w:t>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ind w:left="780"/>
              <w:spacing w:after="0"/>
              <w:rPr>
                <w:sz w:val="20"/>
                <w:szCs w:val="20"/>
                <w:color w:val="auto"/>
              </w:rPr>
            </w:pPr>
            <w:r>
              <w:rPr>
                <w:rFonts w:ascii="Arial" w:cs="Arial" w:eastAsia="Arial" w:hAnsi="Arial"/>
                <w:sz w:val="18"/>
                <w:szCs w:val="18"/>
                <w:b w:val="1"/>
                <w:bCs w:val="1"/>
                <w:color w:val="auto"/>
              </w:rPr>
              <w:t>Active</w:t>
            </w:r>
          </w:p>
        </w:tc>
        <w:tc>
          <w:tcPr>
            <w:tcW w:w="14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2014 Retail Sales</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Brand Company</w:t>
            </w:r>
          </w:p>
        </w:tc>
        <w:tc>
          <w:tcPr>
            <w:tcW w:w="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Ingredient(s)</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20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Allegra-D</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Chattem</w:t>
            </w:r>
          </w:p>
        </w:tc>
        <w:tc>
          <w:tcPr>
            <w:tcW w:w="2040" w:type="dxa"/>
            <w:vAlign w:val="bottom"/>
          </w:tcPr>
          <w:p>
            <w:pPr>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Advil Sinus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Pfizer</w:t>
            </w:r>
          </w:p>
        </w:tc>
        <w:tc>
          <w:tcPr>
            <w:tcW w:w="2040" w:type="dxa"/>
            <w:vAlign w:val="bottom"/>
          </w:tcPr>
          <w:p>
            <w:pPr>
              <w:spacing w:after="0"/>
              <w:rPr>
                <w:sz w:val="20"/>
                <w:szCs w:val="20"/>
                <w:color w:val="auto"/>
              </w:rPr>
            </w:pPr>
            <w:r>
              <w:rPr>
                <w:rFonts w:ascii="Arial" w:cs="Arial" w:eastAsia="Arial" w:hAnsi="Arial"/>
                <w:sz w:val="18"/>
                <w:szCs w:val="18"/>
                <w:color w:val="auto"/>
              </w:rPr>
              <w:t>PSE &amp; Ibuprofen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Sudafed 30mg</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J&amp;J</w:t>
            </w:r>
          </w:p>
        </w:tc>
        <w:tc>
          <w:tcPr>
            <w:tcW w:w="2040" w:type="dxa"/>
            <w:vAlign w:val="bottom"/>
          </w:tcPr>
          <w:p>
            <w:pPr>
              <w:spacing w:after="0"/>
              <w:rPr>
                <w:sz w:val="20"/>
                <w:szCs w:val="20"/>
                <w:color w:val="auto"/>
              </w:rPr>
            </w:pPr>
            <w:r>
              <w:rPr>
                <w:rFonts w:ascii="Arial" w:cs="Arial" w:eastAsia="Arial" w:hAnsi="Arial"/>
                <w:sz w:val="18"/>
                <w:szCs w:val="18"/>
                <w:color w:val="auto"/>
              </w:rPr>
              <w:t>PSE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780" w:hanging="124"/>
        <w:spacing w:after="0"/>
        <w:tabs>
          <w:tab w:leader="none" w:pos="78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30"/>
          <w:szCs w:val="30"/>
          <w:color w:val="auto"/>
          <w:vertAlign w:val="superscript"/>
        </w:rPr>
      </w:pPr>
    </w:p>
    <w:p>
      <w:pPr>
        <w:ind w:left="660"/>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Prior to the MainPointe Agreement, we priced Nexafed at $4.39 for a box of 24 tablets and Nexafed Sinus Pressure + Pain at $7.95 for a box of 24 tablets. MainPointe controls the price of Nexafed and Nexafed Sinus under the terms of the MainPointe Agreement.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9"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2016 US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IR Opioid Products</w:t>
            </w:r>
            <w:r>
              <w:rPr>
                <w:rFonts w:ascii="Arial" w:cs="Arial" w:eastAsia="Arial" w:hAnsi="Arial"/>
                <w:sz w:val="30"/>
                <w:szCs w:val="30"/>
                <w:b w:val="1"/>
                <w:bCs w:val="1"/>
                <w:color w:val="auto"/>
                <w:vertAlign w:val="superscript"/>
              </w:rPr>
              <w:t>(1)</w:t>
            </w: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Prescriptions</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(Millions)</w:t>
            </w:r>
            <w:r>
              <w:rPr>
                <w:rFonts w:ascii="Arial" w:cs="Arial" w:eastAsia="Arial" w:hAnsi="Arial"/>
                <w:sz w:val="30"/>
                <w:szCs w:val="30"/>
                <w:b w:val="1"/>
                <w:bCs w:val="1"/>
                <w:color w:val="auto"/>
                <w:w w:val="88"/>
                <w:vertAlign w:val="superscript"/>
              </w:rPr>
              <w:t>(2)</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Total</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Oxycodone</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Tramadol</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Codeine</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4 Others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Arial" w:cs="Arial" w:eastAsia="Arial" w:hAnsi="Arial"/>
                <w:sz w:val="18"/>
                <w:szCs w:val="18"/>
                <w:color w:val="auto"/>
              </w:rPr>
              <w:t>Total</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208</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400" w:right="1140" w:hanging="123"/>
        <w:spacing w:after="0" w:line="194" w:lineRule="auto"/>
        <w:tabs>
          <w:tab w:leader="none" w:pos="24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all salts and esters of the opioid and opioids in combination with other active ingredients such as acetaminophen.</w:t>
      </w:r>
    </w:p>
    <w:p>
      <w:pPr>
        <w:ind w:left="2400" w:hanging="123"/>
        <w:spacing w:after="0" w:line="180" w:lineRule="auto"/>
        <w:tabs>
          <w:tab w:leader="none" w:pos="240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IMS Health, 2016</w:t>
      </w:r>
    </w:p>
    <w:p>
      <w:pPr>
        <w:spacing w:after="0" w:line="20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provided Egalet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Patent No. (Jurisdiction)</w:t>
            </w:r>
          </w:p>
        </w:tc>
        <w:tc>
          <w:tcPr>
            <w:tcW w:w="220" w:type="dxa"/>
            <w:vAlign w:val="bottom"/>
          </w:tcPr>
          <w:p>
            <w:pPr>
              <w:spacing w:after="0"/>
              <w:rPr>
                <w:sz w:val="20"/>
                <w:szCs w:val="20"/>
                <w:color w:val="auto"/>
              </w:rPr>
            </w:pPr>
          </w:p>
        </w:tc>
        <w:tc>
          <w:tcPr>
            <w:tcW w:w="58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Subject matter</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w w:val="92"/>
              </w:rPr>
              <w:t>9,101,636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Abuse deterrent products wherein the release of active ingredient is retarded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2015</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when 3 or more doses are consumed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9,320,796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Abuse deterrent products wherein the release of active ingredient is retarded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when 3 or more doses are consumed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9,662,393</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Abuse deterrent products wherein the release of active ingredient is retarded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2017</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when 3 or more doses are consumed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2,892,908</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Abuse deterrent products wherein the release of active ingredient is retarded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when excessive doses are consumed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5,922,851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Abuse deterrent products wherein the release of active ingredient is retarded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when excessive doses are consumed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700" w:type="dxa"/>
            <w:vAlign w:val="bottom"/>
            <w:gridSpan w:val="5"/>
          </w:tcPr>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Patent No. (Jurisdiction)</w:t>
            </w:r>
          </w:p>
        </w:tc>
        <w:tc>
          <w:tcPr>
            <w:tcW w:w="220" w:type="dxa"/>
            <w:vAlign w:val="bottom"/>
          </w:tcPr>
          <w:p>
            <w:pPr>
              <w:spacing w:after="0"/>
              <w:rPr>
                <w:sz w:val="24"/>
                <w:szCs w:val="24"/>
                <w:color w:val="auto"/>
              </w:rPr>
            </w:pPr>
          </w:p>
        </w:tc>
        <w:tc>
          <w:tcPr>
            <w:tcW w:w="582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Subject Matter</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w w:val="92"/>
              </w:rPr>
              <w:t>7,201,920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rPr>
              <w:t>Pharmaceutical  compositions  including  a  mixture  of  functional  inactive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2007</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Mar. 2025</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ingredients and specific opioid analgesics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7,510,726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9"/>
              </w:rPr>
              <w:t>A wider range of compositions than those described in the 7,201,920 Patent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2009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7,981,439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Pharmaceutical compositions including any water soluble drug susceptible to</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 2011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abuse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8,409,616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of  immediate-release  abuse  deterrent  dosage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2013</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forms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8,637,540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of  immediate-release  abuse  deterrent  opioid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Jan.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products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9,492,443</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of  immediate-release  abuse  deterrent  opioid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products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48"/>
        </w:trPr>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298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Patent No. (Jurisdiction)</w:t>
            </w:r>
          </w:p>
        </w:tc>
        <w:tc>
          <w:tcPr>
            <w:tcW w:w="220" w:type="dxa"/>
            <w:vAlign w:val="bottom"/>
          </w:tcPr>
          <w:p>
            <w:pPr>
              <w:spacing w:after="0"/>
              <w:rPr>
                <w:sz w:val="20"/>
                <w:szCs w:val="20"/>
                <w:color w:val="auto"/>
              </w:rPr>
            </w:pPr>
          </w:p>
        </w:tc>
        <w:tc>
          <w:tcPr>
            <w:tcW w:w="582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Subject Matter</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w w:val="92"/>
              </w:rPr>
              <w:t>7,476,402</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8"/>
              </w:rPr>
              <w:t>Pharmaceutical compositions of certain combinations of kappa and mu opioid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Jan. 2009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receptor agonists and other ingredients intended to deter opioid analgesic</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product misuse and abuse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8,822,489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of certain abuse deterrent products that contain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polymers, surfactant and polysorb 80</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2,547,334</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2012</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1694260 (EUR)</w:t>
            </w:r>
          </w:p>
        </w:tc>
        <w:tc>
          <w:tcPr>
            <w:tcW w:w="606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32"/>
        </w:trPr>
        <w:tc>
          <w:tcPr>
            <w:tcW w:w="10060" w:type="dxa"/>
            <w:vAlign w:val="bottom"/>
            <w:gridSpan w:val="7"/>
          </w:tcPr>
          <w:p>
            <w:pPr>
              <w:spacing w:after="0"/>
              <w:rPr>
                <w:sz w:val="20"/>
                <w:szCs w:val="20"/>
                <w:color w:val="auto"/>
              </w:rPr>
            </w:pPr>
            <w:r>
              <w:rPr>
                <w:rFonts w:ascii="Arial" w:cs="Arial" w:eastAsia="Arial" w:hAnsi="Arial"/>
                <w:sz w:val="18"/>
                <w:szCs w:val="18"/>
                <w:color w:val="auto"/>
                <w:w w:val="98"/>
              </w:rPr>
              <w:t>We have the following issued patents covering, among other things, our Nexafed products and Impede 1.0 and 2.0 technologies:</w:t>
            </w:r>
          </w:p>
        </w:tc>
        <w:tc>
          <w:tcPr>
            <w:tcW w:w="1360" w:type="dxa"/>
            <w:vAlign w:val="bottom"/>
          </w:tcPr>
          <w:p>
            <w:pPr>
              <w:spacing w:after="0"/>
              <w:rPr>
                <w:sz w:val="24"/>
                <w:szCs w:val="24"/>
                <w:color w:val="auto"/>
              </w:rPr>
            </w:pPr>
          </w:p>
        </w:tc>
      </w:tr>
      <w:tr>
        <w:trPr>
          <w:trHeight w:val="432"/>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Patent No. (Jurisdiction)</w:t>
            </w:r>
          </w:p>
        </w:tc>
        <w:tc>
          <w:tcPr>
            <w:tcW w:w="220" w:type="dxa"/>
            <w:vAlign w:val="bottom"/>
          </w:tcPr>
          <w:p>
            <w:pPr>
              <w:spacing w:after="0"/>
              <w:rPr>
                <w:sz w:val="24"/>
                <w:szCs w:val="24"/>
                <w:color w:val="auto"/>
              </w:rPr>
            </w:pPr>
          </w:p>
        </w:tc>
        <w:tc>
          <w:tcPr>
            <w:tcW w:w="582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Subject Matter</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411"/>
        </w:trPr>
        <w:tc>
          <w:tcPr>
            <w:tcW w:w="2640" w:type="dxa"/>
            <w:vAlign w:val="bottom"/>
            <w:gridSpan w:val="3"/>
          </w:tcPr>
          <w:p>
            <w:pPr>
              <w:spacing w:after="0"/>
              <w:rPr>
                <w:sz w:val="20"/>
                <w:szCs w:val="20"/>
                <w:color w:val="auto"/>
              </w:rPr>
            </w:pPr>
            <w:r>
              <w:rPr>
                <w:rFonts w:ascii="Arial" w:cs="Arial" w:eastAsia="Arial" w:hAnsi="Arial"/>
                <w:sz w:val="18"/>
                <w:szCs w:val="18"/>
                <w:color w:val="auto"/>
              </w:rPr>
              <w:t>8,901,113 (US)</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9,757,466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640" w:type="dxa"/>
            <w:vAlign w:val="bottom"/>
            <w:gridSpan w:val="3"/>
          </w:tcPr>
          <w:p>
            <w:pPr>
              <w:spacing w:after="0"/>
              <w:rPr>
                <w:sz w:val="20"/>
                <w:szCs w:val="20"/>
                <w:color w:val="auto"/>
              </w:rPr>
            </w:pPr>
            <w:r>
              <w:rPr>
                <w:rFonts w:ascii="Arial" w:cs="Arial" w:eastAsia="Arial" w:hAnsi="Arial"/>
                <w:sz w:val="18"/>
                <w:szCs w:val="18"/>
                <w:color w:val="auto"/>
              </w:rPr>
              <w:t>10,004,699 (US)</w:t>
            </w:r>
          </w:p>
        </w:tc>
        <w:tc>
          <w:tcPr>
            <w:tcW w:w="6060" w:type="dxa"/>
            <w:vAlign w:val="bottom"/>
            <w:gridSpan w:val="2"/>
          </w:tcPr>
          <w:p>
            <w:pPr>
              <w:spacing w:after="0"/>
              <w:rPr>
                <w:sz w:val="20"/>
                <w:szCs w:val="20"/>
                <w:color w:val="auto"/>
              </w:rPr>
            </w:pPr>
            <w:r>
              <w:rPr>
                <w:rFonts w:ascii="Arial" w:cs="Arial" w:eastAsia="Arial" w:hAnsi="Arial"/>
                <w:sz w:val="18"/>
                <w:szCs w:val="18"/>
                <w:color w:val="auto"/>
              </w:rPr>
              <w:t>Methods and compositions for interfering with extraction or conversion of a</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 2018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 2035</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drug susceptible to abuse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640" w:type="dxa"/>
            <w:vAlign w:val="bottom"/>
            <w:gridSpan w:val="3"/>
          </w:tcPr>
          <w:p>
            <w:pPr>
              <w:spacing w:after="0"/>
              <w:rPr>
                <w:sz w:val="20"/>
                <w:szCs w:val="20"/>
                <w:color w:val="auto"/>
              </w:rPr>
            </w:pPr>
            <w:r>
              <w:rPr>
                <w:rFonts w:ascii="Arial" w:cs="Arial" w:eastAsia="Arial" w:hAnsi="Arial"/>
                <w:sz w:val="18"/>
                <w:szCs w:val="18"/>
                <w:color w:val="auto"/>
              </w:rPr>
              <w:t>2010300641 (AUS)</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2,775,890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2,488,029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(EUR)</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640" w:type="dxa"/>
            <w:vAlign w:val="bottom"/>
            <w:gridSpan w:val="3"/>
          </w:tcPr>
          <w:p>
            <w:pPr>
              <w:spacing w:after="0"/>
              <w:rPr>
                <w:sz w:val="20"/>
                <w:szCs w:val="20"/>
                <w:color w:val="auto"/>
              </w:rPr>
            </w:pPr>
            <w:r>
              <w:rPr>
                <w:rFonts w:ascii="Arial" w:cs="Arial" w:eastAsia="Arial" w:hAnsi="Arial"/>
                <w:sz w:val="18"/>
                <w:szCs w:val="18"/>
                <w:color w:val="auto"/>
              </w:rPr>
              <w:t>218533 (ISR)</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Jan.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640" w:type="dxa"/>
            <w:vAlign w:val="bottom"/>
            <w:gridSpan w:val="3"/>
          </w:tcPr>
          <w:p>
            <w:pPr>
              <w:spacing w:after="0"/>
              <w:rPr>
                <w:sz w:val="20"/>
                <w:szCs w:val="20"/>
                <w:color w:val="auto"/>
              </w:rPr>
            </w:pPr>
            <w:r>
              <w:rPr>
                <w:rFonts w:ascii="Arial" w:cs="Arial" w:eastAsia="Arial" w:hAnsi="Arial"/>
                <w:sz w:val="18"/>
                <w:szCs w:val="18"/>
                <w:color w:val="auto"/>
              </w:rPr>
              <w:t>2015274936 (AUS)</w:t>
            </w:r>
          </w:p>
        </w:tc>
        <w:tc>
          <w:tcPr>
            <w:tcW w:w="6060" w:type="dxa"/>
            <w:vAlign w:val="bottom"/>
            <w:gridSpan w:val="2"/>
          </w:tcPr>
          <w:p>
            <w:pPr>
              <w:spacing w:after="0"/>
              <w:rPr>
                <w:sz w:val="20"/>
                <w:szCs w:val="20"/>
                <w:color w:val="auto"/>
              </w:rPr>
            </w:pPr>
            <w:r>
              <w:rPr>
                <w:rFonts w:ascii="Arial" w:cs="Arial" w:eastAsia="Arial" w:hAnsi="Arial"/>
                <w:sz w:val="18"/>
                <w:szCs w:val="18"/>
                <w:color w:val="auto"/>
              </w:rPr>
              <w:t>Methods and compositions for interfering with extraction or conversion of a</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2018</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Jun. 2035</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drug susceptible to abuse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640" w:type="dxa"/>
            <w:vAlign w:val="bottom"/>
            <w:gridSpan w:val="3"/>
          </w:tcPr>
          <w:p>
            <w:pPr>
              <w:spacing w:after="0"/>
              <w:rPr>
                <w:sz w:val="20"/>
                <w:szCs w:val="20"/>
                <w:color w:val="auto"/>
              </w:rPr>
            </w:pPr>
            <w:r>
              <w:rPr>
                <w:rFonts w:ascii="Arial" w:cs="Arial" w:eastAsia="Arial" w:hAnsi="Arial"/>
                <w:sz w:val="18"/>
                <w:szCs w:val="18"/>
                <w:color w:val="auto"/>
              </w:rPr>
              <w:t>13102020.5 (HK)</w:t>
            </w: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86"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2017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2018, we had cash and refundable retainer deposits of $98 thousand compared to $2.2 million of cash and cash equivalents at December 31, 2017. We had an accumulated deficit of approximately $384.2 million at September 30, 2018. We had loss from operations of $3.7 million and net loss of $3.9 million for the nine months ended September 30, 2018 and we had a net loss from operations of $5.2 million and net loss of $5.7 million for the year ended December 31, 2017. As of November 26, 2018 after giving effect to an aggregate of $4.15 million loans from John Schutte including the recently received $150 thousand loan on November 21, 2018, our cash was approximately $150 thousand. We expect our current cash will only be able to fund operations into early December 2018.</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3" w:lineRule="auto"/>
        <w:rPr>
          <w:sz w:val="20"/>
          <w:szCs w:val="20"/>
          <w:color w:val="auto"/>
        </w:rPr>
      </w:pPr>
      <w:r>
        <w:rPr>
          <w:rFonts w:ascii="Arial" w:cs="Arial" w:eastAsia="Arial" w:hAnsi="Arial"/>
          <w:sz w:val="17"/>
          <w:szCs w:val="17"/>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products advertising incurred prior to our entering into the MainPointe Agreement on March 16, 2017, salaries and other personnel-related costs include the stock-based compensation associated with stock options and restricted stock units granted to employees and non-employee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to Three months Ended September 30, 2017</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9"/>
              </w:rPr>
              <w:t>Increase (decrease)</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87"/>
              </w:rPr>
              <w:t>Percent</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8"/>
                <w:szCs w:val="18"/>
                <w:color w:val="auto"/>
              </w:rPr>
              <w:t>Royalty revenue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and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8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8"/>
                <w:szCs w:val="18"/>
                <w:color w:val="auto"/>
              </w:rPr>
              <w:t>Total cost and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(1,053)</w:t>
            </w:r>
          </w:p>
        </w:tc>
        <w:tc>
          <w:tcPr>
            <w:tcW w:w="8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8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8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agreement with Egalet for Oxaydo tablets, we earn a royalty based on Oxaydo net sales. We recognized $70 thousand and $78 thousand of royalty revenue during the three months ended September 30, 2018 and 2017,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$3 thousand and $5 thousand of royalty revenue during the three months ended September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 (R&amp;D) is primarily for our Limitx Technology development activity. We are continuing the scale-up of the commercial manufacturing process on the IND for LTX-03, as to-be-marketed formulations are required for all NDA development work. We may run additional exploratory studies before manufacturing scale-up is complete to further understand the Limitx Technology. Our submitted IND for LTX-03 to the FDA became effective in April 2018. Included in each of September 30, 2018 and 2017 quarterly results are share-based compensation expenses of $16 thousand and $38 thousand, respectively. Excluding the share-based compensation expense, our R&amp;D expenses decreased by approximately $500 thousand between reporting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2017 we licensed the Nexafed products to MainPointe and beginning thereafter, we reduced and eliminated all selling and marketing types of expenses. Our general and administrative expenses primarily consisted of legal, audit and other professional services, corporate insurance, and payroll. Included in each of the September 30, 2018 and 2017 quarterly results are share-based compensation expenses of $32 thousand and $87 thousand, respectively. Excluding this share-based compensation expense, our selling, marketing, general and administrative expenses decreased by approximately $500 thousand between reporting periods, resulting primarily from the reduction in patent and general legal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2018 and 2017, we incurred net interest expense of $76 thousand and $138 thousand, respectively, on our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2018 and 2017 show no federal or state income tax benefit provisions due to 100% allowances placed against them for the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to Nine months Ended September 30, 2017</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w w:val="97"/>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(2,545)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and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8"/>
                <w:szCs w:val="18"/>
                <w:color w:val="auto"/>
              </w:rPr>
              <w:t>Total cost and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4,008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(2,355)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(3,944)</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(3,944)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the Company entered into a license agreement with MainPointe for a licensing fee of $2.5 million pursuant to which we granted MainPointe an exclusive license to our Impede Technology to commercialize our Nexafed products in the U.S. and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development activities under a collaboration agreement we may have with a customer. We had no development activities with a customer during the nine months ended September 30, 2018. We recognized $59 thousand of collaboration revenue during the nine months ended September 30,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our agreement with Egalet for Oxaydo tablets, we earn a royalty based on Oxaydo net sales. We recognized $330 thousand and $213 thousand of royalty revenue during the nine months ended September 30, 2018 and 2017, respectively. Included in the 2018 results was a one-time benefit of $89 thousand on royalty revenue reported to us by Egalet for the effect of their adoption of ASC 606 on Oxaydo net sales.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$17 thousand and $13 thousand of royalty revenue during the nine months ended September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 and 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stopped selling the Nexafed products as we licensed the product line to MainPointe, who is actively manufacturing, distributing, and selling the Nexafed products. We recognized $107 thousand of net product sales and incurred $128 thousand of cost of sales on the Nexafed products during the nine months ended September 30, 2017. Our cost of sales on the Nexafed products included third-party manufacturing costs, third-party warehousing and product distribution charges and inventory reserve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expense (R&amp;D) is primarily for our Limitx Technology development activity. During the nine months of 2017, our activities were addressing certain excipient issues in our LTX-04 tablet formulation and developing a new, faster releasing micro-particle formulation for LTX-04 and we substantially completed our second pharmacokinetic study, AP-LTX-401. During the nine months of 2018 we announced results for Study 301, submitted an IND for LTX-03 to the FDA in order to advance to NDA development, which became effective in April 2018, and we commenced and the scale-up of the commercial manufacturing process as to-be-marketed formulations are required for all NDA development work. We may run additional exploratory studies before manufacturing scale-up is complete to further understand the Limitx Technology. Included in each of September 30, 2018 and 2017 quarterly results are share-based compensation expenses of $54 thousand and $106 thousand, respectively. Excluding the share-based compensation expense, our R&amp;D expenses decreased by approximately $1.1 million between reporting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we licensed the Nexafed products to MainPointe and beginning thereafter, we reduced and eliminated all selling and marketing types of expenses. Our general and administrative expenses primarily consisted of legal, audit and other professional services, corporate insurance, and payroll. Included in each of the September 30, 2018 and 2017 quarterly results are share-based compensation expenses of $136 thousand and $277 thousand, respectively. Excluding this share-based compensation expense, our selling, marketing, general and administrative expenses decreased by approximately $1.0 million thousand between reporting periods, resulting primarily from the reductions in advertising and marketing activities as well as patent and general legal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2018 and 2017, we incurred net interest expense of $189 thousand and $473 thousand, respectively, on our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2018 and 2017 show no federal or state income tax benefit provisions due to 100% allowances placed against them for the uncertainty of their future utilization.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2018, we had cash and refundable retainer deposits of $98 thousand compared to cash and cash equivalents of $2.2 million at December 31, 2017. As of November 26, 2018 after giving effect to an aggregate of $4.15 million loans from John Schutte, including the recently received $150 thousand loan on November 21, 2018, our cash was approximately $150 thousand. We expect our cash will only be able to fund operations into early December 2018.</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fund further operations mid December 2018, we must raise additional financing or enter into license or collaboration agreements with third parties relating to our technologies. The Company is exploring a variety of capital raising and other transactions to provide additional funding to continue operations. These include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Agreement and the now terminated Bayer Agreement.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2017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2017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2017 Annual Report are also applicable to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690"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552"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2018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15,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2017 Annual Report on Form 10-K:</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November 26, 2018 we had approximately $150 thousand of cash and expect such amounts will only be sufficient to fund operations into early December 2018. Our auditors have included in their report relating to our 2017 financial statements a “going concern” explanatory paragraph as to substantial doubt of our ability to continue as a going concern.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prior to mid-December 2018, we will be required to scale back and/or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740" w:type="dxa"/>
            <w:vAlign w:val="bottom"/>
          </w:tcPr>
          <w:p>
            <w:pPr>
              <w:spacing w:after="0"/>
              <w:rPr>
                <w:sz w:val="17"/>
                <w:szCs w:val="17"/>
                <w:color w:val="auto"/>
              </w:rPr>
            </w:pPr>
          </w:p>
        </w:tc>
        <w:tc>
          <w:tcPr>
            <w:tcW w:w="1026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Promissory Note dated August 2, 2018 issued to John Schutte</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7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Promissory Note dated September 13, 2018 issued to John Schutte</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Periodic Report by Chief Executive Officer pursuant to Rule 13a-14 and 15d-14 of the Securities Exchange Act of 1934.</w:t>
              </w:r>
            </w:hyperlink>
          </w:p>
        </w:tc>
        <w:tc>
          <w:tcPr>
            <w:tcW w:w="420" w:type="dxa"/>
            <w:vAlign w:val="bottom"/>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5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Certification of Periodic Report by Chief Financial Officer pursuant to Rule 13a-14 and 15d-14 of the Securities Exchange Act of 1934.</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54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Certification of Periodic Report by the Chief Executive Officer and Chief Financial Officer pursuant to 18 U.S.C. Section 1350, as adopted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pursuant to Section 906 of the Sarbanes-Oxley Act of 2002.</w:t>
              </w:r>
            </w:hyperlink>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960" w:type="dxa"/>
            <w:vAlign w:val="bottom"/>
            <w:gridSpan w:val="5"/>
          </w:tcPr>
          <w:p>
            <w:pPr>
              <w:spacing w:after="0"/>
              <w:rPr>
                <w:sz w:val="24"/>
                <w:szCs w:val="24"/>
                <w:color w:val="auto"/>
              </w:rPr>
            </w:pP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3"/>
          </w:tcPr>
          <w:p>
            <w:pPr>
              <w:ind w:left="4460"/>
              <w:spacing w:after="0"/>
              <w:rPr>
                <w:sz w:val="20"/>
                <w:szCs w:val="20"/>
                <w:color w:val="auto"/>
              </w:rPr>
            </w:pPr>
            <w:r>
              <w:rPr>
                <w:rFonts w:ascii="Arial" w:cs="Arial" w:eastAsia="Arial" w:hAnsi="Arial"/>
                <w:sz w:val="18"/>
                <w:szCs w:val="18"/>
                <w:color w:val="auto"/>
              </w:rPr>
              <w:t>48</w:t>
            </w:r>
          </w:p>
        </w:tc>
        <w:tc>
          <w:tcPr>
            <w:tcW w:w="5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27, 2018</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10400"/>
        <w:spacing w:after="0"/>
        <w:rPr>
          <w:sz w:val="20"/>
          <w:szCs w:val="20"/>
          <w:color w:val="auto"/>
        </w:rPr>
      </w:pPr>
      <w:r>
        <w:rPr>
          <w:rFonts w:ascii="Arial" w:cs="Arial" w:eastAsia="Arial" w:hAnsi="Arial"/>
          <w:sz w:val="16"/>
          <w:szCs w:val="16"/>
          <w:b w:val="1"/>
          <w:bCs w:val="1"/>
          <w:color w:val="auto"/>
        </w:rPr>
        <w:t>Exhibit 10.39</w:t>
      </w: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PROMISSORY NOTE (AND ALL PAYMENT AND ENFORCEMENT PROVISIONS HEREIN) (THE “NOTE”) IS SUBJECT TO THE TERMS OF A SUBORDINATION AGREEMENT DATED AS OF MAY 7, 2018, BY AND AMONG OXFORD FINANCE LLC, AS COLLATERAL AGENT, THE NOTEHOLDER (AS DEFINED HEREIN), THE LENDERS THAT ARE PARTY TO THE LOAN AGREEMENT (AS DEFINED HEREIN), AND THE BORROWER (AS DEFINED HEREIN) (THE “SUBORDINATION AGREEMENT”). IN THE EVENT OF ANY INCONSISTENCY BETWEEN THIS NOTE AND THE SUBORDINATION AGREEMENT, THE TERMS OF THE SUBORDINATION AGREEMENT SHALL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FOUR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($400,000)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1"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400" w:firstLine="116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40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720" w:hanging="323"/>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$400,000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720" w:hanging="323"/>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40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00" w:right="2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ind w:left="400" w:firstLine="51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Mechanics</w:t>
      </w:r>
      <w:r>
        <w:rPr>
          <w:rFonts w:ascii="Arial" w:cs="Arial" w:eastAsia="Arial" w:hAnsi="Arial"/>
          <w:sz w:val="16"/>
          <w:szCs w:val="16"/>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ind w:firstLine="397"/>
        <w:spacing w:after="0" w:line="308" w:lineRule="auto"/>
        <w:tabs>
          <w:tab w:leader="none" w:pos="70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42" w:lineRule="exact"/>
        <w:rPr>
          <w:rFonts w:ascii="Arial" w:cs="Arial" w:eastAsia="Arial" w:hAnsi="Arial"/>
          <w:sz w:val="17"/>
          <w:szCs w:val="17"/>
          <w:color w:val="auto"/>
        </w:rPr>
      </w:pPr>
    </w:p>
    <w:p>
      <w:pPr>
        <w:ind w:left="720" w:hanging="323"/>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jc w:val="both"/>
        <w:ind w:left="400" w:firstLine="51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left="400" w:firstLine="51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firstLine="397"/>
        <w:spacing w:after="0" w:line="279" w:lineRule="auto"/>
        <w:tabs>
          <w:tab w:leader="none" w:pos="717"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720" w:hanging="323"/>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jc w:val="both"/>
        <w:ind w:left="400" w:firstLine="51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Note is non-negotiable but may be assigned or transferred by the Noteholder, with the prior written consent of the Collateral Agent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is not required if the Noteholder assigns or transfers this Note to an Affiliate. The Borrower must provide prior written notice to the Collateral Agent of any assignment or transfer this Note or any of its rights hereunder.</w:t>
      </w:r>
    </w:p>
    <w:p>
      <w:pPr>
        <w:spacing w:after="0" w:line="147" w:lineRule="exact"/>
        <w:rPr>
          <w:sz w:val="20"/>
          <w:szCs w:val="20"/>
          <w:color w:val="auto"/>
        </w:rPr>
      </w:pPr>
    </w:p>
    <w:p>
      <w:pPr>
        <w:jc w:val="both"/>
        <w:ind w:left="400"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left="400" w:firstLine="51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term of this Note may be waived, modified or amended except by an instrument in writing signed the Noteholder and Borrower, and with the prior written consent of the Collateral Agent (as defined below). Any waiver of the terms hereof shall be effective only in the specific instance and for the specific purpose given.</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unsecured, provided however, upon the full satisfaction of all Borrower’s obligations to Collateral Agent and Lenders (as defined below in paragraph 8),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165" w:lineRule="exact"/>
        <w:rPr>
          <w:sz w:val="20"/>
          <w:szCs w:val="20"/>
          <w:color w:val="auto"/>
        </w:rPr>
      </w:pPr>
    </w:p>
    <w:p>
      <w:pPr>
        <w:jc w:val="both"/>
        <w:ind w:firstLine="515"/>
        <w:spacing w:after="0" w:line="257" w:lineRule="auto"/>
        <w:tabs>
          <w:tab w:leader="none" w:pos="100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indebtedness represented by this Note shall be subordinated in accordance with the provisions of that certain Subordination Agreement dated of even date herewith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 among the Noteholder, Borrower, OXFORD FINANCE LLC,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lenders (“</w:t>
      </w:r>
      <w:r>
        <w:rPr>
          <w:rFonts w:ascii="Arial" w:cs="Arial" w:eastAsia="Arial" w:hAnsi="Arial"/>
          <w:sz w:val="18"/>
          <w:szCs w:val="18"/>
          <w:b w:val="1"/>
          <w:bCs w:val="1"/>
          <w:color w:val="auto"/>
        </w:rPr>
        <w:t>Lenders</w:t>
      </w:r>
      <w:r>
        <w:rPr>
          <w:rFonts w:ascii="Arial" w:cs="Arial" w:eastAsia="Arial" w:hAnsi="Arial"/>
          <w:sz w:val="18"/>
          <w:szCs w:val="18"/>
          <w:color w:val="auto"/>
        </w:rPr>
        <w:t>”) party 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to the Collateral Agent’s and/or Lender’s Senior Debt (as defined in the Subordination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Borrower has executed this Note as of August 2, 2018.</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-130810</wp:posOffset>
            </wp:positionV>
            <wp:extent cx="3876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Sr. VP &amp; CFO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640" w:top="90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10.40</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PROMISSORY NOTE (AND ALL PAYMENT AND ENFORCEMENT PROVISIONS HEREIN) (THE “NOTE”) IS SUBJECT TO THE TERMS OF A SUBORDINATION AGREEMENT DATED AS OF MAY 7, 2018, BY AND AMONG OXFORD FINANCE LLC, AS COLLATERAL AGENT, THE NOTEHOLDER (AS DEFINED HEREIN), THE LENDERS THAT ARE PARTY TO THE LOAN AGREEMENT (AS DEFINED HEREIN), AND THE BORROWER (AS DEFINED HEREIN) (THE “SUBORDINATION AGREEMENT”). IN THE EVENT OF ANY INCONSISTENCY BETWEEN THIS NOTE AND THE SUBORDINATION AGREEMENT, THE TERMS OF THE SUBORDINATION AGREEMENT SHALL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THREE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($300,000)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1"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400" w:firstLine="116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40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720" w:hanging="323"/>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On the date hereof Noteholder is funding a loan of $300,000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720" w:hanging="323"/>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40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00" w:right="2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ind w:left="400" w:firstLine="51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Mechanics</w:t>
      </w:r>
      <w:r>
        <w:rPr>
          <w:rFonts w:ascii="Arial" w:cs="Arial" w:eastAsia="Arial" w:hAnsi="Arial"/>
          <w:sz w:val="16"/>
          <w:szCs w:val="16"/>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ind w:firstLine="397"/>
        <w:spacing w:after="0" w:line="308" w:lineRule="auto"/>
        <w:tabs>
          <w:tab w:leader="none" w:pos="70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42" w:lineRule="exact"/>
        <w:rPr>
          <w:rFonts w:ascii="Arial" w:cs="Arial" w:eastAsia="Arial" w:hAnsi="Arial"/>
          <w:sz w:val="17"/>
          <w:szCs w:val="17"/>
          <w:color w:val="auto"/>
        </w:rPr>
      </w:pPr>
    </w:p>
    <w:p>
      <w:pPr>
        <w:ind w:left="760" w:hanging="363"/>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jc w:val="both"/>
        <w:ind w:left="400" w:firstLine="51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left="400" w:firstLine="51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firstLine="397"/>
        <w:spacing w:after="0" w:line="279" w:lineRule="auto"/>
        <w:tabs>
          <w:tab w:leader="none" w:pos="71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720" w:hanging="323"/>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jc w:val="both"/>
        <w:ind w:left="400" w:firstLine="51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Note is non-negotiable but may be assigned or transferred by the Noteholder, with the prior written consent of the Collateral Agent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is not required if the Noteholder assigns or transfers this Note to an Affiliate. The Borrower must provide prior written notice to the Collateral Agent of any assignment or transfer this Note or any of its rights hereunder.</w:t>
      </w:r>
    </w:p>
    <w:p>
      <w:pPr>
        <w:spacing w:after="0" w:line="147" w:lineRule="exact"/>
        <w:rPr>
          <w:sz w:val="20"/>
          <w:szCs w:val="20"/>
          <w:color w:val="auto"/>
        </w:rPr>
      </w:pPr>
    </w:p>
    <w:p>
      <w:pPr>
        <w:jc w:val="both"/>
        <w:ind w:left="400"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left="400" w:firstLine="51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term of this Note may be waived, modified or amended except by an instrument in writing signed the Noteholder and Borrower, and with the prior written consent of the Collateral Agent (as defined below). Any waiver of the terms hereof shall be effective only in the specific instance and for the specific purpose given.</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5" w:name="page56"/>
    <w:bookmarkEnd w:id="55"/>
    <w:p>
      <w:pPr>
        <w:jc w:val="both"/>
        <w:ind w:left="400"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left="400" w:firstLine="518"/>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unsecured, provided however, upon the full satisfaction of all Borrower’s obligations to Collateral Agent and Lenders (as defined below in paragraph 8),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165" w:lineRule="exact"/>
        <w:rPr>
          <w:sz w:val="20"/>
          <w:szCs w:val="20"/>
          <w:color w:val="auto"/>
        </w:rPr>
      </w:pPr>
    </w:p>
    <w:p>
      <w:pPr>
        <w:jc w:val="both"/>
        <w:ind w:firstLine="397"/>
        <w:spacing w:after="0" w:line="257" w:lineRule="auto"/>
        <w:tabs>
          <w:tab w:leader="none" w:pos="77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indebtedness represented by this Note shall be subordinated in accordance with the provisions of that certain Subordination Agreement dated of even date herewith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 among the Noteholder, Borrower, OXFORD FINANCE LLC,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lenders (“</w:t>
      </w:r>
      <w:r>
        <w:rPr>
          <w:rFonts w:ascii="Arial" w:cs="Arial" w:eastAsia="Arial" w:hAnsi="Arial"/>
          <w:sz w:val="18"/>
          <w:szCs w:val="18"/>
          <w:b w:val="1"/>
          <w:bCs w:val="1"/>
          <w:color w:val="auto"/>
        </w:rPr>
        <w:t>Lenders</w:t>
      </w:r>
      <w:r>
        <w:rPr>
          <w:rFonts w:ascii="Arial" w:cs="Arial" w:eastAsia="Arial" w:hAnsi="Arial"/>
          <w:sz w:val="18"/>
          <w:szCs w:val="18"/>
          <w:color w:val="auto"/>
        </w:rPr>
        <w:t>”) party 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to the Collateral Agent’s and/or Lender’s Senior Debt (as defined in the Subordination Agreement).</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Borrower has executed this Note as of September 13,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39192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Sr. VP &amp; CFO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296"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67"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660"/>
              <w:spacing w:after="0"/>
              <w:rPr>
                <w:sz w:val="20"/>
                <w:szCs w:val="20"/>
                <w:color w:val="auto"/>
              </w:rPr>
            </w:pPr>
            <w:r>
              <w:rPr>
                <w:rFonts w:ascii="Arial" w:cs="Arial" w:eastAsia="Arial" w:hAnsi="Arial"/>
                <w:sz w:val="18"/>
                <w:szCs w:val="18"/>
                <w:color w:val="auto"/>
              </w:rPr>
              <w:t>November 27, 2018</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160" w:type="dxa"/>
            <w:vAlign w:val="bottom"/>
          </w:tcPr>
          <w:p>
            <w:pPr>
              <w:spacing w:after="0"/>
              <w:rPr>
                <w:sz w:val="20"/>
                <w:szCs w:val="20"/>
                <w:color w:val="auto"/>
              </w:rPr>
            </w:pPr>
          </w:p>
        </w:tc>
      </w:tr>
      <w:tr>
        <w:trPr>
          <w:trHeight w:val="195"/>
        </w:trPr>
        <w:tc>
          <w:tcPr>
            <w:tcW w:w="596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c>
          <w:tcPr>
            <w:tcW w:w="160" w:type="dxa"/>
            <w:vAlign w:val="bottom"/>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60" w:type="dxa"/>
            <w:vAlign w:val="bottom"/>
          </w:tcPr>
          <w:p>
            <w:pPr>
              <w:spacing w:after="0"/>
              <w:rPr>
                <w:sz w:val="20"/>
                <w:szCs w:val="20"/>
                <w:color w:val="auto"/>
              </w:rPr>
            </w:pPr>
          </w:p>
        </w:tc>
      </w:tr>
      <w:tr>
        <w:trPr>
          <w:trHeight w:val="648"/>
        </w:trPr>
        <w:tc>
          <w:tcPr>
            <w:tcW w:w="59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296"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67"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80" w:right="20" w:hanging="310"/>
        <w:spacing w:after="0" w:line="342" w:lineRule="auto"/>
        <w:tabs>
          <w:tab w:leader="none" w:pos="9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660"/>
              <w:spacing w:after="0"/>
              <w:rPr>
                <w:sz w:val="20"/>
                <w:szCs w:val="20"/>
                <w:color w:val="auto"/>
              </w:rPr>
            </w:pPr>
            <w:r>
              <w:rPr>
                <w:rFonts w:ascii="Arial" w:cs="Arial" w:eastAsia="Arial" w:hAnsi="Arial"/>
                <w:sz w:val="18"/>
                <w:szCs w:val="18"/>
                <w:color w:val="auto"/>
              </w:rPr>
              <w:t>November 27, 2018</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c>
          <w:tcPr>
            <w:tcW w:w="160" w:type="dxa"/>
            <w:vAlign w:val="bottom"/>
          </w:tcPr>
          <w:p>
            <w:pPr>
              <w:spacing w:after="0"/>
              <w:rPr>
                <w:sz w:val="20"/>
                <w:szCs w:val="20"/>
                <w:color w:val="auto"/>
              </w:rPr>
            </w:pPr>
          </w:p>
        </w:tc>
      </w:tr>
      <w:tr>
        <w:trPr>
          <w:trHeight w:val="195"/>
        </w:trPr>
        <w:tc>
          <w:tcPr>
            <w:tcW w:w="596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c>
          <w:tcPr>
            <w:tcW w:w="160" w:type="dxa"/>
            <w:vAlign w:val="bottom"/>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r>
      <w:tr>
        <w:trPr>
          <w:trHeight w:val="648"/>
        </w:trPr>
        <w:tc>
          <w:tcPr>
            <w:tcW w:w="59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September 30, 2018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40" w:hanging="275"/>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660"/>
              <w:spacing w:after="0"/>
              <w:rPr>
                <w:sz w:val="20"/>
                <w:szCs w:val="20"/>
                <w:color w:val="auto"/>
              </w:rPr>
            </w:pPr>
            <w:r>
              <w:rPr>
                <w:rFonts w:ascii="Arial" w:cs="Arial" w:eastAsia="Arial" w:hAnsi="Arial"/>
                <w:sz w:val="18"/>
                <w:szCs w:val="18"/>
                <w:color w:val="auto"/>
              </w:rPr>
              <w:t>November 27, 2018</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160" w:type="dxa"/>
            <w:vAlign w:val="bottom"/>
          </w:tcPr>
          <w:p>
            <w:pPr>
              <w:spacing w:after="0"/>
              <w:rPr>
                <w:sz w:val="20"/>
                <w:szCs w:val="20"/>
                <w:color w:val="auto"/>
              </w:rPr>
            </w:pPr>
          </w:p>
        </w:tc>
      </w:tr>
      <w:tr>
        <w:trPr>
          <w:trHeight w:val="195"/>
        </w:trPr>
        <w:tc>
          <w:tcPr>
            <w:tcW w:w="596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c>
          <w:tcPr>
            <w:tcW w:w="160" w:type="dxa"/>
            <w:vAlign w:val="bottom"/>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0" w:type="dxa"/>
            <w:vAlign w:val="bottom"/>
          </w:tcPr>
          <w:p>
            <w:pPr>
              <w:spacing w:after="0"/>
              <w:rPr>
                <w:sz w:val="20"/>
                <w:szCs w:val="20"/>
                <w:color w:val="auto"/>
              </w:rPr>
            </w:pPr>
          </w:p>
        </w:tc>
      </w:tr>
      <w:tr>
        <w:trPr>
          <w:trHeight w:val="432"/>
        </w:trPr>
        <w:tc>
          <w:tcPr>
            <w:tcW w:w="5960" w:type="dxa"/>
            <w:vAlign w:val="bottom"/>
          </w:tcPr>
          <w:p>
            <w:pPr>
              <w:spacing w:after="0"/>
              <w:rPr>
                <w:sz w:val="24"/>
                <w:szCs w:val="24"/>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c>
          <w:tcPr>
            <w:tcW w:w="160" w:type="dxa"/>
            <w:vAlign w:val="bottom"/>
          </w:tcPr>
          <w:p>
            <w:pPr>
              <w:spacing w:after="0"/>
              <w:rPr>
                <w:sz w:val="24"/>
                <w:szCs w:val="24"/>
                <w:color w:val="auto"/>
              </w:rPr>
            </w:pPr>
          </w:p>
        </w:tc>
      </w:tr>
      <w:tr>
        <w:trPr>
          <w:trHeight w:val="195"/>
        </w:trPr>
        <w:tc>
          <w:tcPr>
            <w:tcW w:w="596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c>
          <w:tcPr>
            <w:tcW w:w="160" w:type="dxa"/>
            <w:vAlign w:val="bottom"/>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r>
      <w:tr>
        <w:trPr>
          <w:trHeight w:val="648"/>
        </w:trPr>
        <w:tc>
          <w:tcPr>
            <w:tcW w:w="59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þ"/>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bullet"/>
      <w:start w:val="1"/>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4"/>
    </w:lvl>
  </w:abstractNum>
  <w:abstractNum w:abstractNumId="18">
    <w:nsid w:val="2D1D5AE9"/>
    <w:multiLevelType w:val="hybridMultilevel"/>
    <w:lvl w:ilvl="0">
      <w:lvlJc w:val="left"/>
      <w:lvlText w:val="%1."/>
      <w:numFmt w:val="decimal"/>
      <w:start w:val="6"/>
    </w:lvl>
  </w:abstractNum>
  <w:abstractNum w:abstractNumId="19">
    <w:nsid w:val="6763845E"/>
    <w:multiLevelType w:val="hybridMultilevel"/>
    <w:lvl w:ilvl="0">
      <w:lvlJc w:val="left"/>
      <w:lvlText w:val="%1."/>
      <w:numFmt w:val="decimal"/>
      <w:start w:val="8"/>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1."/>
      <w:numFmt w:val="decimal"/>
      <w:start w:val="4"/>
    </w:lvl>
  </w:abstractNum>
  <w:abstractNum w:abstractNumId="22">
    <w:nsid w:val="79838CB2"/>
    <w:multiLevelType w:val="hybridMultilevel"/>
    <w:lvl w:ilvl="0">
      <w:lvlJc w:val="left"/>
      <w:lvlText w:val="%1."/>
      <w:numFmt w:val="decimal"/>
      <w:start w:val="6"/>
    </w:lvl>
  </w:abstractNum>
  <w:abstractNum w:abstractNumId="23">
    <w:nsid w:val="4353D0CD"/>
    <w:multiLevelType w:val="hybridMultilevel"/>
    <w:lvl w:ilvl="0">
      <w:lvlJc w:val="left"/>
      <w:lvlText w:val="%1."/>
      <w:numFmt w:val="decimal"/>
      <w:start w:val="8"/>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2019-12-28T17:30:03Z</dcterms:created>
  <dcterms:modified xsi:type="dcterms:W3CDTF">2019-12-28T17:30:03Z</dcterms:modified>
</cp:coreProperties>
</file>