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980" w:right="1900" w:hanging="3972"/>
        <w:spacing w:after="0" w:line="266"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20" w:right="1680" w:hanging="4112"/>
        <w:spacing w:after="0" w:line="282" w:lineRule="auto"/>
        <w:tabs>
          <w:tab w:leader="none" w:pos="39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 to____</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1-10113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Acura Pharmaceuticals,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New York</w:t>
            </w:r>
          </w:p>
        </w:tc>
        <w:tc>
          <w:tcPr>
            <w:tcW w:w="366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60" w:type="dxa"/>
            <w:vAlign w:val="bottom"/>
          </w:tcPr>
          <w:p>
            <w:pPr>
              <w:jc w:val="center"/>
              <w:ind w:left="9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366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60" w:type="dxa"/>
            <w:vAlign w:val="bottom"/>
          </w:tcPr>
          <w:p>
            <w:pPr>
              <w:jc w:val="center"/>
              <w:ind w:left="99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705-7709</w:t>
      </w:r>
    </w:p>
    <w:p>
      <w:pPr>
        <w:spacing w:after="0" w:line="229"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400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3040" w:type="dxa"/>
            <w:vAlign w:val="bottom"/>
            <w:vMerge w:val="restart"/>
          </w:tcPr>
          <w:p>
            <w:pPr>
              <w:ind w:left="86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Emerging growth company</w:t>
            </w:r>
          </w:p>
        </w:tc>
        <w:tc>
          <w:tcPr>
            <w:tcW w:w="0" w:type="dxa"/>
            <w:vAlign w:val="bottom"/>
          </w:tcPr>
          <w:p>
            <w:pPr>
              <w:spacing w:after="0"/>
              <w:rPr>
                <w:sz w:val="1"/>
                <w:szCs w:val="1"/>
                <w:color w:val="auto"/>
              </w:rPr>
            </w:pPr>
          </w:p>
        </w:tc>
      </w:tr>
      <w:tr>
        <w:trPr>
          <w:trHeight w:val="283"/>
        </w:trPr>
        <w:tc>
          <w:tcPr>
            <w:tcW w:w="28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4000" w:type="dxa"/>
            <w:vAlign w:val="bottom"/>
          </w:tcPr>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325"/>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ACUR</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OTC Pink</w:t>
            </w:r>
          </w:p>
        </w:tc>
      </w:tr>
      <w:tr>
        <w:trPr>
          <w:trHeight w:val="418"/>
        </w:trPr>
        <w:tc>
          <w:tcPr>
            <w:tcW w:w="11440" w:type="dxa"/>
            <w:vAlign w:val="bottom"/>
            <w:gridSpan w:val="3"/>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practical date:</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7980" w:type="dxa"/>
            <w:vAlign w:val="bottom"/>
            <w:gridSpan w:val="2"/>
          </w:tcPr>
          <w:p>
            <w:pPr>
              <w:ind w:left="540"/>
              <w:spacing w:after="0"/>
              <w:rPr>
                <w:sz w:val="20"/>
                <w:szCs w:val="20"/>
                <w:color w:val="auto"/>
              </w:rPr>
            </w:pPr>
            <w:r>
              <w:rPr>
                <w:rFonts w:ascii="Arial" w:cs="Arial" w:eastAsia="Arial" w:hAnsi="Arial"/>
                <w:sz w:val="18"/>
                <w:szCs w:val="18"/>
                <w:color w:val="auto"/>
              </w:rPr>
              <w:t>Shares outstanding as of February 10, 2020: 21,650,294</w:t>
            </w:r>
          </w:p>
        </w:tc>
      </w:tr>
      <w:tr>
        <w:trPr>
          <w:trHeight w:val="216"/>
        </w:trPr>
        <w:tc>
          <w:tcPr>
            <w:tcW w:w="34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75"/>
        </w:trPr>
        <w:tc>
          <w:tcPr>
            <w:tcW w:w="34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78"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44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Page No.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4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 xml:space="preserve">Consolidated Balance Sheets </w:t>
              </w:r>
              <w:r>
                <w:rPr>
                  <w:rFonts w:ascii="Arial" w:cs="Arial" w:eastAsia="Arial" w:hAnsi="Arial"/>
                  <w:sz w:val="18"/>
                  <w:szCs w:val="18"/>
                  <w:i w:val="1"/>
                  <w:iCs w:val="1"/>
                  <w:color w:val="0000EE"/>
                </w:rPr>
                <w:t>as of June 30, 2019 and December 31, 2018</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60" w:type="dxa"/>
            <w:vAlign w:val="bottom"/>
            <w:tcBorders>
              <w:top w:val="single" w:sz="8" w:color="0000EE"/>
            </w:tcBorders>
          </w:tcPr>
          <w:p>
            <w:pPr>
              <w:spacing w:after="0"/>
              <w:rPr>
                <w:sz w:val="21"/>
                <w:szCs w:val="21"/>
                <w:color w:val="auto"/>
              </w:rPr>
            </w:pPr>
          </w:p>
        </w:tc>
        <w:tc>
          <w:tcPr>
            <w:tcW w:w="2160" w:type="dxa"/>
            <w:vAlign w:val="bottom"/>
            <w:tcBorders>
              <w:top w:val="single" w:sz="8" w:color="0000EE"/>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 xml:space="preserve">Consolidated Statements of Operations </w:t>
              </w:r>
              <w:r>
                <w:rPr>
                  <w:rFonts w:ascii="Arial" w:cs="Arial" w:eastAsia="Arial" w:hAnsi="Arial"/>
                  <w:sz w:val="18"/>
                  <w:szCs w:val="18"/>
                  <w:i w:val="1"/>
                  <w:iCs w:val="1"/>
                  <w:color w:val="0000EE"/>
                </w:rPr>
                <w:t>for the Three and Six months Ended June 30, 2019 and 2018</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60" w:type="dxa"/>
            <w:vAlign w:val="bottom"/>
            <w:tcBorders>
              <w:top w:val="single" w:sz="8" w:color="0000EE"/>
            </w:tcBorders>
          </w:tcPr>
          <w:p>
            <w:pPr>
              <w:spacing w:after="0"/>
              <w:rPr>
                <w:sz w:val="21"/>
                <w:szCs w:val="21"/>
                <w:color w:val="auto"/>
              </w:rPr>
            </w:pPr>
          </w:p>
        </w:tc>
        <w:tc>
          <w:tcPr>
            <w:tcW w:w="2160" w:type="dxa"/>
            <w:vAlign w:val="bottom"/>
            <w:tcBorders>
              <w:top w:val="single" w:sz="8" w:color="0000EE"/>
            </w:tcBorders>
          </w:tcPr>
          <w:p>
            <w:pPr>
              <w:spacing w:after="0"/>
              <w:rPr>
                <w:sz w:val="21"/>
                <w:szCs w:val="21"/>
                <w:color w:val="auto"/>
              </w:rPr>
            </w:pPr>
          </w:p>
        </w:tc>
        <w:tc>
          <w:tcPr>
            <w:tcW w:w="1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 xml:space="preserve">Consolidated Statement of Changes in Accumulated Stockholders’ Deficit </w:t>
              </w:r>
              <w:r>
                <w:rPr>
                  <w:rFonts w:ascii="Arial" w:cs="Arial" w:eastAsia="Arial" w:hAnsi="Arial"/>
                  <w:sz w:val="18"/>
                  <w:szCs w:val="18"/>
                  <w:i w:val="1"/>
                  <w:iCs w:val="1"/>
                  <w:color w:val="0000EE"/>
                  <w:w w:val="90"/>
                </w:rPr>
                <w:t>for the Three and Six months Ended June 30, 2019</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300" w:type="dxa"/>
            <w:vAlign w:val="bottom"/>
            <w:gridSpan w:val="15"/>
            <w:shd w:val="clear" w:color="auto" w:fill="CCEEFF"/>
          </w:tcPr>
          <w:p>
            <w:pPr>
              <w:ind w:left="160"/>
              <w:spacing w:after="0" w:line="196" w:lineRule="exact"/>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and 2018</w:t>
              </w:r>
            </w:hyperlink>
          </w:p>
        </w:tc>
        <w:tc>
          <w:tcPr>
            <w:tcW w:w="9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Consolidated Statements of Cash Flows </w:t>
              </w:r>
              <w:r>
                <w:rPr>
                  <w:rFonts w:ascii="Arial" w:cs="Arial" w:eastAsia="Arial" w:hAnsi="Arial"/>
                  <w:sz w:val="18"/>
                  <w:szCs w:val="18"/>
                  <w:i w:val="1"/>
                  <w:iCs w:val="1"/>
                  <w:color w:val="0000EE"/>
                </w:rPr>
                <w:t>for the Six months Ended June 30, 2019 and 2018</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60" w:type="dxa"/>
            <w:vAlign w:val="bottom"/>
            <w:tcBorders>
              <w:top w:val="single" w:sz="8" w:color="0000EE"/>
            </w:tcBorders>
          </w:tcPr>
          <w:p>
            <w:pPr>
              <w:spacing w:after="0"/>
              <w:rPr>
                <w:sz w:val="21"/>
                <w:szCs w:val="21"/>
                <w:color w:val="auto"/>
              </w:rPr>
            </w:pPr>
          </w:p>
        </w:tc>
        <w:tc>
          <w:tcPr>
            <w:tcW w:w="2160" w:type="dxa"/>
            <w:vAlign w:val="bottom"/>
            <w:tcBorders>
              <w:top w:val="single" w:sz="8" w:color="0000EE"/>
            </w:tcBorders>
          </w:tcPr>
          <w:p>
            <w:pPr>
              <w:spacing w:after="0"/>
              <w:rPr>
                <w:sz w:val="21"/>
                <w:szCs w:val="21"/>
                <w:color w:val="auto"/>
              </w:rPr>
            </w:pPr>
          </w:p>
        </w:tc>
        <w:tc>
          <w:tcPr>
            <w:tcW w:w="1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60" w:type="dxa"/>
            <w:vAlign w:val="bottom"/>
            <w:tcBorders>
              <w:top w:val="single" w:sz="8" w:color="0000EE"/>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60" w:type="dxa"/>
            <w:vAlign w:val="bottom"/>
            <w:tcBorders>
              <w:top w:val="single" w:sz="8" w:color="0000EE"/>
            </w:tcBorders>
          </w:tcPr>
          <w:p>
            <w:pPr>
              <w:spacing w:after="0"/>
              <w:rPr>
                <w:sz w:val="21"/>
                <w:szCs w:val="21"/>
                <w:color w:val="auto"/>
              </w:rPr>
            </w:pPr>
          </w:p>
        </w:tc>
        <w:tc>
          <w:tcPr>
            <w:tcW w:w="2160" w:type="dxa"/>
            <w:vAlign w:val="bottom"/>
            <w:tcBorders>
              <w:top w:val="single" w:sz="8" w:color="0000EE"/>
            </w:tcBorders>
          </w:tcPr>
          <w:p>
            <w:pPr>
              <w:spacing w:after="0"/>
              <w:rPr>
                <w:sz w:val="21"/>
                <w:szCs w:val="21"/>
                <w:color w:val="auto"/>
              </w:rPr>
            </w:pPr>
          </w:p>
        </w:tc>
        <w:tc>
          <w:tcPr>
            <w:tcW w:w="11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7"/>
                <w:szCs w:val="17"/>
                <w:color w:val="auto"/>
              </w:rPr>
            </w:pPr>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40" w:type="dxa"/>
            <w:vAlign w:val="bottom"/>
            <w:gridSpan w:val="19"/>
            <w:shd w:val="clear" w:color="auto" w:fill="CCEEFF"/>
          </w:tcPr>
          <w:p>
            <w:pPr>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930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otherwise indicated or the context otherwise requires, references to the “Company”, “Acura”,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b w:val="1"/>
                <w:bCs w:val="1"/>
                <w:color w:val="auto"/>
              </w:rPr>
              <w:t>ACURA PHARMACEUTICALS, INC.</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June 30,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receivable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Receivable from related party</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plant and equipment, net (Note 6)</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net of accumulated amortization of $1,086 and $983 (Note 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Convertible debt to related party, net of discounts (Note 8)</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to related party (Note 8)</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 $0.01 par value per share; 100,000 shares authorized, 21,300 and 21,034 shares issued and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June 30, 2019 and December 31, 2018, respectively</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382,992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Loss on debt extinguishment</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(Note 10)</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21,872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21,101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21,684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ACCUMULATED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20" w:type="dxa"/>
            <w:vAlign w:val="bottom"/>
          </w:tcPr>
          <w:p>
            <w:pPr>
              <w:spacing w:after="0"/>
              <w:rPr>
                <w:sz w:val="21"/>
                <w:szCs w:val="21"/>
                <w:color w:val="auto"/>
              </w:rPr>
            </w:pPr>
          </w:p>
        </w:tc>
        <w:tc>
          <w:tcPr>
            <w:tcW w:w="2780" w:type="dxa"/>
            <w:vAlign w:val="bottom"/>
            <w:gridSpan w:val="5"/>
          </w:tcPr>
          <w:p>
            <w:pPr>
              <w:jc w:val="right"/>
              <w:ind w:right="10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5"/>
        </w:trPr>
        <w:tc>
          <w:tcPr>
            <w:tcW w:w="48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3"/>
              </w:rPr>
              <w:t>Number</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Paid-in</w:t>
            </w:r>
          </w:p>
        </w:tc>
        <w:tc>
          <w:tcPr>
            <w:tcW w:w="160" w:type="dxa"/>
            <w:vAlign w:val="bottom"/>
          </w:tcPr>
          <w:p>
            <w:pPr>
              <w:spacing w:after="0"/>
              <w:rPr>
                <w:sz w:val="16"/>
                <w:szCs w:val="16"/>
                <w:color w:val="auto"/>
              </w:rPr>
            </w:pPr>
          </w:p>
        </w:tc>
        <w:tc>
          <w:tcPr>
            <w:tcW w:w="1360" w:type="dxa"/>
            <w:vAlign w:val="bottom"/>
            <w:gridSpan w:val="3"/>
          </w:tcPr>
          <w:p>
            <w:pPr>
              <w:jc w:val="center"/>
              <w:ind w:right="280"/>
              <w:spacing w:after="0" w:line="195"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8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of Shares</w:t>
            </w: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Par Value</w:t>
            </w:r>
          </w:p>
        </w:tc>
        <w:tc>
          <w:tcPr>
            <w:tcW w:w="12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(384,222</w:t>
            </w:r>
          </w:p>
        </w:tc>
        <w:tc>
          <w:tcPr>
            <w:tcW w:w="340" w:type="dxa"/>
            <w:vAlign w:val="bottom"/>
            <w:tcBorders>
              <w:top w:val="single" w:sz="8" w:color="CCEEFF"/>
              <w:right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9"/>
              </w:rPr>
              <w:t>Net distribution of common stock pursuant to restricted stock</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unit award plan</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(385,010</w:t>
            </w:r>
          </w:p>
        </w:tc>
        <w:tc>
          <w:tcPr>
            <w:tcW w:w="340" w:type="dxa"/>
            <w:vAlign w:val="bottom"/>
            <w:tcBorders>
              <w:top w:val="single" w:sz="8" w:color="CCEEFF"/>
              <w:right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Debt premium from debt modification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9"/>
                <w:szCs w:val="19"/>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21,300</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(388,351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439"/>
        </w:trPr>
        <w:tc>
          <w:tcPr>
            <w:tcW w:w="4820" w:type="dxa"/>
            <w:vAlign w:val="bottom"/>
          </w:tcPr>
          <w:p>
            <w:pPr>
              <w:spacing w:after="0"/>
              <w:rPr>
                <w:sz w:val="24"/>
                <w:szCs w:val="24"/>
                <w:color w:val="auto"/>
              </w:rPr>
            </w:pPr>
          </w:p>
        </w:tc>
        <w:tc>
          <w:tcPr>
            <w:tcW w:w="2780" w:type="dxa"/>
            <w:vAlign w:val="bottom"/>
            <w:gridSpan w:val="5"/>
          </w:tcPr>
          <w:p>
            <w:pPr>
              <w:jc w:val="right"/>
              <w:ind w:right="10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90"/>
              </w:rPr>
              <w:t>Number</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Paid-in</w:t>
            </w:r>
          </w:p>
        </w:tc>
        <w:tc>
          <w:tcPr>
            <w:tcW w:w="160" w:type="dxa"/>
            <w:vAlign w:val="bottom"/>
          </w:tcPr>
          <w:p>
            <w:pPr>
              <w:spacing w:after="0"/>
              <w:rPr>
                <w:sz w:val="16"/>
                <w:szCs w:val="16"/>
                <w:color w:val="auto"/>
              </w:rPr>
            </w:pPr>
          </w:p>
        </w:tc>
        <w:tc>
          <w:tcPr>
            <w:tcW w:w="1360" w:type="dxa"/>
            <w:vAlign w:val="bottom"/>
            <w:gridSpan w:val="3"/>
          </w:tcPr>
          <w:p>
            <w:pPr>
              <w:jc w:val="center"/>
              <w:ind w:right="280"/>
              <w:spacing w:after="0" w:line="195"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48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of Shares</w:t>
            </w: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Par Value</w:t>
            </w:r>
          </w:p>
        </w:tc>
        <w:tc>
          <w:tcPr>
            <w:tcW w:w="12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(380,380</w:t>
            </w:r>
          </w:p>
        </w:tc>
        <w:tc>
          <w:tcPr>
            <w:tcW w:w="340" w:type="dxa"/>
            <w:vAlign w:val="bottom"/>
            <w:tcBorders>
              <w:top w:val="single" w:sz="8" w:color="CCEEFF"/>
              <w:right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9"/>
              </w:rPr>
              <w:t>Net distribution of common stock pursuant to restricted stock</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unit award plan</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(381,874</w:t>
            </w:r>
          </w:p>
        </w:tc>
        <w:tc>
          <w:tcPr>
            <w:tcW w:w="340" w:type="dxa"/>
            <w:vAlign w:val="bottom"/>
            <w:tcBorders>
              <w:top w:val="single" w:sz="8" w:color="CCEEFF"/>
              <w:right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Non-cash share-based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21,034</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380,299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(383,135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4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(4,129)</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share-based compensation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Capitalized debt discount</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debt discount and deferred debt issuance costs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Amortization of intangible asset</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Royalty receivable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Receivable from related party</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Refundable retainer deposits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interest on loan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Accrued interest on related party loans</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related party loans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Principal payments on loan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decrease in cash</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interest payments on loan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2019</w:t>
      </w:r>
    </w:p>
    <w:p>
      <w:pPr>
        <w:spacing w:after="0" w:line="225" w:lineRule="exact"/>
        <w:rPr>
          <w:sz w:val="20"/>
          <w:szCs w:val="20"/>
          <w:color w:val="auto"/>
        </w:rPr>
      </w:pPr>
    </w:p>
    <w:p>
      <w:pPr>
        <w:ind w:left="660" w:hanging="328"/>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imputed interest on the below market rate element of the related party $650 loans made to the Company through June 27, 2019, amounted to $13, and was recorded in interest income with a corresponding like amount recorded as debt discount against the principal amount of the loan.</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28, 2019, modifications made to the related party $5,000 loan resulted in debt extinguishment. A $2,600 loss on debt extinguishment was recorded comprising $1,150 for a common stock purchase warrant issued to the related party lender, the excess fair value premium on the newly issued convertible debt of $1,380, and the write-off of unamortized debt discount of approximately $70.</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interest due of $274 on the related party $5,000 loan was rolled into principal under modifications made to the loan occurring on June 28, 2019 and the related party receivable of $725 was received on July 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2018</w:t>
      </w:r>
    </w:p>
    <w:p>
      <w:pPr>
        <w:spacing w:after="0" w:line="22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imputed interest on the below market rate element of the related party $1,500 loans, amounted to $74, and was recorded in interest income with a corresponding like amount recorded as debt discount against the principal amount of the loan.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JUNE 30, 2019 AND JUNE 30,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Acura Pharmaceuticals, Inc., a New York corporation, and its subsidiary (the “Company”, “Acura”, “We”, “Us” or “Our”)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intended to minimize the risks and side effects associated with overdose by retarding the release of active drug ingredients when too many tablets are accidently or purposefully ingested. Our Aversion® Technology is intended to address methods of product tampering associated with opioid abuse by incorporating gelling ingredients and irritants into tablets to discourage abuse by snorting and provide barriers to abuse by injection. Our Impede® Technology is directed at minimizing the extraction and conversion of pseudoephedrine tablets into methamphetamine.</w:t>
      </w:r>
    </w:p>
    <w:p>
      <w:pPr>
        <w:spacing w:after="0" w:line="178" w:lineRule="exact"/>
        <w:rPr>
          <w:sz w:val="20"/>
          <w:szCs w:val="20"/>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Limitx Technology is in development with immediate-release tablets containing hydrocodone bitartrate and acetaminophen (also known as LTX-03) as the lead product candidate due to its large market size and its known prevalence of oral excessive tablet abuse and overdose. The technology is designed to retard the release of active opioid drug when too many tablets are accidentally or purposefully ingested by neutralizing stomach acid with buffer ingredients but deliver efficacious amounts of drug when taken as a single tablet with a nominal buffer dose. US commercialization rights to LTX-03 are licensed to Abuse Deterrent Pharmaceuticals LLC (See Note 3).</w:t>
      </w:r>
    </w:p>
    <w:p>
      <w:pPr>
        <w:spacing w:after="0" w:line="17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Aversion Technology has been licensed to Zyla Life Sciences or Zyla (formerly known as Egalet Corporation) for use in Oxaydo® Tablets (oxycodone HCl, CII), and is the first approved immediate-release oxycodone product in the United States with abuse deterrent labeling. Oxaydo is currently approved by the FDA for marketing in the United States in 5mg and 7.5mg strengths (See Note 3).</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Liquidity and Substantial Doubt in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of the Company have been prepared assuming the Company will continue as a going concern and in accordance with generally accepted accounting principles in the United States of America for interim financial information, the instructions to Form 10-Q and Article 10 of Regulation S-X. Accordingly, they do not contain all disclosures required by generally accepted accounting principles. Reference should be made to the Company’s Annual Report on Form 10-K for the year ended December 31, 2018. In the opinion of the Company, all normal recurring adjustments have been made that are necessary to present fairly the results of operations for the interim periods. Operating results for the three and six month periods ended June 30, 2019 are not necessarily indicative of the results that may be expected for the year ending December 31, 2019.</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going concern basis of presentation assumes that we will continue in operation one year after the date these financial statements are issued and we will be able to realize our assets and discharge our liabilities and commitments in the normal course of business. As of June 30, 2019, we had cash of $15 thousand, working capital deficit of $696 thousand and an accumulated deficit of $388 million. We had a loss from operations of $1.3 million and a net loss of $4.1 million for the six months ended June 30, 2019. We have suffered recurring losses from operations and have not generated positive cash flows from operations. We had a loss from operations of $3.92 million and a net loss of $3.84 million for the year ended December 31, 2018. We anticipate operating losses to continue for the foreseeable future. As of February 10, 2020 we had cash of approximately $800 thousand.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6"/>
          <w:szCs w:val="16"/>
          <w:color w:val="auto"/>
        </w:rPr>
        <w:t>On June 28, 2019, we entered into with Abuse Deterrent Pharma, LLC (AD Pharma), a License, Development and Commercialization Agreement (the “AD Pharma Agreement”). AD Pharma has the right to terminate the AD Pharma Agreement for “convenience”. Under the AD Pharma Agreement, the required monthly license payments by AD Pharma will only continue until November 2020 if AD Pharma does not exercise their right to terminate the AD Pharma Agreement.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Delay or cessation of the Company’s continuing product development efforts will have a material adverse effect on the Company’s financial condition and results of operations. Should AD Pharma exercise their right to terminate the AD Pharma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auditors included in their report relating to our 2018 financial statements a “going concern” explanatory paragraph as to substantial doubt on our ability to continue as a going concern.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matters described above, management has concluded that substantial doubt exists with respect to the Company’s ability to continue as a going concern within one year after the date the financial statements are issued. The recoverability of a major portion of the recorded asset amounts shown in the Company’s accompanying consolidated balance sheets is dependent upon continued operations of the Company, which in turn is dependent upon the Company’s ability to meet its funding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standards which have been adopted on or before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which establishes a comprehensive new lease accounting model. The new standard will require most leases (with the exception of leases with terms of one year or less) to be recognized on the balance sheet as a lease liability with a corresponding right-of-use asset. Leases will be classified as an operating lease or a financing lease. The classification of the lease will affect the pattern of expense recognition in the income statement such that operating leases are expensed using the straight-line method whereas financing leases will be treated similarly to a capital lease under the current standard. The standard also requires disclosures to help investors and other financial statement users better understand the amount, timing and uncertainty of cash flows arising from leases.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Accounting Standards Codification Topic 840, Leases (ASC 840).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The Company adopted ASC 842 using the modified retrospective transition approach during Q1 2019, which allows the Company to not adjust the comparative periods presented. The Company has elected to adopt the package of transition practical expedients and, therefore, has not reassessed whether existing or expired contracts contain a lease or the lease classification for existing or expired. The Company did not elect the practical expedient to use hindsight for leases existing at the adoption date. Upon adoption, operating leases was to be reported on the balance sheet as a gross-up of assets and liabilities, however the Company has elected, as an accounting policy, to not recognize ROU assets and lease liabilities for all short-term leases that have a lease term of 12 months or less. The adoption of ASC 842 did not have an impact on the Company’s financial statements as the Company has no leases with term of more than 12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AND COLLABORATION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28, 2019 we entered into with Abuse Deterrent Pharma, LLC (“AD Pharma”), a License, Development and Commercialization Agreement (the "AD Pharma Agreement"), for the development and license of LTX-03 (hydrocodone bitartrate with acetaminophen) immediate-release tablets utilizing Acura’s patented LIMITx™. Acura will receive a monthly license payment of $350 thousand by AD Pharma for 18 months until November 2020. The first license payment was received July 2, 2019. AD Pharma will pay for and reimburse Acura for all outside development costs on LTX-03. If the NDA filing for LTX-03 is not accepted by the FDA within 18 months, AD Pharma may terminate the AD Pharma Agreement and take ownership of the Limitx intellectual property. AD Pharma does have the right to terminate the AD Pharma Agreement anytime for “convenience”. AD Pharma retains commercialization rights from which Acura will receive stepped royalties on sales and potential sales related milestones.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(See MainPointe Agreement covering Nexafed products). The Option Product exercise price of $500 thousand is waived if the exercise of the option occurs by June 28, 2024 (five years from the effective date of the AD Pharma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Mr. John Schutte assigned and transferred to AD Pharma his $6.0 million promissory note, the common stock purchase warrant for 10.0 million common shares, and the security agreement granting a security interest in all of the Company’s assets. (See Note 8). Mr. Schutte is our largest shareholder and directly owns approximately 47.5% of our common stock (after giving effect to the exercise of remaining common stock purchase warrants he holds). Mr. Schutte controls MainPointe and is the principal investor in AD Pharma.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Zyla Agreement covering Oxaydo</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agreement was terminated. We have recorded annual amortization expense of $208 thousand for each of the years 2018 and 2017. Amortization of the patent for the years 2019 through 2021 is expected to approximate $208 thousand each year and $52 thousand be quarter.</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we and Zyla US, Inc. and Zyla Ltd., each a subsidiary of Zyla Corporation, or collectively Zyla, entered into a Collaboration and License Agreement (the “Zyla Agreement”) to commercialize Aversion Oxycodone (formerly known as Oxecta®) under our tradename Oxaydo. Oxaydo is approved by the FDA for marketing in the United States in 5 mg and 7.5 mg strengths. Under the terms of the Zyla Agreement, we transferred the approved New Drug Application, or NDA, for Oxaydo to Zyla and Zyla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90" w:lineRule="auto"/>
        <w:rPr>
          <w:sz w:val="20"/>
          <w:szCs w:val="20"/>
          <w:color w:val="auto"/>
        </w:rPr>
      </w:pPr>
      <w:r>
        <w:rPr>
          <w:rFonts w:ascii="Arial" w:cs="Arial" w:eastAsia="Arial" w:hAnsi="Arial"/>
          <w:sz w:val="16"/>
          <w:szCs w:val="16"/>
          <w:color w:val="auto"/>
        </w:rPr>
        <w:t>In accordance with the Zyla Agreement, we and Zyla formed a joint steering committee to coordinate commercialization strategies and the development of product line extensions although no meetings were held in 2019 or to date in 2020. Zyla is responsible for the fees and expenses relating to the Oxaydo NDA and product line extensions of Oxaydo, provided that Zyla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Zyla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 $5.0 million license fee upon signing of the Zyla Agreement and on October 9, 2015, paid us a $2.5 million milestone in connection with the first commercial sale of Oxaydo. We will be entitled to a one-time $12.5 million sales-based milestone payment when worldwide Oxaydo net sales reach $150 million in a calendar year. We are receiving from Zyla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MainPointe Agreement covering Nexafed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The Option Product exercise price of $500 thousand is waived if the exercise of the option occurs by June 28, 2024 (five years from the effective date of the AD Pharma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KemPharm Agreement Covering Certain Opioid Prodrugs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REVENUE FROM CONTRACTS WITH CUSTOMER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Topic 606 on January 1, 2018 applying the modified retrospective method to all contracts that were not completed as of January 1, 2018. While the timing of future revenues under ASC Topic 606 may differ from the Company’s historical accounting practices under ASC Topic 605, the cumulative effect recorded through the Consolidated Statement of Stockholders’ Deficit was zero because there was no change in timing or measurement of revenues for open contracts at January 1, 2018.</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ASC 606, 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June 30, 2019.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Milestones and Royalty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commercial sales-based milestones and sales royalties earned under the license and collaboration for Oxaydo and sales royalties earned under the license for the Nexafed products, are recorded in the period of the related sales by Zyla and MainPointe. Payments of sales-based milestones are generally due within 30 days after the end of a calendar year. Payments of royalties are generally due within 45 days after the end of a calendar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when the option is exercised and any obligations on behalf of the Company, such as to transfer know-how, has been fulfilled, which may result in later recognition as compared to the previous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Total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two licenses for currently marketed products containing its technologies; the Nexafed products containing the Impede Technology to MainPointe and Oxaydo containing the Aversion Technology to Zyla. All of the Company’s royalty revenues are earned from these two licenses and from the licensee’s sale of products in the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28, 2019 we entered into an agreement with AD Pharma for the development and license of LTX-03 (hydrocodone bitartrate with acetaminophen) immediate-release tablets utilizing Acura’s patented LIMITx™ having a monthly license payment of $350 thousand by AD Pharma for 18 months until November 2020. The first license payment was received July 2,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Royalty revenues by licensee are summarized below:</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4"/>
          </w:tcPr>
          <w:p>
            <w:pPr>
              <w:jc w:val="right"/>
              <w:ind w:right="105"/>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125"/>
              <w:spacing w:after="0"/>
              <w:rPr>
                <w:sz w:val="20"/>
                <w:szCs w:val="20"/>
                <w:color w:val="auto"/>
              </w:rPr>
            </w:pPr>
            <w:r>
              <w:rPr>
                <w:rFonts w:ascii="Arial" w:cs="Arial" w:eastAsia="Arial" w:hAnsi="Arial"/>
                <w:sz w:val="18"/>
                <w:szCs w:val="18"/>
                <w:color w:val="auto"/>
              </w:rPr>
              <w:t>Six months Ended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8"/>
                <w:szCs w:val="18"/>
                <w:color w:val="auto"/>
                <w:w w:val="92"/>
              </w:rPr>
              <w:t>June 30,</w:t>
            </w:r>
          </w:p>
        </w:tc>
        <w:tc>
          <w:tcPr>
            <w:tcW w:w="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color w:val="auto"/>
                <w:w w:val="98"/>
              </w:rPr>
              <w:t>June 30,</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9"/>
                <w:szCs w:val="19"/>
                <w:color w:val="auto"/>
              </w:rPr>
            </w:pP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Egalet</w:t>
            </w:r>
          </w:p>
        </w:tc>
        <w:tc>
          <w:tcPr>
            <w:tcW w:w="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MainPointe</w:t>
            </w:r>
          </w:p>
        </w:tc>
        <w:tc>
          <w:tcPr>
            <w:tcW w:w="9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3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Royalty revenues</w:t>
            </w:r>
          </w:p>
        </w:tc>
        <w:tc>
          <w:tcPr>
            <w:tcW w:w="9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 and Performance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reported contract assets and contract liability balances under the license and collaboration agreements at either June 30, 2019 or December 31, 2018 was $0. Contract assets may be reported in future periods under prepaid expenses or other current assets on the balance sheet. Contract liabilities may be reported in future periods consisting of deferred revenue as presented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share-based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CROs based on agreed upon terms and may include payments in advance of a study starting date. Payments in advance will be reflected in the financial statements as prepaid expenses. We review and charge to expense the amounts for CRO costs and clinical trial study costs based on services performed and rely on estimates of those costs applicable to the stage of completion of a study as provided by the CRO to us. The accrued CRO costs are subject to revisions by us as the study progresses towards completion. Revisions are charged to expense in the period in which the facts that give rise to the revision become known to us. We did not have any remaining obligations under cancelable arrangements, nor did we have any prepaid CRO costs or prepaid clinical trial study expenses at June 30, 2019 or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June 30, 2019 and December 31, 2018 are summarized as follows: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December 31,</w:t>
            </w:r>
          </w:p>
        </w:tc>
      </w:tr>
      <w:tr>
        <w:trPr>
          <w:trHeight w:val="230"/>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gridSpan w:val="2"/>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520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10"/>
        </w:trPr>
        <w:tc>
          <w:tcPr>
            <w:tcW w:w="5200" w:type="dxa"/>
            <w:vAlign w:val="bottom"/>
          </w:tcPr>
          <w:p>
            <w:pPr>
              <w:ind w:left="16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 Depreciation expense was $34 thousand and $38 thousand for the six month periods ended June 30, 2019 and 2018, respectively and was $17 thousand and $18 thousand for the three month periods ended June 30, 2019 and 2018. The Company leases administrative office space in Palatine, Illinois on a month to month basis at the rate of approximately $2 thousand per month.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w w:val="95"/>
              </w:rPr>
              <w:t>Accrued expenses at June 30, 2019 and December 31, 2018 are summarized as follows:</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1"/>
        </w:trPr>
        <w:tc>
          <w:tcPr>
            <w:tcW w:w="8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r>
      <w:tr>
        <w:trPr>
          <w:trHeight w:val="230"/>
        </w:trPr>
        <w:tc>
          <w:tcPr>
            <w:tcW w:w="8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59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w w:val="91"/>
              </w:rPr>
              <w:t>(in thousands)</w:t>
            </w:r>
          </w:p>
        </w:tc>
        <w:tc>
          <w:tcPr>
            <w:tcW w:w="120" w:type="dxa"/>
            <w:vAlign w:val="bottom"/>
            <w:tcBorders>
              <w:bottom w:val="single" w:sz="8" w:color="CCEEFF"/>
            </w:tcBorders>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Cost sharing expenses under license agreement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Professional services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Financed premiums on insurance policies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Clinical, non-clinical and regulatory services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taxes</w:t>
            </w: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Loan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2013, we entered into a Loan and Security Agreement (the “Oxford Loan Agreement”) with Oxford Finance LLC (“Oxford” or the “Lender”), for a term loan to the Company in the principal amount of $10.0 million (the “Term Loan”). In October 2018 we borrowed $1.8 million from Mr. Schutte and used $1.5 million from the loan proceeds to negotiate, settle and pay-off in full the Oxford Loan for $1.5 million. We recognized a net gain of $296 thousand on the debt settlement. All security interests of Oxford with respect to the Oxford Term Loan have been released.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Oxford Term Loan accrued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was due and payable in full on December 1, 2018. As security for its obligations under the initial Oxford Loan Agreement (prior to the Third Amendment), the Company granted Lender a security interest in substantially all of its existing and after−acquired assets, exclusive of its intellectual property assets. Upon the execution of the Oxford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January 2015, we and Oxford amended the Oxford Loan Agreement providing for the exercise price of the Warrants to be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Oxford Loan Agreement. Combined with the Company’s own expenses and a $100 thousand consulting placement fee, the Company incurred a total $231 thousand in deferred debt issue costs. We have amortized these costs, including debt modification additional costs, into interest expense over the term of the Term Loan using the loan’s effective interest rate of 10.16%.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Related Party Convertible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January 1, 2019 and through June 27, 2019, we borrowed an aggregate of $650 thousand from Mr. Schutte and issued various promissory notes to him with the same terms and conditions from the previous loans. Because we believed the Schutte Notes’ rate of interest is below current market rates for us, we imputed interest on the below market rate element of the loans using the 10.16% interest rate under the Oxford Loan Agreement and this has aggregated to $185 thousand as of June 27, 2019. We recorded these benefits to interest income in the period we received the loan, with a corresponding like amount as debt discount against the principal amount of the loan. The debt discount will be amortized to interest expense over the term on the loans. All our assets are pledged as collateral under the Schutte Notes, including our intellectual property.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27, 2019 the aggregate amount of the loans made to the Company by Mr. Schutte aggregated $5.0 million. On June 28, 2019 we entered into an agreement to borrow an additional $725 thousand from Mr. Schutte, which was received on July 2, 2019,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modifications to the loan and the method of accounting for the loan changes resulted in a $2.6 million loss on debt extinguishment. The $6.0 million promissory note, the common stock purchase warrant and the security agreement were all assigned and transferred by Mr. Schutte to AD Pharma on June 28, 2019.</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events of default under the $6.0 million note are limited to bankruptcy defaults, failure to pay interest and principal when due on July 1, 2023 or upon the termination of the AD Pharma agreement covering LTX-03. The $6.0 million note may be prepaid at any time in whole or in part but only with the consent of the noteholder.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debt interest expense for the three and six month months ended June 30, 2019 and 2018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20" w:type="dxa"/>
            <w:vAlign w:val="bottom"/>
            <w:gridSpan w:val="5"/>
          </w:tcPr>
          <w:p>
            <w:pPr>
              <w:jc w:val="right"/>
              <w:ind w:right="21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5"/>
          </w:tcPr>
          <w:p>
            <w:pPr>
              <w:jc w:val="right"/>
              <w:ind w:right="270"/>
              <w:spacing w:after="0"/>
              <w:rPr>
                <w:sz w:val="20"/>
                <w:szCs w:val="20"/>
                <w:color w:val="auto"/>
              </w:rPr>
            </w:pPr>
            <w:r>
              <w:rPr>
                <w:rFonts w:ascii="Arial" w:cs="Arial" w:eastAsia="Arial" w:hAnsi="Arial"/>
                <w:sz w:val="18"/>
                <w:szCs w:val="18"/>
                <w:color w:val="auto"/>
              </w:rPr>
              <w:t>Six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June 30,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Fully paid term loan</w:t>
            </w:r>
          </w:p>
        </w:tc>
        <w:tc>
          <w:tcPr>
            <w:tcW w:w="900" w:type="dxa"/>
            <w:vAlign w:val="bottom"/>
          </w:tcPr>
          <w:p>
            <w:pPr>
              <w:jc w:val="right"/>
              <w:ind w:right="739"/>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96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term loans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issue costs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Financed insurance premiums</w:t>
            </w:r>
          </w:p>
        </w:tc>
        <w:tc>
          <w:tcPr>
            <w:tcW w:w="9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Less: imputed interest income on related party loan</w:t>
            </w:r>
          </w:p>
        </w:tc>
        <w:tc>
          <w:tcPr>
            <w:tcW w:w="9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23"/>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 net</w:t>
            </w:r>
          </w:p>
        </w:tc>
        <w:tc>
          <w:tcPr>
            <w:tcW w:w="90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with Mr. John Schutte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2017, we completed a $4.0 million private placement with Mr. John Schutte (sometimes referred to as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MainPointe Pharmaceuticals LLC</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 is a principal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plus approximately $309 thousand for transferred inventory and equipment. The Company is receiving a 7.5% royalty on sales of licensed products. MainPointe also has options to expand the territory and products covered for additional sums. Included in the reported royalty revenue for the three months ended 2019 and 2018 is $3 thousand and $6 thousand, respectively and for the six months ended 2019 and 2018 is $15 thousand and $14 thousand, respectively of royalty revenue from MainPointe (See Note 3).</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closing of the Transaction, the Company and Essex Woodlands Health Ventures V, L.P. (“Essex”) and Galen Partners III, L.P. (“Galen”) amended and restated the existing Voting Agreement including such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and the parties to such agreement would vote for such persons.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Investor has not designated a director as of the date of filing of this Report.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with Mr. John Schutte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period January 1, 2019 through June 27, 2019 we borrowed an aggregate of $650 thousand from Mr. John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promissory note, the common stock purchase warrant and the security agreement were all assigned and transferred by Mr. Schutte to AD Pharma on June 28,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28, 2019, we entered into a License, Development and Commercialization Agreement (the "AD Pharma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Agreement grants AD Pharma exclusive commercialization rights in the United States to LTX-03. Financial arrangements include:</w:t>
      </w:r>
    </w:p>
    <w:p>
      <w:pPr>
        <w:spacing w:after="0" w:line="173" w:lineRule="exact"/>
        <w:rPr>
          <w:sz w:val="20"/>
          <w:szCs w:val="20"/>
          <w:color w:val="auto"/>
        </w:rPr>
      </w:pPr>
    </w:p>
    <w:p>
      <w:pPr>
        <w:ind w:left="640" w:right="20" w:hanging="254"/>
        <w:spacing w:after="0" w:line="25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Monthly license payments to Acura by AD Pharma of $350 thousand up to the earlier of 18 months or FDA’s acceptance of a New Drug Application (“NDA”) for LTX-03;</w:t>
      </w:r>
    </w:p>
    <w:p>
      <w:pPr>
        <w:spacing w:after="0" w:line="1" w:lineRule="exact"/>
        <w:rPr>
          <w:rFonts w:ascii="Arial" w:cs="Arial" w:eastAsia="Arial" w:hAnsi="Arial"/>
          <w:sz w:val="18"/>
          <w:szCs w:val="18"/>
          <w:color w:val="auto"/>
        </w:rPr>
      </w:pPr>
    </w:p>
    <w:p>
      <w:pPr>
        <w:ind w:left="640" w:hanging="25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by AP Pharma of Acura’s LTX-03 outside development expenses;</w:t>
      </w:r>
    </w:p>
    <w:p>
      <w:pPr>
        <w:spacing w:after="0" w:line="9" w:lineRule="exact"/>
        <w:rPr>
          <w:rFonts w:ascii="Arial" w:cs="Arial" w:eastAsia="Arial" w:hAnsi="Arial"/>
          <w:sz w:val="18"/>
          <w:szCs w:val="18"/>
          <w:color w:val="auto"/>
        </w:rPr>
      </w:pPr>
    </w:p>
    <w:p>
      <w:pPr>
        <w:ind w:left="640" w:hanging="25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commercialization of LTX-03, Acura receives stepped royalties on sales and is eligible for certain sales related milestones; and</w:t>
      </w:r>
    </w:p>
    <w:p>
      <w:pPr>
        <w:spacing w:after="0" w:line="9" w:lineRule="exact"/>
        <w:rPr>
          <w:rFonts w:ascii="Arial" w:cs="Arial" w:eastAsia="Arial" w:hAnsi="Arial"/>
          <w:sz w:val="18"/>
          <w:szCs w:val="18"/>
          <w:color w:val="auto"/>
        </w:rPr>
      </w:pPr>
    </w:p>
    <w:p>
      <w:pPr>
        <w:ind w:left="640" w:hanging="254"/>
        <w:spacing w:after="0" w:line="323"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Acura authorizes MainPointe to assign to AD Pharma the option and the right to add, as an Option Product to the Nexafed® Agreement, a Nexafed® 12-hour dosage (an extended-release pseudoephedrine hydrochloride product utilizing the IMPEDE® Technology in 120mg dosage strength).</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 Pharma may terminate the AD Pharma Agreement at any time. Additionally, if the NDA for LTX-03 is not accepted by the FDA within 18 months, AD Pharma may terminate the AD Pharma Agreement and take ownership of the intellectual property. On July 2, 2019 we received the first monthly license payment of $350 thousand. As of February 10, 2020 we have received the required monthly license payments through January 2020.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for the six months ended June 30, 2019 and 2018 consisted of the following (in thousands except price data):</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50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2019</w:t>
            </w: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WAvg</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5"/>
              </w:rPr>
              <w:t>WAvg</w:t>
            </w:r>
          </w:p>
        </w:tc>
        <w:tc>
          <w:tcPr>
            <w:tcW w:w="80" w:type="dxa"/>
            <w:vAlign w:val="bottom"/>
            <w:gridSpan w:val="2"/>
          </w:tcPr>
          <w:p>
            <w:pPr>
              <w:spacing w:after="0"/>
              <w:rPr>
                <w:sz w:val="16"/>
                <w:szCs w:val="16"/>
                <w:color w:val="auto"/>
              </w:rPr>
            </w:pPr>
          </w:p>
        </w:tc>
      </w:tr>
      <w:tr>
        <w:trPr>
          <w:trHeight w:val="216"/>
        </w:trPr>
        <w:tc>
          <w:tcPr>
            <w:tcW w:w="4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Exercise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30"/>
        </w:trPr>
        <w:tc>
          <w:tcPr>
            <w:tcW w:w="42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Number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Price</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Price</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ind w:left="160"/>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160"/>
              <w:spacing w:after="0"/>
              <w:rPr>
                <w:sz w:val="20"/>
                <w:szCs w:val="20"/>
                <w:color w:val="auto"/>
              </w:rPr>
            </w:pPr>
            <w:r>
              <w:rPr>
                <w:rFonts w:ascii="Arial" w:cs="Arial" w:eastAsia="Arial" w:hAnsi="Arial"/>
                <w:sz w:val="18"/>
                <w:szCs w:val="18"/>
                <w:color w:val="auto"/>
              </w:rPr>
              <w:t>Expired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Outstanding, Jun. 30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issuance of the $10.0 million secured promissory notes to Oxford in December 2013, we issued a common stock purchase warrant (“warrant”) exercisable for 60 thousand shares of our common stock having an exercise price of $2.52 per share (after giving effect to our one-for-five reverse stock split) with an expiration date in December 2020. These warrants contain a cashless exercise feature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July 2017 private placement transaction with Mr. Schutte, we issued a warrant to purchase approx. 1.782 million shares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warrant is immediately exercisable at a price of $0.528 per share and expire five years after issuance (See Note 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28,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(see Note 8). The warrant was assigned and transferred by Mr. Schutte to AD Pharma on June 28,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consist primarily of cash and cash equivalents, receivables from trade, royalties and collaboration, trade accounts payable, and our long-term debt. The carrying amounts of these financial instruments, other than our debt, are representative of their respective fair values due to their relatively short maturities. On June 28, 2019, we modified the $5.0 million related party loan and reported the debt using fair value for the changes to the loan resulting in the recognizing a $2.6 million loss on debt extinguishment.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share-based compensation expense recognized in the Company’s results of operations from non-cash and cash-portioned instruments issued to our employees and directors comprised the following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80" w:type="dxa"/>
            <w:vAlign w:val="bottom"/>
            <w:gridSpan w:val="7"/>
          </w:tcPr>
          <w:p>
            <w:pPr>
              <w:ind w:left="52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2019</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w w:val="89"/>
              </w:rPr>
              <w:t>(in thousands)</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2040" w:type="dxa"/>
            <w:vAlign w:val="bottom"/>
            <w:gridSpan w:val="2"/>
          </w:tcPr>
          <w:p>
            <w:pPr>
              <w:jc w:val="right"/>
              <w:ind w:right="69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11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Subtotal</w:t>
            </w:r>
          </w:p>
        </w:tc>
        <w:tc>
          <w:tcPr>
            <w:tcW w:w="1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79"/>
              </w:rPr>
              <w:t>18</w:t>
            </w:r>
          </w:p>
        </w:tc>
        <w:tc>
          <w:tcPr>
            <w:tcW w:w="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040" w:type="dxa"/>
            <w:vAlign w:val="bottom"/>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19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1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48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69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66</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 activity during the six month periods ending June 30, 2019 and 2018 is shown below:</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8"/>
                <w:szCs w:val="18"/>
                <w:color w:val="auto"/>
              </w:rPr>
              <w:t>June 30,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14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5"/>
        </w:trPr>
        <w:tc>
          <w:tcPr>
            <w:tcW w:w="4220" w:type="dxa"/>
            <w:vAlign w:val="bottom"/>
          </w:tcPr>
          <w:p>
            <w:pPr>
              <w:spacing w:after="0"/>
              <w:rPr>
                <w:sz w:val="16"/>
                <w:szCs w:val="16"/>
                <w:color w:val="auto"/>
              </w:rPr>
            </w:pPr>
          </w:p>
        </w:tc>
        <w:tc>
          <w:tcPr>
            <w:tcW w:w="130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6"/>
                <w:szCs w:val="16"/>
                <w:color w:val="auto"/>
              </w:rPr>
            </w:pPr>
          </w:p>
        </w:tc>
        <w:tc>
          <w:tcPr>
            <w:tcW w:w="9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2"/>
              </w:rPr>
              <w:t>Weighted</w:t>
            </w:r>
          </w:p>
        </w:tc>
        <w:tc>
          <w:tcPr>
            <w:tcW w:w="80" w:type="dxa"/>
            <w:vAlign w:val="bottom"/>
            <w:gridSpan w:val="2"/>
          </w:tcPr>
          <w:p>
            <w:pPr>
              <w:spacing w:after="0"/>
              <w:rPr>
                <w:sz w:val="16"/>
                <w:szCs w:val="16"/>
                <w:color w:val="auto"/>
              </w:rPr>
            </w:pPr>
          </w:p>
        </w:tc>
      </w:tr>
      <w:tr>
        <w:trPr>
          <w:trHeight w:val="216"/>
        </w:trPr>
        <w:tc>
          <w:tcPr>
            <w:tcW w:w="4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rPr>
              <w:t>of</w:t>
            </w:r>
          </w:p>
        </w:tc>
        <w:tc>
          <w:tcPr>
            <w:tcW w:w="12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Average</w:t>
            </w:r>
          </w:p>
        </w:tc>
      </w:tr>
      <w:tr>
        <w:trPr>
          <w:trHeight w:val="216"/>
        </w:trPr>
        <w:tc>
          <w:tcPr>
            <w:tcW w:w="42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Exercise</w:t>
            </w:r>
          </w:p>
        </w:tc>
      </w:tr>
      <w:tr>
        <w:trPr>
          <w:trHeight w:val="230"/>
        </w:trPr>
        <w:tc>
          <w:tcPr>
            <w:tcW w:w="422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(000’s)</w:t>
            </w: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Price</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(000’s)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Price</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22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(46.39)</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 30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at June 30, 2019 (in thousands except price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Weighted</w:t>
            </w:r>
          </w:p>
        </w:tc>
        <w:tc>
          <w:tcPr>
            <w:tcW w:w="9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Options Not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9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Exercisable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c>
          <w:tcPr>
            <w:tcW w:w="9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 2019</w:t>
            </w:r>
          </w:p>
        </w:tc>
        <w:tc>
          <w:tcPr>
            <w:tcW w:w="3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4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4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 30, 2019</w:t>
            </w:r>
          </w:p>
        </w:tc>
        <w:tc>
          <w:tcPr>
            <w:tcW w:w="3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642"/>
        </w:trPr>
        <w:tc>
          <w:tcPr>
            <w:tcW w:w="1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170"/>
              <w:spacing w:after="0"/>
              <w:rPr>
                <w:sz w:val="20"/>
                <w:szCs w:val="20"/>
                <w:color w:val="auto"/>
              </w:rPr>
            </w:pPr>
            <w:r>
              <w:rPr>
                <w:rFonts w:ascii="Arial" w:cs="Arial" w:eastAsia="Arial" w:hAnsi="Arial"/>
                <w:sz w:val="18"/>
                <w:szCs w:val="18"/>
                <w:color w:val="auto"/>
              </w:rPr>
              <w:t>18</w:t>
            </w: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the option awards which were vested and outstanding at each of June 30, 2019 and 2018 was $0. The total remaining unrecognized compensation cost on unvested option awards outstanding at June 30, 2019 was $9 thousand, and is expected to be recognized in operating expense in varying amounts over the 8 months remaining in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two Restricted Stock Unit Award Plans for our employees and non-employee directors; a 2017 Restricted Stock Unit Award Plan (the “2017 RSU Plan”) and a 2014 Restricted Stock Unit Award Plan (the “2014 RSU Plan”). The 2017 RSU Plan was approved by our shareholders in November 2017 and permits the grant of up to 1.5 million shares of our common stock pursuant to awards under the 2017 RSU Plan. The 2014 RSU Plan was approved by shareholders in May 2014 and permits the grant of up to 400 thousand shares of our common stock pursuant to awards under the 2014 RSU Plan. As of June 30, 2019 there are approximately 219 thousand shares available for award under the 2017 RSU Plan and there are no remaining shares available for award under the 2014 RSU Plan.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Vesting of an RSU entitles the holder to receive a share of our common stock on a distribution date. The RSU awards to our non-employee directors allow for them to receive payment in cash upon the RSU award’s distribution, instead of an exchange into our common stock, for up to 40% of each RSU award. The portion of the RSU award subject to cash settlement is recorded as a liability in the Company’s balance sheet and to either general and administrative expense or research and development expense while being marked-to-market each reporting period until the award is distributed. The liability was $9 thousand and $11 thousand at June 30, 2019 and December 31, 2018, respectively.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cost to be incurred by the Company on a granted RSU award without a cash settlement option is the RSU’s fair value, which is the market price of our common stock on the date of grant, less its exercise cost. The compensation cost is amortized over the vesting period of the RSU award to either general and administrative expense or research and development expense and recorded as additional paid-in capital.</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grants under the RSU Plans as of June 30, 2019 and 2018, and for the six month period then ended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8"/>
                <w:szCs w:val="18"/>
                <w:color w:val="auto"/>
                <w:w w:val="91"/>
              </w:rPr>
              <w:t>Six Months Ended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8"/>
                <w:szCs w:val="18"/>
                <w:color w:val="auto"/>
                <w:w w:val="89"/>
              </w:rPr>
              <w:t>(in thousands)</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13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5"/>
              </w:rPr>
              <w:t>Number of</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5"/>
              </w:rPr>
              <w:t>Number of</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Number of</w:t>
            </w: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Vested</w:t>
            </w:r>
          </w:p>
        </w:tc>
        <w:tc>
          <w:tcPr>
            <w:tcW w:w="132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Number of</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9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360" w:type="dxa"/>
            <w:vAlign w:val="bottom"/>
            <w:gridSpan w:val="3"/>
          </w:tcPr>
          <w:p>
            <w:pPr>
              <w:ind w:left="300"/>
              <w:spacing w:after="0"/>
              <w:rPr>
                <w:sz w:val="20"/>
                <w:szCs w:val="20"/>
                <w:color w:val="auto"/>
              </w:rPr>
            </w:pPr>
            <w:r>
              <w:rPr>
                <w:rFonts w:ascii="Arial" w:cs="Arial" w:eastAsia="Arial" w:hAnsi="Arial"/>
                <w:sz w:val="18"/>
                <w:szCs w:val="18"/>
                <w:color w:val="auto"/>
              </w:rPr>
              <w:t>RSUs</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RSUs</w:t>
            </w: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RSUs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RSUs</w:t>
            </w:r>
          </w:p>
        </w:tc>
        <w:tc>
          <w:tcPr>
            <w:tcW w:w="9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 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9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9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Outstanding, Jun. 30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2"/>
        </w:trPr>
        <w:tc>
          <w:tcPr>
            <w:tcW w:w="13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Information about the award activity under the RSU Plans is as follows:</w:t>
      </w:r>
    </w:p>
    <w:p>
      <w:pPr>
        <w:spacing w:after="0" w:line="225" w:lineRule="exact"/>
        <w:rPr>
          <w:sz w:val="20"/>
          <w:szCs w:val="20"/>
          <w:color w:val="auto"/>
        </w:rPr>
      </w:pPr>
    </w:p>
    <w:p>
      <w:pPr>
        <w:jc w:val="both"/>
        <w:ind w:left="500" w:hanging="114"/>
        <w:spacing w:after="0" w:line="25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2017, we awarded 200 thousand RSUs to employees and such RSU awards were fully vested on December 31, 2018. Distribution of these awards and the exchange into common stock will occur in one third amounts on each of January 1, 2020, 2021 and 2022. The employees have the option to pay the par value of the common stock and settle payroll withholding taxes in shares of common stock they would otherwise be receiving resulting in a net share settlement.</w:t>
      </w:r>
    </w:p>
    <w:p>
      <w:pPr>
        <w:spacing w:after="0" w:line="2" w:lineRule="exact"/>
        <w:rPr>
          <w:rFonts w:ascii="Arial" w:cs="Arial" w:eastAsia="Arial" w:hAnsi="Arial"/>
          <w:sz w:val="18"/>
          <w:szCs w:val="18"/>
          <w:color w:val="auto"/>
        </w:rPr>
      </w:pPr>
    </w:p>
    <w:p>
      <w:pPr>
        <w:jc w:val="both"/>
        <w:ind w:left="500" w:hanging="114"/>
        <w:spacing w:after="0" w:line="28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January 2017, we awarded approximately 60 thousand RSUs to each of our non-employee directors. Such awards vested 25% at the end of each calendar quarter during 2017. In January 2018, these awards were distributed and they were exchanged into 214 thousand shares of our common stock while 24 thousand RSUs were settled in cash. There were also 24 thousand RSUs exchanged into common stock from prior year awards.</w:t>
      </w:r>
    </w:p>
    <w:p>
      <w:pPr>
        <w:spacing w:after="0" w:line="2" w:lineRule="exact"/>
        <w:rPr>
          <w:rFonts w:ascii="Arial" w:cs="Arial" w:eastAsia="Arial" w:hAnsi="Arial"/>
          <w:sz w:val="16"/>
          <w:szCs w:val="16"/>
          <w:color w:val="auto"/>
        </w:rPr>
      </w:pPr>
    </w:p>
    <w:p>
      <w:pPr>
        <w:ind w:left="500" w:hanging="114"/>
        <w:spacing w:after="0" w:line="28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January 2018, we awarded approximately 67 thousand RSUs to each of our non-employee directors. Such awards vested 25% at the end of each calendar quarter during 2018. In January 2019, these awards were distributed and they were exchanged into 267 shares of our common stock.</w:t>
      </w:r>
    </w:p>
    <w:p>
      <w:pPr>
        <w:spacing w:after="0" w:line="1" w:lineRule="exact"/>
        <w:rPr>
          <w:rFonts w:ascii="Arial" w:cs="Arial" w:eastAsia="Arial" w:hAnsi="Arial"/>
          <w:sz w:val="16"/>
          <w:szCs w:val="16"/>
          <w:color w:val="auto"/>
        </w:rPr>
      </w:pPr>
    </w:p>
    <w:p>
      <w:pPr>
        <w:jc w:val="both"/>
        <w:ind w:left="500" w:hanging="114"/>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2018, we awarded 492 thousand RSUs to employees and such RSU awards will vested in full on December 31, 2019. Distribution of these awards and the exchange into common stock will occur in one third amounts on each of January 1, 2021, 2022 and 2023. The employees have the option to pay the par value of the common stock and settle payroll withholding taxes in shares of common stock they would otherwise be receiving resulting in a net share settlement.</w:t>
      </w:r>
    </w:p>
    <w:p>
      <w:pPr>
        <w:spacing w:after="0" w:line="1" w:lineRule="exact"/>
        <w:rPr>
          <w:rFonts w:ascii="Arial" w:cs="Arial" w:eastAsia="Arial" w:hAnsi="Arial"/>
          <w:sz w:val="18"/>
          <w:szCs w:val="18"/>
          <w:color w:val="auto"/>
        </w:rPr>
      </w:pPr>
    </w:p>
    <w:p>
      <w:pPr>
        <w:jc w:val="both"/>
        <w:ind w:left="500" w:hanging="114"/>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2019, we awarded approximately 83 thousand RSUs to each of our non-employee directors. Such awards vest 25% at the end of each calendar quarter during 2019. These awards will be distributed and exchanged into common stock will occur in one third amounts on each of January 2020 and up to 40% of the award can be settled in cash.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$171.8 million gross Federal NOLs at December 31, 2018 (of which approximately $167.7 million were generated prior to 2018). Because we believe the ability for us to use these NOLs generated prior to January 1, 2018 to offset any future taxable income is severely limited as prescribed under Internal Revenue Code (“IRC”) Section 382, we had estimated and recorded an amount for the likely limitation to our deferred tax asset in the fourth quarter of 2017, thereby reducing the aggregate estimated benefit of the Federal NOLs available to us of approximately $1.0 million at December 31, 2017. We believe the gross Federal NOL benefit we generated prior to January 1, 2018 to offset taxable income is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and Federal NOLs generated after 2017 can be carried forward indefinitely. Future common stock transactions, such as the exercise of common stock purchase warrants or the conversion of debt into common stock, may cause another qualifying event under IRC 382 which may further limit our utilization of our NOLs.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2019 and December 31, 2018,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14 – NET LOSS PER SHARE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both vested Restricted Stock Units (“RSUs”) which settle in shares (See Note 12) and a stock warrant exercisable for 10.0 million shares having an exercise price of $0.01 per share (See Note 8).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2019 or 2018 as the Company reported a net loss for the three and six month periods, and including the effects of the common stock equivalents in the diluted EPS calculations would have been antidilutive. The weighted-average common share outstanding diluted computation is not impacted during any period where the exercise price of a stock option or common stock warrant is greater than the average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7"/>
          </w:tcPr>
          <w:p>
            <w:pPr>
              <w:jc w:val="right"/>
              <w:ind w:right="8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4"/>
          </w:tcPr>
          <w:p>
            <w:pPr>
              <w:jc w:val="right"/>
              <w:ind w:right="9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4"/>
          </w:tcPr>
          <w:p>
            <w:pPr>
              <w:jc w:val="right"/>
              <w:ind w:right="7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(3,341)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(1,261)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(4,129)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21,300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21,034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RSUs - vested</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Common stock purchase warrant</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EPS – basic and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Excluded securities (non-weighted):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issuable: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RSUs – vested and nonvested</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 – vested and nonvested</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Common stock purchase warrants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Convertible loan</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Total excluded potentially dilutive shares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was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None of the plaintiffs in the lawsuits filed to date have confirmed that they ingested any of the generic metoclopramide manufactured by us. We discontinued manufacture and distribution of generic metoclopramide more than 20 years ago. All of these lawsuits have been effectively dismissed with the exception of less than ten pending Philadelphia cases that we expect will be finally dismissed without the need for any action by us. We expect that the Court will finally dismiss the small number of remaining Pennsylvania-based cases against us with prejudice by the end of the fourth quarter of 2019. Legal fees related to this matter have been covered by our insurance carrier. Based upon the current status and evaluation, we have not accrued for any potential loss related to these matters as of June 30, 2019.</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or overdose will be determined sufficient by the FDA to support approval or labelling describing safety and/or abuse deterrent features;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Zyla Life Sciences’ or Zyla (formerly known as Egalet Corporation) for Oxaydo;</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00" w:hanging="168"/>
        <w:spacing w:after="0" w:line="261"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7"/>
          <w:szCs w:val="17"/>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2018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opioid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Zyla US, Inc. and Zyla Ltd., each a subsidiary of Zyla Corporation, or collectively Zyla, pursuant to which we exclusively licensed to Zyla worldwide rights to manufacture and commercialize Oxaydo. Oxaydo is currently approved by the U. S. Food and Drug Administration, or FDA, for marketing in the United States in 5mg and 7.5mg strengths. Zyla launched Oxaydo in the United States late in the third quarter of 2015. We are not actively developing product candidates utilizing our Aversion Technology.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launched our first Impede Technology product, Nexafed, into the United States market in December 2012 and launched our Nexafed Sinus Pressure + 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third abuse deterrent technology, Limitx,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intend to advance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On June 28, 2019, we entered into License, Development and Commercialization Agreement with Abuse Deterrent Pharma, LLC, a Kentucky limited liability company (“AD Pharma”), a special purpose company representing a consortium of investors that will finance Acura’s operations and completion of development of LTX-03. The Agreement grants AD Pharma exclusive commercialization rights in the United States to LTX-03.</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the 2017 CDC Drug Surveillance Report, opioid analgesics are one of the largest prescription drug markets in the United States with 214 million prescriptions dispensed in 2016.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194 million prescriptions, of which approximately 95% was attributable to generic products with no known safety features. Immediate-release oxycodone tablets represent approximately 30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CDC also reported approximately 45,000 suicide deaths in the U.S. in 2016 with poisoning being the third most prevalent route of suicide. Suicides have increased 30% in the U.S. since 1999. More than 54% of suicides had no prior indication of mental health issues. We believe a significant portion of these intentional poisonings included opioid analgesics which are known to induce respiratory depression related to overdose. An analysis of forensic data associated with hydrocodone overdose deaths suggests a median dose of sixteen 10mg hydrocodone tablets was measured in the bloodstream.</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20167 to 774,000 people up from 440,000 people in 2012. As of March 16, 2017, sales of Nexafed and Nexafed Sinus are covered under the MainPointe Agreement, for which we receive a royalty.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methamphetamine, or other drugs to accentuate the high.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Development of our abuse deterrent products, such our Aversion (if recommenced) product candidates, will require one or more abuse deterrent studies consistent with the FDA 2015 published guidance for industry on the evaluation and labeling of abuse-deterrent opioids (the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Overdose Minimized Opioid Products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Abusers as well as legitimate pain patients are at risk of overdose. In some cases, overdose is accidental but anecdotal reports indicate suicide rates among pain patient are increasing presumably due to their inability to access the pain medications they need to manage their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2019, FDA issued a draft for public comment guidance on a Benefit-Risk Assessment Framework for Opioid Analgesic Drugs. The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will likely also entail additional safety and/or efficacy assessment as may be identified by the FDA for each specific formulation during the Investigational New Drug application, or IND, or NDA phase of development.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6080" w:type="dxa"/>
            <w:vAlign w:val="bottom"/>
            <w:tcBorders>
              <w:top w:val="single" w:sz="8" w:color="auto"/>
              <w:left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Limitx Technology Products</w:t>
            </w:r>
          </w:p>
        </w:tc>
        <w:tc>
          <w:tcPr>
            <w:tcW w:w="5340" w:type="dxa"/>
            <w:vAlign w:val="bottom"/>
            <w:tcBorders>
              <w:top w:val="single" w:sz="8" w:color="auto"/>
              <w:bottom w:val="single" w:sz="8" w:color="auto"/>
              <w:right w:val="single" w:sz="8" w:color="auto"/>
            </w:tcBorders>
          </w:tcPr>
          <w:p>
            <w:pPr>
              <w:ind w:left="2420"/>
              <w:spacing w:after="0"/>
              <w:rPr>
                <w:sz w:val="20"/>
                <w:szCs w:val="20"/>
                <w:color w:val="auto"/>
              </w:rPr>
            </w:pPr>
            <w:r>
              <w:rPr>
                <w:rFonts w:ascii="Arial" w:cs="Arial" w:eastAsia="Arial" w:hAnsi="Arial"/>
                <w:sz w:val="18"/>
                <w:szCs w:val="18"/>
                <w:b w:val="1"/>
                <w:bCs w:val="1"/>
                <w:color w:val="auto"/>
              </w:rPr>
              <w:t>Status</w:t>
            </w:r>
          </w:p>
        </w:tc>
      </w:tr>
      <w:tr>
        <w:trPr>
          <w:trHeight w:val="318"/>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hydrocodone bitartrate with acetaminophen (LTX-03)</w:t>
            </w: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Initial buffer dose ranging study completed October 2017</w:t>
            </w:r>
          </w:p>
        </w:tc>
      </w:tr>
      <w:tr>
        <w:trPr>
          <w:trHeight w:val="432"/>
        </w:trPr>
        <w:tc>
          <w:tcPr>
            <w:tcW w:w="6080" w:type="dxa"/>
            <w:vAlign w:val="bottom"/>
            <w:tcBorders>
              <w:left w:val="single" w:sz="8" w:color="auto"/>
              <w:right w:val="single" w:sz="8" w:color="auto"/>
            </w:tcBorders>
          </w:tcPr>
          <w:p>
            <w:pPr>
              <w:spacing w:after="0"/>
              <w:rPr>
                <w:sz w:val="24"/>
                <w:szCs w:val="24"/>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Follow on dose ranging study completed in January 2018</w:t>
            </w:r>
          </w:p>
        </w:tc>
      </w:tr>
      <w:tr>
        <w:trPr>
          <w:trHeight w:val="418"/>
        </w:trPr>
        <w:tc>
          <w:tcPr>
            <w:tcW w:w="6080" w:type="dxa"/>
            <w:vAlign w:val="bottom"/>
            <w:tcBorders>
              <w:left w:val="single" w:sz="8" w:color="auto"/>
              <w:right w:val="single" w:sz="8" w:color="auto"/>
            </w:tcBorders>
          </w:tcPr>
          <w:p>
            <w:pPr>
              <w:spacing w:after="0"/>
              <w:rPr>
                <w:sz w:val="24"/>
                <w:szCs w:val="24"/>
                <w:color w:val="auto"/>
              </w:rPr>
            </w:pPr>
          </w:p>
        </w:tc>
        <w:tc>
          <w:tcPr>
            <w:tcW w:w="53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Manufacturing scale-up initiated. Formulation and manufacturing</w:t>
            </w:r>
          </w:p>
        </w:tc>
      </w:tr>
      <w:tr>
        <w:trPr>
          <w:trHeight w:val="230"/>
        </w:trPr>
        <w:tc>
          <w:tcPr>
            <w:tcW w:w="6080" w:type="dxa"/>
            <w:vAlign w:val="bottom"/>
            <w:tcBorders>
              <w:left w:val="single" w:sz="8" w:color="auto"/>
              <w:bottom w:val="single" w:sz="8" w:color="auto"/>
              <w:right w:val="single" w:sz="8" w:color="auto"/>
            </w:tcBorders>
          </w:tcPr>
          <w:p>
            <w:pPr>
              <w:spacing w:after="0"/>
              <w:rPr>
                <w:sz w:val="20"/>
                <w:szCs w:val="20"/>
                <w:color w:val="auto"/>
              </w:rPr>
            </w:pP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process optimized for commercial scale.</w:t>
            </w:r>
          </w:p>
        </w:tc>
      </w:tr>
      <w:tr>
        <w:trPr>
          <w:trHeight w:val="318"/>
        </w:trPr>
        <w:tc>
          <w:tcPr>
            <w:tcW w:w="60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Immediate-release oxycodone HCl (LTX-01) &amp; (LTX-02)</w:t>
            </w: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Formulation development in process</w:t>
            </w:r>
          </w:p>
        </w:tc>
      </w:tr>
      <w:tr>
        <w:trPr>
          <w:trHeight w:val="318"/>
        </w:trPr>
        <w:tc>
          <w:tcPr>
            <w:tcW w:w="6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Immediate-release non-opioid drug (LTX-09)</w:t>
            </w:r>
          </w:p>
        </w:tc>
        <w:tc>
          <w:tcPr>
            <w:tcW w:w="5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Formulation development in process</w:t>
            </w:r>
          </w:p>
        </w:tc>
      </w:tr>
      <w:tr>
        <w:trPr>
          <w:trHeight w:val="303"/>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Immediate-release hydromorphone HCI (LTX-04)</w:t>
            </w:r>
          </w:p>
        </w:tc>
        <w:tc>
          <w:tcPr>
            <w:tcW w:w="534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Two Phase I exploratory pharmacokinetic studies completed. IND no</w:t>
            </w:r>
          </w:p>
        </w:tc>
      </w:tr>
      <w:tr>
        <w:trPr>
          <w:trHeight w:val="230"/>
        </w:trPr>
        <w:tc>
          <w:tcPr>
            <w:tcW w:w="60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3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longer active.</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topline results from Study 400 demonstrated that a single tablet dose delivered a Cmax of 45% and 50% lower than the reference drug for LTX-04S and LTX-04P, respectively. For an 8 tablet dose, the Cmax for LTX-04P was 59% lower than the reference drug. Doses between 1 and 8 tablets had similar reduction in Cmax compared to the reference. The extent of drug absorption, measure by area under the curve (AUC) was consistent between the Limitx products and the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401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401, completed in June 2017, also was a two cohort, open label, crossover design pharmacokinetic study in fasted, health adult subjects. Study 401 utilized a modified LTX-04 formulation containing micro-particles intended to improve drug delivery with one and two tablet dosing (LTX-04P3).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topline results from Study 401 demonstrated that Cmax for a one tablet LTX-04P3 dose was approximately 50% less than the active comparator. The Cmax for the 7 tablet LTX-04P3 dose was 65% below the comparator. Study 401 also included a 7 tablet dose of LTX-04P3 taken simultaneously with an agent known to increase gastric emptying time (i.e. increase retention time of the ingredients in the stomach) which demonstrated an increase in Tmax (time of Cmax) of over 1 hour compared to LTX-04P3 taken without this agent. Since the micro-particles used in Study 401 release drug much faster than the micro-particles used in Study 400, we have concluded that the buffer levels used in both studies were excessive and is retarding the release of drug even with a single dose. Also, given that manipulating the duration of stomach acidity with a gastric emptying agent produced a significant increase in Tmax which is indicative of a delayed release of drug from LTX-04P3, we concluded the Limitx micro-particles are working as designed in that when we neutralize the stomach acid we are slowing the release of drug and subsequent absorption of drug into the blood stream.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results from Study 400 and 401 indicate the micro-particle are working as designed but that we used too much buffer for even a single tablet and did not achieve full release of the drug at a 1 tablet dose.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Study 301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Non-clinical Study APT-RDR-300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Study APT-RDR-300 was a non-clinical study of respiratory depression in which five groups of 11 Sprague-Dawley rats were orally administered doses of hydrocodone ranging from 100mg of drug per kg of body weight (mg/kg) up to 300 mg/kg.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50%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advance LTX-03 to clinical development for a New Drug Application (NDA). Therefore, we submitted an Investigational New Drug Application, or IND with respect to LTX-03, to the FDA in the first quarter of 2018, which became effective in April 2018. We are currently conducting the scale-up of the commercial manufacturing process as to-be-marketed formulations are required for all NDA development work. Among other things, we believe we will have to demonstrate a scientific link between Cmax reductions and a reduction in the risk of respiratory depression.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Pharma Agreement covering LTX-03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28, 2019 we announced a License, Development and Commercialization Agreement (the "Agreement") with Abuse Deterrent Pharma, LLC (“AD Pharma”), a special purpose company representing a consortium of investors that will finance Acura’s operations and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retains commercialization rights from which Acura will receive royalties and potential sales related milestones.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grants AD Pharma exclusive commercialization rights in the United States to LTX-03. Financial arrangements include monthly license payments by AD Pharma of $350 thousand up to the earlier of 18 months or FDA’s acceptance of a New Drug Application (“NDA”) for LTX-03 and reimbursement by AP Pharma of Acura’s LTX-03 outside development expenses. Upon commercialization of LTX-03, Acura receives stepped royalties on sales and is eligible for certain sales related milestones.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 Pharma may terminate the Agreement at any time. Additionally, if the NDA for LTX-03 is not accepted by the FDA within 18 months, AD Pharma may terminate the Agreement and take ownership of the Limitx intellectual property.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In March 2017, we granted MainPointe an exclusive license to our IMPEDE ® Technology to commercialize our Nexafed® and Nexafed® Sinus Pressure + Pain Products in the United States and Canada.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Schutte is our largest shareholder and directly owns approximately 47.5% of our common stock (after giving effect to the exercise of warrants he holds).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Schutte also controls MainPointe and is an investor in AD Pharma.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Zyla pursuant to which we exclusively licensed to Zyla worldwide rights to manufacture and commercialize Oxaydo. Oxaydo is approved in 5mg and 7.5mg strengths. Zyla commenced shipping Oxaydo in the United States in October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market for immediate-release oxycodone products was approximately 30 million dispensed prescriptions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Zyla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Zyla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now known as Zyla Life Sciences or Zyla, entered into a Collaboration and License Agreement, or the Zyla Agreement, to commercialize Oxaydo tablets containing our Aversion® Technology. Oxaydo is approved by the FDA for marketing in the United States in 5 mg and 7.5 mg strengths. Under the terms of the Zyla Agreement, we transferred the approved NDA for Oxaydo to Zyla and Zyla is granted an exclusive license under our intellectual property rights for development and commercialization of Oxaydo worldwide, or the Territory, in all strengths, subject to our right to co-promote Oxaydo in the United States.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Zyla Agreement, we and Zyla have formed a joint steering committee to oversee commercialization strategies and the development of product line extensions. Zyla will pay a significant portion of the expenses relating to (i) annual NDA PDUFA program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Zyla is responsible for all manufacturing and commercialization activities in the Territory for Oxaydo. Subject to certain exceptions, Zyla will have final decision making authority with respect to all development and commercialization activities for Oxaydo, including pricing, subject to our co-promotion right. Zyla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Zyla paid us an upfront payment of $5.0 million upon signing of the Zyla Agreement and a $2.5 million milestone in October 2015 in connection with the launch of Oxaydo. In addition, we will be entitled to a one-time $12.5 million milestone payment when worldwide Oxaydo net sales reach $150.0 million in a calendar year. In addition, we will receive from Zyla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Zyla’s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Zyla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Zyla Agreement expires upon the expiration of Zyla’s royalty payment obligations in all countries. Either party may terminate the Zyla Agreement in its entirety if the other party breaches a payment obligation, or otherwise materially breaches the Zyla Agreement, subject to applicable cure periods, or in the event the other party makes an assignment for the benefit of creditors, files a petition in bankruptcy or otherwise seeks relief under applicable bankruptcy laws. We also may terminate the Zyla Agreement with respect to the U.S. and other countries if Zyla materially breaches its commercialization obligations. Zyla may terminate the Zyla Agreement for convenience on 120 days prior written notice, which termination may not occur prior to the second anniversary of Zyla’s launch of Oxaydo. Termination does not affect a party’s rights accrued prior thereto, but there are no stated payments in connection with termination other than payments of obligations previously accrued. For all terminations (but not expiration), the Zyla Agreement provides for the transition of development and marketing of Oxaydo from Zyla to us, including the conveyance by Zyla to us of the trademarks and all regulatory filings and approvals relating to Oxaydo, and for Zyla’s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developed a next generation, or Impede 2.0 Technology to improve the meth-resistance of our technology. We have previously completed one-pot, direct conversion meth testing performed by our CRO on the following commercially available products and on our Nexafed Impede 2.0 extended-release product, with the following results:</w:t>
      </w:r>
    </w:p>
    <w:p>
      <w:pPr>
        <w:spacing w:after="0" w:line="176" w:lineRule="exact"/>
        <w:rPr>
          <w:sz w:val="20"/>
          <w:szCs w:val="20"/>
          <w:color w:val="auto"/>
        </w:rPr>
      </w:pPr>
    </w:p>
    <w:tbl>
      <w:tblPr>
        <w:tblLayout w:type="fixed"/>
        <w:tblInd w:w="350" w:type="dxa"/>
        <w:tblCellMar>
          <w:top w:w="0" w:type="dxa"/>
          <w:left w:w="0" w:type="dxa"/>
          <w:bottom w:w="0" w:type="dxa"/>
          <w:right w:w="0" w:type="dxa"/>
        </w:tblCellMar>
      </w:tblPr>
      <w:tr>
        <w:trPr>
          <w:trHeight w:val="215"/>
        </w:trPr>
        <w:tc>
          <w:tcPr>
            <w:tcW w:w="5160" w:type="dxa"/>
            <w:vAlign w:val="bottom"/>
            <w:tcBorders>
              <w:top w:val="single" w:sz="8" w:color="auto"/>
              <w:left w:val="single" w:sz="8" w:color="auto"/>
              <w:right w:val="single" w:sz="8" w:color="auto"/>
            </w:tcBorders>
          </w:tcPr>
          <w:p>
            <w:pPr>
              <w:spacing w:after="0"/>
              <w:rPr>
                <w:sz w:val="18"/>
                <w:szCs w:val="18"/>
                <w:color w:val="auto"/>
              </w:rPr>
            </w:pP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Meth Resistant</w:t>
            </w:r>
          </w:p>
        </w:tc>
        <w:tc>
          <w:tcPr>
            <w:tcW w:w="2020" w:type="dxa"/>
            <w:vAlign w:val="bottom"/>
            <w:tcBorders>
              <w:top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r>
      <w:tr>
        <w:trPr>
          <w:trHeight w:val="271"/>
        </w:trPr>
        <w:tc>
          <w:tcPr>
            <w:tcW w:w="5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Product/Formulation</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Technology</w:t>
            </w:r>
          </w:p>
        </w:tc>
        <w:tc>
          <w:tcPr>
            <w:tcW w:w="202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color w:val="auto"/>
                <w:w w:val="90"/>
              </w:rPr>
              <w:t>Meth Recovery</w:t>
            </w:r>
            <w:r>
              <w:rPr>
                <w:rFonts w:ascii="Arial" w:cs="Arial" w:eastAsia="Arial" w:hAnsi="Arial"/>
                <w:sz w:val="30"/>
                <w:szCs w:val="30"/>
                <w:color w:val="auto"/>
                <w:w w:val="90"/>
                <w:vertAlign w:val="superscript"/>
              </w:rPr>
              <w:t>1</w:t>
            </w:r>
          </w:p>
        </w:tc>
        <w:tc>
          <w:tcPr>
            <w:tcW w:w="150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color w:val="auto"/>
                <w:w w:val="90"/>
              </w:rPr>
              <w:t>Purity</w:t>
            </w:r>
            <w:r>
              <w:rPr>
                <w:rFonts w:ascii="Arial" w:cs="Arial" w:eastAsia="Arial" w:hAnsi="Arial"/>
                <w:sz w:val="30"/>
                <w:szCs w:val="30"/>
                <w:color w:val="auto"/>
                <w:w w:val="90"/>
                <w:vertAlign w:val="superscript"/>
              </w:rPr>
              <w:t>2</w:t>
            </w:r>
          </w:p>
        </w:tc>
      </w:tr>
      <w:tr>
        <w:trPr>
          <w:trHeight w:val="210"/>
        </w:trPr>
        <w:tc>
          <w:tcPr>
            <w:tcW w:w="51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Sudafed® 30mg Tablets</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none</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67%</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62%</w:t>
            </w:r>
          </w:p>
        </w:tc>
      </w:tr>
      <w:tr>
        <w:trPr>
          <w:trHeight w:val="210"/>
        </w:trPr>
        <w:tc>
          <w:tcPr>
            <w:tcW w:w="5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Nexafed 30mg Technology</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Impede® 1.0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w:t>
            </w:r>
          </w:p>
        </w:tc>
      </w:tr>
      <w:tr>
        <w:trPr>
          <w:trHeight w:val="210"/>
        </w:trPr>
        <w:tc>
          <w:tcPr>
            <w:tcW w:w="51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Zephrex-D® 30mg Pills</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Tarex®</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28%</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r>
        <w:trPr>
          <w:trHeight w:val="210"/>
        </w:trPr>
        <w:tc>
          <w:tcPr>
            <w:tcW w:w="51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Nexafed 120mg Extended-release tablets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Impede® 2.0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34%</w:t>
            </w:r>
          </w:p>
        </w:tc>
      </w:tr>
    </w:tbl>
    <w:p>
      <w:pPr>
        <w:ind w:left="760" w:hanging="104"/>
        <w:spacing w:after="0" w:line="191" w:lineRule="auto"/>
        <w:tabs>
          <w:tab w:leader="none" w:pos="76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previously demonstrated in a pilot clinical study the bioequivalence of a formulation of our Nexafed extended release tablets utilizing our Impede 2.0 Technology to Sudafed® 12-hour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 and the MainPointe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 and controls the marketing and sale of our Nexafed products.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(following termination of the Bayer Agreement). ).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have developed additional products for our Nexafed franchise:</w:t>
      </w:r>
    </w:p>
    <w:p>
      <w:pPr>
        <w:spacing w:after="0" w:line="165" w:lineRule="exact"/>
        <w:rPr>
          <w:sz w:val="20"/>
          <w:szCs w:val="20"/>
          <w:color w:val="auto"/>
        </w:rPr>
      </w:pPr>
    </w:p>
    <w:tbl>
      <w:tblPr>
        <w:tblLayout w:type="fixed"/>
        <w:tblInd w:w="350" w:type="dxa"/>
        <w:tblCellMar>
          <w:top w:w="0" w:type="dxa"/>
          <w:left w:w="0" w:type="dxa"/>
          <w:bottom w:w="0" w:type="dxa"/>
          <w:right w:w="0" w:type="dxa"/>
        </w:tblCellMar>
      </w:tblPr>
      <w:tr>
        <w:trPr>
          <w:trHeight w:val="230"/>
        </w:trPr>
        <w:tc>
          <w:tcPr>
            <w:tcW w:w="5920" w:type="dxa"/>
            <w:vAlign w:val="bottom"/>
            <w:tcBorders>
              <w:top w:val="single" w:sz="8" w:color="auto"/>
              <w:left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b w:val="1"/>
                <w:bCs w:val="1"/>
                <w:color w:val="auto"/>
              </w:rPr>
              <w:t>Impede Technology Products</w:t>
            </w:r>
          </w:p>
        </w:tc>
        <w:tc>
          <w:tcPr>
            <w:tcW w:w="480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95"/>
        </w:trPr>
        <w:tc>
          <w:tcPr>
            <w:tcW w:w="5920" w:type="dxa"/>
            <w:vAlign w:val="bottom"/>
            <w:tcBorders>
              <w:left w:val="single" w:sz="8" w:color="auto"/>
              <w:right w:val="single" w:sz="8" w:color="auto"/>
            </w:tcBorders>
            <w:shd w:val="clear" w:color="auto" w:fill="CCEEFF"/>
          </w:tcPr>
          <w:p>
            <w:pPr>
              <w:spacing w:after="0"/>
              <w:rPr>
                <w:sz w:val="16"/>
                <w:szCs w:val="16"/>
                <w:color w:val="auto"/>
              </w:rPr>
            </w:pPr>
          </w:p>
        </w:tc>
        <w:tc>
          <w:tcPr>
            <w:tcW w:w="4800" w:type="dxa"/>
            <w:vAlign w:val="bottom"/>
            <w:tcBorders>
              <w:right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w w:val="93"/>
              </w:rPr>
              <w:t>Pilot pharmacokinetic testing demonstrated bioequivalence to</w:t>
            </w:r>
          </w:p>
        </w:tc>
        <w:tc>
          <w:tcPr>
            <w:tcW w:w="0" w:type="dxa"/>
            <w:vAlign w:val="bottom"/>
          </w:tcPr>
          <w:p>
            <w:pPr>
              <w:spacing w:after="0"/>
              <w:rPr>
                <w:sz w:val="1"/>
                <w:szCs w:val="1"/>
                <w:color w:val="auto"/>
              </w:rPr>
            </w:pPr>
          </w:p>
        </w:tc>
      </w:tr>
      <w:tr>
        <w:trPr>
          <w:trHeight w:val="216"/>
        </w:trPr>
        <w:tc>
          <w:tcPr>
            <w:tcW w:w="5920" w:type="dxa"/>
            <w:vAlign w:val="bottom"/>
            <w:tcBorders>
              <w:left w:val="single" w:sz="8" w:color="auto"/>
              <w:right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Extended-release formulation utilizing Impede 2.0 Technology</w:t>
            </w:r>
          </w:p>
        </w:tc>
        <w:tc>
          <w:tcPr>
            <w:tcW w:w="48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Sudafed® 12-hour Tablets. Pre-IND meeting held with the</w:t>
            </w:r>
          </w:p>
        </w:tc>
        <w:tc>
          <w:tcPr>
            <w:tcW w:w="0" w:type="dxa"/>
            <w:vAlign w:val="bottom"/>
          </w:tcPr>
          <w:p>
            <w:pPr>
              <w:spacing w:after="0"/>
              <w:rPr>
                <w:sz w:val="1"/>
                <w:szCs w:val="1"/>
                <w:color w:val="auto"/>
              </w:rPr>
            </w:pPr>
          </w:p>
        </w:tc>
      </w:tr>
      <w:tr>
        <w:trPr>
          <w:trHeight w:val="122"/>
        </w:trPr>
        <w:tc>
          <w:tcPr>
            <w:tcW w:w="592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480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FDA</w:t>
            </w:r>
          </w:p>
        </w:tc>
        <w:tc>
          <w:tcPr>
            <w:tcW w:w="0" w:type="dxa"/>
            <w:vAlign w:val="bottom"/>
          </w:tcPr>
          <w:p>
            <w:pPr>
              <w:spacing w:after="0"/>
              <w:rPr>
                <w:sz w:val="1"/>
                <w:szCs w:val="1"/>
                <w:color w:val="auto"/>
              </w:rPr>
            </w:pPr>
          </w:p>
        </w:tc>
      </w:tr>
      <w:tr>
        <w:trPr>
          <w:trHeight w:val="94"/>
        </w:trPr>
        <w:tc>
          <w:tcPr>
            <w:tcW w:w="5920" w:type="dxa"/>
            <w:vAlign w:val="bottom"/>
            <w:tcBorders>
              <w:left w:val="single" w:sz="8" w:color="auto"/>
              <w:right w:val="single" w:sz="8" w:color="auto"/>
            </w:tcBorders>
            <w:shd w:val="clear" w:color="auto" w:fill="CCEEFF"/>
          </w:tcPr>
          <w:p>
            <w:pPr>
              <w:spacing w:after="0"/>
              <w:rPr>
                <w:sz w:val="8"/>
                <w:szCs w:val="8"/>
                <w:color w:val="auto"/>
              </w:rPr>
            </w:pPr>
          </w:p>
        </w:tc>
        <w:tc>
          <w:tcPr>
            <w:tcW w:w="48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48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Extended-release combination products</w:t>
            </w:r>
          </w:p>
        </w:tc>
        <w:tc>
          <w:tcPr>
            <w:tcW w:w="48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r>
        <w:trPr>
          <w:trHeight w:val="210"/>
        </w:trPr>
        <w:tc>
          <w:tcPr>
            <w:tcW w:w="592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Loratadine with pseudoephedrine</w:t>
            </w:r>
          </w:p>
        </w:tc>
        <w:tc>
          <w:tcPr>
            <w:tcW w:w="48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 imminent development planned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3" w:lineRule="exact"/>
        <w:rPr>
          <w:sz w:val="20"/>
          <w:szCs w:val="20"/>
          <w:color w:val="auto"/>
        </w:rPr>
      </w:pPr>
    </w:p>
    <w:tbl>
      <w:tblPr>
        <w:tblLayout w:type="fixed"/>
        <w:tblInd w:w="810" w:type="dxa"/>
        <w:tblCellMar>
          <w:top w:w="0" w:type="dxa"/>
          <w:left w:w="0" w:type="dxa"/>
          <w:bottom w:w="0" w:type="dxa"/>
          <w:right w:w="0" w:type="dxa"/>
        </w:tblCellMar>
      </w:tblPr>
      <w:tr>
        <w:trPr>
          <w:trHeight w:val="215"/>
        </w:trPr>
        <w:tc>
          <w:tcPr>
            <w:tcW w:w="2200" w:type="dxa"/>
            <w:vAlign w:val="bottom"/>
            <w:tcBorders>
              <w:top w:val="single" w:sz="8" w:color="auto"/>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2100" w:type="dxa"/>
            <w:vAlign w:val="bottom"/>
            <w:tcBorders>
              <w:top w:val="single" w:sz="8" w:color="auto"/>
              <w:right w:val="single" w:sz="8" w:color="auto"/>
            </w:tcBorders>
          </w:tcPr>
          <w:p>
            <w:pPr>
              <w:spacing w:after="0"/>
              <w:rPr>
                <w:sz w:val="18"/>
                <w:szCs w:val="18"/>
                <w:color w:val="auto"/>
              </w:rPr>
            </w:pPr>
          </w:p>
        </w:tc>
        <w:tc>
          <w:tcPr>
            <w:tcW w:w="31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Active</w:t>
            </w:r>
          </w:p>
        </w:tc>
        <w:tc>
          <w:tcPr>
            <w:tcW w:w="246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2014 Retail Sales</w:t>
            </w: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Brand Company</w:t>
            </w:r>
          </w:p>
        </w:tc>
        <w:tc>
          <w:tcPr>
            <w:tcW w:w="31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Ingredient(s)</w:t>
            </w:r>
          </w:p>
        </w:tc>
        <w:tc>
          <w:tcPr>
            <w:tcW w:w="246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 Millions)</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Claritin-D</w:t>
            </w:r>
          </w:p>
        </w:tc>
        <w:tc>
          <w:tcPr>
            <w:tcW w:w="21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Bayer</w:t>
            </w:r>
          </w:p>
        </w:tc>
        <w:tc>
          <w:tcPr>
            <w:tcW w:w="3160" w:type="dxa"/>
            <w:vAlign w:val="bottom"/>
            <w:tcBorders>
              <w:bottom w:val="single" w:sz="8" w:color="auto"/>
              <w:right w:val="single" w:sz="8" w:color="auto"/>
            </w:tcBorders>
            <w:shd w:val="clear" w:color="auto" w:fill="CCEEFF"/>
          </w:tcPr>
          <w:p>
            <w:pPr>
              <w:ind w:left="80"/>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2460" w:type="dxa"/>
            <w:vAlign w:val="bottom"/>
            <w:tcBorders>
              <w:bottom w:val="single" w:sz="8" w:color="auto"/>
              <w:right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Allegra-D</w:t>
            </w: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Chattem</w:t>
            </w:r>
          </w:p>
        </w:tc>
        <w:tc>
          <w:tcPr>
            <w:tcW w:w="31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PSE &amp; Fexofenadine</w:t>
            </w:r>
            <w:r>
              <w:rPr>
                <w:rFonts w:ascii="Arial" w:cs="Arial" w:eastAsia="Arial" w:hAnsi="Arial"/>
                <w:sz w:val="28"/>
                <w:szCs w:val="28"/>
                <w:color w:val="auto"/>
                <w:vertAlign w:val="superscript"/>
              </w:rPr>
              <w:t>2</w:t>
            </w:r>
          </w:p>
        </w:tc>
        <w:tc>
          <w:tcPr>
            <w:tcW w:w="24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Zyrtec-D</w:t>
            </w:r>
          </w:p>
        </w:tc>
        <w:tc>
          <w:tcPr>
            <w:tcW w:w="21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Pfizer</w:t>
            </w:r>
          </w:p>
        </w:tc>
        <w:tc>
          <w:tcPr>
            <w:tcW w:w="3160" w:type="dxa"/>
            <w:vAlign w:val="bottom"/>
            <w:tcBorders>
              <w:bottom w:val="single" w:sz="8" w:color="auto"/>
              <w:right w:val="single" w:sz="8" w:color="auto"/>
            </w:tcBorders>
            <w:shd w:val="clear" w:color="auto" w:fill="CCEEFF"/>
          </w:tcPr>
          <w:p>
            <w:pPr>
              <w:ind w:left="80"/>
              <w:spacing w:after="0" w:line="250" w:lineRule="exact"/>
              <w:rPr>
                <w:sz w:val="20"/>
                <w:szCs w:val="20"/>
                <w:color w:val="auto"/>
              </w:rPr>
            </w:pPr>
            <w:r>
              <w:rPr>
                <w:rFonts w:ascii="Arial" w:cs="Arial" w:eastAsia="Arial" w:hAnsi="Arial"/>
                <w:sz w:val="17"/>
                <w:szCs w:val="17"/>
                <w:color w:val="auto"/>
              </w:rPr>
              <w:t>PSE &amp; Ceterizine</w:t>
            </w:r>
            <w:r>
              <w:rPr>
                <w:rFonts w:ascii="Arial" w:cs="Arial" w:eastAsia="Arial" w:hAnsi="Arial"/>
                <w:sz w:val="28"/>
                <w:szCs w:val="28"/>
                <w:color w:val="auto"/>
                <w:vertAlign w:val="superscript"/>
              </w:rPr>
              <w:t>2</w:t>
            </w:r>
          </w:p>
        </w:tc>
        <w:tc>
          <w:tcPr>
            <w:tcW w:w="2460" w:type="dxa"/>
            <w:vAlign w:val="bottom"/>
            <w:tcBorders>
              <w:bottom w:val="single" w:sz="8" w:color="auto"/>
              <w:right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Advil Sinus</w:t>
            </w: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Pfizer</w:t>
            </w:r>
          </w:p>
        </w:tc>
        <w:tc>
          <w:tcPr>
            <w:tcW w:w="3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PSE &amp; Ibuprofen</w:t>
            </w:r>
          </w:p>
        </w:tc>
        <w:tc>
          <w:tcPr>
            <w:tcW w:w="24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Sudafed 12 Hour</w:t>
            </w:r>
          </w:p>
        </w:tc>
        <w:tc>
          <w:tcPr>
            <w:tcW w:w="21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J&amp;J</w:t>
            </w:r>
          </w:p>
        </w:tc>
        <w:tc>
          <w:tcPr>
            <w:tcW w:w="3160" w:type="dxa"/>
            <w:vAlign w:val="bottom"/>
            <w:tcBorders>
              <w:bottom w:val="single" w:sz="8" w:color="auto"/>
              <w:right w:val="single" w:sz="8" w:color="auto"/>
            </w:tcBorders>
            <w:shd w:val="clear" w:color="auto" w:fill="CCEEFF"/>
          </w:tcPr>
          <w:p>
            <w:pPr>
              <w:ind w:left="80"/>
              <w:spacing w:after="0" w:line="250" w:lineRule="exact"/>
              <w:rPr>
                <w:sz w:val="20"/>
                <w:szCs w:val="20"/>
                <w:color w:val="auto"/>
              </w:rPr>
            </w:pPr>
            <w:r>
              <w:rPr>
                <w:rFonts w:ascii="Arial" w:cs="Arial" w:eastAsia="Arial" w:hAnsi="Arial"/>
                <w:sz w:val="17"/>
                <w:szCs w:val="17"/>
                <w:color w:val="auto"/>
              </w:rPr>
              <w:t>PSE</w:t>
            </w:r>
            <w:r>
              <w:rPr>
                <w:rFonts w:ascii="Arial" w:cs="Arial" w:eastAsia="Arial" w:hAnsi="Arial"/>
                <w:sz w:val="28"/>
                <w:szCs w:val="28"/>
                <w:color w:val="auto"/>
                <w:vertAlign w:val="superscript"/>
              </w:rPr>
              <w:t>2</w:t>
            </w:r>
          </w:p>
        </w:tc>
        <w:tc>
          <w:tcPr>
            <w:tcW w:w="2460" w:type="dxa"/>
            <w:vAlign w:val="bottom"/>
            <w:tcBorders>
              <w:bottom w:val="single" w:sz="8" w:color="auto"/>
              <w:right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Sudafed 30mg</w:t>
            </w: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J&amp;J</w:t>
            </w:r>
          </w:p>
        </w:tc>
        <w:tc>
          <w:tcPr>
            <w:tcW w:w="3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PSE</w:t>
            </w:r>
          </w:p>
        </w:tc>
        <w:tc>
          <w:tcPr>
            <w:tcW w:w="24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ind w:left="780" w:hanging="124"/>
        <w:spacing w:after="0" w:line="184" w:lineRule="auto"/>
        <w:tabs>
          <w:tab w:leader="none" w:pos="7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MainPointe controls the price of Nexafed and Nexafed Sinus under the terms of the MainPointe Agreement.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will be marketed pursuant to an NDA or ANDA and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misuse and abuse of opioid analgesics continues to constitute a dynamic and challenging threat to the United States and is the nation’s fastest growing drug problem. During 2017, the US Government declared opioid abuse as an epidemic and national health emergency. According to the 2017 Centers on Disease Control Drug Surveillance Report, 11.8 million Americans aged 12 and over abused or misused prescription opioids in 2016. Further, this Report calculates that, on average, 115 Americans die every day from an opioid overdose. The majority of drug overdose deaths (66%) involve an opioid. Immediate release, or IR, opioid products comprise the vast majority of this abuse compared with extended release, or ER, opioid products</w:t>
      </w:r>
      <w:r>
        <w:rPr>
          <w:rFonts w:ascii="Arial" w:cs="Arial" w:eastAsia="Arial" w:hAnsi="Arial"/>
          <w:sz w:val="16"/>
          <w:szCs w:val="16"/>
          <w:b w:val="1"/>
          <w:bCs w:val="1"/>
          <w:color w:val="auto"/>
        </w:rPr>
        <w: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61 million people receive a prescription for the opioid hydrocodone annually. For many pain sufferers, opioid analgesics provide their only pain relief. As a result, opioid analgesics are among the largest prescription drug classes in the United States with over 214 million tablet and capsule prescriptions dispensed in 2016 of which approximately 194 million were for IR opioid products and 204 million were for ER opioid products. However, physicians and other health care providers at times are reluctant to prescribe opioid analgesics for fear of misuse, abuse, and diversion of legitimate prescriptions for illicit use.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7" w:lineRule="exact"/>
        <w:rPr>
          <w:sz w:val="20"/>
          <w:szCs w:val="20"/>
          <w:color w:val="auto"/>
        </w:rPr>
      </w:pPr>
    </w:p>
    <w:tbl>
      <w:tblPr>
        <w:tblLayout w:type="fixed"/>
        <w:tblInd w:w="2150" w:type="dxa"/>
        <w:tblCellMar>
          <w:top w:w="0" w:type="dxa"/>
          <w:left w:w="0" w:type="dxa"/>
          <w:bottom w:w="0" w:type="dxa"/>
          <w:right w:w="0" w:type="dxa"/>
        </w:tblCellMar>
      </w:tblPr>
      <w:tr>
        <w:trPr>
          <w:trHeight w:val="215"/>
        </w:trPr>
        <w:tc>
          <w:tcPr>
            <w:tcW w:w="2740" w:type="dxa"/>
            <w:vAlign w:val="bottom"/>
            <w:tcBorders>
              <w:top w:val="single" w:sz="8" w:color="auto"/>
              <w:left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2016 US</w:t>
            </w:r>
          </w:p>
        </w:tc>
        <w:tc>
          <w:tcPr>
            <w:tcW w:w="1400" w:type="dxa"/>
            <w:vAlign w:val="bottom"/>
            <w:tcBorders>
              <w:top w:val="single" w:sz="8" w:color="auto"/>
              <w:right w:val="single" w:sz="8" w:color="auto"/>
            </w:tcBorders>
          </w:tcPr>
          <w:p>
            <w:pPr>
              <w:spacing w:after="0"/>
              <w:rPr>
                <w:sz w:val="18"/>
                <w:szCs w:val="18"/>
                <w:color w:val="auto"/>
              </w:rPr>
            </w:pP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Prescriptions</w:t>
            </w:r>
          </w:p>
        </w:tc>
        <w:tc>
          <w:tcPr>
            <w:tcW w:w="140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r>
      <w:tr>
        <w:trPr>
          <w:trHeight w:val="267"/>
        </w:trPr>
        <w:tc>
          <w:tcPr>
            <w:tcW w:w="2740" w:type="dxa"/>
            <w:vAlign w:val="bottom"/>
            <w:tcBorders>
              <w:left w:val="single" w:sz="8" w:color="auto"/>
              <w:bottom w:val="single" w:sz="8" w:color="auto"/>
              <w:right w:val="single" w:sz="8" w:color="auto"/>
            </w:tcBorders>
          </w:tcPr>
          <w:p>
            <w:pPr>
              <w:ind w:left="120"/>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2020" w:type="dxa"/>
            <w:vAlign w:val="bottom"/>
            <w:tcBorders>
              <w:bottom w:val="single" w:sz="8" w:color="auto"/>
              <w:right w:val="single" w:sz="8" w:color="auto"/>
            </w:tcBorders>
          </w:tcPr>
          <w:p>
            <w:pPr>
              <w:jc w:val="center"/>
              <w:spacing w:after="0" w:line="266" w:lineRule="exact"/>
              <w:rPr>
                <w:sz w:val="20"/>
                <w:szCs w:val="20"/>
                <w:color w:val="auto"/>
              </w:rPr>
            </w:pPr>
            <w:r>
              <w:rPr>
                <w:rFonts w:ascii="Arial" w:cs="Arial" w:eastAsia="Arial" w:hAnsi="Arial"/>
                <w:sz w:val="18"/>
                <w:szCs w:val="18"/>
                <w:color w:val="auto"/>
                <w:w w:val="95"/>
              </w:rPr>
              <w:t>(Millions)</w:t>
            </w:r>
            <w:r>
              <w:rPr>
                <w:rFonts w:ascii="Arial" w:cs="Arial" w:eastAsia="Arial" w:hAnsi="Arial"/>
                <w:sz w:val="30"/>
                <w:szCs w:val="30"/>
                <w:color w:val="auto"/>
                <w:w w:val="95"/>
                <w:vertAlign w:val="superscript"/>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of Total</w:t>
            </w:r>
          </w:p>
        </w:tc>
      </w:tr>
      <w:tr>
        <w:trPr>
          <w:trHeight w:val="210"/>
        </w:trPr>
        <w:tc>
          <w:tcPr>
            <w:tcW w:w="2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Hydrocodone</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43%</w:t>
            </w:r>
          </w:p>
        </w:tc>
      </w:tr>
      <w:tr>
        <w:trPr>
          <w:trHeight w:val="210"/>
        </w:trPr>
        <w:tc>
          <w:tcPr>
            <w:tcW w:w="27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Oxycodone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w:t>
            </w:r>
          </w:p>
        </w:tc>
      </w:tr>
      <w:tr>
        <w:trPr>
          <w:trHeight w:val="210"/>
        </w:trPr>
        <w:tc>
          <w:tcPr>
            <w:tcW w:w="2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Tramadol</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r>
        <w:trPr>
          <w:trHeight w:val="210"/>
        </w:trPr>
        <w:tc>
          <w:tcPr>
            <w:tcW w:w="27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Codeine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r>
      <w:tr>
        <w:trPr>
          <w:trHeight w:val="210"/>
        </w:trPr>
        <w:tc>
          <w:tcPr>
            <w:tcW w:w="274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4 Others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10"/>
        </w:trPr>
        <w:tc>
          <w:tcPr>
            <w:tcW w:w="274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208</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bl>
    <w:p>
      <w:pPr>
        <w:spacing w:after="0" w:line="26" w:lineRule="exact"/>
        <w:rPr>
          <w:sz w:val="20"/>
          <w:szCs w:val="20"/>
          <w:color w:val="auto"/>
        </w:rPr>
      </w:pPr>
    </w:p>
    <w:p>
      <w:pPr>
        <w:ind w:left="2280" w:right="4260" w:hanging="165"/>
        <w:spacing w:after="0" w:line="221" w:lineRule="auto"/>
        <w:tabs>
          <w:tab w:leader="none" w:pos="223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220" w:hanging="105"/>
        <w:spacing w:after="0" w:line="192" w:lineRule="auto"/>
        <w:tabs>
          <w:tab w:leader="none" w:pos="222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IMS Health, 2016</w:t>
      </w:r>
    </w:p>
    <w:p>
      <w:pPr>
        <w:spacing w:after="0" w:line="20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Opioid Products Using Our Technologies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2015 FDA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safety features of our technologies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Zyla has committed to the FDA to undertake epidemiological studies to assess the actual consequences of abuse of Oxaydo in the market. Under the terms of the Zyla Agreement, we share a minority portion of the fees and expenses relating to such FDA required epidemiological studies, provided Zyla complies with the sections of the agreement relating thereto.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our Limitx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60" w:type="dxa"/>
            <w:vAlign w:val="bottom"/>
            <w:tcBorders>
              <w:top w:val="single" w:sz="8" w:color="auto"/>
              <w:lef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gridSpan w:val="2"/>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9,101,636</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2015</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9,320,796</w:t>
            </w:r>
          </w:p>
        </w:tc>
        <w:tc>
          <w:tcPr>
            <w:tcW w:w="1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9,662,393</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May 2017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10,441,657 (US)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 2019</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 or more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2,892,908</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(CAN)</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excessive doses are consumed</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5,922,851</w:t>
            </w:r>
          </w:p>
        </w:tc>
        <w:tc>
          <w:tcPr>
            <w:tcW w:w="1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(JAPAN)</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Abuse deterrent products wherein the release of active ingredient is retarded when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excessive doses are consumed</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54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7,201,920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Pharmaceutical  compositions  including  a  mixture  of  functional  inactive</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ingredients and specific opioid analgesics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7,510,726 (US)</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A wider range of compositions than those described in the 7,201,920 Patent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 2009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7,981,439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8"/>
              </w:rPr>
              <w:t>Pharmaceutical compositions including any water soluble drug susceptible to</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July 2011</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Aug. 2024</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8,409,616 (US)</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Pharmaceutical compositions of immediate-release abuse deterrent dosage forms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2013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2023</w:t>
            </w: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8,637,540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9,492,443 (US)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Pharmaceutical  compositions  of  immediate-release  abuse  deterrent  opioid</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Nov.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products</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relating to our Aversion Technology: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60" w:type="dxa"/>
            <w:vAlign w:val="bottom"/>
            <w:tcBorders>
              <w:top w:val="single" w:sz="8" w:color="auto"/>
              <w:lef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gridSpan w:val="2"/>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860" w:type="dxa"/>
            <w:vAlign w:val="bottom"/>
            <w:tcBorders>
              <w:lef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9"/>
              </w:rPr>
              <w:t>7,476,402</w:t>
            </w:r>
          </w:p>
        </w:tc>
        <w:tc>
          <w:tcPr>
            <w:tcW w:w="1680" w:type="dxa"/>
            <w:vAlign w:val="bottom"/>
            <w:tcBorders>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Pharmaceutical compositions of certain combinations of kappa and mu opioid</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16"/>
        </w:trPr>
        <w:tc>
          <w:tcPr>
            <w:tcW w:w="860" w:type="dxa"/>
            <w:vAlign w:val="bottom"/>
            <w:tcBorders>
              <w:left w:val="single" w:sz="8" w:color="auto"/>
            </w:tcBorders>
            <w:shd w:val="clear" w:color="auto" w:fill="CCEEFF"/>
          </w:tcPr>
          <w:p>
            <w:pPr>
              <w:spacing w:after="0"/>
              <w:rPr>
                <w:sz w:val="18"/>
                <w:szCs w:val="18"/>
                <w:color w:val="auto"/>
              </w:rPr>
            </w:pPr>
          </w:p>
        </w:tc>
        <w:tc>
          <w:tcPr>
            <w:tcW w:w="1680" w:type="dxa"/>
            <w:vAlign w:val="bottom"/>
            <w:tcBorders>
              <w:right w:val="single" w:sz="8" w:color="auto"/>
            </w:tcBorders>
            <w:shd w:val="clear" w:color="auto" w:fill="CCEEFF"/>
          </w:tcPr>
          <w:p>
            <w:pPr>
              <w:spacing w:after="0"/>
              <w:rPr>
                <w:sz w:val="18"/>
                <w:szCs w:val="18"/>
                <w:color w:val="auto"/>
              </w:rPr>
            </w:pPr>
          </w:p>
        </w:tc>
        <w:tc>
          <w:tcPr>
            <w:tcW w:w="61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2"/>
              </w:rPr>
              <w:t>receptor agonists and other ingredients intended to deter opioid analgesic product</w:t>
            </w:r>
          </w:p>
        </w:tc>
        <w:tc>
          <w:tcPr>
            <w:tcW w:w="126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r>
      <w:tr>
        <w:trPr>
          <w:trHeight w:val="230"/>
        </w:trPr>
        <w:tc>
          <w:tcPr>
            <w:tcW w:w="860" w:type="dxa"/>
            <w:vAlign w:val="bottom"/>
            <w:tcBorders>
              <w:left w:val="single" w:sz="8" w:color="auto"/>
              <w:bottom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misuse and abuse</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86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89"/>
              </w:rPr>
              <w:t>8,822,489</w:t>
            </w:r>
          </w:p>
        </w:tc>
        <w:tc>
          <w:tcPr>
            <w:tcW w:w="1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Pharmaceutical compositions of certain abuse deterrent products that contain</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July 2014</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polymers, surfactant and polysorb 80</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2,004,294,953 (AUS)</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2,010,200,979 (AUS)</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8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2,547,334</w:t>
            </w:r>
          </w:p>
        </w:tc>
        <w:tc>
          <w:tcPr>
            <w:tcW w:w="16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Aug. 2010</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8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9"/>
              </w:rPr>
              <w:t>2,647,360</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May 2012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2027</w:t>
            </w: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175,863 (ISR)</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221,018 (ISR)</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 2024</w:t>
            </w:r>
          </w:p>
        </w:tc>
      </w:tr>
      <w:tr>
        <w:trPr>
          <w:trHeight w:val="210"/>
        </w:trPr>
        <w:tc>
          <w:tcPr>
            <w:tcW w:w="2540" w:type="dxa"/>
            <w:vAlign w:val="bottom"/>
            <w:tcBorders>
              <w:left w:val="single" w:sz="8" w:color="auto"/>
              <w:bottom w:val="single" w:sz="8" w:color="auto"/>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1694260 (EUR)</w:t>
            </w: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Abuse deterrent pharmaceuticals</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 2004</w:t>
            </w:r>
          </w:p>
        </w:tc>
        <w:tc>
          <w:tcPr>
            <w:tcW w:w="1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642"/>
        </w:trPr>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3100"/>
              <w:spacing w:after="0"/>
              <w:rPr>
                <w:sz w:val="20"/>
                <w:szCs w:val="20"/>
                <w:color w:val="auto"/>
              </w:rPr>
            </w:pPr>
            <w:r>
              <w:rPr>
                <w:rFonts w:ascii="Arial" w:cs="Arial" w:eastAsia="Arial" w:hAnsi="Arial"/>
                <w:sz w:val="18"/>
                <w:szCs w:val="18"/>
                <w:color w:val="auto"/>
              </w:rPr>
              <w:t>36</w:t>
            </w:r>
          </w:p>
        </w:tc>
        <w:tc>
          <w:tcPr>
            <w:tcW w:w="1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We have the following issued patents covering, among other things, our Nexafed product line and Impede 1.0 and 2.0 technologies: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54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Patent No.</w:t>
            </w:r>
          </w:p>
        </w:tc>
        <w:tc>
          <w:tcPr>
            <w:tcW w:w="6160" w:type="dxa"/>
            <w:vAlign w:val="bottom"/>
            <w:tcBorders>
              <w:top w:val="single" w:sz="8" w:color="auto"/>
              <w:right w:val="single" w:sz="8" w:color="auto"/>
            </w:tcBorders>
          </w:tcPr>
          <w:p>
            <w:pPr>
              <w:ind w:left="2540"/>
              <w:spacing w:after="0"/>
              <w:rPr>
                <w:sz w:val="20"/>
                <w:szCs w:val="20"/>
                <w:color w:val="auto"/>
              </w:rPr>
            </w:pPr>
            <w:r>
              <w:rPr>
                <w:rFonts w:ascii="Arial" w:cs="Arial" w:eastAsia="Arial" w:hAnsi="Arial"/>
                <w:sz w:val="18"/>
                <w:szCs w:val="18"/>
                <w:color w:val="auto"/>
              </w:rPr>
              <w:t>Subject Matter</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Expires</w:t>
            </w:r>
          </w:p>
        </w:tc>
      </w:tr>
      <w:tr>
        <w:trPr>
          <w:trHeight w:val="230"/>
        </w:trPr>
        <w:tc>
          <w:tcPr>
            <w:tcW w:w="254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(Jurisdiction)</w:t>
            </w:r>
          </w:p>
        </w:tc>
        <w:tc>
          <w:tcPr>
            <w:tcW w:w="6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8,901,113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9,757,466 (US)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Sept. 2017</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10,004,699 (US)</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4"/>
              </w:rPr>
              <w:t>Methods and compositions for interfering with extraction or conversion of a drug</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2018</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2035</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susceptible to abuse</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2010300641 (AUS)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2,775,890 (CAN)</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Jun.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2,488,029 (EUR)</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 2016</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218533 (ISR)</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25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2015274936 (AUS)</w:t>
            </w:r>
          </w:p>
        </w:tc>
        <w:tc>
          <w:tcPr>
            <w:tcW w:w="61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Methods and compositions for interfering with extraction or conversion of a drug</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Sept. 2018</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June 2035</w:t>
            </w:r>
          </w:p>
        </w:tc>
      </w:tr>
      <w:tr>
        <w:trPr>
          <w:trHeight w:val="230"/>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susceptible to abuse</w:t>
            </w:r>
          </w:p>
        </w:tc>
        <w:tc>
          <w:tcPr>
            <w:tcW w:w="12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5"/>
        </w:trPr>
        <w:tc>
          <w:tcPr>
            <w:tcW w:w="2540" w:type="dxa"/>
            <w:vAlign w:val="bottom"/>
            <w:tcBorders>
              <w:left w:val="single" w:sz="8" w:color="auto"/>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13102020.5 (HK)</w:t>
            </w:r>
          </w:p>
        </w:tc>
        <w:tc>
          <w:tcPr>
            <w:tcW w:w="616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w:t>
            </w:r>
          </w:p>
        </w:tc>
        <w:tc>
          <w:tcPr>
            <w:tcW w:w="12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Oct. 2016</w:t>
            </w:r>
          </w:p>
        </w:tc>
        <w:tc>
          <w:tcPr>
            <w:tcW w:w="14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Sept. 2030</w:t>
            </w:r>
          </w:p>
        </w:tc>
      </w:tr>
      <w:tr>
        <w:trPr>
          <w:trHeight w:val="230"/>
        </w:trPr>
        <w:tc>
          <w:tcPr>
            <w:tcW w:w="2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1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precursor compounds</w:t>
            </w:r>
          </w:p>
        </w:tc>
        <w:tc>
          <w:tcPr>
            <w:tcW w:w="1260" w:type="dxa"/>
            <w:vAlign w:val="bottom"/>
            <w:tcBorders>
              <w:bottom w:val="single" w:sz="8" w:color="auto"/>
              <w:right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Zyla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Zyla’s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2015, Purdue Pharma L.P., Purdue Pharmaceuticals L.P. and The P.F. Laboratories, Inc., or collectively Purdue, commenced a patent infringement lawsuit against us and our Oxaydo product licensee Zyla in the United States District Court for the District of Delaware alleging our Oxaydo product infringes Purdue’s U.S. Patent No. 8,389,007, or the 007 Patent. In April 2016, Purdue commenced a second patent infringement lawsuit against us and Zyla in the United States District Court for the District of Delaware alleging our Oxaydo product infringes Purdue’s then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On May 20, 2016, we, Purdue and Zyla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2018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we had $15 thousand of cash and at December 31, 2018 we had cash of $0.1 million. We had an accumulated deficit of $388 million at June 30, 2019. We had loss from operations of $1.3 million and net loss of $4.1 million for the six months ended June 30, 2019 and we had a net loss from operations of $3.92 million and a net loss of $3.84 million for the year ended December 31,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2019, we entered into License, Development and Commercialization Agreement (the Agreement) with Abuse Deterrent Pharma, LLC. The Agreement grants AD Pharma exclusive commercialization rights in the United States to LTX-03. Financial arrangements include monthly license payments by AD Pharma of $350 thousand up to the earlier of 18 months or FDA’s acceptance of a New Drug Application (NDA) for LTX-03 and reimbursement by AD Pharma of Acura’s LTX-03 outside development expenses. Upon commercialization of LTX-03, Acura receives stepped royalties on sales and is eligible for certain sales related milestones. However, if the NDA application for LTX-03 is not accepted by the FDA within 18 months, AD Pharma may terminate the Agreement and take ownership of the intellectual property.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independent auditors have included in their report relating to our 2018 financial statements a “going concern” explanatory paragraph as to substantial doubt of our ability to continue as a going concern.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June 30, 2019 Compared to Three months Ended June 30, 2018</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jc w:val="right"/>
              <w:ind w:right="640"/>
              <w:spacing w:after="0"/>
              <w:rPr>
                <w:sz w:val="20"/>
                <w:szCs w:val="20"/>
                <w:color w:val="auto"/>
              </w:rPr>
            </w:pPr>
            <w:r>
              <w:rPr>
                <w:rFonts w:ascii="Arial" w:cs="Arial" w:eastAsia="Arial" w:hAnsi="Arial"/>
                <w:sz w:val="18"/>
                <w:szCs w:val="18"/>
                <w:color w:val="auto"/>
                <w:w w:val="96"/>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$000’s</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Percent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340"/>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agreement with Zyla for Oxaydo tablets, we earn a royalty based on Oxaydo net sales. We recognized $43 thousand and $70 thousand of royalty revenue during the three months ended June 30, 2019 and 2018,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agreement with MainPointe for the Nexafed products, we earn a royalty of 7.5% on net sales. We recognized $3 thousand and $6 thousand of royalty revenue during the three months ended June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is primarily associated with our Limitx Technology development activity. Included in each of June 30, 2019 and 2018 reported quarterly expenses are share-based compensation expenses of approximately $6 thousand and $18 thousand, respectively. Excluding the share-based compensation expense, our research and development expenses decreased by $203 thousand between reporting periods primarily in the categories of salaries, company insurance premiums and outside clinical and development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expenses primarily consisted of legal, audit and other professional services, corporate insurance, and payroll. Included in each of the June 30, 2019 and 2018 quarterly results are share-based compensation expenses of approximately $39 thousand and $48 thousand, respectively. Excluding this share-based compensation expense, our general and administrative expenses decreased by $431 thousand between reporting periods, resulting primarily in the categories of salaries, company insurance premiums, patent and general legal activities, director compensation, and investment and accounting consulting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2019, we modified the $5.0 million related party loan and the accounting method used for the changes to the loan resulted in the recognizing a $2.6 million loss on debt extinguishment.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2019 and 2018, we incurred net interest expense on our term loans of $119 thousand and $14 thousand,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2019 and 2018 show no federal or state income tax benefit provisions due to 100% allowances placed against them for the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Six months Ended June 30, 2019 Compared to Six months Ended June 30, 2018</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color w:val="auto"/>
                <w:w w:val="96"/>
              </w:rPr>
              <w:t>June 30</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3"/>
          </w:tcPr>
          <w:p>
            <w:pPr>
              <w:jc w:val="right"/>
              <w:ind w:right="640"/>
              <w:spacing w:after="0"/>
              <w:rPr>
                <w:sz w:val="20"/>
                <w:szCs w:val="20"/>
                <w:color w:val="auto"/>
              </w:rPr>
            </w:pPr>
            <w:r>
              <w:rPr>
                <w:rFonts w:ascii="Arial" w:cs="Arial" w:eastAsia="Arial" w:hAnsi="Arial"/>
                <w:sz w:val="18"/>
                <w:szCs w:val="18"/>
                <w:color w:val="auto"/>
                <w:w w:val="96"/>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$000’s</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Percent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(552)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(946)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(1,498)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(1,337)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2,600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1,374</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1,374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agreement with Zyla for Oxaydo tablets, we earn a royalty based on Oxaydo net sales. We recognized $98 thousand and $260 thousand of royalty revenue during the six months ended June 30, 2019 and 2018, respectively. Included in the 2018 results is a one-time benefit of $89 thousand on royalty revenue reported to us by Zyla for the effect of their adoption of ASC 606 on Oxaydo net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agreement with MainPointe for the Nexafed products, we earn a royalty of 7.5% on net sales.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We recognized $15 thousand and $14 thousand of royalty revenue during the six months ended June 30,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is primarily associated with our Limitx Technology development activity. Included in each of June 30, 2019 and 2018 reported quarterly expenses are share-based compensation expenses of approximately $12 thousand and $38 thousand, respectively. Excluding the share-based compensation expense, our research and development expenses decreased by $526 thousand between reporting periods primarily in the categories of salaries, company insurance premiums and outside clinical and development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expenses primarily consisted of legal, audit and other professional services, corporate insurance, and payroll. Included in each of the June 30, 2019 and 2018 quarterly results are share-based compensation expenses of approximately $68 thousand and $104 thousand, respectively. Excluding this share-based compensation expense, our general and administrative expenses decreased by $910 thousand between reporting periods, resulting primarily in the categories of salaries, company insurance premiums, patent and general legal activities, director compensation, and investment and accounting consulting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2019, we modified the $5.0 million related party loan and the accounting method used for the changes to the loan resulted in the recognizing a $2.6 million loss on debt extinguishment.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2019 and 2018, we incurred net interest expense on our term loans of $224 thousand and $113 thousand,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from Oxford having a maturity date of December 1, 2018, was negotiated and settled in October 2018 using loan proceeds from Mr. Schutte.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2019 and 2018 show no federal or state income tax benefit provisions due to 100% allowances placed against them for the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we had cash of $15 thousand and December 31, 2018 we had cash of $0.1 million. As of February 10, 2020 our cash balance was approximately $800 thousand. Additionally, the License, Development and Commercialization Agreement dated June 28, 2019 (the “Agreement”) requires AD Pharma to pay us monthly license payments of $350 thousand from July 2019 through November 2020 and pay all outside development costs for LTX-03.</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However, the Agreement allows AD Pharma to terminate the Agreement “for convenience”. Should AD Pharma exercise their right to terminate the Agreement, we would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 In light of AD Pharma’s right to terminate the Agreement “upon convenience”, our independent auditors have included in their report relating to our 2018 financial statements a “going concern” explanatory paragraph as to substantial doubt of our ability to continue as a going concern.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0" w:lineRule="auto"/>
        <w:rPr>
          <w:sz w:val="20"/>
          <w:szCs w:val="20"/>
          <w:color w:val="auto"/>
        </w:rPr>
      </w:pPr>
      <w:r>
        <w:rPr>
          <w:rFonts w:ascii="Arial" w:cs="Arial" w:eastAsia="Arial" w:hAnsi="Arial"/>
          <w:sz w:val="17"/>
          <w:szCs w:val="17"/>
          <w:color w:val="auto"/>
        </w:rPr>
        <w:t>Also, the required monthly license payments by AD Pharma cease at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sources of revenue, if any, will be derived from licensing fees, milestone payments and royalties under the AD Pharma Agreement, the Zyla Agreement, the KemPharm Agreement, the MainPointe Agreement and similar agreements which we may enter into for our Limitx products in development with other pharmaceutical company partners, for which there can be no assurance.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1 of the Notes to Consolidated Financial Statements, in the Company’s 2018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2018 Annual Report are also applicable to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573"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435"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2019 that have materially affected, or are reasonably likely to materially affect, our internal controls over financial reporting.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Note 15, “Commitments and Contingencies,” in Part I, Item 1,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Investors in our common stock should consider the following risk factors, in addition to those risk factors set forth in our 2018 Annual Report on Form 10-K:</w:t>
      </w:r>
    </w:p>
    <w:p>
      <w:pPr>
        <w:spacing w:after="0" w:line="248"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will be required to raise additional funds to finance our operations and remain a going concern; we may not be able to do so when necessary, and/or the terms of any financings may not be advantageous to us; if we fail to raise additional funding we will cease operations and/or seek protection under applicable bankruptcy laws.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to date have consumed substantial amounts of cash. Negative cash flows from our operations are expected to continue over at least the next several years. Our cash utilization amount is highly dependent on the progress of our product development programs, particularly, the results of our preclinical and clinical studies of our Limitx product candidates and the cost, timing and outcomes of regulatory approval for our Limitx product candidates. In addition, the further development of our ongoing clinical trials will depend on upcoming analysis and results of those studies and our financial resources at that time. As of February 10, 2020 our cash balance was approximately $800 thousand. Additionally, the Agreement with AD Pharma calls for monthly license payments of $350 thousand from July 2019 through November 2020 and as well as their payment of all outside development costs for LTX-03. We expect these amounts will fund operations through 2020. The monthly payments by AD Pharma cease in November 2020 at which time the Company will need to have additional capital to fund operations until such time as LTX-03 is approved and royalty payments commence. To fund further operations beyond December 2020, we must raise additional financing or enter into license or collaboration agreements with third parties relating to our technologies or explore a variety of capital raising and other transactions to provide additional funding.</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will require future additional capital infusions including public or private financing, strategic partnerships or other arrangements with organizations that have capabilities and/or products that are complementary to our own capabilities and/or products, in order to continue the development of our product candidates. However, there can be no assurances that we will complete any financings, strategic alliances or collaborative development agreements, and the terms of such arrangements may not be advantageous to us. Any additional equity financing will be dilutive to our current stockholders and debt financing, if available, may involve restrictive covenants. If we raise funds through collaborative or licensing arrangements, we may be required to relinquish, on terms that are not favorable to us, rights to some of our technologies or product candidates that we would otherwise seek to develop or commercialize. Our failure to raise capital when needed could materially harm our business, financial condition and results of operations. In the absence of the receipt of additional financing or payments under third-party license or collaborative agreements, we will be required to scale back or terminate operations and/or seek protection under applicable bankruptcy laws. This could result in a complete loss of shareholder value of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 to sustain and grow our operations.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capital requirements will depend on numerous factors, including: the progress and results of preclinical testing and clinical trials of our Limitx product candidates under development; the costs of complying with the FDA and other domestic regulatory agency requirements, the progress of our research and development programs and those of our partners; the time and costs expended and required to obtain any necessary or desired regulatory approvals; our ability to enter into licensing arrangements, including any unanticipated licensing arrangements that may be necessary to enable us to continue our development and clinical trial programs; the costs and expenses of filing, prosecuting and, if necessary, enforcing our patent claims, or defending against possible claims of infringement by third-party patent or other technology rights; the cost of commercialization activities and arrangements that we undertake; and the demand for our products, which demand depends in turn on circumstances and uncertainties that cannot be fully known, understood or quantified unless and until the time of approval, including the FDA approved label for any product.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120" w:type="dxa"/>
            <w:vAlign w:val="bottom"/>
            <w:gridSpan w:val="6"/>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Certification of Periodic Report by Chief Executive Officer pursuant to Rule 13a-14 and 15d-14 of the Securities Exchange Act of 1934.</w:t>
              </w:r>
            </w:hyperlink>
          </w:p>
        </w:tc>
      </w:tr>
      <w:tr>
        <w:trPr>
          <w:trHeight w:val="412"/>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Periodic Report by Chief Financial Officer pursuant to Rule 13a-14 and 15d-14 of the Securities Exchange Act of 1934.</w:t>
              </w:r>
            </w:hyperlink>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5">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Periodic Report by the Chief Executive Officer and Chief Financial Officer pursuant to 18 U.S.C. Section 1350, as adopted</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pursuant to Section 906 of the Sarbanes-Oxley Act of 2002.</w:t>
              </w:r>
            </w:hyperlink>
          </w:p>
        </w:tc>
        <w:tc>
          <w:tcPr>
            <w:tcW w:w="5800" w:type="dxa"/>
            <w:vAlign w:val="bottom"/>
            <w:gridSpan w:val="3"/>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47</w:t>
              </w:r>
            </w:hyperlink>
          </w:p>
        </w:tc>
        <w:tc>
          <w:tcPr>
            <w:tcW w:w="880" w:type="dxa"/>
            <w:vAlign w:val="bottom"/>
          </w:tcPr>
          <w:p>
            <w:pPr>
              <w:spacing w:after="0"/>
              <w:rPr>
                <w:sz w:val="24"/>
                <w:szCs w:val="24"/>
                <w:color w:val="auto"/>
              </w:rPr>
            </w:pPr>
          </w:p>
        </w:tc>
        <w:tc>
          <w:tcPr>
            <w:tcW w:w="266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Promissory Note Dated May 1, 2019</w:t>
              </w:r>
            </w:hyperlink>
          </w:p>
        </w:tc>
        <w:tc>
          <w:tcPr>
            <w:tcW w:w="7460" w:type="dxa"/>
            <w:vAlign w:val="bottom"/>
            <w:gridSpan w:val="5"/>
          </w:tcPr>
          <w:p>
            <w:pPr>
              <w:spacing w:after="0"/>
              <w:rPr>
                <w:sz w:val="24"/>
                <w:szCs w:val="24"/>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48</w:t>
              </w:r>
            </w:hyperlink>
          </w:p>
        </w:tc>
        <w:tc>
          <w:tcPr>
            <w:tcW w:w="880" w:type="dxa"/>
            <w:vAlign w:val="bottom"/>
          </w:tcPr>
          <w:p>
            <w:pPr>
              <w:spacing w:after="0"/>
              <w:rPr>
                <w:sz w:val="24"/>
                <w:szCs w:val="24"/>
                <w:color w:val="auto"/>
              </w:rPr>
            </w:pPr>
          </w:p>
        </w:tc>
        <w:tc>
          <w:tcPr>
            <w:tcW w:w="1012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Promissory Note Dated June 12, 2019</w:t>
              </w:r>
            </w:hyperlink>
          </w:p>
        </w:tc>
      </w:tr>
      <w:tr>
        <w:trPr>
          <w:trHeight w:val="20"/>
        </w:trPr>
        <w:tc>
          <w:tcPr>
            <w:tcW w:w="42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r>
      <w:tr>
        <w:trPr>
          <w:trHeight w:val="453"/>
        </w:trPr>
        <w:tc>
          <w:tcPr>
            <w:tcW w:w="13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gridSpan w:val="4"/>
          </w:tcPr>
          <w:p>
            <w:pPr>
              <w:ind w:left="4340"/>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ind w:left="4400"/>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tabs>
          <w:tab w:leader="none" w:pos="4880"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7"/>
          <w:szCs w:val="17"/>
          <w:color w:val="auto"/>
        </w:rPr>
        <w:t>ACURA PHARMACEUTICALS, INC.</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Robert B. Jones</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-130175</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-130175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0"/>
          </w:cols>
          <w:pgMar w:left="1160" w:top="908"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10.47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7"/>
          <w:szCs w:val="17"/>
          <w:b w:val="1"/>
          <w:bCs w:val="1"/>
          <w:color w:val="auto"/>
        </w:rPr>
        <w:t>“Noteholder”</w:t>
      </w:r>
      <w:r>
        <w:rPr>
          <w:rFonts w:ascii="Arial" w:cs="Arial" w:eastAsia="Arial" w:hAnsi="Arial"/>
          <w:sz w:val="17"/>
          <w:szCs w:val="17"/>
          <w:color w:val="auto"/>
        </w:rPr>
        <w:t xml:space="preserve">), the principal amount of </w:t>
      </w:r>
      <w:r>
        <w:rPr>
          <w:rFonts w:ascii="Arial" w:cs="Arial" w:eastAsia="Arial" w:hAnsi="Arial"/>
          <w:sz w:val="17"/>
          <w:szCs w:val="17"/>
          <w:b w:val="1"/>
          <w:bCs w:val="1"/>
          <w:color w:val="auto"/>
        </w:rPr>
        <w:t>ONE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HUNDRED THOUSAND DOLLARS ($100,000) </w:t>
      </w:r>
      <w:r>
        <w:rPr>
          <w:rFonts w:ascii="Arial" w:cs="Arial" w:eastAsia="Arial" w:hAnsi="Arial"/>
          <w:sz w:val="17"/>
          <w:szCs w:val="17"/>
          <w:color w:val="auto"/>
        </w:rPr>
        <w:t>together with all accrued interest thereon, as provided in this Promissory Note (this "</w:t>
      </w:r>
      <w:r>
        <w:rPr>
          <w:rFonts w:ascii="Arial" w:cs="Arial" w:eastAsia="Arial" w:hAnsi="Arial"/>
          <w:sz w:val="17"/>
          <w:szCs w:val="17"/>
          <w:b w:val="1"/>
          <w:bCs w:val="1"/>
          <w:color w:val="auto"/>
        </w:rPr>
        <w:t>Note</w:t>
      </w:r>
      <w:r>
        <w:rPr>
          <w:rFonts w:ascii="Arial" w:cs="Arial" w:eastAsia="Arial" w:hAnsi="Arial"/>
          <w:sz w:val="17"/>
          <w:szCs w:val="17"/>
          <w:color w:val="auto"/>
        </w:rPr>
        <w:t>").</w:t>
      </w:r>
    </w:p>
    <w:p>
      <w:pPr>
        <w:spacing w:after="0" w:line="171" w:lineRule="exact"/>
        <w:rPr>
          <w:sz w:val="20"/>
          <w:szCs w:val="20"/>
          <w:color w:val="auto"/>
        </w:rPr>
      </w:pPr>
    </w:p>
    <w:p>
      <w:pPr>
        <w:ind w:left="760" w:hanging="36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400" w:firstLine="116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40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760" w:hanging="363"/>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$100,000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760" w:hanging="363"/>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400" w:right="2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0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jc w:val="both"/>
        <w:ind w:left="400" w:right="20" w:firstLine="51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Mechanics</w:t>
      </w:r>
      <w:r>
        <w:rPr>
          <w:rFonts w:ascii="Arial" w:cs="Arial" w:eastAsia="Arial" w:hAnsi="Arial"/>
          <w:sz w:val="16"/>
          <w:szCs w:val="16"/>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24" w:lineRule="exact"/>
        <w:rPr>
          <w:sz w:val="20"/>
          <w:szCs w:val="20"/>
          <w:color w:val="auto"/>
        </w:rPr>
      </w:pPr>
    </w:p>
    <w:p>
      <w:pPr>
        <w:ind w:left="400" w:right="20" w:hanging="3"/>
        <w:spacing w:after="0" w:line="342" w:lineRule="auto"/>
        <w:tabs>
          <w:tab w:leader="none" w:pos="78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ind w:left="363" w:hanging="363"/>
        <w:spacing w:after="0"/>
        <w:tabs>
          <w:tab w:leader="none" w:pos="36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jc w:val="both"/>
        <w:ind w:left="3" w:firstLine="502"/>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left="3" w:firstLine="502"/>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left="3" w:hanging="3"/>
        <w:spacing w:after="0" w:line="279" w:lineRule="auto"/>
        <w:tabs>
          <w:tab w:leader="none" w:pos="40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363" w:hanging="363"/>
        <w:spacing w:after="0"/>
        <w:tabs>
          <w:tab w:leader="none" w:pos="36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3"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ind w:left="523"/>
        <w:spacing w:after="0"/>
        <w:tabs>
          <w:tab w:leader="none" w:pos="1003"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is non-negotiable but may be assigned or transferred by the Noteholder.</w:t>
      </w:r>
    </w:p>
    <w:p>
      <w:pPr>
        <w:spacing w:after="0" w:line="225" w:lineRule="exact"/>
        <w:rPr>
          <w:sz w:val="20"/>
          <w:szCs w:val="20"/>
          <w:color w:val="auto"/>
        </w:rPr>
      </w:pPr>
    </w:p>
    <w:p>
      <w:pPr>
        <w:jc w:val="both"/>
        <w:ind w:left="3"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left="3" w:right="20" w:firstLine="518"/>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Borrower. Any waiver of the terms hereof shall be effective only in the specific instance and for the specific purpose given.</w:t>
      </w:r>
    </w:p>
    <w:p>
      <w:pPr>
        <w:spacing w:after="0" w:line="147" w:lineRule="exact"/>
        <w:rPr>
          <w:sz w:val="20"/>
          <w:szCs w:val="20"/>
          <w:color w:val="auto"/>
        </w:rPr>
      </w:pPr>
    </w:p>
    <w:p>
      <w:pPr>
        <w:jc w:val="both"/>
        <w:ind w:left="3"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left="3" w:firstLine="518"/>
        <w:spacing w:after="0" w:line="29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secured.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374"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3"/>
          </w:cols>
          <w:pgMar w:left="637"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IN WITNESS WHEREOF, the Borrower has executed this Note as of May 1,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1379"/>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Peter A. Clemens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Title: Senior Vice President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19"/>
          </w:cols>
          <w:pgMar w:left="640" w:top="909"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10.48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FOR VALUE RECEIVED, and subject to the terms and conditions set forth herein, ACURA PHARMACEUTICALS, INC., a New York corporation with offices located at 616 N. North Court, Suite 120, Palatine, Illinois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hereby unconditionally promises to pay to the order of John Schutte c/o MainPointe Pharmaceuticals, LLC, 333 E. Main Street, Louisville, KY 40202 or his assigns (the </w:t>
      </w:r>
      <w:r>
        <w:rPr>
          <w:rFonts w:ascii="Arial" w:cs="Arial" w:eastAsia="Arial" w:hAnsi="Arial"/>
          <w:sz w:val="16"/>
          <w:szCs w:val="16"/>
          <w:b w:val="1"/>
          <w:bCs w:val="1"/>
          <w:color w:val="auto"/>
        </w:rPr>
        <w:t>“Noteholder”</w:t>
      </w:r>
      <w:r>
        <w:rPr>
          <w:rFonts w:ascii="Arial" w:cs="Arial" w:eastAsia="Arial" w:hAnsi="Arial"/>
          <w:sz w:val="16"/>
          <w:szCs w:val="16"/>
          <w:color w:val="auto"/>
        </w:rPr>
        <w:t xml:space="preserve">), the principal amount of </w:t>
      </w:r>
      <w:r>
        <w:rPr>
          <w:rFonts w:ascii="Arial" w:cs="Arial" w:eastAsia="Arial" w:hAnsi="Arial"/>
          <w:sz w:val="16"/>
          <w:szCs w:val="16"/>
          <w:b w:val="1"/>
          <w:bCs w:val="1"/>
          <w:color w:val="auto"/>
        </w:rPr>
        <w:t>ONE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HUNDRED FIFTY THOUSAND DOLLARS ($150,000) </w:t>
      </w:r>
      <w:r>
        <w:rPr>
          <w:rFonts w:ascii="Arial" w:cs="Arial" w:eastAsia="Arial" w:hAnsi="Arial"/>
          <w:sz w:val="16"/>
          <w:szCs w:val="16"/>
          <w:color w:val="auto"/>
        </w:rPr>
        <w:t>together with all accrued interest thereon, as provided in this Promissory Note (this "</w:t>
      </w:r>
      <w:r>
        <w:rPr>
          <w:rFonts w:ascii="Arial" w:cs="Arial" w:eastAsia="Arial" w:hAnsi="Arial"/>
          <w:sz w:val="16"/>
          <w:szCs w:val="16"/>
          <w:b w:val="1"/>
          <w:bCs w:val="1"/>
          <w:color w:val="auto"/>
        </w:rPr>
        <w:t>Note</w:t>
      </w:r>
      <w:r>
        <w:rPr>
          <w:rFonts w:ascii="Arial" w:cs="Arial" w:eastAsia="Arial" w:hAnsi="Arial"/>
          <w:sz w:val="16"/>
          <w:szCs w:val="16"/>
          <w:color w:val="auto"/>
        </w:rPr>
        <w:t>").</w:t>
      </w:r>
    </w:p>
    <w:p>
      <w:pPr>
        <w:spacing w:after="0" w:line="154" w:lineRule="exact"/>
        <w:rPr>
          <w:sz w:val="20"/>
          <w:szCs w:val="20"/>
          <w:color w:val="auto"/>
        </w:rPr>
      </w:pPr>
    </w:p>
    <w:p>
      <w:pPr>
        <w:ind w:left="760" w:hanging="363"/>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defined elsewhere in this Note, capitalized terms used herein shall have the meanings set forth in this Section 1.</w:t>
      </w:r>
    </w:p>
    <w:p>
      <w:pPr>
        <w:spacing w:after="0" w:line="221" w:lineRule="exact"/>
        <w:rPr>
          <w:sz w:val="20"/>
          <w:szCs w:val="20"/>
          <w:color w:val="auto"/>
        </w:rPr>
      </w:pPr>
    </w:p>
    <w:p>
      <w:pPr>
        <w:jc w:val="both"/>
        <w:ind w:left="400" w:firstLine="116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as to any Person, any other Person that, directly or indirectly through one or more intermediaries, is in control of, is controlled by, or is under common control with, such Person. For purposes of this definition, "control" of a Person means the power, directly or indirectly, either to (a) vote more than 50%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65" w:lineRule="exact"/>
        <w:rPr>
          <w:sz w:val="20"/>
          <w:szCs w:val="20"/>
          <w:color w:val="auto"/>
        </w:rPr>
      </w:pPr>
    </w:p>
    <w:p>
      <w:pPr>
        <w:jc w:val="both"/>
        <w:ind w:left="400" w:firstLine="11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trust, joint venture, association, company, limited or general partnership, unincorporated organization, governmental authority or other entity.</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per annum equal to the prime rate as reported by the </w:t>
      </w:r>
      <w:r>
        <w:rPr>
          <w:rFonts w:ascii="Arial" w:cs="Arial" w:eastAsia="Arial" w:hAnsi="Arial"/>
          <w:sz w:val="18"/>
          <w:szCs w:val="18"/>
          <w:i w:val="1"/>
          <w:iCs w:val="1"/>
          <w:color w:val="auto"/>
        </w:rPr>
        <w:t>Wall Street Journal.</w:t>
      </w:r>
    </w:p>
    <w:p>
      <w:pPr>
        <w:spacing w:after="0" w:line="225" w:lineRule="exact"/>
        <w:rPr>
          <w:sz w:val="20"/>
          <w:szCs w:val="20"/>
          <w:color w:val="auto"/>
        </w:rPr>
      </w:pPr>
    </w:p>
    <w:p>
      <w:pPr>
        <w:ind w:left="800" w:hanging="40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On the date hereof Noteholder is funding a loan of $150,000 (the “</w:t>
      </w:r>
      <w:r>
        <w:rPr>
          <w:rFonts w:ascii="Arial" w:cs="Arial" w:eastAsia="Arial" w:hAnsi="Arial"/>
          <w:sz w:val="18"/>
          <w:szCs w:val="18"/>
          <w:b w:val="1"/>
          <w:bCs w:val="1"/>
          <w:color w:val="auto"/>
        </w:rPr>
        <w:t>Loan</w:t>
      </w:r>
      <w:r>
        <w:rPr>
          <w:rFonts w:ascii="Arial" w:cs="Arial" w:eastAsia="Arial" w:hAnsi="Arial"/>
          <w:sz w:val="18"/>
          <w:szCs w:val="18"/>
          <w:color w:val="auto"/>
        </w:rPr>
        <w:t>”) to Borrower.</w:t>
      </w:r>
    </w:p>
    <w:p>
      <w:pPr>
        <w:spacing w:after="0" w:line="229" w:lineRule="exact"/>
        <w:rPr>
          <w:rFonts w:ascii="Arial" w:cs="Arial" w:eastAsia="Arial" w:hAnsi="Arial"/>
          <w:sz w:val="18"/>
          <w:szCs w:val="18"/>
          <w:color w:val="auto"/>
        </w:rPr>
      </w:pPr>
    </w:p>
    <w:p>
      <w:pPr>
        <w:ind w:left="800" w:hanging="40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Payment Dates; Optional Prepayments;</w:t>
      </w:r>
    </w:p>
    <w:p>
      <w:pPr>
        <w:spacing w:after="0" w:line="225" w:lineRule="exact"/>
        <w:rPr>
          <w:sz w:val="20"/>
          <w:szCs w:val="20"/>
          <w:color w:val="auto"/>
        </w:rPr>
      </w:pPr>
    </w:p>
    <w:p>
      <w:pPr>
        <w:ind w:left="400" w:firstLine="51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The aggregate unpaid principal amount of the Loan together with all accrued and unpaid interest thereon shall be due and payable on January 2, 2020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70" w:lineRule="exact"/>
        <w:rPr>
          <w:sz w:val="20"/>
          <w:szCs w:val="20"/>
          <w:color w:val="auto"/>
        </w:rPr>
      </w:pPr>
    </w:p>
    <w:p>
      <w:pPr>
        <w:ind w:left="40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 may prepay the Loan in whole or in part at any time or from time to time without penalty or premium by paying the principal amount to be prepaid together with accrued interest thereon to the date of prepayment.</w:t>
      </w:r>
    </w:p>
    <w:p>
      <w:pPr>
        <w:spacing w:after="0" w:line="170" w:lineRule="exact"/>
        <w:rPr>
          <w:sz w:val="20"/>
          <w:szCs w:val="20"/>
          <w:color w:val="auto"/>
        </w:rPr>
      </w:pPr>
    </w:p>
    <w:p>
      <w:pPr>
        <w:ind w:left="400" w:firstLine="51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Payment Mechanics</w:t>
      </w:r>
      <w:r>
        <w:rPr>
          <w:rFonts w:ascii="Arial" w:cs="Arial" w:eastAsia="Arial" w:hAnsi="Arial"/>
          <w:sz w:val="16"/>
          <w:szCs w:val="16"/>
          <w:color w:val="auto"/>
        </w:rPr>
        <w:t>. All payments of interest and principal shall be made in lawful money of the United States of America on the date on which such payment is due by wire transfer of immediately available funds to the Noteholder's account at a bank specified by the Noteholder in writing.</w:t>
      </w:r>
    </w:p>
    <w:p>
      <w:pPr>
        <w:spacing w:after="0" w:line="124" w:lineRule="exact"/>
        <w:rPr>
          <w:sz w:val="20"/>
          <w:szCs w:val="20"/>
          <w:color w:val="auto"/>
        </w:rPr>
      </w:pPr>
    </w:p>
    <w:p>
      <w:pPr>
        <w:ind w:left="400" w:right="20" w:hanging="3"/>
        <w:spacing w:after="0" w:line="342" w:lineRule="auto"/>
        <w:tabs>
          <w:tab w:leader="none" w:pos="78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outstanding principal amount of the Loan shall bear interest at a rate equal to the Prime Rate plus 2% per anum and shall accrue and be payable at the Maturity Date. All computations of interest shall be made on the basis of a 360 day year consisting of 12 months of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ind w:left="403" w:hanging="403"/>
        <w:spacing w:after="0"/>
        <w:tabs>
          <w:tab w:leader="none" w:pos="40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229" w:lineRule="exact"/>
        <w:rPr>
          <w:sz w:val="20"/>
          <w:szCs w:val="20"/>
          <w:color w:val="auto"/>
        </w:rPr>
      </w:pPr>
    </w:p>
    <w:p>
      <w:pPr>
        <w:jc w:val="both"/>
        <w:ind w:left="3" w:right="20" w:firstLine="502"/>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Pay</w:t>
      </w:r>
      <w:r>
        <w:rPr>
          <w:rFonts w:ascii="Arial" w:cs="Arial" w:eastAsia="Arial" w:hAnsi="Arial"/>
          <w:sz w:val="18"/>
          <w:szCs w:val="18"/>
          <w:color w:val="auto"/>
        </w:rPr>
        <w:t>. The Borrower fails to pay any amount of principal of, or interest on, the Loan when due and such failure continues for 5 days after written notice to the Borrower.</w:t>
      </w:r>
    </w:p>
    <w:p>
      <w:pPr>
        <w:spacing w:after="0" w:line="170" w:lineRule="exact"/>
        <w:rPr>
          <w:sz w:val="20"/>
          <w:szCs w:val="20"/>
          <w:color w:val="auto"/>
        </w:rPr>
      </w:pPr>
    </w:p>
    <w:p>
      <w:pPr>
        <w:jc w:val="both"/>
        <w:ind w:left="3" w:firstLine="502"/>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Bankruptcy</w:t>
      </w:r>
      <w:r>
        <w:rPr>
          <w:rFonts w:ascii="Arial" w:cs="Arial" w:eastAsia="Arial" w:hAnsi="Arial"/>
          <w:sz w:val="17"/>
          <w:szCs w:val="17"/>
          <w:color w:val="auto"/>
        </w:rPr>
        <w:t>. (A) The Borrower commences any case, proceeding or other action (i)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or the Borrower makes a general assignment for the benefit of its creditors; or (B) there is commenced against the Borrower any case, proceeding or other action of a nature referred to in Section 5.2(A) above which (i) results in the entry of an order for relief or any such adjudication or appointment or (ii) remains undismissed, undischarged or unbonded for a period of 60 days.</w:t>
      </w:r>
    </w:p>
    <w:p>
      <w:pPr>
        <w:spacing w:after="0" w:line="178" w:lineRule="exact"/>
        <w:rPr>
          <w:sz w:val="20"/>
          <w:szCs w:val="20"/>
          <w:color w:val="auto"/>
        </w:rPr>
      </w:pPr>
    </w:p>
    <w:p>
      <w:pPr>
        <w:jc w:val="both"/>
        <w:ind w:left="3" w:hanging="3"/>
        <w:spacing w:after="0" w:line="279" w:lineRule="auto"/>
        <w:tabs>
          <w:tab w:leader="none" w:pos="408"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Upon the occurrence of any Event of Default and at any time thereafter during the continuance of such Event of Default, the Noteholder may at its option, by written notice to the Borrower declare the entire principal amount of this Note, together with all accrued interest thereon, immediately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 Event of Default described in Section 5.2 shall occur, the principal of and accrued interest on the Loan shall become immediately due and payable without any notice, declaration or other act on the part of the Noteholder.</w:t>
      </w:r>
    </w:p>
    <w:p>
      <w:pPr>
        <w:spacing w:after="0" w:line="171" w:lineRule="exact"/>
        <w:rPr>
          <w:rFonts w:ascii="Arial" w:cs="Arial" w:eastAsia="Arial" w:hAnsi="Arial"/>
          <w:sz w:val="17"/>
          <w:szCs w:val="17"/>
          <w:color w:val="auto"/>
        </w:rPr>
      </w:pPr>
    </w:p>
    <w:p>
      <w:pPr>
        <w:ind w:left="403" w:hanging="403"/>
        <w:spacing w:after="0"/>
        <w:tabs>
          <w:tab w:leader="none" w:pos="40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3" w:firstLine="51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Note, and any claim, controversy, dispute or cause of action (whether in contract or tort or otherwise) based upon, arising out of or relating to this Note and the transactions contemplated hereby and thereby shall be governed by the laws of the State of New York, without giving effect to conflict of law provisions.</w:t>
      </w:r>
    </w:p>
    <w:p>
      <w:pPr>
        <w:spacing w:after="0" w:line="181" w:lineRule="exact"/>
        <w:rPr>
          <w:sz w:val="20"/>
          <w:szCs w:val="20"/>
          <w:color w:val="auto"/>
        </w:rPr>
      </w:pPr>
    </w:p>
    <w:p>
      <w:pPr>
        <w:ind w:left="523"/>
        <w:spacing w:after="0"/>
        <w:tabs>
          <w:tab w:leader="none" w:pos="1003"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Note is non-negotiable but may be assigned or transferred by the Noteholder.</w:t>
      </w:r>
    </w:p>
    <w:p>
      <w:pPr>
        <w:spacing w:after="0" w:line="225" w:lineRule="exact"/>
        <w:rPr>
          <w:sz w:val="20"/>
          <w:szCs w:val="20"/>
          <w:color w:val="auto"/>
        </w:rPr>
      </w:pPr>
    </w:p>
    <w:p>
      <w:pPr>
        <w:jc w:val="both"/>
        <w:ind w:left="3" w:firstLine="51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Waiver of Notice</w:t>
      </w:r>
      <w:r>
        <w:rPr>
          <w:rFonts w:ascii="Arial" w:cs="Arial" w:eastAsia="Arial" w:hAnsi="Arial"/>
          <w:sz w:val="17"/>
          <w:szCs w:val="17"/>
          <w:color w:val="auto"/>
        </w:rPr>
        <w:t>. The Borrower hereby waives demand for payment, presentment for payment, protest, notice of payment, notice of dishonor, notice of nonpayment, notice of acceleration of maturity and diligence in taking any action to collect sums owing hereunder.</w:t>
      </w:r>
    </w:p>
    <w:p>
      <w:pPr>
        <w:spacing w:after="0" w:line="147" w:lineRule="exact"/>
        <w:rPr>
          <w:sz w:val="20"/>
          <w:szCs w:val="20"/>
          <w:color w:val="auto"/>
        </w:rPr>
      </w:pPr>
    </w:p>
    <w:p>
      <w:pPr>
        <w:jc w:val="both"/>
        <w:ind w:left="3" w:right="20" w:firstLine="518"/>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No term of this Note may be waived, modified or amended except by an instrument in writing signed the Noteholder and Borrower. Any waiver of the terms hereof shall be effective only in the specific instance and for the specific purpose given.</w:t>
      </w:r>
    </w:p>
    <w:p>
      <w:pPr>
        <w:spacing w:after="0" w:line="147" w:lineRule="exact"/>
        <w:rPr>
          <w:sz w:val="20"/>
          <w:szCs w:val="20"/>
          <w:color w:val="auto"/>
        </w:rPr>
      </w:pPr>
    </w:p>
    <w:p>
      <w:pPr>
        <w:jc w:val="both"/>
        <w:ind w:left="3" w:firstLine="518"/>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to exercise and no delay in exercising on the part of the Noteholder, of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1" w:lineRule="exact"/>
        <w:rPr>
          <w:sz w:val="20"/>
          <w:szCs w:val="20"/>
          <w:color w:val="auto"/>
        </w:rPr>
      </w:pPr>
    </w:p>
    <w:p>
      <w:pPr>
        <w:jc w:val="both"/>
        <w:ind w:left="3" w:firstLine="518"/>
        <w:spacing w:after="0" w:line="29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Security</w:t>
      </w:r>
      <w:r>
        <w:rPr>
          <w:rFonts w:ascii="Arial" w:cs="Arial" w:eastAsia="Arial" w:hAnsi="Arial"/>
          <w:sz w:val="16"/>
          <w:szCs w:val="16"/>
          <w:color w:val="auto"/>
        </w:rPr>
        <w:t>. This Note is secured. Borrower shall grant a security interest to Noteholder, execute all documents reasonably required by Noteholder and take all action reasonably necessary to secure and perfect Noteholder’s security interest in all of Borrower’s property including, but not limited to, accounts, inventory, equipment, general intangibles, intellectual property, chattel paper, investment property, instruments, documents, letter of credit rights, insurance proceeds and real estate, excluding agreements that by their terms may not be collaterally assigned and other property that may not be collaterally assigned (such as intent to use trademark applications), in each case without causing a default, termination or right of termination.</w:t>
      </w:r>
    </w:p>
    <w:p>
      <w:pPr>
        <w:spacing w:after="0" w:line="374"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3"/>
          </w:cols>
          <w:pgMar w:left="637"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IN WITNESS WHEREOF, the Borrower has executed this Note as of June 12,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1379"/>
        <w:spacing w:after="0"/>
        <w:rPr>
          <w:sz w:val="20"/>
          <w:szCs w:val="20"/>
          <w:color w:val="auto"/>
        </w:rPr>
      </w:pPr>
      <w:r>
        <w:rPr>
          <w:rFonts w:ascii="Arial" w:cs="Arial" w:eastAsia="Arial" w:hAnsi="Arial"/>
          <w:sz w:val="18"/>
          <w:szCs w:val="18"/>
          <w:b w:val="1"/>
          <w:bCs w:val="1"/>
          <w:color w:val="auto"/>
        </w:rPr>
        <w:t>ACURA PHARMACEUTICALS,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Peter A. Clemens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Peter A. Clemens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Title: Senior Vice President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19"/>
          </w:cols>
          <w:pgMar w:left="640" w:top="908"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328" w:hanging="328"/>
        <w:spacing w:after="0"/>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588" w:hanging="264"/>
        <w:spacing w:after="0" w:line="264" w:lineRule="auto"/>
        <w:tabs>
          <w:tab w:leader="none" w:pos="5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588" w:hanging="264"/>
        <w:spacing w:after="0" w:line="264" w:lineRule="auto"/>
        <w:tabs>
          <w:tab w:leader="none" w:pos="5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588" w:hanging="264"/>
        <w:spacing w:after="0" w:line="308" w:lineRule="auto"/>
        <w:tabs>
          <w:tab w:leader="none" w:pos="588"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8" w:hanging="264"/>
        <w:spacing w:after="0" w:line="342" w:lineRule="auto"/>
        <w:tabs>
          <w:tab w:leader="none" w:pos="588"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588" w:right="20" w:hanging="264"/>
        <w:spacing w:after="0" w:line="342" w:lineRule="auto"/>
        <w:tabs>
          <w:tab w:leader="none" w:pos="588"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588" w:hanging="264"/>
        <w:spacing w:after="0"/>
        <w:tabs>
          <w:tab w:leader="none" w:pos="588"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ind w:left="328"/>
        <w:spacing w:after="0"/>
        <w:tabs>
          <w:tab w:leader="none" w:pos="5367"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5"/>
          <w:szCs w:val="15"/>
          <w:color w:val="auto"/>
        </w:rPr>
        <w:t>/s/ Robert B. Jones</w:t>
      </w:r>
    </w:p>
    <w:p>
      <w:pPr>
        <w:spacing w:after="0" w:line="36"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434340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588" w:hanging="264"/>
        <w:spacing w:after="0" w:line="264" w:lineRule="auto"/>
        <w:tabs>
          <w:tab w:leader="none" w:pos="5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588" w:hanging="264"/>
        <w:spacing w:after="0" w:line="264" w:lineRule="auto"/>
        <w:tabs>
          <w:tab w:leader="none" w:pos="5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8" w:hanging="264"/>
        <w:spacing w:after="0" w:line="308" w:lineRule="auto"/>
        <w:tabs>
          <w:tab w:leader="none" w:pos="588"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8" w:hanging="264"/>
        <w:spacing w:after="0" w:line="342" w:lineRule="auto"/>
        <w:tabs>
          <w:tab w:leader="none" w:pos="588"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588" w:right="20" w:hanging="264"/>
        <w:spacing w:after="0" w:line="342" w:lineRule="auto"/>
        <w:tabs>
          <w:tab w:leader="none" w:pos="588"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588" w:hanging="264"/>
        <w:spacing w:after="0"/>
        <w:tabs>
          <w:tab w:leader="none" w:pos="588"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ind w:left="328"/>
        <w:spacing w:after="0"/>
        <w:tabs>
          <w:tab w:leader="none" w:pos="5367"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6"/>
          <w:szCs w:val="16"/>
          <w:color w:val="auto"/>
        </w:rPr>
        <w:t>/s/ Peter A. Clemens</w:t>
      </w:r>
    </w:p>
    <w:p>
      <w:pPr>
        <w:spacing w:after="0" w:line="36"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-130175</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434340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332"/>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June 30, 2019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328"/>
        <w:spacing w:after="0"/>
        <w:tabs>
          <w:tab w:leader="none" w:pos="5367"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5"/>
          <w:szCs w:val="15"/>
          <w:color w:val="auto"/>
        </w:rPr>
        <w:t>/s/ Robert B. Jones</w:t>
      </w:r>
    </w:p>
    <w:p>
      <w:pPr>
        <w:spacing w:after="0" w:line="36"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-130175</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-130175</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451485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88"/>
      </w:cols>
      <w:pgMar w:left="572"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1"/>
      <w:numFmt w:val="bullet"/>
      <w:start w:val="1"/>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2"/>
      <w:numFmt w:val="bullet"/>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1."/>
      <w:numFmt w:val="decimal"/>
      <w:start w:val="4"/>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decimal"/>
      <w:start w:val="6"/>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2"/>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5"/>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2020-02-10T15:36:00Z</dcterms:created>
  <dcterms:modified xsi:type="dcterms:W3CDTF">2020-02-10T15:36:00Z</dcterms:modified>
</cp:coreProperties>
</file>