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8475d1_8k.htm"/>
      <w:bookmarkStart w:id="1" w:name="kstm268475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 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7_edei--DocumentType_c20260309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March 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1_edei--EntityRegistrantName_c2026"/>
      <w:bookmarkEnd w:id="4"/>
      <w:r>
        <w:rPr>
          <w:rFonts w:ascii="Times New Roman;Times;Serif" w:hAnsi="Times New Roman;Times;Serif"/>
          <w:b/>
          <w:i w:val="false"/>
          <w:caps w:val="false"/>
          <w:smallCaps w:val="false"/>
          <w:sz w:val="36"/>
        </w:rPr>
        <w:t>ACURA PHARMACEUTICALS,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6960" w:type="dxa"/>
        <w:jc w:val="left"/>
        <w:tblInd w:w="0" w:type="dxa"/>
        <w:tblLayout w:type="fixed"/>
        <w:tblCellMar>
          <w:top w:w="0" w:type="dxa"/>
          <w:left w:w="0" w:type="dxa"/>
          <w:bottom w:w="0" w:type="dxa"/>
          <w:right w:w="0" w:type="dxa"/>
        </w:tblCellMar>
      </w:tblPr>
      <w:tblGrid>
        <w:gridCol w:w="2855"/>
        <w:gridCol w:w="2210"/>
        <w:gridCol w:w="1895"/>
      </w:tblGrid>
      <w:tr>
        <w:trPr/>
        <w:tc>
          <w:tcPr>
            <w:tcW w:w="2855" w:type="dxa"/>
            <w:tcBorders/>
            <w:vAlign w:val="center"/>
          </w:tcPr>
          <w:p>
            <w:pPr>
              <w:pStyle w:val="TableContents"/>
              <w:bidi w:val="0"/>
              <w:spacing w:before="0" w:after="283"/>
              <w:jc w:val="center"/>
              <w:rPr>
                <w:rFonts w:ascii="Times New Roman;Times;Serif" w:hAnsi="Times New Roman;Times;Serif"/>
                <w:b/>
              </w:rPr>
            </w:pPr>
            <w:bookmarkStart w:id="5" w:name="xdx_909_edei--EntityIncorporationStateCo"/>
            <w:bookmarkEnd w:id="5"/>
            <w:r>
              <w:rPr>
                <w:rFonts w:ascii="Times New Roman;Times;Serif" w:hAnsi="Times New Roman;Times;Serif"/>
                <w:b/>
              </w:rPr>
              <w:t>New York</w:t>
            </w:r>
          </w:p>
        </w:tc>
        <w:tc>
          <w:tcPr>
            <w:tcW w:w="2210" w:type="dxa"/>
            <w:tcBorders/>
            <w:vAlign w:val="center"/>
          </w:tcPr>
          <w:p>
            <w:pPr>
              <w:pStyle w:val="TableContents"/>
              <w:bidi w:val="0"/>
              <w:spacing w:before="0" w:after="283"/>
              <w:jc w:val="center"/>
              <w:rPr>
                <w:rFonts w:ascii="Times New Roman;Times;Serif" w:hAnsi="Times New Roman;Times;Serif"/>
                <w:b/>
              </w:rPr>
            </w:pPr>
            <w:bookmarkStart w:id="6" w:name="xdx_906_edei--EntityFileNumber_c20260309"/>
            <w:bookmarkEnd w:id="6"/>
            <w:r>
              <w:rPr>
                <w:rFonts w:ascii="Times New Roman;Times;Serif" w:hAnsi="Times New Roman;Times;Serif"/>
                <w:b/>
              </w:rPr>
              <w:t>1-10113</w:t>
            </w:r>
          </w:p>
        </w:tc>
        <w:tc>
          <w:tcPr>
            <w:tcW w:w="1895" w:type="dxa"/>
            <w:tcBorders/>
            <w:vAlign w:val="center"/>
          </w:tcPr>
          <w:p>
            <w:pPr>
              <w:pStyle w:val="TableContents"/>
              <w:bidi w:val="0"/>
              <w:spacing w:before="0" w:after="283"/>
              <w:jc w:val="center"/>
              <w:rPr>
                <w:rFonts w:ascii="Times New Roman;Times;Serif" w:hAnsi="Times New Roman;Times;Serif"/>
                <w:b/>
              </w:rPr>
            </w:pPr>
            <w:bookmarkStart w:id="7" w:name="xdx_900_edei--EntityTaxIdentificationNum"/>
            <w:bookmarkEnd w:id="7"/>
            <w:r>
              <w:rPr>
                <w:rFonts w:ascii="Times New Roman;Times;Serif" w:hAnsi="Times New Roman;Times;Serif"/>
                <w:b/>
              </w:rPr>
              <w:t>11-0853640</w:t>
            </w:r>
          </w:p>
        </w:tc>
      </w:tr>
      <w:tr>
        <w:trPr/>
        <w:tc>
          <w:tcPr>
            <w:tcW w:w="2855" w:type="dxa"/>
            <w:tcBorders/>
            <w:vAlign w:val="center"/>
          </w:tcPr>
          <w:p>
            <w:pPr>
              <w:pStyle w:val="TableContents"/>
              <w:bidi w:val="0"/>
              <w:spacing w:before="0" w:after="283"/>
              <w:jc w:val="center"/>
              <w:rPr/>
            </w:pPr>
            <w:r>
              <w:rPr/>
              <w:t>(State or other jurisdiction of</w:t>
              <w:br/>
              <w:t>incorporation or organization)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18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(I.R.S. Employer </w:t>
              <w:br/>
              <w:t>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 xml:space="preserve">616 N. North Court, </w:t>
      </w:r>
      <w:bookmarkStart w:id="9" w:name="xdx_90F_edei--EntityAddressAddressLine2_"/>
      <w:bookmarkEnd w:id="9"/>
      <w:r>
        <w:rPr>
          <w:rFonts w:ascii="Times New Roman;Times;Serif" w:hAnsi="Times New Roman;Times;Serif"/>
          <w:b/>
          <w:i w:val="false"/>
          <w:caps w:val="false"/>
          <w:smallCaps w:val="false"/>
          <w:sz w:val="20"/>
        </w:rPr>
        <w:t>Suite 120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 w:name="xdx_904_edei--EntityAddressCityOrTown_c2"/>
      <w:bookmarkEnd w:id="10"/>
      <w:r>
        <w:rPr>
          <w:rFonts w:ascii="Times New Roman;Times;Serif" w:hAnsi="Times New Roman;Times;Serif"/>
          <w:b/>
          <w:i w:val="false"/>
          <w:caps w:val="false"/>
          <w:smallCaps w:val="false"/>
          <w:sz w:val="20"/>
        </w:rPr>
        <w:t xml:space="preserve">Palatine, </w:t>
      </w:r>
      <w:bookmarkStart w:id="11" w:name="xdx_90C_edei--EntityAddressStateOrProvin"/>
      <w:bookmarkEnd w:id="11"/>
      <w:r>
        <w:rPr>
          <w:rFonts w:ascii="Times New Roman;Times;Serif" w:hAnsi="Times New Roman;Times;Serif"/>
          <w:b/>
          <w:i w:val="false"/>
          <w:caps w:val="false"/>
          <w:smallCaps w:val="false"/>
          <w:sz w:val="20"/>
        </w:rPr>
        <w:t>Illinois</w:t>
      </w:r>
      <w:r>
        <w:rPr>
          <w:rFonts w:ascii="Times New Roman;Times;Serif" w:hAnsi="Times New Roman;Times;Serif"/>
          <w:b w:val="false"/>
          <w:i w:val="false"/>
          <w:caps w:val="false"/>
          <w:smallCaps w:val="false"/>
          <w:sz w:val="20"/>
        </w:rPr>
        <w:t xml:space="preserve"> </w:t>
      </w:r>
      <w:bookmarkStart w:id="12" w:name="xdx_907_edei--EntityAddressPostalZipCode"/>
      <w:bookmarkEnd w:id="12"/>
      <w:r>
        <w:rPr>
          <w:rFonts w:ascii="Times New Roman;Times;Serif" w:hAnsi="Times New Roman;Times;Serif"/>
          <w:b/>
          <w:i w:val="false"/>
          <w:caps w:val="false"/>
          <w:smallCaps w:val="false"/>
          <w:sz w:val="20"/>
        </w:rPr>
        <w:t>60067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3" w:name="xdx_906_edei--CityAreaCode_c20260309__20"/>
      <w:bookmarkEnd w:id="13"/>
      <w:r>
        <w:rPr>
          <w:rFonts w:ascii="Times New Roman;Times;Serif" w:hAnsi="Times New Roman;Times;Serif"/>
          <w:b/>
          <w:i w:val="false"/>
          <w:caps w:val="false"/>
          <w:smallCaps w:val="false"/>
          <w:sz w:val="20"/>
        </w:rPr>
        <w:t xml:space="preserve">847) </w:t>
      </w:r>
      <w:bookmarkStart w:id="14" w:name="xdx_90B_edei--LocalPhoneNumber_c20260309"/>
      <w:bookmarkEnd w:id="14"/>
      <w:r>
        <w:rPr>
          <w:rFonts w:ascii="Times New Roman;Times;Serif" w:hAnsi="Times New Roman;Times;Serif"/>
          <w:b/>
          <w:i w:val="false"/>
          <w:caps w:val="false"/>
          <w:smallCaps w:val="false"/>
          <w:sz w:val="20"/>
        </w:rPr>
        <w:t>705-7709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065" w:type="dxa"/>
        <w:jc w:val="left"/>
        <w:tblInd w:w="0" w:type="dxa"/>
        <w:tblLayout w:type="fixed"/>
        <w:tblCellMar>
          <w:top w:w="0" w:type="dxa"/>
          <w:left w:w="0" w:type="dxa"/>
          <w:bottom w:w="0" w:type="dxa"/>
          <w:right w:w="0" w:type="dxa"/>
        </w:tblCellMar>
      </w:tblPr>
      <w:tblGrid>
        <w:gridCol w:w="3410"/>
        <w:gridCol w:w="1925"/>
        <w:gridCol w:w="4730"/>
      </w:tblGrid>
      <w:tr>
        <w:trPr/>
        <w:tc>
          <w:tcPr>
            <w:tcW w:w="3410"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Title of Each Class</w:t>
            </w:r>
          </w:p>
        </w:tc>
        <w:tc>
          <w:tcPr>
            <w:tcW w:w="1925" w:type="dxa"/>
            <w:tcBorders/>
            <w:vAlign w:val="center"/>
          </w:tcPr>
          <w:p>
            <w:pPr>
              <w:pStyle w:val="TableContents"/>
              <w:bidi w:val="0"/>
              <w:spacing w:before="0" w:after="283"/>
              <w:jc w:val="left"/>
              <w:rPr>
                <w:b/>
                <w:u w:val="single"/>
              </w:rPr>
            </w:pPr>
            <w:r>
              <w:rPr>
                <w:b/>
                <w:u w:val="single"/>
              </w:rPr>
              <w:t>Trading Symbol(s)</w:t>
            </w:r>
          </w:p>
        </w:tc>
        <w:tc>
          <w:tcPr>
            <w:tcW w:w="4730" w:type="dxa"/>
            <w:tcBorders/>
            <w:vAlign w:val="center"/>
          </w:tcPr>
          <w:p>
            <w:pPr>
              <w:pStyle w:val="TableContents"/>
              <w:bidi w:val="0"/>
              <w:spacing w:before="0" w:after="283"/>
              <w:jc w:val="left"/>
              <w:rPr>
                <w:b/>
                <w:u w:val="single"/>
              </w:rPr>
            </w:pPr>
            <w:r>
              <w:rPr>
                <w:b/>
                <w:u w:val="single"/>
              </w:rPr>
              <w:t>Name of Each Exchange on Which Registered</w:t>
            </w:r>
          </w:p>
        </w:tc>
      </w:tr>
      <w:tr>
        <w:trPr/>
        <w:tc>
          <w:tcPr>
            <w:tcW w:w="3410" w:type="dxa"/>
            <w:tcBorders/>
            <w:vAlign w:val="center"/>
          </w:tcPr>
          <w:p>
            <w:pPr>
              <w:pStyle w:val="TableContents"/>
              <w:bidi w:val="0"/>
              <w:spacing w:before="0" w:after="283"/>
              <w:jc w:val="left"/>
              <w:rPr>
                <w:rFonts w:ascii="Times New Roman;Times;Serif" w:hAnsi="Times New Roman;Times;Serif"/>
                <w:sz w:val="20"/>
              </w:rPr>
            </w:pPr>
            <w:bookmarkStart w:id="15" w:name="xdx_904_edei--Security12bTitle_c20260309"/>
            <w:bookmarkEnd w:id="15"/>
            <w:r>
              <w:rPr>
                <w:rFonts w:ascii="Times New Roman;Times;Serif" w:hAnsi="Times New Roman;Times;Serif"/>
                <w:sz w:val="20"/>
              </w:rPr>
              <w:t>Common Stock, $0.01 par value per share</w:t>
            </w:r>
          </w:p>
        </w:tc>
        <w:tc>
          <w:tcPr>
            <w:tcW w:w="1925" w:type="dxa"/>
            <w:tcBorders/>
            <w:vAlign w:val="center"/>
          </w:tcPr>
          <w:p>
            <w:pPr>
              <w:pStyle w:val="TableContents"/>
              <w:bidi w:val="0"/>
              <w:spacing w:before="0" w:after="283"/>
              <w:jc w:val="left"/>
              <w:rPr/>
            </w:pPr>
            <w:bookmarkStart w:id="16" w:name="xdx_90C_edei--TradingSymbol_c20260309__2"/>
            <w:bookmarkEnd w:id="16"/>
            <w:r>
              <w:rPr/>
              <w:t>ACUR</w:t>
            </w:r>
          </w:p>
        </w:tc>
        <w:tc>
          <w:tcPr>
            <w:tcW w:w="4730" w:type="dxa"/>
            <w:tcBorders/>
            <w:vAlign w:val="center"/>
          </w:tcPr>
          <w:p>
            <w:pPr>
              <w:pStyle w:val="TableContents"/>
              <w:bidi w:val="0"/>
              <w:spacing w:before="0" w:after="283"/>
              <w:jc w:val="left"/>
              <w:rPr/>
            </w:pPr>
            <w:r>
              <w:rPr/>
              <w:t>OTC Market – OTC Expert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7" w:name="xdx_901_edei--WrittenCommunications_c202"/>
            <w:bookmarkEnd w:id="17"/>
            <w:r>
              <w:rPr/>
              <w:t>☐</w:t>
            </w:r>
          </w:p>
        </w:tc>
        <w:tc>
          <w:tcPr>
            <w:tcW w:w="85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Written communications pursuant to Rule 425 under the Securities Act (17 CFR 230.425)</w:t>
            </w:r>
          </w:p>
        </w:tc>
      </w:tr>
    </w:tbl>
    <w:p>
      <w:pPr>
        <w:pStyle w:val="TextBody"/>
        <w:bidi w:val="0"/>
        <w:spacing w:before="0" w:after="0"/>
        <w:ind w:left="0" w:right="0" w:hanging="0"/>
        <w:jc w:val="both"/>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8" w:name="xdx_902_edei--SolicitingMaterial_c202603"/>
            <w:bookmarkEnd w:id="18"/>
            <w:r>
              <w:rPr/>
              <w:t>☐</w:t>
            </w:r>
          </w:p>
        </w:tc>
        <w:tc>
          <w:tcPr>
            <w:tcW w:w="85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Soliciting material pursuant to Rule 14a-12 under the Exchange Act (17 CFR 240.14a-12)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9" w:name="xdx_90D_edei--PreCommencementTenderOffer"/>
            <w:bookmarkEnd w:id="19"/>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14d-2(b) under the Exchange Act (17CFR240.14d-2(b))</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20" w:name="xdx_90E_edei--PreCommencementIssuerTende"/>
            <w:bookmarkEnd w:id="20"/>
            <w:r>
              <w:rPr/>
              <w:t>☐</w:t>
            </w:r>
          </w:p>
        </w:tc>
        <w:tc>
          <w:tcPr>
            <w:tcW w:w="9960" w:type="dxa"/>
            <w:tcBorders/>
            <w:vAlign w:val="center"/>
          </w:tcPr>
          <w:p>
            <w:pPr>
              <w:pStyle w:val="TableContents"/>
              <w:bidi w:val="0"/>
              <w:spacing w:before="0" w:after="283"/>
              <w:jc w:val="both"/>
              <w:rPr/>
            </w:pPr>
            <w:r>
              <w:rPr/>
              <w:t>Pre-commencement communications pursuant to Rule 13e-4(c) under the Exchange Act (17CFR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1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each of February 6, 2026, February 13, 2026 and March 9, 2026, we received loans of $100,000 from Abuse Deterrent Pharma, LLC (“AD Pharma”). These loans combined with previous loans made to the Company and combined with the $2,319,279 under the November 10, 2022 Amended Consolidated and Restated Secured Promissory Note, now has a principal balance of $9,894,279 with accrued interest of approximately $1,040,000 as of February 28, 2026, and bears interest at 5.25% (“Note”). The Events of default under the Note include, among other items, bankruptcy events, failure to pay interest and principal when due and such failure continues for 5 days, and if Acura is generally not, or is unable to, or admits in writing its inability to, pay its debts as those debts become due. If any amount payable hereunder is not paid when due (without regard to any applicable grace periods), whether at stated maturity, by acceleration, or otherwise, including upon an event of default, such overdue amount shall bear interest at the rate per annum of 7.5% from the date of such non-payment until such amount is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funding provided by AD Pharma will be used to meet day-to-day operation activity. There can be no assurance we will be successful in receiving additional financing. In the absence of the receipt of additional financing by end of March 2026, we will be required to scale back our operations, including the furlough and lay-off of employees, or to terminate operations and/or seek protection under applicable bankruptcy laws. This could result in a complete loss of shareholder value in the Company. Even assuming we are successful in securing additional sources of financing to fund continued operations, there can be no assurance that the proceeds of such financing will be sufficient to fund operations until such time, if at all, that we generate sufficient revenue from our products and product candidates to sustain and grow our operation.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inclusion of a description of the Note under Item 1.01 of this Current Report on Form 8-K shall not be deemed an acknowledgement that the Note is a material agreement not made, or deemed not to be made, in the ordinary course of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February 28, 2026, AD Pharma directly owns approximately 65% of the outstanding common stock of the Company. The ownership percentage of the Company held by AD Pharma does not include their warrant to purchase 10.0 million shares of common stock of the Company. AD Pharma is an entity controlled by Mr. Schutte, of which Mr. Schutte is the managing partner and investor. At February 28, 2026, Mr. Schutte directly owns approximately 13% of the outstanding common stock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2.01 – Completion of Acquisition or Disposition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contents of all Items 1.01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 Creation of a Direct Financial Obligation or an Obligation under an Off-Balance Sheet Arrangement of a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contents of all Items 1.01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Acura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in this Current Report constitute forward-looking statements within the meaning of the Private Securities Litigation Reform Act of 1995 and these forward-looking statements are made in reliance on the safe harbor provisions of Section 27A of the Securities Act of 1933, as amended, and Section 21E of the Securities Exchange Act of 1934, as amended.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may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the FDA will agree with or accept the results of our studies for our product candidates;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we can successfully submit a New Drug Application for LTX-03, request a priority review and whether such filings and requests will be accepted by the FDA;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obtain funding from Abuse Deterrent Pharma, LLC or other parties for our continuing operations, including the development of our products utilizing our LIMITx™ and Impede® technologies;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we can renegotiate the date by which we are required to obtain FDA acceptance, currently June 30, 2026, for an NDA for LTX-03 by our agreement with Abuse Deterrent Pharma, LLC on which we depend to finance operations;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we can renegotiate the date by which we are required to pay off the secured promissory note and accrued interest to Abuse Deterrent Pharma, LLC, currently June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our licensing partners will develop any additional products and utilize Acura for such development;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expected results of clinical studies relating to LTX-03, a LIMITx hydrocodone bitartrate and acetaminophen combination product, or any successor product candidate, the date by which such studies will be complete and the results will be available and whether LTX-03 will ultimately receive FDA approval;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business could be adversely affected by health epidemics in regions where third parties for which we rely, as in CROs or CMOs, have concentrations of clinical trial sites or other business operations, and could cause significant disruption in the operations of third-party manufacturers and CROs upon whom we rely;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LIMITx will retard the release of opioid active ingredients as dose levels increase;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the extent to which products formulated with the LIMITx Technology reduce respiratory depression will be determined sufficient by the FDA to support approval or labelling describing safety features;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and our licensee’s ability to successfully launch and commercialize our products and technologies;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results and timing of our development of our LIMITx Technology, including, but not limited to, the submission of a NDA and/or FDA filing acceptance;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or our licensees’ ability to obtain necessary regulatory approvals and commercialize products utilizing our technologies;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market acceptance of, timing of commercial launch and competitive environment for any of our products;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expectations regarding potential market share for our products;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develop and enter into additional license agreements for our product candidates using our technologies;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exposure to product liability and other lawsuits in connection with the commercialization of our products;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increasing cost of insurance and the availability of product liability insurance coverage;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ability to avoid infringement of patents, trademarks and other proprietary rights of third parties;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ability of our patents to protect our products from generic competition and our ability to protect and enforce our patent rights in any paragraph IV patent infringement litigation;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adequacy of the development program for our product candidates, including whether additional clinical studies will be required to support FDA approval of our product candidates;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changes in regulatory requirements;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adverse safety findings relating to our commercialized products or product candidates in development;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the FDA will agree with our analysis of our clinical and laboratory studies;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or when we are able to obtain FDA approval of labeling for our product candidates for the proposed indications and whether we will be able to promote the features of our technologies;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our product candidates will ultimately perform as intended in commercial settings.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In some cases, you can identify forward-looking statements by terms such as “aim”, </w:t>
      </w:r>
      <w:r>
        <w:rPr>
          <w:rFonts w:ascii="Times New Roman;Times;Serif" w:hAnsi="Times New Roman;Times;Serif"/>
          <w:b w:val="false"/>
          <w:i w:val="false"/>
          <w:caps w:val="false"/>
          <w:smallCaps w:val="false"/>
          <w:sz w:val="20"/>
        </w:rPr>
        <w:t xml:space="preserve">"anticipate", "believe", "could", "design", "estimate", "expect", "forecast", "goal", "guidance", "imply", “indicate”, "intend", "may", "objective", "opportunity", "outlook", "plan", "position", "potential", "predict", "project", "prospective", "pursue", "seek", "should", "strategy", "target", "would", "will", </w:t>
      </w:r>
      <w:r>
        <w:rPr>
          <w:rFonts w:ascii="Times New Roman;Times;Serif" w:hAnsi="Times New Roman;Times;Serif"/>
          <w:b w:val="false"/>
          <w:i w:val="false"/>
          <w:caps w:val="false"/>
          <w:smallCaps w:val="false"/>
          <w:sz w:val="20"/>
          <w:shd w:fill="FFFFFF" w:val="clear"/>
        </w:rPr>
        <w:t xml:space="preserve">and </w:t>
      </w:r>
      <w:r>
        <w:rPr>
          <w:rFonts w:ascii="Times New Roman;Times;Serif" w:hAnsi="Times New Roman;Times;Serif"/>
          <w:b w:val="false"/>
          <w:i w:val="false"/>
          <w:caps w:val="false"/>
          <w:smallCaps w:val="false"/>
          <w:sz w:val="20"/>
        </w:rPr>
        <w:t xml:space="preserve">other words of similar meaning, expressions, derivations of such words and the use of future dates </w:t>
      </w:r>
      <w:r>
        <w:rPr>
          <w:rFonts w:ascii="Times New Roman;Times;Serif" w:hAnsi="Times New Roman;Times;Serif"/>
          <w:b w:val="false"/>
          <w:i w:val="false"/>
          <w:caps w:val="false"/>
          <w:smallCaps w:val="false"/>
          <w:sz w:val="20"/>
          <w:shd w:fill="FFFFFF" w:val="clear"/>
        </w:rPr>
        <w:t>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w:t>
      </w:r>
      <w:r>
        <w:rPr>
          <w:rFonts w:ascii="Times New Roman;Times;Serif" w:hAnsi="Times New Roman;Times;Serif"/>
          <w:b w:val="false"/>
          <w:i w:val="false"/>
          <w:caps w:val="false"/>
          <w:smallCaps w:val="false"/>
          <w:sz w:val="20"/>
        </w:rPr>
        <w:t xml:space="preserve"> in Acura’s Annual Report on Form 10-K and Quarterly Reports on Form 10-Q filed with the U.S. Securities and Exchange Commission ("SEC") and in other filings Acura makes with the SEC from time to time. Investors and potential investors are urged not to place undue reliance on forward-looking statements in this communication, which speak only as of this date of the Current Report and are based on the Company’s current beliefs, assumptions, and expectations. While Acura may elect to update these forward-looking statements at some point in the future, it specifically disclaims any obligation to update or revise any forward-looking statements contained in this Current Report whether as a result of new information or future events, except as may be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0"/>
        <w:gridCol w:w="8805"/>
      </w:tblGrid>
      <w:tr>
        <w:trPr/>
        <w:tc>
          <w:tcPr>
            <w:tcW w:w="1400"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Exhibit Number</w:t>
            </w:r>
          </w:p>
        </w:tc>
        <w:tc>
          <w:tcPr>
            <w:tcW w:w="8805"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Description</w:t>
            </w:r>
          </w:p>
        </w:tc>
      </w:tr>
      <w:tr>
        <w:trPr/>
        <w:tc>
          <w:tcPr>
            <w:tcW w:w="1400" w:type="dxa"/>
            <w:tcBorders/>
            <w:vAlign w:val="center"/>
          </w:tcPr>
          <w:p>
            <w:pPr>
              <w:pStyle w:val="TableContents"/>
              <w:bidi w:val="0"/>
              <w:spacing w:before="0" w:after="283"/>
              <w:jc w:val="left"/>
              <w:rPr/>
            </w:pPr>
            <w:hyperlink w:anchor="tm268475d1_ex99-1.htm">
              <w:r>
                <w:rPr>
                  <w:rStyle w:val="InternetLink"/>
                  <w:rFonts w:ascii="Times New Roman;Times;Serif" w:hAnsi="Times New Roman;Times;Serif"/>
                  <w:sz w:val="20"/>
                </w:rPr>
                <w:t>99.1</w:t>
              </w:r>
            </w:hyperlink>
          </w:p>
        </w:tc>
        <w:tc>
          <w:tcPr>
            <w:tcW w:w="8805" w:type="dxa"/>
            <w:tcBorders/>
            <w:vAlign w:val="center"/>
          </w:tcPr>
          <w:p>
            <w:pPr>
              <w:pStyle w:val="TableContents"/>
              <w:bidi w:val="0"/>
              <w:spacing w:before="0" w:after="283"/>
              <w:jc w:val="both"/>
              <w:rPr/>
            </w:pPr>
            <w:hyperlink w:anchor="tm268475d1_ex99-1.htm">
              <w:r>
                <w:rPr>
                  <w:rStyle w:val="InternetLink"/>
                  <w:rFonts w:ascii="Times New Roman;Times;Serif" w:hAnsi="Times New Roman;Times;Serif"/>
                  <w:sz w:val="20"/>
                </w:rPr>
                <w:t>Amended Loan Schedule dated March 9, 2026 to the November 10, 2022 Amended, Consolidated and Restated Secured Promissory Note with Abuse Deterrent Pharma, LLC</w:t>
              </w:r>
            </w:hyperlink>
          </w:p>
        </w:tc>
      </w:tr>
      <w:tr>
        <w:trPr/>
        <w:tc>
          <w:tcPr>
            <w:tcW w:w="1400" w:type="dxa"/>
            <w:tcBorders/>
            <w:vAlign w:val="center"/>
          </w:tcPr>
          <w:p>
            <w:pPr>
              <w:pStyle w:val="TableContents"/>
              <w:bidi w:val="0"/>
              <w:spacing w:before="0" w:after="283"/>
              <w:jc w:val="left"/>
              <w:rPr/>
            </w:pPr>
            <w:r>
              <w:rPr/>
              <w:t>104</w:t>
            </w:r>
          </w:p>
        </w:tc>
        <w:tc>
          <w:tcPr>
            <w:tcW w:w="8805" w:type="dxa"/>
            <w:tcBorders/>
            <w:vAlign w:val="center"/>
          </w:tcPr>
          <w:p>
            <w:pPr>
              <w:pStyle w:val="TableContents"/>
              <w:bidi w:val="0"/>
              <w:spacing w:before="0" w:after="283"/>
              <w:jc w:val="both"/>
              <w:rPr/>
            </w:pPr>
            <w:r>
              <w:rPr/>
              <w:t>Cover Page Interactive Data File (embedded within Inline XBRL document)</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75"/>
        <w:gridCol w:w="365"/>
        <w:gridCol w:w="3875"/>
      </w:tblGrid>
      <w:tr>
        <w:trPr/>
        <w:tc>
          <w:tcPr>
            <w:tcW w:w="75" w:type="dxa"/>
            <w:tcBorders/>
            <w:vAlign w:val="center"/>
          </w:tcPr>
          <w:p>
            <w:pPr>
              <w:pStyle w:val="TableContents"/>
              <w:bidi w:val="0"/>
              <w:spacing w:before="0" w:after="283"/>
              <w:jc w:val="left"/>
              <w:rPr/>
            </w:pPr>
            <w:r>
              <w:rPr/>
              <w:t> </w:t>
            </w:r>
          </w:p>
        </w:tc>
        <w:tc>
          <w:tcPr>
            <w:tcW w:w="42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ACURA PHARMACEUTICALS, INC.</w:t>
            </w:r>
          </w:p>
        </w:tc>
      </w:tr>
      <w:tr>
        <w:trPr/>
        <w:tc>
          <w:tcPr>
            <w:tcW w:w="75" w:type="dxa"/>
            <w:tcBorders/>
            <w:vAlign w:val="center"/>
          </w:tcPr>
          <w:p>
            <w:pPr>
              <w:pStyle w:val="TableContents"/>
              <w:bidi w:val="0"/>
              <w:spacing w:before="0" w:after="283"/>
              <w:jc w:val="left"/>
              <w:rPr/>
            </w:pPr>
            <w:r>
              <w:rPr/>
              <w:t> </w:t>
            </w:r>
          </w:p>
        </w:tc>
        <w:tc>
          <w:tcPr>
            <w:tcW w:w="42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8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Robert A. Seiser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A. Seiser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&amp; 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500"/>
        <w:gridCol w:w="132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w:t>
            </w:r>
          </w:p>
        </w:tc>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8475d1_ex99-1.htm"/>
      <w:bookmarkStart w:id="23" w:name="kstm268475d1_ex991"/>
      <w:bookmarkEnd w:id="22"/>
      <w:bookmarkEnd w:id="2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Loan Schedule to Secured Promissory Note dated November 10,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between Acura Pharmaceuticals, Inc. and Abuse Deterrent Pharma, LLC</w:t>
      </w:r>
    </w:p>
    <w:p>
      <w:pPr>
        <w:pStyle w:val="TextBody"/>
        <w:bidi w:val="0"/>
        <w:spacing w:before="0" w:after="283"/>
        <w:jc w:val="left"/>
        <w:rPr/>
      </w:pPr>
      <w:r>
        <w:rPr/>
        <w:t>  </w:t>
      </w:r>
    </w:p>
    <w:tbl>
      <w:tblPr>
        <w:tblW w:w="8730" w:type="dxa"/>
        <w:jc w:val="left"/>
        <w:tblInd w:w="0" w:type="dxa"/>
        <w:tblLayout w:type="fixed"/>
        <w:tblCellMar>
          <w:top w:w="0" w:type="dxa"/>
          <w:left w:w="0" w:type="dxa"/>
          <w:bottom w:w="0" w:type="dxa"/>
          <w:right w:w="0" w:type="dxa"/>
        </w:tblCellMar>
      </w:tblPr>
      <w:tblGrid>
        <w:gridCol w:w="5375"/>
        <w:gridCol w:w="60"/>
        <w:gridCol w:w="60"/>
        <w:gridCol w:w="980"/>
        <w:gridCol w:w="60"/>
        <w:gridCol w:w="60"/>
        <w:gridCol w:w="125"/>
        <w:gridCol w:w="845"/>
        <w:gridCol w:w="60"/>
        <w:gridCol w:w="60"/>
        <w:gridCol w:w="125"/>
        <w:gridCol w:w="845"/>
        <w:gridCol w:w="75"/>
      </w:tblGrid>
      <w:tr>
        <w:trPr/>
        <w:tc>
          <w:tcPr>
            <w:tcW w:w="53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Aggregated</w:t>
              <w:br/>
              <w:t>Principal</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375" w:type="dxa"/>
            <w:tcBorders/>
            <w:shd w:fill="CCEEFF" w:val="clear"/>
            <w:vAlign w:val="center"/>
          </w:tcPr>
          <w:p>
            <w:pPr>
              <w:pStyle w:val="TableContents"/>
              <w:bidi w:val="0"/>
              <w:spacing w:before="0" w:after="283"/>
              <w:jc w:val="left"/>
              <w:rPr>
                <w:b/>
                <w:sz w:val="20"/>
              </w:rPr>
            </w:pPr>
            <w:r>
              <w:rPr>
                <w:b/>
                <w:sz w:val="20"/>
              </w:rPr>
              <w:t>Original Secured Promissory Note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2,319,279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2,319,279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FFFFFF" w:val="clear"/>
            <w:vAlign w:val="center"/>
          </w:tcPr>
          <w:p>
            <w:pPr>
              <w:pStyle w:val="TableContents"/>
              <w:bidi w:val="0"/>
              <w:spacing w:before="0" w:after="283"/>
              <w:jc w:val="left"/>
              <w:rPr>
                <w:b/>
                <w:sz w:val="20"/>
              </w:rPr>
            </w:pPr>
            <w:r>
              <w:rPr>
                <w:b/>
                <w:sz w:val="20"/>
              </w:rPr>
              <w:t>Additional Loans to be included: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sz w:val="20"/>
              </w:rPr>
            </w:pPr>
            <w:r>
              <w:rPr>
                <w:sz w:val="20"/>
              </w:rPr>
              <w:t>Loans #1 dated 12/22/2022 through Loans #50 dated 12/31/2025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45" w:type="dxa"/>
            <w:tcBorders/>
            <w:shd w:fill="CCEEFF" w:val="clear"/>
            <w:vAlign w:val="center"/>
          </w:tcPr>
          <w:p>
            <w:pPr>
              <w:pStyle w:val="TableContents"/>
              <w:bidi w:val="0"/>
              <w:spacing w:before="0" w:after="283"/>
              <w:jc w:val="right"/>
              <w:rPr>
                <w:sz w:val="20"/>
              </w:rPr>
            </w:pPr>
            <w:r>
              <w:rPr>
                <w:sz w:val="20"/>
              </w:rPr>
              <w:t>7,075,000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9,394,279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FFFFFF" w:val="clear"/>
            <w:vAlign w:val="center"/>
          </w:tcPr>
          <w:p>
            <w:pPr>
              <w:pStyle w:val="TableContents"/>
              <w:bidi w:val="0"/>
              <w:spacing w:before="0" w:after="283"/>
              <w:jc w:val="left"/>
              <w:rPr>
                <w:sz w:val="20"/>
              </w:rPr>
            </w:pPr>
            <w:r>
              <w:rPr>
                <w:sz w:val="20"/>
              </w:rPr>
              <w:t>Loan #51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9,494,279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CCEEFF" w:val="clear"/>
            <w:vAlign w:val="center"/>
          </w:tcPr>
          <w:p>
            <w:pPr>
              <w:pStyle w:val="TableContents"/>
              <w:bidi w:val="0"/>
              <w:spacing w:before="0" w:after="283"/>
              <w:jc w:val="left"/>
              <w:rPr>
                <w:sz w:val="20"/>
              </w:rPr>
            </w:pPr>
            <w:r>
              <w:rPr>
                <w:sz w:val="20"/>
              </w:rPr>
              <w:t>Loan #52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9,594,279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FFFFFF" w:val="clear"/>
            <w:vAlign w:val="center"/>
          </w:tcPr>
          <w:p>
            <w:pPr>
              <w:pStyle w:val="TableContents"/>
              <w:bidi w:val="0"/>
              <w:spacing w:before="0" w:after="283"/>
              <w:jc w:val="left"/>
              <w:rPr>
                <w:sz w:val="20"/>
              </w:rPr>
            </w:pPr>
            <w:r>
              <w:rPr>
                <w:sz w:val="20"/>
              </w:rPr>
              <w:t>Loan #53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9,694,279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CCEEFF" w:val="clear"/>
            <w:vAlign w:val="center"/>
          </w:tcPr>
          <w:p>
            <w:pPr>
              <w:pStyle w:val="TableContents"/>
              <w:bidi w:val="0"/>
              <w:spacing w:before="0" w:after="283"/>
              <w:jc w:val="left"/>
              <w:rPr>
                <w:sz w:val="20"/>
              </w:rPr>
            </w:pPr>
            <w:r>
              <w:rPr>
                <w:sz w:val="20"/>
              </w:rPr>
              <w:t>Loan #54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9,794,279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9,894,279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ACURA PHARMACEUTICALS, INC.  </w:t>
      </w:r>
    </w:p>
    <w:p>
      <w:pPr>
        <w:pStyle w:val="TextBody"/>
        <w:bidi w:val="0"/>
        <w:spacing w:before="0" w:after="0"/>
        <w:jc w:val="left"/>
        <w:rPr>
          <w:caps w:val="false"/>
          <w:smallCaps w:val="false"/>
        </w:rPr>
      </w:pPr>
      <w:r>
        <w:rPr>
          <w:caps w:val="false"/>
          <w:smallCaps w:val="false"/>
        </w:rPr>
        <w:t> </w:t>
      </w:r>
    </w:p>
    <w:tbl>
      <w:tblPr>
        <w:tblW w:w="2464" w:type="dxa"/>
        <w:jc w:val="left"/>
        <w:tblInd w:w="0" w:type="dxa"/>
        <w:tblLayout w:type="fixed"/>
        <w:tblCellMar>
          <w:top w:w="0" w:type="dxa"/>
          <w:left w:w="0" w:type="dxa"/>
          <w:bottom w:w="0" w:type="dxa"/>
          <w:right w:w="0" w:type="dxa"/>
        </w:tblCellMar>
      </w:tblPr>
      <w:tblGrid>
        <w:gridCol w:w="376"/>
        <w:gridCol w:w="2013"/>
        <w:gridCol w:w="75"/>
      </w:tblGrid>
      <w:tr>
        <w:trPr/>
        <w:tc>
          <w:tcPr>
            <w:tcW w:w="3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1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Robert A. Seiser     </w:t>
            </w:r>
          </w:p>
        </w:tc>
        <w:tc>
          <w:tcPr>
            <w:tcW w:w="75" w:type="dxa"/>
            <w:tcBorders/>
            <w:vAlign w:val="center"/>
          </w:tcPr>
          <w:p>
            <w:pPr>
              <w:pStyle w:val="TableContents"/>
              <w:bidi w:val="0"/>
              <w:spacing w:before="0" w:after="283"/>
              <w:jc w:val="left"/>
              <w:rPr/>
            </w:pPr>
            <w:r>
              <w:rPr/>
              <w:t> </w:t>
            </w:r>
          </w:p>
        </w:tc>
      </w:tr>
      <w:tr>
        <w:trPr/>
        <w:tc>
          <w:tcPr>
            <w:tcW w:w="23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A. Seiser</w:t>
            </w:r>
          </w:p>
        </w:tc>
        <w:tc>
          <w:tcPr>
            <w:tcW w:w="75" w:type="dxa"/>
            <w:tcBorders/>
            <w:vAlign w:val="center"/>
          </w:tcPr>
          <w:p>
            <w:pPr>
              <w:pStyle w:val="TableContents"/>
              <w:bidi w:val="0"/>
              <w:spacing w:before="0" w:after="283"/>
              <w:jc w:val="left"/>
              <w:rPr/>
            </w:pPr>
            <w:r>
              <w:rPr/>
              <w:t> </w:t>
            </w:r>
          </w:p>
        </w:tc>
      </w:tr>
      <w:tr>
        <w:trPr/>
        <w:tc>
          <w:tcPr>
            <w:tcW w:w="23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&amp; CFO</w:t>
            </w:r>
          </w:p>
        </w:tc>
        <w:tc>
          <w:tcPr>
            <w:tcW w:w="75" w:type="dxa"/>
            <w:tcBorders/>
            <w:vAlign w:val="center"/>
          </w:tcPr>
          <w:p>
            <w:pPr>
              <w:pStyle w:val="TableContents"/>
              <w:bidi w:val="0"/>
              <w:spacing w:before="0" w:after="283"/>
              <w:jc w:val="left"/>
              <w:rPr/>
            </w:pPr>
            <w:r>
              <w:rPr/>
              <w:t> </w:t>
            </w:r>
          </w:p>
        </w:tc>
      </w:tr>
      <w:tr>
        <w:trPr/>
        <w:tc>
          <w:tcPr>
            <w:tcW w:w="23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9,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2020</Words>
  <Characters>11045</Characters>
  <CharactersWithSpaces>13046</CharactersWithSpaces>
  <Paragraphs>324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