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48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______________________ to_______________________</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128905</wp:posOffset>
            </wp:positionV>
            <wp:extent cx="657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334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New York</w:t>
            </w:r>
          </w:p>
        </w:tc>
        <w:tc>
          <w:tcPr>
            <w:tcW w:w="510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2"/>
              </w:rPr>
              <w:t>(State or other Jurisdiction of</w:t>
            </w:r>
          </w:p>
        </w:tc>
        <w:tc>
          <w:tcPr>
            <w:tcW w:w="5100" w:type="dxa"/>
            <w:vAlign w:val="bottom"/>
          </w:tcPr>
          <w:p>
            <w:pPr>
              <w:jc w:val="center"/>
              <w:ind w:left="24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4"/>
              </w:rPr>
              <w:t>incorporation or organization)</w:t>
            </w:r>
          </w:p>
        </w:tc>
        <w:tc>
          <w:tcPr>
            <w:tcW w:w="5100" w:type="dxa"/>
            <w:vAlign w:val="bottom"/>
          </w:tcPr>
          <w:p>
            <w:pPr>
              <w:spacing w:after="0"/>
              <w:rPr>
                <w:sz w:val="20"/>
                <w:szCs w:val="20"/>
                <w:color w:val="auto"/>
              </w:rPr>
            </w:pPr>
          </w:p>
        </w:tc>
      </w:tr>
      <w:tr>
        <w:trPr>
          <w:trHeight w:val="414"/>
        </w:trPr>
        <w:tc>
          <w:tcPr>
            <w:tcW w:w="33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616 N. North Court, Suite 120</w:t>
            </w:r>
          </w:p>
        </w:tc>
        <w:tc>
          <w:tcPr>
            <w:tcW w:w="5100" w:type="dxa"/>
            <w:vAlign w:val="bottom"/>
          </w:tcPr>
          <w:p>
            <w:pPr>
              <w:spacing w:after="0"/>
              <w:rPr>
                <w:sz w:val="24"/>
                <w:szCs w:val="24"/>
                <w:color w:val="auto"/>
              </w:rPr>
            </w:pPr>
          </w:p>
        </w:tc>
      </w:tr>
      <w:tr>
        <w:trPr>
          <w:trHeight w:val="220"/>
        </w:trPr>
        <w:tc>
          <w:tcPr>
            <w:tcW w:w="334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Palatine, Illinois</w:t>
            </w:r>
          </w:p>
        </w:tc>
        <w:tc>
          <w:tcPr>
            <w:tcW w:w="510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12"/>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5100" w:type="dxa"/>
            <w:vAlign w:val="bottom"/>
          </w:tcPr>
          <w:p>
            <w:pPr>
              <w:jc w:val="center"/>
              <w:ind w:left="2430"/>
              <w:spacing w:after="0"/>
              <w:rPr>
                <w:sz w:val="20"/>
                <w:szCs w:val="20"/>
                <w:color w:val="auto"/>
              </w:rPr>
            </w:pPr>
            <w:r>
              <w:rPr>
                <w:rFonts w:ascii="Arial" w:cs="Arial" w:eastAsia="Arial" w:hAnsi="Arial"/>
                <w:sz w:val="18"/>
                <w:szCs w:val="18"/>
                <w:i w:val="1"/>
                <w:iCs w:val="1"/>
                <w:color w:val="auto"/>
                <w:w w:val="91"/>
              </w:rPr>
              <w:t>(Zip Code)</w:t>
            </w:r>
          </w:p>
        </w:tc>
      </w:tr>
      <w:tr>
        <w:trPr>
          <w:trHeight w:val="234"/>
        </w:trPr>
        <w:tc>
          <w:tcPr>
            <w:tcW w:w="3340" w:type="dxa"/>
            <w:vAlign w:val="bottom"/>
          </w:tcPr>
          <w:p>
            <w:pPr>
              <w:spacing w:after="0"/>
              <w:rPr>
                <w:sz w:val="20"/>
                <w:szCs w:val="20"/>
                <w:color w:val="auto"/>
              </w:rPr>
            </w:pPr>
          </w:p>
        </w:tc>
        <w:tc>
          <w:tcPr>
            <w:tcW w:w="5100" w:type="dxa"/>
            <w:vAlign w:val="bottom"/>
          </w:tcPr>
          <w:p>
            <w:pPr>
              <w:jc w:val="right"/>
              <w:ind w:right="3570"/>
              <w:spacing w:after="0"/>
              <w:rPr>
                <w:sz w:val="20"/>
                <w:szCs w:val="20"/>
                <w:color w:val="auto"/>
              </w:rPr>
            </w:pPr>
            <w:r>
              <w:rPr>
                <w:rFonts w:ascii="Arial" w:cs="Arial" w:eastAsia="Arial" w:hAnsi="Arial"/>
                <w:sz w:val="18"/>
                <w:szCs w:val="18"/>
                <w:b w:val="1"/>
                <w:bCs w:val="1"/>
                <w:color w:val="auto"/>
              </w:rPr>
              <w:t>847 705 7709</w:t>
            </w:r>
          </w:p>
        </w:tc>
      </w:tr>
    </w:tbl>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920"/>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340"/>
          </w:cols>
          <w:pgMar w:left="240" w:top="472" w:right="319" w:bottom="1440" w:gutter="0" w:footer="0" w:header="0"/>
        </w:sectPr>
      </w:pPr>
    </w:p>
    <w:p>
      <w:pPr>
        <w:spacing w:after="0" w:line="147" w:lineRule="exact"/>
        <w:rPr>
          <w:sz w:val="24"/>
          <w:szCs w:val="24"/>
          <w:color w:val="auto"/>
        </w:rPr>
      </w:pPr>
    </w:p>
    <w:p>
      <w:pPr>
        <w:ind w:left="340"/>
        <w:spacing w:after="0" w:line="342" w:lineRule="auto"/>
        <w:rPr>
          <w:sz w:val="20"/>
          <w:szCs w:val="20"/>
          <w:color w:val="auto"/>
        </w:rPr>
      </w:pPr>
      <w:r>
        <w:rPr>
          <w:rFonts w:ascii="Arial" w:cs="Arial" w:eastAsia="Arial" w:hAnsi="Arial"/>
          <w:sz w:val="16"/>
          <w:szCs w:val="16"/>
          <w:color w:val="auto"/>
        </w:rPr>
        <w:t>Large accelerated filer Non-accelerated filer þ</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3">
            <w:col w:w="2000" w:space="40"/>
            <w:col w:w="1820" w:space="720"/>
            <w:col w:w="6760"/>
          </w:cols>
          <w:pgMar w:left="240" w:top="472" w:right="31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30, 2014 the registrant had 48,847,982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2014 and December 31, 2013 (unaudited)</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and Comprehensive Income (Loss) for the Three and Nine months Ended</w:t>
              </w:r>
            </w:hyperlink>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2014 and September 30, 2013 (unaudited)</w:t>
              </w:r>
            </w:hyperlink>
          </w:p>
        </w:tc>
        <w:tc>
          <w:tcPr>
            <w:tcW w:w="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Nine months Ended September 30, 2014 (unaudited)</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Cash Flows for the Nine months Ended September 30, 2014 and September 30, 2013</w:t>
              </w:r>
            </w:hyperlink>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6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320" w:type="dxa"/>
            <w:vAlign w:val="bottom"/>
            <w:shd w:val="clear" w:color="auto" w:fill="CCEEFF"/>
          </w:tcPr>
          <w:p>
            <w:pPr>
              <w:spacing w:after="0"/>
              <w:rPr>
                <w:sz w:val="17"/>
                <w:szCs w:val="17"/>
                <w:color w:val="auto"/>
              </w:rPr>
            </w:pPr>
          </w:p>
        </w:tc>
        <w:tc>
          <w:tcPr>
            <w:tcW w:w="8700" w:type="dxa"/>
            <w:vAlign w:val="bottom"/>
            <w:gridSpan w:val="13"/>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760" w:type="dxa"/>
            <w:vAlign w:val="bottom"/>
            <w:tcBorders>
              <w:top w:val="single" w:sz="8" w:color="CCEEFF"/>
              <w:bottom w:val="single" w:sz="8" w:color="auto"/>
            </w:tcBorders>
            <w:gridSpan w:val="10"/>
          </w:tcPr>
          <w:p>
            <w:pPr>
              <w:jc w:val="right"/>
              <w:ind w:right="216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rPr>
              <w:t>ACURA PHARMACEUTICALS, INC. AND SUBSIDIARY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Marketable securities (Note 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13,313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$5 and $28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expenses (Note 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(Note 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Long-term portion of accrued interest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debt discount of $311 and $400 (Note 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$.01 par value per shares; 100,000 shares authorized, 48,848 and 48,325 shares issued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 and December 31, 2013,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366,691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jc w:val="center"/>
              <w:ind w:left="301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COMPREHENSIVE INCOME (LOSS) (Unaudited;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Nine months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8"/>
                <w:szCs w:val="18"/>
                <w:color w:val="auto"/>
              </w:rPr>
              <w:t>Ended September 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 of sales (excludes inventory write-down)</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3,674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5,903</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on sales of marketable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9)</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income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6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48,922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47,458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48,871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48,922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47,458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48,871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ind w:left="800"/>
              <w:spacing w:after="0"/>
              <w:rPr>
                <w:sz w:val="20"/>
                <w:szCs w:val="20"/>
                <w:color w:val="auto"/>
              </w:rPr>
            </w:pPr>
            <w:r>
              <w:rPr>
                <w:rFonts w:ascii="Arial" w:cs="Arial" w:eastAsia="Arial" w:hAnsi="Arial"/>
                <w:sz w:val="18"/>
                <w:szCs w:val="18"/>
                <w:color w:val="auto"/>
                <w:w w:val="91"/>
              </w:rPr>
              <w:t>Nine months Ended September 30, 2014</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320"/>
              <w:spacing w:after="0" w:line="195" w:lineRule="exact"/>
              <w:rPr>
                <w:sz w:val="20"/>
                <w:szCs w:val="20"/>
                <w:color w:val="auto"/>
              </w:rPr>
            </w:pPr>
            <w:r>
              <w:rPr>
                <w:rFonts w:ascii="Arial" w:cs="Arial" w:eastAsia="Arial" w:hAnsi="Arial"/>
                <w:sz w:val="18"/>
                <w:szCs w:val="18"/>
                <w:color w:val="auto"/>
                <w:w w:val="96"/>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Amount</w:t>
            </w: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Income (Loss)</w:t>
            </w: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restricted stock units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issuance of common stock pursuant to cashless</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stock options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 exercise of stock</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366,691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(359,625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(10,513)</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sales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refundable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deferred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product rights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w w:val="92"/>
              </w:rPr>
              <w:t>Statutory minimum withholding taxes paid on the distribution of common stock pursuant to restricted stock unit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plan and exercise of stock options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“at-the-market” offering</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Offering transaction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decreases in cash and cash equivalents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12,340</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(refunded) during the year for: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Interest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net of refunds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4 thousand shares for $7 in exercise costs and withholding 315 thousand shares for $525 in statutory minimum payroll taxes; we issued 510 thousand shares of common stock.</w:t>
      </w: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and after withholding 16 thousand shares for $32 in exercise costs and withholding 2 thousand shares for $4 in statutory minimum payroll taxes, we issued 6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2013</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$0.7 million in statutory minimum payroll taxes; we issued 505 thousand shares of common stock.</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7 thousand shares of common stock were exercised utilizing various cashless exercise features of the stock option plan and after withholding 3 thousand shares for $9 in exercise costs and withholding 1 thousand shares for $4 in statutory minimum payroll taxes, we issued 3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SEPTEMBER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oxycodone HCl tablets, CII formulated with Aversion® Technology, or Aversion® Oxycodone, is the first approved product utilizing Aversion®. Aversion Oxycodone was marketed by Pfizer Inc. under the brand name Oxecta® pursuant to our license agreement with Pfizer. Such license agreement was terminated effective April 9, 2014 and we have re-acquired all rights to Aversion Oxycodone. We have also developed our Impede® Technology which is a combination of inactive ingredients that prevent the extraction of pseudoephedrine from tablets and disrupt the direct conversion of pseudoephedrine from tablets into methamphetamine. In mid-December 2012 we launched in the United States Nexafed® (pseudoephedrine HC1) tablets formulated with our Impede Technology.</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and nine months ended September 30, 2014 are not necessarily indicative of results expected for the full year ending December 31, 2014. These unaudited consolidated financial statements should be read in conjunction with the audited consolidated financial statements and footnotes thereto for the year ended December 31, 2013 included in the Company's Annual Report on Form 10-K filed with the Securities and Exchange Commission. The 2013 year-end consolidated balance sheet presented in this Report was derived from the Company’s 2013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2016,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method by which we will adopt the standard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 On September 24, 2012, we entered into a letter agreement with Pfizer which provided for the termination of Pfizer’s license to our Aversion Technology used in three development-stage products licensed to Pfizer and for the return of these products to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On April 9, 2014, we entered into a second letter agreement with Pfizer providing for the termination of the Pfizer Agreement and the return of Aversion Oxycodone to us effective April 9, 2014. The letter agreement further provides that (i) Pfizer will cease the development, marketing and sale of any product using our technologies effective April 9, 2014, (ii) Pfizer will retain its Oxecta® trademark, (iii) Pfizer will transfer to us of all studies, data, regulatory filings (including the NDA) and all other information relating to Aversion Oxycodone pursuant to a transition process described in the letter agreement, (iv) we will remit to Pfizer a one-time termination payment of $2.0 million, and (v) each party waives all claims against the other relating to the Pfizer Agreement. Pfizer’s royalty payment obligations relating to Aversion Oxycodone ceased effective April 9, 2014 and all royalty payments due to us have been received. Our termination payment of $2.0 million has been recorded on our financial statements as an intangible asset and will be amortized over the remaining useful life of the patent. The intangible asset will be periodically assessed on its recorded value for impairment. We plan to enter into a license agreement with another pharmaceutical company for the manufacture and sale of Aversion Oxycodone in the United States and possibly other territories, of which no assurance can be given.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about September 17, 2012, we believe the FDA internally changed the status of Aversion Oxycodone to be considered a Reference Listed Drug, or RLD. An RLD is the standard to which all generic versions must be shown to be bioequivalent and a drug company seeking approval to market a generic equivalent must refer to the RLD. By designating Aversion Oxycodone as an RLD, the FDA was allowed to accept ANDAs referencing Aversion Oxycodone.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Aversion Oxycodone as the reference listed drug. Since such date, we have received similar Paragraph IV Notices from three other generic pharmaceutical companies that have filed ANDAs listing Aversion Oxycodone as the reference drug. The Paragraph IV Notices refer to our U.S. Patent Numbers 7,201,920, 7,510,726 and 7,981,439, which cover our Aversion Technology and Aversion Oxycodone.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Aversion Oxycodone product in advance of our patent expiring.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Aversion Oxycodone product for which each of Par and Impax is separately seeking approval to market in the United States pursuant to an ANDA filing with the FDA infringes a U.S. patent owned by us. Par is the first filer of an ANDA for a generic Aversion Oxycodone product and is entitled to the 180-day first filer exclusivity under applicable law and FDA regulations.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Settlement Agreement with Par, Par may launch its generic Aversion Oxycodone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Aversion Oxycodone product.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Aversion Oxycodone product in the U.S., through the grant of a non-exclusive, royalty-free license from us that would trigger 180 days following the first sale of a generic Aversion Oxycodone product in the U.S. by an entity that is entitled to the 180 day first-filer exclusivity under applicable law and FDA regulations (or if no entity is entitled to such 180 day exclusivity period, the date on which a generic Aversion Oxycodone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2014, we announced that we had entered into a Settlement Agreement with Ranbaxy Inc. to settle our patent infringement action pending in the United States District Court for the District of Delaware. In the suit, we alleged that a generic of our Aversion Oxycodone product for which Ranbaxy is seeking approval to market in the United States pursuant to an ANDA filed with the FDA infringes U.S. patents owned by us. The Settlement Agreement provides that Ranbaxy’s current generic of our Aversion Oxycodone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Aversion Oxycodone product.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AVERSION® oxycodone product for which Sandoz is seeking approval to market in the United States pursuant to an ANDA filed with the FDA infringes a U.S. patent owned by us. Under the Settlement Agreement, Sandoz may launch its generic to the AVERSION® oxycodone product in the U.S., through the grant of a non-exclusive license from us that would trigger 180 days following the first sale of a generic to the AVERSION® oxycodone product in the U.S. by an entity that is entitled to the 180 day first-filer exclusivity under applicable law and FDA regulations (or if no entity is entitled to such 180 day exclusivity period, the date on which a generic to the AVERSION® oxycodone product is first sold in the U.S). In certain circumstances, our license to Sandoz would become effective prior to such time. Sandoz is not obligated to pay us a royalty if its current formulation of its generic to the AVERSION® oxycodone product is approved by the FDA. In the event Sandoz changes or modifies the structure of its generic AVERSION® oxycodone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AVERSION® oxycodone product in the United States.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is inherently uncertain and we cannot predict the outcome of these infringement actions. It is possible that other generic manufacturers may also seek to launch a generic version of Aversion Oxycodone and challenge our patents. Any determination in such infringement actions that our patents covering our Aversion Technology and Aversion Oxycodone are invalid or unenforceable, in whole or in part, or that the products covered by generic sponsors’ ANDAs do not infringe our patents could have a material adverse effect on our operations and financial condition.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designating Aversion Oxycodone as an RLD, we believe the FDA has acknowledged that Aversion Oxycodone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draft guidance on the development of abuse-deterrent drug products in January 2013. We believe the ANDA applicants that refer to Aversion Oxycodone as an RLD will have to have substantially equivalent, if not identical, abuse deterrent characteristics to be considered by the FDA as therapeutically equivalent to Aversion Oxycodone. There can be no assurance, however, that FDA will rely on such guidance for ANDA applicants.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We record revenue from our Nexafed product sales when the price is fixed and determinable at the date of sale, title and risk of ownership have been transferred to the customer, and returns can be reasonably estimated.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Nexafed was launched in mid-December 2012. We sell Nexafed in the United States to wholesale pharmaceutical distributors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we currently cannot reliably estimate expected returns of the product at the time of shipment to certain customers. Accordingly, at September 30, 2014 we had deferred the recognition of revenue on $0.23 million of Nexafed shipments to these customers until the right of return no longer exists or adequate history and information becomes available to estimate product returns.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Aversion Oxycodone by Pfizer. We have earned royalties of approximately $4 thousand for the nine months ended September 30, 2014. The Pfizer Agreement was terminated effective April 9, 2014 and Pfizer’s royalty payment obligations ceased as of such date. All royalties owed to us have been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Nexafed during each of the three month periods ended September 30, 2014 and 2013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expenses are subject to revisions as such studies progress to completion. Revisions are charged to expense in the period in which the facts that give rise to the revision become known. We had $0.2 million in accrued CRO expenses and clinical trial study and regulatory expenses at September 30, 2014. We did not have any of these accrued expenses at December 31, 2013. At December 31, 2013, we had $0.36 million of prepaid CRO costs and clinical trial study and regulatory expenses. We did not have any of these prepaid expenses at September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060" w:type="dxa"/>
            <w:vAlign w:val="bottom"/>
            <w:gridSpan w:val="4"/>
          </w:tcPr>
          <w:p>
            <w:pPr>
              <w:ind w:left="1440"/>
              <w:spacing w:after="0"/>
              <w:rPr>
                <w:sz w:val="20"/>
                <w:szCs w:val="20"/>
                <w:color w:val="auto"/>
              </w:rPr>
            </w:pPr>
            <w:r>
              <w:rPr>
                <w:rFonts w:ascii="Arial" w:cs="Arial" w:eastAsia="Arial" w:hAnsi="Arial"/>
                <w:sz w:val="18"/>
                <w:szCs w:val="18"/>
                <w:color w:val="auto"/>
                <w:w w:val="98"/>
              </w:rPr>
              <w:t>September 30, 2014</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2013</w:t>
            </w:r>
          </w:p>
        </w:tc>
      </w:tr>
      <w:tr>
        <w:trPr>
          <w:trHeight w:val="210"/>
        </w:trPr>
        <w:tc>
          <w:tcPr>
            <w:tcW w:w="58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EEFF"/>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through 3 years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Corporate bonds — maturing after 3 through 4 years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marketable securities are classified as available-for-sale and are recorded at fair value based on quoted market prices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6"/>
          <w:szCs w:val="16"/>
          <w:color w:val="111111"/>
        </w:rPr>
        <w:t>in response to changes in market prices or interest rates, to realign our investment concentrations or to meet our working capital needs.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our available-for-sale securities (in millions):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September 30, 2014</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4"/>
              <w:spacing w:after="0" w:line="195" w:lineRule="exact"/>
              <w:rPr>
                <w:sz w:val="20"/>
                <w:szCs w:val="20"/>
                <w:color w:val="auto"/>
              </w:rPr>
            </w:pPr>
            <w:r>
              <w:rPr>
                <w:rFonts w:ascii="Arial" w:cs="Arial" w:eastAsia="Arial" w:hAnsi="Arial"/>
                <w:sz w:val="18"/>
                <w:szCs w:val="18"/>
                <w:color w:val="auto"/>
              </w:rPr>
              <w:t>Gross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r>
      <w:tr>
        <w:trPr>
          <w:trHeight w:val="421"/>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13.3</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34"/>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439"/>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8"/>
                <w:szCs w:val="18"/>
                <w:color w:val="auto"/>
              </w:rPr>
              <w:t>December 31, 2013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r>
      <w:tr>
        <w:trPr>
          <w:trHeight w:val="425"/>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13.7</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3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-2014855</wp:posOffset>
            </wp:positionV>
            <wp:extent cx="57975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-1731645</wp:posOffset>
            </wp:positionV>
            <wp:extent cx="57975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-582295</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-299720</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920" w:space="720"/>
            <w:col w:w="5780"/>
          </w:cols>
          <w:pgMar w:left="240" w:top="881" w:right="2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September 30, 2014 and December 31, 2013 consisted of the following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 2014</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7"/>
              <w:spacing w:after="0"/>
              <w:rPr>
                <w:sz w:val="20"/>
                <w:szCs w:val="20"/>
                <w:color w:val="auto"/>
              </w:rPr>
            </w:pPr>
            <w:r>
              <w:rPr>
                <w:rFonts w:ascii="Arial" w:cs="Arial" w:eastAsia="Arial" w:hAnsi="Arial"/>
                <w:sz w:val="18"/>
                <w:szCs w:val="18"/>
                <w:color w:val="auto"/>
                <w:w w:val="98"/>
              </w:rPr>
              <w:t>(in millions)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040" w:type="dxa"/>
            <w:vAlign w:val="bottom"/>
            <w:gridSpan w:val="2"/>
          </w:tcPr>
          <w:p>
            <w:pPr>
              <w:jc w:val="right"/>
              <w:ind w:right="53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3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9"/>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17"/>
              <w:spacing w:after="0"/>
              <w:rPr>
                <w:sz w:val="20"/>
                <w:szCs w:val="20"/>
                <w:color w:val="auto"/>
              </w:rPr>
            </w:pPr>
            <w:r>
              <w:rPr>
                <w:rFonts w:ascii="Arial" w:cs="Arial" w:eastAsia="Arial" w:hAnsi="Arial"/>
                <w:sz w:val="18"/>
                <w:szCs w:val="18"/>
                <w:color w:val="auto"/>
                <w:w w:val="89"/>
              </w:rPr>
              <w:t>December 31, 2013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7"/>
              <w:spacing w:after="0"/>
              <w:rPr>
                <w:sz w:val="20"/>
                <w:szCs w:val="20"/>
                <w:color w:val="auto"/>
              </w:rPr>
            </w:pPr>
            <w:r>
              <w:rPr>
                <w:rFonts w:ascii="Arial" w:cs="Arial" w:eastAsia="Arial" w:hAnsi="Arial"/>
                <w:sz w:val="18"/>
                <w:szCs w:val="18"/>
                <w:color w:val="auto"/>
                <w:w w:val="98"/>
              </w:rPr>
              <w:t>(in millions)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040" w:type="dxa"/>
            <w:vAlign w:val="bottom"/>
            <w:gridSpan w:val="2"/>
          </w:tcPr>
          <w:p>
            <w:pPr>
              <w:jc w:val="right"/>
              <w:ind w:right="53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02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3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September 30, 2014 consisted of unrealized gains on securities of $25 thousand. Accumulated other comprehensive income (loss) at December 31, 2013 consisted of unrealized gains on securities of $19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Comprehensive income (loss) includes all changes in equity during a period except those that resulted from investments by or distributions to our stockholders. Other comprehensive income (loss) refers to revenues, expenses, gains and losses that, under GAAP, are included in comprehensive income (loss), but excluded from net income (loss) as these amounts are recorded directly as an adjustment to stockholders’ equity. Our other comprehensive income (loss) is composed of unrealized gains (losses) on certain holdings of marketable securities, net of any realized gains (losses) included in net income (loss).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both raw and packaging materials on our Aversion Oxycodone product and finished goods held for distribution and sale on our Nexafed product. Inventories are stated at the lower of cost (first-in, first-out method) or market (net realizable value). We write down inventories to net realizable value based on forecasted demand and market conditions, which may differ from actual results. Our inventory reserve activities during the nine months ended September 30, 2014 was to record a $0.2 million reserve expense and have actual Nexafed inventory write-offs of $0.45 million.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related cost of sales on $0.23 million deferred revenue from our Nexafed shipments is excluded from the value of the September 30, 2014 inventories and is reported in our balance sheet in the other current deferred assets account. We will recognize the revenue and cost of sales on these Nexafed shipments once the right of return no longer exists or adequate history and information becomes available to estimate product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w:t>
            </w:r>
          </w:p>
        </w:tc>
        <w:tc>
          <w:tcPr>
            <w:tcW w:w="4120" w:type="dxa"/>
            <w:vAlign w:val="bottom"/>
            <w:gridSpan w:val="3"/>
            <w:vMerge w:val="restart"/>
          </w:tcPr>
          <w:p>
            <w:pPr>
              <w:ind w:left="3080"/>
              <w:spacing w:after="0"/>
              <w:rPr>
                <w:sz w:val="20"/>
                <w:szCs w:val="20"/>
                <w:color w:val="auto"/>
              </w:rPr>
            </w:pPr>
            <w:r>
              <w:rPr>
                <w:rFonts w:ascii="Arial" w:cs="Arial" w:eastAsia="Arial" w:hAnsi="Arial"/>
                <w:sz w:val="18"/>
                <w:szCs w:val="18"/>
                <w:color w:val="auto"/>
                <w:w w:val="86"/>
              </w:rPr>
              <w:t>September 30,</w:t>
            </w:r>
          </w:p>
        </w:tc>
        <w:tc>
          <w:tcPr>
            <w:tcW w:w="12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20" w:type="dxa"/>
            <w:vAlign w:val="bottom"/>
            <w:gridSpan w:val="3"/>
            <w:vMerge w:val="continue"/>
          </w:tcPr>
          <w:p>
            <w:pPr>
              <w:spacing w:after="0"/>
              <w:rPr>
                <w:sz w:val="18"/>
                <w:szCs w:val="18"/>
                <w:color w:val="auto"/>
              </w:rPr>
            </w:pPr>
          </w:p>
        </w:tc>
        <w:tc>
          <w:tcPr>
            <w:tcW w:w="126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3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Inventory</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inventory reserve for finished goods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Inventory</w:t>
            </w:r>
          </w:p>
        </w:tc>
        <w:tc>
          <w:tcPr>
            <w:tcW w:w="3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960" w:type="dxa"/>
            <w:vAlign w:val="bottom"/>
            <w:gridSpan w:val="3"/>
          </w:tcPr>
          <w:p>
            <w:pPr>
              <w:ind w:left="1920"/>
              <w:spacing w:after="0"/>
              <w:rPr>
                <w:sz w:val="20"/>
                <w:szCs w:val="20"/>
                <w:color w:val="auto"/>
              </w:rPr>
            </w:pPr>
            <w:r>
              <w:rPr>
                <w:rFonts w:ascii="Arial" w:cs="Arial" w:eastAsia="Arial" w:hAnsi="Arial"/>
                <w:sz w:val="18"/>
                <w:szCs w:val="18"/>
                <w:color w:val="auto"/>
                <w:w w:val="86"/>
              </w:rPr>
              <w:t>September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11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bonus and benefits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80" w:type="dxa"/>
            <w:vAlign w:val="bottom"/>
            <w:gridSpan w:val="2"/>
            <w:shd w:val="clear" w:color="auto" w:fill="CCEEFF"/>
          </w:tcPr>
          <w:p>
            <w:pPr>
              <w:jc w:val="right"/>
              <w:ind w:right="54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 current portion</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Franchise taxes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Contract manufacturing services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Clinical and regulatory services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27, 2013, we entered into a Loan and Security Agreement (the “Loan Agreement”) with Oxford Finance LLC (“Oxford” or the “Lender”), for a term loan to us in the principal amount of $10.0 million (the “Term Loan”). The full principal amount of the Term Loan was funded on December 27, 2013. We may use the proceeds of the Loan Agreement for general working capital and to fund our business requirements. We estimate the fair value of our notes payable to be its carrying value due to its recent funding.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Term Loan accrues interest at a fixed rate of 8.35% per annum (with a default rate of 13.35% per annum). We are required to make monthly interest−only payments until the Amortization Date and starting on the Amortization Date, we are required to make payments of principal and accrued interest in equal monthly installments sufficient to amortize the Term Loan through the maturity date of December 1, 2018. The “Amortization Date” is April 1, 2015, but shall automatically become April 1, 2016 if we achieve 75% of our projected Nexafed cash receipts and 75% of our projected Aversion Oxycodone cash receipts for the fiscal year ending December 31, 2014 (collectively, the “First Revenue Event”). The Amortization Date will be further deferred until April 1, 2017 if the First Revenue Event occurs and in addition we achieve 75% of our projected Nexafed cash receipts and 75% of our projected Aversion Oxycodone cash receipts for the fiscal year ending December 31, 2015 (collectively, the “Second Revenue Event”). In view of the termination of the Pfizer Agreement in April 2014 and the return of Aversion Oxycodone to us, and the absence of sales of Aversion Oxycodone since such date pending the completion of a license agreement with another pharmaceutical company for the manufacture and sale of Aversion Oxycodone, we expect the Amortization Date of the Term Loan with Oxford will be April 1, 2015, at which date we will commence repayment of principal under the Term Loan. All unpaid principal and accrued and unpaid interest with respect to the Term Loan is due and payable in full on December 1, 2018. As security for our obligations under the Loan Agreement, we granted Lender a security interest in substantially all of our existing and after−acquired assets, exclusive of our intellectual property assets. Pursuant to the Loan Agreement, we are not allowed to pledge our intellectual property assets to others.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3% of the principal prepaid if prepaid on or prior to December 27, 2014, 2% of the principal prepaid, if prepaid after December 27, 2014 but on or prior to December 27, 2015, and 1% of the principal prepaid if prepaid after December 27, 2015. In addition, at the maturity, termination or upon voluntary or mandatory prepayment of the Term Loan we must pay the Lender an additional one-time interest payment of (A) $795 thousand if the First Revenue Event does not occur, (B) $895 thousand if the First Revenue Event occurs but the Second Revenue Event does not occur, or (C) $995 thousand if both the First Revenue Event and the Second Revenue Event occur. We will incur and accrue additional monthly interest expense over the term of the loan for this additional one-time interest payment using the loan’s effective interest rate.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obligated to pay customary lender fees and expenses, including a one-time facility fee of $50 thousand and the Lender’s expenses in connection with the Loan Agreement. Combined with our own expenses and a $100 thousand consulting placement fee, we incurred $231 thousand in deferred debt issue costs. We will amortize those costs to interest expense over the term of the loan using the loan’s effective interest 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the Lender to cause any or all of our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issued to the Lender warrants to purchase an aggregate of up to 298 thousand shares of our common stock at an exercise price equal to $1.595 per share (the “Warrants”). We recorded $400 thousand as debt discount associated with the fair value of the Warrants and will amortize those costs to interest expense over the term of the loan using the loan’s effective interest rate. The Warrants are immediately exercisable for cash or by net exercise and will expire December 27,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consisted of the following:</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4"/>
          </w:tcPr>
          <w:p>
            <w:pPr>
              <w:jc w:val="right"/>
              <w:ind w:right="117"/>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40" w:type="dxa"/>
            <w:vAlign w:val="bottom"/>
            <w:gridSpan w:val="4"/>
          </w:tcPr>
          <w:p>
            <w:pPr>
              <w:jc w:val="right"/>
              <w:ind w:right="317"/>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1020" w:type="dxa"/>
            <w:vAlign w:val="bottom"/>
            <w:gridSpan w:val="2"/>
          </w:tcPr>
          <w:p>
            <w:pPr>
              <w:jc w:val="right"/>
              <w:ind w:right="57"/>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Secured Promissory notes</w:t>
            </w:r>
          </w:p>
        </w:tc>
        <w:tc>
          <w:tcPr>
            <w:tcW w:w="1960" w:type="dxa"/>
            <w:vAlign w:val="bottom"/>
            <w:gridSpan w:val="2"/>
          </w:tcPr>
          <w:p>
            <w:pPr>
              <w:jc w:val="right"/>
              <w:ind w:right="55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257</w:t>
            </w:r>
          </w:p>
        </w:tc>
        <w:tc>
          <w:tcPr>
            <w:tcW w:w="1020" w:type="dxa"/>
            <w:vAlign w:val="bottom"/>
            <w:gridSpan w:val="2"/>
          </w:tcPr>
          <w:p>
            <w:pPr>
              <w:jc w:val="right"/>
              <w:ind w:right="65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Debt issue costs</w:t>
            </w:r>
          </w:p>
        </w:tc>
        <w:tc>
          <w:tcPr>
            <w:tcW w:w="1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1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annual principal payments on the long-term debt at September 30, 2014 are as follows for each of the periods ending December 31:</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Annual</w:t>
            </w:r>
          </w:p>
        </w:tc>
      </w:tr>
      <w:tr>
        <w:trPr>
          <w:trHeight w:val="230"/>
        </w:trPr>
        <w:tc>
          <w:tcPr>
            <w:tcW w:w="2500" w:type="dxa"/>
            <w:vAlign w:val="bottom"/>
          </w:tcPr>
          <w:p>
            <w:pPr>
              <w:spacing w:after="0"/>
              <w:rPr>
                <w:sz w:val="20"/>
                <w:szCs w:val="20"/>
                <w:color w:val="auto"/>
              </w:rPr>
            </w:pPr>
          </w:p>
        </w:tc>
        <w:tc>
          <w:tcPr>
            <w:tcW w:w="3200" w:type="dxa"/>
            <w:vAlign w:val="bottom"/>
            <w:gridSpan w:val="4"/>
          </w:tcPr>
          <w:p>
            <w:pPr>
              <w:ind w:left="1740"/>
              <w:spacing w:after="0"/>
              <w:rPr>
                <w:sz w:val="20"/>
                <w:szCs w:val="20"/>
                <w:color w:val="auto"/>
              </w:rPr>
            </w:pPr>
            <w:r>
              <w:rPr>
                <w:rFonts w:ascii="Arial" w:cs="Arial" w:eastAsia="Arial" w:hAnsi="Arial"/>
                <w:sz w:val="18"/>
                <w:szCs w:val="18"/>
                <w:color w:val="auto"/>
                <w:w w:val="93"/>
              </w:rPr>
              <w:t>Principal Payments</w:t>
            </w:r>
          </w:p>
        </w:tc>
      </w:tr>
      <w:tr>
        <w:trPr>
          <w:trHeight w:val="210"/>
        </w:trPr>
        <w:tc>
          <w:tcPr>
            <w:tcW w:w="25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60" w:type="dxa"/>
            <w:vAlign w:val="bottom"/>
            <w:shd w:val="clear" w:color="auto" w:fill="CCEEFF"/>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2017</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60" w:type="dxa"/>
            <w:vAlign w:val="bottom"/>
            <w:shd w:val="clear" w:color="auto" w:fill="CCEEFF"/>
          </w:tcPr>
          <w:p>
            <w:pPr>
              <w:spacing w:after="0"/>
              <w:rPr>
                <w:sz w:val="18"/>
                <w:szCs w:val="18"/>
                <w:color w:val="auto"/>
              </w:rPr>
            </w:pPr>
          </w:p>
        </w:tc>
      </w:tr>
      <w:tr>
        <w:trPr>
          <w:trHeight w:val="23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10"/>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outstanding common stock purchase warrants (“warrants”) exercisable for 298 thousand shares of our common stock having an exercise price of $1.595 per share with an expiration date in December 2020. These warrants contain a cashless exercise feature. Our common stock warrant activity during the nine months ended September 30, 2014 and 2013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right"/>
              <w:ind w:right="35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(000’s)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(000’s)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Issued</w:t>
            </w:r>
          </w:p>
        </w:tc>
        <w:tc>
          <w:tcPr>
            <w:tcW w:w="1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Expired</w:t>
            </w:r>
          </w:p>
        </w:tc>
        <w:tc>
          <w:tcPr>
            <w:tcW w:w="2540" w:type="dxa"/>
            <w:vAlign w:val="bottom"/>
            <w:gridSpan w:val="3"/>
          </w:tcPr>
          <w:p>
            <w:pPr>
              <w:jc w:val="right"/>
              <w:ind w:right="80"/>
              <w:spacing w:after="0"/>
              <w:rPr>
                <w:sz w:val="20"/>
                <w:szCs w:val="20"/>
                <w:color w:val="auto"/>
              </w:rPr>
            </w:pPr>
            <w:r>
              <w:rPr>
                <w:rFonts w:ascii="Arial" w:cs="Arial" w:eastAsia="Arial" w:hAnsi="Arial"/>
                <w:sz w:val="18"/>
                <w:szCs w:val="18"/>
                <w:color w:val="auto"/>
              </w:rPr>
              <w:t>(1,856)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gridSpan w:val="4"/>
          </w:tcPr>
          <w:p>
            <w:pPr>
              <w:jc w:val="right"/>
              <w:ind w:right="17"/>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gridSpan w:val="4"/>
          </w:tcPr>
          <w:p>
            <w:pPr>
              <w:jc w:val="right"/>
              <w:ind w:right="217"/>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ind w:right="55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92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141</w:t>
            </w:r>
          </w:p>
        </w:tc>
        <w:tc>
          <w:tcPr>
            <w:tcW w:w="2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198</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RSUs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Combined</w:t>
            </w:r>
          </w:p>
        </w:tc>
        <w:tc>
          <w:tcPr>
            <w:tcW w:w="184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w:t>
            </w:r>
          </w:p>
        </w:tc>
        <w:tc>
          <w:tcPr>
            <w:tcW w:w="92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one stock option plan in effect, and one stock option plan has expired by its terms, but pursuant to which stock options have been granted and remain outstanding. Our stock option award activity during the nine months ended September 30, 2014 and 2013 is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ind w:right="460"/>
              <w:spacing w:after="0"/>
              <w:rPr>
                <w:sz w:val="20"/>
                <w:szCs w:val="20"/>
                <w:color w:val="auto"/>
              </w:rPr>
            </w:pPr>
            <w:r>
              <w:rPr>
                <w:rFonts w:ascii="Arial" w:cs="Arial" w:eastAsia="Arial" w:hAnsi="Arial"/>
                <w:sz w:val="18"/>
                <w:szCs w:val="18"/>
                <w:color w:val="auto"/>
                <w:w w:val="99"/>
              </w:rPr>
              <w:t>Nine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8"/>
                <w:szCs w:val="18"/>
                <w:color w:val="auto"/>
              </w:rPr>
              <w:t>September 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80" w:type="dxa"/>
            <w:vAlign w:val="bottom"/>
            <w:gridSpan w:val="5"/>
          </w:tcPr>
          <w:p>
            <w:pPr>
              <w:jc w:val="right"/>
              <w:spacing w:after="0"/>
              <w:rPr>
                <w:sz w:val="20"/>
                <w:szCs w:val="20"/>
                <w:color w:val="auto"/>
              </w:rPr>
            </w:pPr>
            <w:r>
              <w:rPr>
                <w:rFonts w:ascii="Arial" w:cs="Arial" w:eastAsia="Arial" w:hAnsi="Arial"/>
                <w:sz w:val="18"/>
                <w:szCs w:val="18"/>
                <w:color w:val="auto"/>
              </w:rPr>
              <w:t>2014</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2013</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5"/>
        </w:trPr>
        <w:tc>
          <w:tcPr>
            <w:tcW w:w="1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3"/>
              </w:rPr>
              <w:t>Number</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6"/>
                <w:szCs w:val="16"/>
                <w:color w:val="auto"/>
              </w:rPr>
            </w:pPr>
          </w:p>
        </w:tc>
        <w:tc>
          <w:tcPr>
            <w:tcW w:w="106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0"/>
              </w:rPr>
              <w:t>Number</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(000’s)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Price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(000’s)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Price</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5.50</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79"/>
              </w:rPr>
              <w:t>2.32</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1.30</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5.02</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5.46</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5.70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8"/>
          <w:szCs w:val="18"/>
          <w:color w:val="auto"/>
        </w:rPr>
        <w:t>There were no stock option grants during the nine month period ended September 30, 2014. The assumptions used in the Black-Scholes model to determine fair value for the stock option awards granted during the comparable period are shown below:</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Nine months Ended September 30, 2013</w:t>
      </w:r>
    </w:p>
    <w:p>
      <w:pPr>
        <w:spacing w:after="0" w:line="43" w:lineRule="exact"/>
        <w:rPr>
          <w:sz w:val="20"/>
          <w:szCs w:val="20"/>
          <w:color w:val="auto"/>
        </w:rPr>
      </w:pPr>
    </w:p>
    <w:tbl>
      <w:tblPr>
        <w:tblLayout w:type="fixed"/>
        <w:tblInd w:w="2300" w:type="dxa"/>
        <w:tblCellMar>
          <w:top w:w="0" w:type="dxa"/>
          <w:left w:w="0" w:type="dxa"/>
          <w:bottom w:w="0" w:type="dxa"/>
          <w:right w:w="0" w:type="dxa"/>
        </w:tblCellMar>
      </w:tblPr>
      <w:tr>
        <w:trPr>
          <w:trHeight w:val="20"/>
        </w:trPr>
        <w:tc>
          <w:tcPr>
            <w:tcW w:w="4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8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term (years)</w:t>
            </w:r>
          </w:p>
        </w:tc>
        <w:tc>
          <w:tcPr>
            <w:tcW w:w="18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2014, 31 thousand NonISOs were exercised by our employees. Our employees elected to have 18 thousand shares withheld in satisfaction of $36 thousand for both the exercise costs and withholding tax obligations resulting in the net issuance of 13 thousand shares of common stock to them. During the nine months ended September 30, 2013, 14 thousand NonISOs were exercised by our employees. Our employees elected to have 4 thousand shares withheld in satisfaction of $14 thousand for both the exercise costs and the withholding tax obligations resulting in the net issuance of 10 thousand common shares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Restricted Stock Unit Award Plans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our 2005 Restricted Stock Unit Award Plan (the “2005 RSU Plan”), one-fourth of vested shares of common stock underlying an RSU award were distributed (after payment of $0.01 par value per share) on January 1 of each of 2011 thru 2014. Effective January 1, 2014, all RSUs granted under the 2005 RSU Plan had been distributed. The distribution dates of January 1, 2013 and 2014 each consisting of 0.83 million shares and occurred as follows:</w:t>
      </w:r>
    </w:p>
    <w:p>
      <w:pPr>
        <w:spacing w:after="0" w:line="147"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1, 2013, 0.50 million shares were distributed to the holders while 0.33 million shares were withheld by the Company upon elections made to exchange RSUs in satisfaction of $0.7 million withholding tax obligations;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1, 2014, 0.50 million shares were distributed to the holders while 0.33 million shares were withheld by the Company upon elections made to exchange RSUs in satisfaction of $0.5 million withholding tax obligations.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2014 Restricted Stock Unit Award Plan (the “2014 RSU Plan”) was approved by shareholders on May 1, 2014 and permits the grant of up to 2.0 million shares of our common stock pursuant to awards under the 2014 RSU Plan. On May 1, 2014, we awarded 36,764 RSUs to each of our 4 non-employee directors. Such RSU awards vest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not material at September 30, 2014. Accordingly the vested portion of the awards containing the cash settlement feature will be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 summary of the grants under the 2005 RSU Plan and the 2014 RSU Plan as of September 30, 2014 and 2013 and for the nine months then ended consisted of the following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8"/>
                <w:szCs w:val="18"/>
                <w:color w:val="auto"/>
                <w:w w:val="89"/>
              </w:rPr>
              <w:t>Nine months Ended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2014</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2013</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3"/>
              </w:rPr>
              <w:t>Number</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color w:val="auto"/>
              </w:rPr>
              <w:t>Number</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of Vested</w:t>
            </w: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rPr>
              <w:t>Number</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 Vested</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of RSUs</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RSUs</w:t>
            </w: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of RSUs</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RSUs</w:t>
            </w: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5"/>
          </w:tcPr>
          <w:p>
            <w:pPr>
              <w:jc w:val="center"/>
              <w:ind w:right="460"/>
              <w:spacing w:after="0"/>
              <w:rPr>
                <w:sz w:val="20"/>
                <w:szCs w:val="20"/>
                <w:color w:val="auto"/>
              </w:rPr>
            </w:pPr>
            <w:r>
              <w:rPr>
                <w:rFonts w:ascii="Arial" w:cs="Arial" w:eastAsia="Arial" w:hAnsi="Arial"/>
                <w:sz w:val="18"/>
                <w:szCs w:val="18"/>
                <w:color w:val="auto"/>
                <w:w w:val="89"/>
              </w:rPr>
              <w:t>(in thousands)</w:t>
            </w: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2014 and December 31, 2013,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$46.8 million federal income tax benefits at December 31, 2013 derived from $137.6 million Federal NOLs at the U.S. statutory tax rate of 34% and $2.8 million state NOLs, available to offset future taxable income, some of which have limitations for use as prescribed under IRC Section 382. Our NOL carryforwards will expire in varying amounts between 2014 and 2033 if not used, and those expirations will cause fluctuations in our valuation allowances. As of September 30, 2014 we had federal research and development tax credits of approximately $1.1 million, which expire in the years 2024 through 2033, and we had approximately $0.4 million of Indiana state research and development tax credits, which expire in the years 2014 through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(“EPS”)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2014 or 2013 as the Company reported a net loss for the three and nine month periods, and including the effects of common stock equivalents in the diluted EPS calculation which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230"/>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Numerator: net loss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48,848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46,629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48,846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46,468</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47,297</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Excluded securities: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issuable: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3,282</w:t>
            </w: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Nonvested RSUs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Common stock warrants</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excluded common shares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2015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In this product liability litigation against numerous pharmaceutical product manufacturers and distributors, including us, plaintiffs claim injuries from their use of the Reglan brand of metoclopramide and generic metoclopramide.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have been filed against us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18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September 2012, the New Jersey trial court dismissed Acura with prejudice. 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Pennsylvania, on September 17, 2014, the Supreme Court declined to hear appeals from the Pennsylvania Superior Court’s July 29, 2013 decision reversing, on limited grounds, the trial court’s November 18, 2011 denial of Generic Defendants’ dispositive motions. A further appeal is being taken to the United States Supreme Court requesting that all claims against Generic Defendants should be barred based upon application of federal preemption under </w:t>
      </w:r>
      <w:r>
        <w:rPr>
          <w:rFonts w:ascii="Arial" w:cs="Arial" w:eastAsia="Arial" w:hAnsi="Arial"/>
          <w:sz w:val="17"/>
          <w:szCs w:val="17"/>
          <w:i w:val="1"/>
          <w:iCs w:val="1"/>
          <w:color w:val="auto"/>
        </w:rPr>
        <w:t>Mensing</w:t>
      </w:r>
      <w:r>
        <w:rPr>
          <w:rFonts w:ascii="Arial" w:cs="Arial" w:eastAsia="Arial" w:hAnsi="Arial"/>
          <w:sz w:val="17"/>
          <w:szCs w:val="17"/>
          <w:color w:val="auto"/>
        </w:rPr>
        <w:t>. All trial court proceedings have been stayed pending resolution of this lengthy appeal process. To the extent that plaintiffs intend to pursue their</w:t>
      </w:r>
      <w:r>
        <w:rPr>
          <w:rFonts w:ascii="Arial" w:cs="Arial" w:eastAsia="Arial" w:hAnsi="Arial"/>
          <w:sz w:val="17"/>
          <w:szCs w:val="17"/>
          <w:i w:val="1"/>
          <w:iCs w:val="1"/>
          <w:color w:val="auto"/>
        </w:rPr>
        <w:t xml:space="preserve"> </w:t>
      </w:r>
      <w:r>
        <w:rPr>
          <w:rFonts w:ascii="Arial" w:cs="Arial" w:eastAsia="Arial" w:hAnsi="Arial"/>
          <w:sz w:val="17"/>
          <w:szCs w:val="17"/>
          <w:color w:val="auto"/>
        </w:rPr>
        <w:t>claims in the future, if the appeal is denied, Acura nonetheless remains optimistic that most, if not all, of these Philadelphia cases will eventually be dismissed against us based upon the favorable aspects of the Superior Court’s narrow preemption ruling and lack of product identification, although there can be no assurance in this regard. Legal fees related to this matter are currently covered by our insurance carrier.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Nebraska, the litigation against Acura was stayed. Plaintiffs have agreed to a dismissal since they have been unable to uncover any evidence of ingestion of generic metoclopramide manufactured by us. Legal fees related to this matter are currently covered by our insurance carrier.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September 30, 2014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Westport/Highland Complaint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2014, we obtained a copy of a Complaint filed by Westport Pharmaceuticals, LLC (“Westport”) and Highland Pharmaceuticals, LLC (“Highland”) in the U.S. District Court for the Eastern District of Missouri naming us as the defendant. To date, we have not been formally served with this Complaint. In the Complaint, each of Westport and Highland are commencing a declaratory judgment action seeking a declaration of non-infringement of our U.S. Patent No. 8,409,616 (“616 Patent”) by Westport’s Zephrex-D® (pseudoephedrine hydrochloride, 30mg) product, to enable Westport to continue to sell Zephrex-D and to allow retail distributors to continue to sell Zephrex-D, a competing product to Nexafed. The Highland Complaint has been dismissed following the execution by Acura and Highland of a settlement agreement pursuant to which we granted Highland a non-exclusive license to certain Acura patents for use in certain pseudoephedrine – containing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right="2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dispute resolution request with the FDA, including any appeal therefrom, relating to our Aversion hydrocodone/acetaminophen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or obtain funding for, products developed utilizing our Limitx™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a license agreement for our FDA approved Aversion Oxycodone product;</w:t>
      </w:r>
    </w:p>
    <w:p>
      <w:pPr>
        <w:spacing w:after="0" w:line="225" w:lineRule="exact"/>
        <w:rPr>
          <w:rFonts w:ascii="Arial" w:cs="Arial" w:eastAsia="Arial" w:hAnsi="Arial"/>
          <w:sz w:val="18"/>
          <w:szCs w:val="18"/>
          <w:color w:val="auto"/>
        </w:rPr>
      </w:pPr>
    </w:p>
    <w:p>
      <w:pPr>
        <w:ind w:left="168" w:right="340" w:hanging="168"/>
        <w:spacing w:after="0" w:line="277"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Aversion Oxycodone and Nexafed Tablets;</w:t>
      </w:r>
    </w:p>
    <w:p>
      <w:pPr>
        <w:spacing w:after="0" w:line="170"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meetings or discussions with the FDA relating to our Aversion hydrocodone/acetaminophen product;</w:t>
      </w:r>
    </w:p>
    <w:p>
      <w:pPr>
        <w:spacing w:after="0" w:line="225" w:lineRule="exact"/>
        <w:rPr>
          <w:rFonts w:ascii="Arial" w:cs="Arial" w:eastAsia="Arial" w:hAnsi="Arial"/>
          <w:sz w:val="18"/>
          <w:szCs w:val="18"/>
          <w:color w:val="auto"/>
        </w:rPr>
      </w:pPr>
    </w:p>
    <w:p>
      <w:pPr>
        <w:ind w:left="168" w:hanging="168"/>
        <w:spacing w:after="0" w:line="277"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results of studies AP-ADF-302, AP-ADF-303, and AP-ADF-304 relating to our Aversion hydrocodone/acetaminophen product will be acceptable to the FDA;</w:t>
      </w:r>
    </w:p>
    <w:p>
      <w:pPr>
        <w:spacing w:after="0" w:line="170" w:lineRule="exact"/>
        <w:rPr>
          <w:rFonts w:ascii="Arial" w:cs="Arial" w:eastAsia="Arial" w:hAnsi="Arial"/>
          <w:sz w:val="18"/>
          <w:szCs w:val="18"/>
          <w:color w:val="auto"/>
        </w:rPr>
      </w:pPr>
    </w:p>
    <w:p>
      <w:pPr>
        <w:ind w:left="168" w:right="20" w:hanging="168"/>
        <w:spacing w:after="0" w:line="308" w:lineRule="auto"/>
        <w:tabs>
          <w:tab w:leader="none" w:pos="168"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we will conduct an additional intranasal abuse liability study on our Aversion hydrocodone/acetaminophen product and, if conducted, whether the results of such study will support the filing of a New Drug Application and/or a claim of intranasal abuse deterrence;</w:t>
      </w:r>
    </w:p>
    <w:p>
      <w:pPr>
        <w:spacing w:after="0" w:line="146" w:lineRule="exact"/>
        <w:rPr>
          <w:rFonts w:ascii="Arial" w:cs="Arial" w:eastAsia="Arial" w:hAnsi="Arial"/>
          <w:sz w:val="17"/>
          <w:szCs w:val="17"/>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acceptance of and competitive environment for any of our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wholesalers and pharmacies to stock Nexafed Tablets;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 and the timing of first sales;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additional license agreements for our Aversion Technology product candidates;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168" w:right="180" w:hanging="168"/>
        <w:spacing w:after="0" w:line="277"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70" w:lineRule="exact"/>
        <w:rPr>
          <w:rFonts w:ascii="Arial" w:cs="Arial" w:eastAsia="Arial" w:hAnsi="Arial"/>
          <w:sz w:val="18"/>
          <w:szCs w:val="18"/>
          <w:color w:val="auto"/>
        </w:rPr>
      </w:pPr>
    </w:p>
    <w:p>
      <w:pPr>
        <w:ind w:left="168" w:right="20" w:hanging="168"/>
        <w:spacing w:after="0" w:line="259"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OTC Monograph standards as applicable;</w:t>
      </w:r>
    </w:p>
    <w:p>
      <w:pPr>
        <w:spacing w:after="0" w:line="186" w:lineRule="exact"/>
        <w:rPr>
          <w:rFonts w:ascii="Arial" w:cs="Arial" w:eastAsia="Arial" w:hAnsi="Arial"/>
          <w:sz w:val="18"/>
          <w:szCs w:val="18"/>
          <w:color w:val="auto"/>
        </w:rPr>
      </w:pPr>
    </w:p>
    <w:p>
      <w:pPr>
        <w:ind w:left="168" w:right="320" w:hanging="168"/>
        <w:spacing w:after="0" w:line="277"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safety findings relating to our product candidates;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168" w:right="260" w:hanging="168"/>
        <w:spacing w:after="0" w:line="277"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21" w:name="page22"/>
    <w:bookmarkEnd w:id="21"/>
    <w:p>
      <w:pPr>
        <w:ind w:left="500" w:hanging="168"/>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Aversion and Limitx™ product candidates will ultimately deter abuse in commercial settings and whether our Impede technology will disrupt the processing of pseudoephedrine into methamphetamine.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this Report and in our filings with the Securities and Exchange Commission.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rPr>
          <w:sz w:val="20"/>
          <w:szCs w:val="20"/>
          <w:color w:val="auto"/>
        </w:rPr>
      </w:pPr>
      <w:r>
        <w:rPr>
          <w:rFonts w:ascii="Arial" w:cs="Arial" w:eastAsia="Arial" w:hAnsi="Arial"/>
          <w:sz w:val="18"/>
          <w:szCs w:val="18"/>
          <w:b w:val="1"/>
          <w:bCs w:val="1"/>
          <w:color w:val="auto"/>
        </w:rPr>
        <w:t>Company Overview</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Oxycodone HCl tablets, CII, or Aversion Oxycodone, is the first approved product utilizing Aversion in the United States and we have 7 additional opioid products utilizing Aversion in various stages of development. In April 2014, we reacquired Aversion Oxycodone from our prior licensee and intend to seek a commercialization partner for that product and our Aversion opioids in development.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we have multiple pseudoephedrine products in development utilizing Impede. In August 2014, we received a grant from the National Institute on Drug Abuse to advance early stage development of our third abuse deterrent technology, Limitx™. Limitx is designed to retard the release of active drug ingredients when too many tablets are accidently or purposefully ingested.</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Opioid analgesics are one of the largest prescription drug markets in the United States with 253 million prescriptions dispensed in 2013. Prescription opioids are also the most widely abused drugs with 12 million people abusing or misusing these products annually. We expect our Aversion Technology opioid products to compete primarily in the immediate-release opioid product segment. Because immediate-release opioid products are used for both acute and chronic pain, a prescription, on average, contains 65 tablets or capsules. According to IMS Health, in 2013, sales in the immediate-release opioid product segment were approximately 238 million prescriptions and $2.6 billion, of which ~97% was attributable to generic products. Immediate-release oxycodone tablets represent 16.7 million of these prescriptions or almost 1.6 billion tablets. The FDA approved label for our Aversion Oxycodone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Hydrocodone bitartrate with acetaminophen, or hydrocodone/acetaminophen, is the most widely prescribed and often abused opioid product in the United States. Our Aversion hydrocodone/acetaminophen product is the most advanced opioid product in development and the primary focus of our opioid development efforts. On December 5, 2013, we met with the FDA to discuss the results of Study AP-ADF-301, or Study 301, a key abuse liability study for our Aversion hydrocodone/acetaminophen product and whether the results from Study 301 are acceptable for submission in a New Drug Application, or NDA. On May 27, 2014, we announced that the FDA advised us that the data from our Study 301 was insufficient to support an intranasal abuse deterrence description in our product labeling. The FDA indicated that a product will have to have an impact on “drug liking” to support a description of abuse-deterrence through a relevant route of abuse. The FDA’s advice also questioned whether the intranasal route is a relevant route of abuse for hydrocodone/ acetaminophen products. We met with the FDA on August 14, 2014 to discuss the development pathway for our Aversion hydrocodone/acetaminophen tablet development candidate, which is intended to provide abuse-deterrent features to address abuse by nasal snorting and injection. The FDA continues to question the relevance of abuse of hydrocodone with acetaminophen products by the intranasal route of administration.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6"/>
          <w:szCs w:val="16"/>
          <w:color w:val="auto"/>
        </w:rPr>
        <w:t>On September 11, 2014, we submitted a formal dispute resolution request with the FDA. The dispute pertains to the FDA's determination that nasal snorting abuse of hydrocodone with acetaminophen products lacks relevance. We believe the available data, as contained in the multiple sources provided to the FDA, strongly supports the conclusion that hydrocodone containing products are known to be abused through snorting, a standard explicitly identified in FDA's January 2013 "Guidance for Industry Abuse-Deterrent Opioids — Evaluation and Labeling". On October 16, 2014, we announced that the FDA denied on procedural grounds our appeal of the position taken by the Division of Anesthesia, Analgesia and Addiction Products (“DAAAP”) that abuse by snorting hydrocodone with acetaminophen products lacks relevance. In a letter decision from the Office of Drug Evaluation II, the FDA indicated that DAAAP’s comments and correspondence with us to date, as well as the FDA’s Draft Guidance on abuse deterrent opioids, should be viewed only as recommendations and opinions, and do not preclude us from completing clinical development of our hydrocodone with acetaminophen product and submitting an NDA for consideration by the FDA. The FDA noted that an Advisory Committee meeting may greatly inform their considerations. The FDA letter ruling also advised us that we may appeal the decision of the Office of Drug Evaluation II to the next level within the FDA. We are currently assessing our development strategy for our Aversion hydrocodone with acetaminophen product, including the merits of appealing the FDA’s decision. Even if we were to file an appeal and succeed in such proceeding, in order to continue the development of our hydrocodone/acetaminophen product we will be required to conduct an additional abuse liability study that will need to demonstrate a statistically significant reduction in Drug Liking, of which no assurance can be provided. We are currently in the process of designing this next study and will make a decision on commencing this study in 2015.</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development program for all our Aversion opioid products in development will be consistent with that of Aversion Oxycodone and our hydrocodone/acetaminophen product candidate.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2009, the United States market for over-the-counter market, or OTC, cold and allergy products containing an oral nasal decongestant was approximately $1 billion. In 2012, the DEA reported 11,210 laboratory incidents involving the illegal use of OTC pseudoephedrine products to manufacture the highly addictive drug methamphetamine, or meth. Nexafed, our 30mg pseudoephedrine hydrochloride immediate-release tablet utilizing our Impede Technology, is stocked in approximately 15% of the estimated 65,000 U.S. pharmacies. Many of these pharmacies are either actively recommending Nexafed to their patients or carry Nexafed as their only 30mg pseudoephedrine product. The category for meth-resistant pseudoephedrine products has also been the focus of some, as yet unsuccessful, state legislation seeking to incentivize consumers and pharmacists to utilize these meth-resistant technologies.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advancing commercial preparations to launch the first line extension of Nexafed into the U.S. market later in 2014 and have an active development program to develop a sustained-release version of our technology to capitalize on higher sales products in the category. We also are investigating new technologies that would improve on our meth-resistant capabilities.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discovered an early-stage technology, Limitx™,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All of our Aversion Technology opioid products are covered by six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left="660" w:hanging="4"/>
        <w:spacing w:after="0" w:line="279" w:lineRule="auto"/>
        <w:tabs>
          <w:tab w:leader="none" w:pos="9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9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our pipeline products will be dependent on the results of and the acceptance by the FDA of our and our licensees’ studies for each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Oxycodone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Aversion Oxycodone is a Schedule II narcotic indicated for the management of acute and chronic moderate to severe pain where the use of an opioid analgesic is appropriate. Aversion Oxycodone was FDA approved on June 17, 2011 and introduced, by our former licensee, Pfizer Inc., into the U.S. market in February 2012 under the trade name Oxecta®. Pfizer strategically deprioritized their efforts in immediate-release opioids commencing in summer of 2012 and we reacquired the rights to Aversion Oxycodone in April 2014, shortly after Pfizer initiated minimal, non-sales representative promotion in late 2013. We currently expect to partner with a strategically focused pharmaceutical company to manufacture and commercialize Aversion Oxycodone in the United States and possibly other territories by end of this year or early 2015. As such, we now expect the re-launch to occur in the first half of 2015. However, we caution that this expectation can change based on the status of the negotiations, and there can be no assurance that this will be the case.</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2013 market for immediate-release oxycodone products was 16.7 million dispensed prescription or 1.6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Aversion Oxycodone,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safety and efficacy of Aversion Oxycodone 5mg and 7.5mg tablets was established by demonstrating bioequivalence to commercially available oxycodone immediate-release tablets in the fasted state. Aversion Oxycodone differs from oxycodone tablets when taken with a high fat meal though these differences are not considered clinically relevant, and Aversion Oxycodone can be taken without regard to food. The FDA-approved label for Aversion Oxycodone describes elements unique to our Aversion Technology, which differs from current commercially available oxycodone immediate-release tablets. The label for Aversion Oxycodone includes the results from a clinical study that evaluated the effects of nasally snorting crushed Aversion Oxycodone and commercially available oxycodone tablets, and limitations on exposing Aversion Oxycodone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79" w:lineRule="exact"/>
        <w:rPr>
          <w:sz w:val="20"/>
          <w:szCs w:val="20"/>
          <w:color w:val="auto"/>
        </w:rPr>
      </w:pPr>
    </w:p>
    <w:p>
      <w:pPr>
        <w:ind w:left="820" w:hanging="164"/>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 of subjects exposed to Aversion Oxycodone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right="20" w:hanging="164"/>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taking Aversion Oxycodone reported a higher incidence of nasopharyngeal and facial adverse events compared to immediate-release oxycodone;</w:t>
      </w:r>
    </w:p>
    <w:p>
      <w:pPr>
        <w:ind w:left="820" w:hanging="164"/>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Aversion Oxycodone tablets within a fixed time period (21 of 40 subjects), while all subjects were able to completely insufflate the entire dose of immediate-release oxycodone;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820" w:hanging="164"/>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Aversion Oxycodone than immediate-release oxycodone.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Aversion Oxycodone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Aversion Oxycodone has a reduced abuse liability compared to immediate release oxycodone. We have a post-approval commitment with the FDA to perform an epidemiology study to assess the actual impact on abuse of Aversion Oxycodone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Aversion Oxycodone product label guides patients not to crush and dissolve the tablets or pre-soak, lick or otherwise wet the tablets prior to administration. Similarly, caregivers are advised not to crush and dissolve the tablets or otherwise use Aversion Oxycodone for administration via nasogastric, gastric or other feeding tubes as it may cause an obstruction. Our laboratory studies demonstrated that the Aversion Oxycodone tablet may gel when Aversion Oxycodone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opioid products utilizing our Aversion Technology in various stages of development:</w:t>
      </w:r>
    </w:p>
    <w:p>
      <w:pPr>
        <w:sectPr>
          <w:pgSz w:w="11900" w:h="16838" w:orient="portrait"/>
          <w:cols w:equalWidth="0" w:num="1">
            <w:col w:w="11420"/>
          </w:cols>
          <w:pgMar w:left="240" w:top="881"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80" w:type="dxa"/>
            <w:vAlign w:val="bottom"/>
            <w:gridSpan w:val="2"/>
            <w:vMerge w:val="restart"/>
          </w:tcPr>
          <w:p>
            <w:pPr>
              <w:ind w:left="360"/>
              <w:spacing w:after="0"/>
              <w:rPr>
                <w:sz w:val="20"/>
                <w:szCs w:val="20"/>
                <w:color w:val="auto"/>
              </w:rPr>
            </w:pPr>
            <w:r>
              <w:rPr>
                <w:rFonts w:ascii="Arial" w:cs="Arial" w:eastAsia="Arial" w:hAnsi="Arial"/>
                <w:sz w:val="18"/>
                <w:szCs w:val="18"/>
                <w:color w:val="auto"/>
              </w:rPr>
              <w:t>Aversion Technology Tablets</w:t>
            </w:r>
          </w:p>
        </w:tc>
        <w:tc>
          <w:tcPr>
            <w:tcW w:w="2300" w:type="dxa"/>
            <w:vAlign w:val="bottom"/>
          </w:tcPr>
          <w:p>
            <w:pPr>
              <w:ind w:left="460"/>
              <w:spacing w:after="0"/>
              <w:rPr>
                <w:sz w:val="20"/>
                <w:szCs w:val="20"/>
                <w:color w:val="auto"/>
              </w:rPr>
            </w:pPr>
            <w:r>
              <w:rPr>
                <w:rFonts w:ascii="Arial" w:cs="Arial" w:eastAsia="Arial" w:hAnsi="Arial"/>
                <w:sz w:val="18"/>
                <w:szCs w:val="18"/>
                <w:color w:val="auto"/>
              </w:rPr>
              <w:t>Comparable Brand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2300" w:type="dxa"/>
            <w:vAlign w:val="bottom"/>
            <w:vMerge w:val="restart"/>
          </w:tcPr>
          <w:p>
            <w:pPr>
              <w:ind w:left="90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1"/>
              </w:rPr>
              <w:t>Hydrocodone bitartrate/acetaminophen</w:t>
            </w:r>
          </w:p>
        </w:tc>
        <w:tc>
          <w:tcPr>
            <w:tcW w:w="2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Vicodin®, Lortab®, Norco®</w:t>
            </w:r>
          </w:p>
        </w:tc>
        <w:tc>
          <w:tcPr>
            <w:tcW w:w="0" w:type="dxa"/>
            <w:vAlign w:val="bottom"/>
          </w:tcPr>
          <w:p>
            <w:pPr>
              <w:spacing w:after="0"/>
              <w:rPr>
                <w:sz w:val="1"/>
                <w:szCs w:val="1"/>
                <w:color w:val="auto"/>
              </w:rPr>
            </w:pPr>
          </w:p>
        </w:tc>
      </w:tr>
      <w:tr>
        <w:trPr>
          <w:trHeight w:val="864"/>
        </w:trPr>
        <w:tc>
          <w:tcPr>
            <w:tcW w:w="3100" w:type="dxa"/>
            <w:vAlign w:val="bottom"/>
            <w:gridSpan w:val="3"/>
          </w:tcPr>
          <w:p>
            <w:pPr>
              <w:spacing w:after="0"/>
              <w:rPr>
                <w:sz w:val="20"/>
                <w:szCs w:val="20"/>
                <w:color w:val="auto"/>
              </w:rPr>
            </w:pPr>
            <w:r>
              <w:rPr>
                <w:rFonts w:ascii="Arial" w:cs="Arial" w:eastAsia="Arial" w:hAnsi="Arial"/>
                <w:sz w:val="18"/>
                <w:szCs w:val="18"/>
                <w:color w:val="auto"/>
              </w:rPr>
              <w:t>Hydromorphone HCl</w:t>
            </w:r>
          </w:p>
        </w:tc>
        <w:tc>
          <w:tcPr>
            <w:tcW w:w="2300" w:type="dxa"/>
            <w:vAlign w:val="bottom"/>
          </w:tcPr>
          <w:p>
            <w:pPr>
              <w:spacing w:after="0"/>
              <w:rPr>
                <w:sz w:val="20"/>
                <w:szCs w:val="20"/>
                <w:color w:val="auto"/>
              </w:rPr>
            </w:pPr>
            <w:r>
              <w:rPr>
                <w:rFonts w:ascii="Arial" w:cs="Arial" w:eastAsia="Arial" w:hAnsi="Arial"/>
                <w:sz w:val="18"/>
                <w:szCs w:val="18"/>
                <w:color w:val="auto"/>
              </w:rPr>
              <w:t>Dilaudid®</w:t>
            </w:r>
          </w:p>
        </w:tc>
        <w:tc>
          <w:tcPr>
            <w:tcW w:w="0" w:type="dxa"/>
            <w:vAlign w:val="bottom"/>
          </w:tcPr>
          <w:p>
            <w:pPr>
              <w:spacing w:after="0"/>
              <w:rPr>
                <w:sz w:val="1"/>
                <w:szCs w:val="1"/>
                <w:color w:val="auto"/>
              </w:rPr>
            </w:pPr>
          </w:p>
        </w:tc>
      </w:tr>
      <w:tr>
        <w:trPr>
          <w:trHeight w:val="243"/>
        </w:trPr>
        <w:tc>
          <w:tcPr>
            <w:tcW w:w="3100" w:type="dxa"/>
            <w:vAlign w:val="bottom"/>
            <w:gridSpan w:val="3"/>
          </w:tcPr>
          <w:p>
            <w:pPr>
              <w:spacing w:after="0"/>
              <w:rPr>
                <w:sz w:val="20"/>
                <w:szCs w:val="20"/>
                <w:color w:val="auto"/>
              </w:rPr>
            </w:pPr>
            <w:r>
              <w:rPr>
                <w:rFonts w:ascii="Arial" w:cs="Arial" w:eastAsia="Arial" w:hAnsi="Arial"/>
                <w:sz w:val="18"/>
                <w:szCs w:val="18"/>
                <w:color w:val="auto"/>
              </w:rPr>
              <w:t>Methadone HCl</w:t>
            </w:r>
          </w:p>
        </w:tc>
        <w:tc>
          <w:tcPr>
            <w:tcW w:w="2300" w:type="dxa"/>
            <w:vAlign w:val="bottom"/>
          </w:tcPr>
          <w:p>
            <w:pPr>
              <w:spacing w:after="0"/>
              <w:rPr>
                <w:sz w:val="20"/>
                <w:szCs w:val="20"/>
                <w:color w:val="auto"/>
              </w:rPr>
            </w:pPr>
            <w:r>
              <w:rPr>
                <w:rFonts w:ascii="Arial" w:cs="Arial" w:eastAsia="Arial" w:hAnsi="Arial"/>
                <w:sz w:val="18"/>
                <w:szCs w:val="18"/>
                <w:color w:val="auto"/>
              </w:rPr>
              <w:t>Methadose</w:t>
            </w:r>
          </w:p>
        </w:tc>
        <w:tc>
          <w:tcPr>
            <w:tcW w:w="0" w:type="dxa"/>
            <w:vAlign w:val="bottom"/>
          </w:tcPr>
          <w:p>
            <w:pPr>
              <w:spacing w:after="0"/>
              <w:rPr>
                <w:sz w:val="1"/>
                <w:szCs w:val="1"/>
                <w:color w:val="auto"/>
              </w:rPr>
            </w:pPr>
          </w:p>
        </w:tc>
      </w:tr>
      <w:tr>
        <w:trPr>
          <w:trHeight w:val="257"/>
        </w:trPr>
        <w:tc>
          <w:tcPr>
            <w:tcW w:w="3100" w:type="dxa"/>
            <w:vAlign w:val="bottom"/>
            <w:gridSpan w:val="3"/>
          </w:tcPr>
          <w:p>
            <w:pPr>
              <w:spacing w:after="0"/>
              <w:rPr>
                <w:sz w:val="20"/>
                <w:szCs w:val="20"/>
                <w:color w:val="auto"/>
              </w:rPr>
            </w:pPr>
            <w:r>
              <w:rPr>
                <w:rFonts w:ascii="Arial" w:cs="Arial" w:eastAsia="Arial" w:hAnsi="Arial"/>
                <w:sz w:val="18"/>
                <w:szCs w:val="18"/>
                <w:color w:val="auto"/>
              </w:rPr>
              <w:t>Morphine Sulfate</w:t>
            </w:r>
          </w:p>
        </w:tc>
        <w:tc>
          <w:tcPr>
            <w:tcW w:w="2300" w:type="dxa"/>
            <w:vAlign w:val="bottom"/>
          </w:tcPr>
          <w:p>
            <w:pPr>
              <w:spacing w:after="0"/>
              <w:rPr>
                <w:sz w:val="20"/>
                <w:szCs w:val="20"/>
                <w:color w:val="auto"/>
              </w:rPr>
            </w:pPr>
            <w:r>
              <w:rPr>
                <w:rFonts w:ascii="Arial" w:cs="Arial" w:eastAsia="Arial" w:hAnsi="Arial"/>
                <w:sz w:val="18"/>
                <w:szCs w:val="18"/>
                <w:color w:val="auto"/>
              </w:rPr>
              <w:t>MSIR®</w:t>
            </w:r>
          </w:p>
        </w:tc>
        <w:tc>
          <w:tcPr>
            <w:tcW w:w="0" w:type="dxa"/>
            <w:vAlign w:val="bottom"/>
          </w:tcPr>
          <w:p>
            <w:pPr>
              <w:spacing w:after="0"/>
              <w:rPr>
                <w:sz w:val="1"/>
                <w:szCs w:val="1"/>
                <w:color w:val="auto"/>
              </w:rPr>
            </w:pPr>
          </w:p>
        </w:tc>
      </w:tr>
      <w:tr>
        <w:trPr>
          <w:trHeight w:val="257"/>
        </w:trPr>
        <w:tc>
          <w:tcPr>
            <w:tcW w:w="3100" w:type="dxa"/>
            <w:vAlign w:val="bottom"/>
            <w:gridSpan w:val="3"/>
          </w:tcPr>
          <w:p>
            <w:pPr>
              <w:spacing w:after="0"/>
              <w:rPr>
                <w:sz w:val="20"/>
                <w:szCs w:val="20"/>
                <w:color w:val="auto"/>
              </w:rPr>
            </w:pPr>
            <w:r>
              <w:rPr>
                <w:rFonts w:ascii="Arial" w:cs="Arial" w:eastAsia="Arial" w:hAnsi="Arial"/>
                <w:sz w:val="18"/>
                <w:szCs w:val="18"/>
                <w:color w:val="auto"/>
              </w:rPr>
              <w:t>Oxycodone HCl/acetaminophen</w:t>
            </w:r>
          </w:p>
        </w:tc>
        <w:tc>
          <w:tcPr>
            <w:tcW w:w="2300" w:type="dxa"/>
            <w:vAlign w:val="bottom"/>
          </w:tcPr>
          <w:p>
            <w:pPr>
              <w:spacing w:after="0"/>
              <w:rPr>
                <w:sz w:val="20"/>
                <w:szCs w:val="20"/>
                <w:color w:val="auto"/>
              </w:rPr>
            </w:pPr>
            <w:r>
              <w:rPr>
                <w:rFonts w:ascii="Arial" w:cs="Arial" w:eastAsia="Arial" w:hAnsi="Arial"/>
                <w:sz w:val="18"/>
                <w:szCs w:val="18"/>
                <w:color w:val="auto"/>
              </w:rPr>
              <w:t>Percocet®</w:t>
            </w:r>
          </w:p>
        </w:tc>
        <w:tc>
          <w:tcPr>
            <w:tcW w:w="0" w:type="dxa"/>
            <w:vAlign w:val="bottom"/>
          </w:tcPr>
          <w:p>
            <w:pPr>
              <w:spacing w:after="0"/>
              <w:rPr>
                <w:sz w:val="1"/>
                <w:szCs w:val="1"/>
                <w:color w:val="auto"/>
              </w:rPr>
            </w:pPr>
          </w:p>
        </w:tc>
      </w:tr>
      <w:tr>
        <w:trPr>
          <w:trHeight w:val="257"/>
        </w:trPr>
        <w:tc>
          <w:tcPr>
            <w:tcW w:w="3100" w:type="dxa"/>
            <w:vAlign w:val="bottom"/>
            <w:gridSpan w:val="3"/>
          </w:tcPr>
          <w:p>
            <w:pPr>
              <w:spacing w:after="0"/>
              <w:rPr>
                <w:sz w:val="20"/>
                <w:szCs w:val="20"/>
                <w:color w:val="auto"/>
              </w:rPr>
            </w:pPr>
            <w:r>
              <w:rPr>
                <w:rFonts w:ascii="Arial" w:cs="Arial" w:eastAsia="Arial" w:hAnsi="Arial"/>
                <w:sz w:val="18"/>
                <w:szCs w:val="18"/>
                <w:color w:val="auto"/>
              </w:rPr>
              <w:t>Oxymorphone HCl</w:t>
            </w:r>
          </w:p>
        </w:tc>
        <w:tc>
          <w:tcPr>
            <w:tcW w:w="2300" w:type="dxa"/>
            <w:vAlign w:val="bottom"/>
          </w:tcPr>
          <w:p>
            <w:pPr>
              <w:spacing w:after="0"/>
              <w:rPr>
                <w:sz w:val="20"/>
                <w:szCs w:val="20"/>
                <w:color w:val="auto"/>
              </w:rPr>
            </w:pPr>
            <w:r>
              <w:rPr>
                <w:rFonts w:ascii="Arial" w:cs="Arial" w:eastAsia="Arial" w:hAnsi="Arial"/>
                <w:sz w:val="18"/>
                <w:szCs w:val="18"/>
                <w:color w:val="auto"/>
              </w:rPr>
              <w:t>Opana®</w:t>
            </w:r>
          </w:p>
        </w:tc>
        <w:tc>
          <w:tcPr>
            <w:tcW w:w="0" w:type="dxa"/>
            <w:vAlign w:val="bottom"/>
          </w:tcPr>
          <w:p>
            <w:pPr>
              <w:spacing w:after="0"/>
              <w:rPr>
                <w:sz w:val="1"/>
                <w:szCs w:val="1"/>
                <w:color w:val="auto"/>
              </w:rPr>
            </w:pPr>
          </w:p>
        </w:tc>
      </w:tr>
      <w:tr>
        <w:trPr>
          <w:trHeight w:val="257"/>
        </w:trPr>
        <w:tc>
          <w:tcPr>
            <w:tcW w:w="3100" w:type="dxa"/>
            <w:vAlign w:val="bottom"/>
            <w:gridSpan w:val="3"/>
          </w:tcPr>
          <w:p>
            <w:pPr>
              <w:spacing w:after="0"/>
              <w:rPr>
                <w:sz w:val="20"/>
                <w:szCs w:val="20"/>
                <w:color w:val="auto"/>
              </w:rPr>
            </w:pPr>
            <w:r>
              <w:rPr>
                <w:rFonts w:ascii="Arial" w:cs="Arial" w:eastAsia="Arial" w:hAnsi="Arial"/>
                <w:sz w:val="18"/>
                <w:szCs w:val="18"/>
                <w:color w:val="auto"/>
              </w:rPr>
              <w:t>Tramadol HCl</w:t>
            </w:r>
          </w:p>
        </w:tc>
        <w:tc>
          <w:tcPr>
            <w:tcW w:w="2300" w:type="dxa"/>
            <w:vAlign w:val="bottom"/>
          </w:tcPr>
          <w:p>
            <w:pPr>
              <w:spacing w:after="0"/>
              <w:rPr>
                <w:sz w:val="20"/>
                <w:szCs w:val="20"/>
                <w:color w:val="auto"/>
              </w:rPr>
            </w:pPr>
            <w:r>
              <w:rPr>
                <w:rFonts w:ascii="Arial" w:cs="Arial" w:eastAsia="Arial" w:hAnsi="Arial"/>
                <w:sz w:val="18"/>
                <w:szCs w:val="18"/>
                <w:color w:val="auto"/>
              </w:rPr>
              <w:t>Ultram®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15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All clinical work is complete except a repeat nasal snorting abuse liability study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368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right="500"/>
        <w:spacing w:after="0" w:line="218" w:lineRule="auto"/>
        <w:rPr>
          <w:sz w:val="20"/>
          <w:szCs w:val="20"/>
          <w:color w:val="auto"/>
        </w:rPr>
      </w:pPr>
      <w:r>
        <w:rPr>
          <w:rFonts w:ascii="Arial" w:cs="Arial" w:eastAsia="Arial" w:hAnsi="Arial"/>
          <w:sz w:val="18"/>
          <w:szCs w:val="18"/>
          <w:color w:val="auto"/>
        </w:rPr>
        <w:t>We are assessing FDA’s view that abuse by nasal snorting lacks relevance before continuing the development program. Proof of Concept</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39" w:lineRule="exact"/>
        <w:rPr>
          <w:sz w:val="20"/>
          <w:szCs w:val="20"/>
          <w:color w:val="auto"/>
        </w:rPr>
      </w:pPr>
    </w:p>
    <w:p>
      <w:pPr>
        <w:sectPr>
          <w:pgSz w:w="11900" w:h="16838" w:orient="portrait"/>
          <w:cols w:equalWidth="0" w:num="2">
            <w:col w:w="5400" w:space="220"/>
            <w:col w:w="5800"/>
          </w:cols>
          <w:pgMar w:left="240" w:top="881" w:right="239" w:bottom="1440" w:gutter="0" w:footer="0" w:header="0"/>
          <w:type w:val="continuous"/>
        </w:sectPr>
      </w:pPr>
    </w:p>
    <w:p>
      <w:pPr>
        <w:ind w:left="180" w:hanging="172"/>
        <w:spacing w:after="0" w:line="194" w:lineRule="auto"/>
        <w:tabs>
          <w:tab w:leader="none" w:pos="13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Comparable Brand Name refers to currently marketed prescription products in the United States containing the same active analgesic ingredient(s) as in the corresponding Aversion Technology product.</w:t>
      </w:r>
    </w:p>
    <w:p>
      <w:pPr>
        <w:spacing w:after="0" w:line="27" w:lineRule="exact"/>
        <w:rPr>
          <w:sz w:val="20"/>
          <w:szCs w:val="20"/>
          <w:color w:val="auto"/>
        </w:rPr>
      </w:pPr>
    </w:p>
    <w:p>
      <w:pPr>
        <w:ind w:left="180" w:hanging="172"/>
        <w:spacing w:after="0" w:line="194" w:lineRule="auto"/>
        <w:tabs>
          <w:tab w:leader="none" w:pos="157"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(derived from the initial Aversion formulation) and will require reformulation.</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anticipate the development program for each of our Aversion opioid products will be consistent with that of Aversion Oxycodone. Because our products use known active ingredients in approved dosage strengths, the safety and efficacy of the Aversion opioid will be established by a series of pharmacokinetic studies demonstrating: (a) bioequivalence to an approved reference drug, (b) food effect of our formulations, and (c) dose proportionality of our formulation.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abuse deterrent studies of the Aversion products will be consistent with FDA’s draft guidance for the development of abuse deterrent opioids with the objective to obtain a description of our studies and/or abuse deterrent features in the product’s label. These studies may include in vitro laboratory studies to determine, among other things, syringeability of the formulation, extractability of the opioid, and particle size of the crushed product. We also may conduct human abuse liability studies comparing the abuse liability of Aversion products to currently marketed products.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We may have to perform additional safety and/or efficacy assessment as may be identified by the FDA for each specific formulation during the IND or NDA phase of development. In accordance with the FDA draft guidance, we will likely have a post-approval requirement for each of our products, if approved, to perform an epidemiology study to assess the in-market impact on abuse of our formulation.</w:t>
      </w:r>
    </w:p>
    <w:p>
      <w:pPr>
        <w:spacing w:after="0" w:line="18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believe that the time to develop each Aversion opioid product from IND to NDA submission can be as short as 18 months to 24 months, provided all studies meet their primary study objectives.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Hydrocodone/Acetaminophen Development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advanced opioid development product is Aversion hydrocodone/acetaminophen. Our clinical development program for our hydrocodone/acetaminophen product is expected to consist of:</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AP-ADF-302) in about 36 fasted subjects to establish bioequivalence to the FDA’s reference listed drug and determine the food effect on our drug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AP-ADF-303) in about 24 subjects demonstrating dose proportionality of our formulation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AP-ADF-304) in about 24 subjects to establish safety compared to the reference listed drugs tramadol/acetaminophen (for acetaminophen) and hydrocodone bitartrate/ibuprofen (for hydrocodone)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swelling and particle size characteristics of our product (</w:t>
      </w:r>
      <w:r>
        <w:rPr>
          <w:rFonts w:ascii="Arial" w:cs="Arial" w:eastAsia="Arial" w:hAnsi="Arial"/>
          <w:sz w:val="18"/>
          <w:szCs w:val="18"/>
          <w:i w:val="1"/>
          <w:iCs w:val="1"/>
          <w:color w:val="auto"/>
        </w:rPr>
        <w:t>in progress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 (</w:t>
      </w:r>
      <w:r>
        <w:rPr>
          <w:rFonts w:ascii="Arial" w:cs="Arial" w:eastAsia="Arial" w:hAnsi="Arial"/>
          <w:sz w:val="18"/>
          <w:szCs w:val="18"/>
          <w:i w:val="1"/>
          <w:iCs w:val="1"/>
          <w:color w:val="auto"/>
        </w:rPr>
        <w:t>complete</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additional nasal abuse liability study in recreational drug users against a reference drug (</w:t>
      </w:r>
      <w:r>
        <w:rPr>
          <w:rFonts w:ascii="Arial" w:cs="Arial" w:eastAsia="Arial" w:hAnsi="Arial"/>
          <w:sz w:val="18"/>
          <w:szCs w:val="18"/>
          <w:i w:val="1"/>
          <w:iCs w:val="1"/>
          <w:color w:val="auto"/>
        </w:rPr>
        <w:t>under strategic review</w:t>
      </w:r>
      <w:r>
        <w:rPr>
          <w:rFonts w:ascii="Arial" w:cs="Arial" w:eastAsia="Arial" w:hAnsi="Arial"/>
          <w:sz w:val="18"/>
          <w:szCs w:val="18"/>
          <w:color w:val="auto"/>
        </w:rPr>
        <w: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hydrocodone/acetaminophen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a neither a like 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 Due to this observed carryover effect, the FDA may review the results of our study differently than we have and/or limit the amount of data we collected in the label for our product if approved by the FDA. As such, we are strategically considering the need to complete an additional nasal abuse liability study.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88" w:lineRule="auto"/>
        <w:rPr>
          <w:sz w:val="20"/>
          <w:szCs w:val="20"/>
          <w:color w:val="auto"/>
        </w:rPr>
      </w:pPr>
      <w:r>
        <w:rPr>
          <w:rFonts w:ascii="Arial" w:cs="Arial" w:eastAsia="Arial" w:hAnsi="Arial"/>
          <w:sz w:val="16"/>
          <w:szCs w:val="16"/>
          <w:color w:val="auto"/>
        </w:rPr>
        <w:t>On December 5, 2013, we met with FDA to discuss if the FDA will consider whether the results of Study 301 are acceptable for submission in a NDA. On May 27, 2014, we announced that the FDA advised us that the data from our Study 301 was insufficient to support an intranasal abuse deterrence claim. The FDA indicated that a product will have to have an impact on “drug liking” to support a claim of abuse-deterrence through a relevant route of abuse. The FDA’s advice also questioned whether the intranasal route is a relevant route of abuse for hydrocodone/ acetaminophen products and recommended that we identify variables that could have impacted the findings from Study 301 before considering or conducting an additional intranasal abuse liability study on our Aversion hydrocodone/ acetaminophen product. We have previously submitted a report to the FDA on the prevalence of abusing hydrocodone products by intranasal administration. We met with the FDA on August 14, 2014 to discuss the development pathway for our Aversion hydrocodone/acetaminophen tablet development candidate, which is intended to provide abuse-deterrent features to address abuse by nasal snorting and injection. The FDA continues to question the relevance of abuse of hydrocodone with acetaminophen products by the intranasal route of administration. The FDA indicated that we may conduct an additional nasal abuse liability study for its Aversion hydrocodone/acetaminophen product candidate.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11, 2014, we submitted a formal dispute resolution request with the FDA. The dispute pertains to the FDA's determination that nasal snorting abuse of hydrocodone with acetaminophen products lacks relevance. We believe the available data, as contained in the multiple sources provided to the FDA, strongly supports the conclusion that hydrocodone containing products are known to be abused through snorting, a standard explicitly identified in FDA's January 2013 "Guidance for Industry Abuse-Deterrent Opioids — Evaluation and Labeling". On October 16, 2014, we announced that the FDA denied on procedural grounds our appeal of the position taken by the Division of Anesthesia, Analgesia and Addiction Products (“DAAAP”) that abuse by snorting hydrocodone with acetaminophen products lacks relevance. In a letter decision from the Office of Drug Evaluation II, the FDA indicated that DAAAP’s comments and correspondence with us to date, as well as the FDA’s Draft Guidance on abuse deterrent opioids, should be viewed only as recommendations and opinions, and do not preclude us from completing clinical development of our hydrocodone with acetaminophen product and submitting an NDA for consideration by the FDA. The FDA noted that an Advisory Committee meeting may greatly inform their considerations. The FDA letter ruling also advised us that we may appeal the decision of the Office of Drug Evaluation II to the next level within the FDA. We are currently assessing our development strategy for our Aversion hydrocodone with acetaminophen product, including the merits of appealing the FDA’s decision. Even if we were to file an appeal and succeed in such proceeding, in order to continue the development of our hydrocodone/acetaminophen product we will be required to conduct an additional abuse liability study that will need to demonstrate a statistically significant reduction in Drug Liking, of which no assurance can be provided. We are currently in the process of designing this next study and will make a decision on commencing this study in 2015.</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completed scale-up activities for our Aversion hydrocodone/acetaminophen product at the proposed commercial manufacturer and have manufactured our registration batches for use in subsequent clinical trials. We have also completed the pharmacokinetic studies (302, 303 and 304) for Aversion hydrocodone/acetaminophen, the preliminary results of which have demonstrated conformance with the FDA’s standard for bioequivalence when compared to the reference drug, and demonstrated dose proportionality, or relatively consistent blood exposure, across all three dosage strengths. Such studies also evaluated blood levels of each of hydrocodone and acetaminophen compared to their respective comparator drugs, and demonstrated that our Aversion hydrocodone/acetaminophen blood levels of hydrocodone were consistent with the comparator product, while acetaminophen peak blood levels were 23% higher than the comparator product based on the geometric mean. A large variability in acetaminophen results was observed in the study. We believe the results of Studies 302, 303 and 304 satisfy the requirement for a New Drug Application (NDA) to establish the safety and pain efficacy of our Aversion hydrocodone/acetaminophen product, however, the interpretation of these results will be subject to FDA’s review and acceptance of our conclusions. Before submitting and NDA, we will need to complete an additional nasal abuse liability study which is currently undergoing an internal strategic review.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179,787—between 2006 and 2010. Immediate release, or IR, opioid products comprise the vast majority of this abuse compared with extended release, or ER, opioid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253 million tablet and capsule prescriptions dispensed in 2013 of which approximately 238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2013, sales in the IR opioid product segment were approximately $2.6 billion, of which ~97%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Aversion oxycodone and our Aversion Technology products in development include the active opioid ingredients representing approximately 76% of the U.S. IR Opioid Product segment. A summary of the IR opioid product prescription data for 2013 is provided below:</w:t>
      </w:r>
    </w:p>
    <w:p>
      <w:pPr>
        <w:spacing w:after="0" w:line="189"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2013 US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Prescriptions</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530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Hydrocodone</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Oxycodone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Tramadol</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Codeine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 Others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7"/>
        </w:trPr>
        <w:tc>
          <w:tcPr>
            <w:tcW w:w="53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ind w:left="2220" w:hanging="105"/>
        <w:spacing w:after="0" w:line="190" w:lineRule="auto"/>
        <w:tabs>
          <w:tab w:leader="none" w:pos="222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ind w:left="2220" w:hanging="105"/>
        <w:spacing w:after="0" w:line="191" w:lineRule="auto"/>
        <w:tabs>
          <w:tab w:leader="none" w:pos="222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IMS Health, 2013</w:t>
      </w:r>
    </w:p>
    <w:p>
      <w:pPr>
        <w:spacing w:after="0" w:line="2"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18"/>
          <w:szCs w:val="18"/>
          <w:b w:val="1"/>
          <w:bCs w:val="1"/>
          <w:color w:val="auto"/>
        </w:rPr>
        <w:t>Product Labeling for Aversion Technology Products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2013, the FDA published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Technology products in development. Although the FDA approved label for Aversion Oxycodone contains limitations on exposing Aversion Oxycodone tablets to water and other solvents and administration through feeding tubes, the FDA approved Aversion Oxycodone label does not contain a description of the I.V. injection studies we performed to characterize the abuse deterrent properties of Aversion Oxycodone. We have committed to the FDA to undertake epidemiological studies to assess the actual consequences of abuse of Aversion Oxycodone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Aversion Oxycodone.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 The 920 Patent expires in March, 2025.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2009, the USPTO issued to us U.S. Patent No. 7,476,402, or the 402 Patent, with 18 allowed claims. The 402 Patent encompasses certain combinations of kappa and mu opioid receptor agonists and other ingredients intended to deter opioid analgesic product misuse and abuse. The 402 Patent expires in November, 2023.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 The 726 Patent expires in November, 2023.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2011, the USPTO issued to us U.S. Patent No. 7,981,439, or the 439 Patent, with 7 allowed claims. The 439 Patent encompasses certain compositions including any water soluble drug of abuse intended to deter the most common methods of prescription opioid analgesic product misuse and abuse. The 439 Patent expires in August, 2024.</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July 2014, we ceded priority of the ‘630 patent to a patent application filed by Purdue Pharma and expect this patent to be rescinded.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2013, the USPTO issued to us U.S. Patent No. 8,409,616, or the 616 Patent, that encompasses certain immediate-release abuse deterrent dosage forms. The 616 Patent expires in November, 2023.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2014, the USPTO issued to us U.S. Patent No. 8,637,540, or the 540 Patent, that encompasses certain immediate-release abuse deterrent opioid products. The 540 Patent expires in November,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2014, the USPTO issued to us U.S. Patent No. 8,822,489, or the 489 Patent, that encompasses certain abuse deterrent products that contain polymers, surfactant and polysorb 80. The 489 Patent expires in November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Technology and filed U.S. patent applications for our Limitx Technology. We have retained all intellectual property rights to our Aversion Technology, Impede Technology, Limitx Technology, and related product candidates.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2012 and 2013, we received Paragraph IV Certification Notices from five generic sponsors of an ANDA for a generic drug listing our Aversion® Oxycodone product as the reference listed drug. The Paragraph IV Notices referred to our 920, 726 and 439 Patents, which cover our Aversion® Technology and our Aversion® Oxycodone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the remaining generic sponsors was settled during the period October 2013 through May 2014 on an individual basis, upon mutual agreement between us and such generic sponsors. None of such settlements impacted the validity or enforceability of our Patents. See “Note 3. Paragraph IV ANDA Litigation” for a discussion of the settlements relating to such patent litigation.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Reference is made to the Risk Factors contained in item 1A of our Annual Report on Form 10-K for the year ended December 31, 2013 for a discussion, among other things, of patent applications and patents owned by third parties, including claims that may encompass our Aversion Technology and Aversion oxycodone tablets.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Impede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Studies sponsored by us at an independent laboratory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developing a next generation of our Impede Technology in order to improve the meth-resistance of our technology. The U.S. Drug Enforcement Administration, or DEA, may grant exemptions from the purchase requirements and behind-the-counter status of PSE under the Combat Methamphetamine Epidemic Act of 2005, or CMEA. We believe a more robust formulation along with in-market data demonstrating a reduction in meth lab incidents may qualify for this exemption, although there can be no assurance this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Nexafed product is an immediate-release 30mg pseudoephedrine HCl tablet which utilizes our patent pending Impede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However, as meth-resistant products become pervasive, we believe meth cooks will migrate to other, larger selling, PSE containing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tablets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9,900 U.S. pharmacies or about 15%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Many chain pharmacies reset their cough/cold product offering in advance of the winter cold/flu season. We are in active discussion with some chains to have Nexafed as part of their store resets this winter.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52% of Nexafed stocking pharmacies are repeat customers, excluding Rite Aid which purchases directly from us and we therefore do not have individual store data.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shipped approximately $68 thousand in Nexafed product during the quarter ended September 30, 2014 and $164 thousand during the nine months ended September 30, 2014. We are marketing our 30mg Nexafed product under FDA’s regulations applicable to OTC Monograph products. Nexafed tablets are offered in 24-count blister packaged cartons and priced comparable to other branded PSE 30mg tablets.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881" w:right="239" w:bottom="1440" w:gutter="0" w:footer="0" w:header="0"/>
        </w:sectPr>
      </w:pPr>
    </w:p>
    <w:p>
      <w:pPr>
        <w:spacing w:after="0" w:line="17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Impede Technology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198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Nexafed Sinus</w:t>
      </w:r>
    </w:p>
    <w:p>
      <w:pPr>
        <w:spacing w:after="0" w:line="117"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Immediate-release pseudoephedrine HCl in combination with other cold and allergy active ingredients Extended-release formulation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Status</w:t>
      </w:r>
    </w:p>
    <w:p>
      <w:pPr>
        <w:spacing w:after="0" w:line="36" w:lineRule="exact"/>
        <w:rPr>
          <w:sz w:val="20"/>
          <w:szCs w:val="20"/>
          <w:color w:val="auto"/>
        </w:rPr>
      </w:pPr>
    </w:p>
    <w:p>
      <w:pPr>
        <w:ind w:right="2600"/>
        <w:spacing w:after="0" w:line="342" w:lineRule="auto"/>
        <w:rPr>
          <w:sz w:val="20"/>
          <w:szCs w:val="20"/>
          <w:color w:val="auto"/>
        </w:rPr>
      </w:pPr>
      <w:r>
        <w:rPr>
          <w:rFonts w:ascii="Arial" w:cs="Arial" w:eastAsia="Arial" w:hAnsi="Arial"/>
          <w:sz w:val="16"/>
          <w:szCs w:val="16"/>
          <w:color w:val="auto"/>
        </w:rPr>
        <w:t>In commercial manufacturing scale-up Launch expected in early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3190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Formulations being considered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Development initiated</w:t>
      </w:r>
    </w:p>
    <w:p>
      <w:pPr>
        <w:spacing w:after="0" w:line="224" w:lineRule="exact"/>
        <w:rPr>
          <w:sz w:val="20"/>
          <w:szCs w:val="20"/>
          <w:color w:val="auto"/>
        </w:rPr>
      </w:pPr>
    </w:p>
    <w:p>
      <w:pPr>
        <w:sectPr>
          <w:pgSz w:w="11900" w:h="16838" w:orient="portrait"/>
          <w:cols w:equalWidth="0" w:num="2">
            <w:col w:w="5440" w:space="380"/>
            <w:col w:w="5600"/>
          </w:cols>
          <w:pgMar w:left="240" w:top="881" w:right="2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We also have been working on a next generation Impede Technology, an improvement for our Nexafed franchise which is an enhancement on the methamphetamine resistance of our current technology in the one-pot methamphetamine conversion method. As part of this effort, we now have a comprehensive database on meth recoveries from most major and meth-resistant PSE containing products marketed in the US. We consider this information a competitive advantage in developing follow-on meth-resistant products and technologies as all products tested yield substantial quantities of meth that can be improved upon.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outside the United States. Within the United States, we may consider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Methamphetamine is a highly addictive illicit drug used non-medically by an estimated 13 million people at some point in their lifetime. In 2006, the Combat Methamphetamine Epidemic Act, or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and 5.5% in 2011 and 2012, respectively, although certain states continue to see increases. In response to the ongoing methamphetamine problem, several local jurisdictions (state, counties and/or local municipalities) have enacted or propose to enact legislation to require a physician’s prescription to obtain a PSE-containing product. For example, a bill passed the West Virginia Senate in 2014 requiring all PSE products to have a prescription with an exemption for meth-resistant products like Nexafed, however, this bill failed to pass in the state Assembly. In July, CVS pharmacies announced the removal of older single-ingredient PSE products from their West Virginia stores. We believe the vast majority of West Virginia pharmacies now stock either no single-ingredient PSE products or exclusively meth-resistant products. The West Virginia Gazette recently reported that PSE purchases in the state are down 30% and meth lab seizures in the state are trending down 20% compared to 2013.</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retail sales of non-prescription products containing either PSE or phenylephrine as a nasal decongestant, of which approximately 47% contained PSE. The top selling brands of OTC cold/allergy products in 2009 were:</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00" w:type="dxa"/>
            <w:vAlign w:val="bottom"/>
            <w:vMerge w:val="restart"/>
          </w:tcPr>
          <w:p>
            <w:pPr>
              <w:ind w:left="880"/>
              <w:spacing w:after="0"/>
              <w:rPr>
                <w:sz w:val="20"/>
                <w:szCs w:val="20"/>
                <w:color w:val="auto"/>
              </w:rPr>
            </w:pPr>
            <w:r>
              <w:rPr>
                <w:rFonts w:ascii="Arial" w:cs="Arial" w:eastAsia="Arial" w:hAnsi="Arial"/>
                <w:sz w:val="18"/>
                <w:szCs w:val="18"/>
                <w:color w:val="auto"/>
              </w:rPr>
              <w:t>Brand</w:t>
            </w:r>
            <w:r>
              <w:rPr>
                <w:rFonts w:ascii="Arial" w:cs="Arial" w:eastAsia="Arial" w:hAnsi="Arial"/>
                <w:sz w:val="30"/>
                <w:szCs w:val="30"/>
                <w:color w:val="auto"/>
                <w:vertAlign w:val="superscript"/>
              </w:rPr>
              <w:t>1</w:t>
            </w:r>
          </w:p>
        </w:tc>
        <w:tc>
          <w:tcPr>
            <w:tcW w:w="8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Active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2009 Retail Sales</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Company</w:t>
            </w:r>
          </w:p>
        </w:tc>
        <w:tc>
          <w:tcPr>
            <w:tcW w:w="1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Ingredient(s)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rPr>
              <w:t>($ 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Merck</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Mucinex-D</w:t>
            </w:r>
          </w:p>
        </w:tc>
        <w:tc>
          <w:tcPr>
            <w:tcW w:w="2200" w:type="dxa"/>
            <w:vAlign w:val="bottom"/>
          </w:tcPr>
          <w:p>
            <w:pPr>
              <w:spacing w:after="0"/>
              <w:rPr>
                <w:sz w:val="20"/>
                <w:szCs w:val="20"/>
                <w:color w:val="auto"/>
              </w:rPr>
            </w:pPr>
            <w:r>
              <w:rPr>
                <w:rFonts w:ascii="Arial" w:cs="Arial" w:eastAsia="Arial" w:hAnsi="Arial"/>
                <w:sz w:val="18"/>
                <w:szCs w:val="18"/>
                <w:color w:val="auto"/>
              </w:rPr>
              <w:t>Rickett Benckiser</w:t>
            </w:r>
          </w:p>
        </w:tc>
        <w:tc>
          <w:tcPr>
            <w:tcW w:w="230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PSE &amp; Guaifenesin</w:t>
            </w:r>
            <w:r>
              <w:rPr>
                <w:rFonts w:ascii="Arial" w:cs="Arial" w:eastAsia="Arial" w:hAnsi="Arial"/>
                <w:sz w:val="29"/>
                <w:szCs w:val="29"/>
                <w:color w:val="auto"/>
                <w:vertAlign w:val="superscript"/>
              </w:rPr>
              <w:t>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230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2200" w:type="dxa"/>
            <w:vAlign w:val="bottom"/>
          </w:tcPr>
          <w:p>
            <w:pPr>
              <w:spacing w:after="0"/>
              <w:rPr>
                <w:sz w:val="20"/>
                <w:szCs w:val="20"/>
                <w:color w:val="auto"/>
              </w:rPr>
            </w:pPr>
            <w:r>
              <w:rPr>
                <w:rFonts w:ascii="Arial" w:cs="Arial" w:eastAsia="Arial" w:hAnsi="Arial"/>
                <w:sz w:val="18"/>
                <w:szCs w:val="18"/>
                <w:color w:val="auto"/>
              </w:rPr>
              <w:t>Pfizer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J&amp;J</w:t>
            </w:r>
          </w:p>
        </w:tc>
        <w:tc>
          <w:tcPr>
            <w:tcW w:w="230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2200" w:type="dxa"/>
            <w:vAlign w:val="bottom"/>
          </w:tcPr>
          <w:p>
            <w:pPr>
              <w:spacing w:after="0"/>
              <w:rPr>
                <w:sz w:val="20"/>
                <w:szCs w:val="20"/>
                <w:color w:val="auto"/>
              </w:rPr>
            </w:pPr>
            <w:r>
              <w:rPr>
                <w:rFonts w:ascii="Arial" w:cs="Arial" w:eastAsia="Arial" w:hAnsi="Arial"/>
                <w:sz w:val="18"/>
                <w:szCs w:val="18"/>
                <w:color w:val="auto"/>
              </w:rPr>
              <w:t>J&amp;J</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2009 market for 30mg PSE tablets, including store brands was approximately 372 million tablets or 15.5 million boxes of 24 tablets. Nexafed is currently priced at $3.99 for a box of 24 tablets.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product pursuant to the FDA’s OTC Monograph regulations, which require that our product have labeling as specified in the regulations. We are advertising the extraction characteristics and methamphetamine-resistant benefits of our Nexafed product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Limitx™ technology is a novel, early stage technology intended to address abuse by excess oral consumption of multiple tablets and provide a margin of safety during accidental over-ingestion of tablets. In proof of concept laboratory tests, Limitx™ demonstrated the ability to limit the release of the active ingredient from tablets when multiple tablets are simultaneously introduced into simulated gastric fluid. While the initial Limitx™ formulation utilizes hydromorphone as its sole active ingredient, if such development proves successful, of which no assurance can be given, it is expected that the technology could incorporate other opioids as well. The need for abuse deterrent formulations which address excess oral consumption was stressed in the January 2013 FDA draft guidance for abuse deterrent opioids. We have patents pending with the U.S. Patent and Trademark office covering our Limitx™ technology.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Limitx™ is being developed pursuant to a $300,000 grant (the “Grant”) by the National Institute On Drug Abuse (“NIDA”) of the National Institutes of Health. Phase I of development is to create an optimized formulation suitable for human testing. Phase II will encompass human testing to characterize the abuse deterrent features of the formulation. Under the terms of the Grant, we must complete Phase I development by February 28, 2015. NIDA funding of Phase II development, for which an application has already been submitted, will be contingent upon (1) assessment by NIDA of the Phase I progress report and determination that the Phase I milestones were achieved, (2) review and approval of other documents necessary for continuation, and (3) availability of funds. No assurance can be given that Phase II development funding will be provided by NIDA.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Phase I Research on the Company’s hydromorphone tablet utilizing Limitx™ technology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30, 2014 we had cash, cash equivalents and marketable securities of approximately $14.0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nine months ended September 30, 2014 we had shipments of Nexafed totaling $164 thousand. We recognized revenue of $218 thousand from Nexafed product sales.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we currently cannot reliably estimate expected returns of the product from these customers at the time of shipment. Accordingly, we are deferring recognition of revenue on these product shipments of Nexafed until the right of return no longer exists or adequate history and information is available to estimate product returns. Pfizer no longer has a royalty obligation to us on Pfizer’s sale of Aversion Oxycodone as our license agreement with Pfizer was terminated effective April 9, 2014.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To fund our continued operations, we expect to rely on our current cash resources (which includes the proceeds of our $10.0 million term loan from Oxford Finance having principal debt repayments beginning April 1, 2015), milestones and royalty payments that may be made under future license agreements with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Tablets, or invest in other areas.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2014 Compared to Three months Ended September 30, 2013</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ind w:left="720"/>
              <w:spacing w:after="0"/>
              <w:rPr>
                <w:sz w:val="20"/>
                <w:szCs w:val="20"/>
                <w:color w:val="auto"/>
              </w:rPr>
            </w:pPr>
            <w:r>
              <w:rPr>
                <w:rFonts w:ascii="Arial" w:cs="Arial" w:eastAsia="Arial" w:hAnsi="Arial"/>
                <w:sz w:val="18"/>
                <w:szCs w:val="18"/>
                <w:color w:val="auto"/>
                <w:w w:val="92"/>
              </w:rPr>
              <w:t>Three Months Ended 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7"/>
              </w:rPr>
              <w:t>Increase (decrease)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$000’s</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96"/>
              </w:rPr>
              <w:t>Percent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(excludes inventory write-down)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(2,646)</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Loss on sales of marketable securities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(2,904)</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nm = not meaningful</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launched Nexafed commercially in mid-December 2012. Given the limited sales history of Nexafed, we could not reliably estimate expected returns of the product at the time of shipment. Accordingly, we have deferred recognition of revenue and the related cost of sales on selected product shipments of Nexafed until the right of return no longer exists or adequate history and information is available to estimate product returns. At September 30, 2014 we have deferred $228 thousand of revenue. During each of the three month periods ended September 30, 2014 and 2013, we recognized revenue of $145 thousand and $80 thousand, respectively,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Pfizer Agreement, we began to earn royalties equal to 5% of Aversion Oxycodone net sales starting in February 2013. The Pfizer Agreement was terminated effective April 9, 2014 and Pfizer’s royalty payment obligations ceased as of such date. We earned royalties of approximately $3 thousand for the three month period ending September 30,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(“R&amp;D”) expense during the three months ended September 30, 2014 and 2013 were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$0.1 million. Excluding the share-based compensation expense, our R&amp;D expenses decreased approximately $0.3 million between reporting periods. The decrease is primarily due to the nasal abuse liability liking study AP-ADF-301 expenses on our Aversion hydrocodone/acetaminophen product candidate which was ongoing during the three month period ended September 30, 2013 and completed later in the fourth quarter of 2013.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during the three months ended September 30, 2014 and 2013 primarily consisted of advertising and marketing activities on Nexafed. We are continuing our Nexafed advertising and marketing activities. Our general and administrative expenses primarily consisted of legal, audit and other professional services, corporate insurance, and payroll. Included in each of the 2014 and 2013 results are non-cash share-based compensation expenses of $0.2 million. Excluding the share-based compensation expense our selling, marketing, general and administrative expenses decreased approximately $0.2 million between reporting periods. The decrease is primarily due to legal services relating to our paragraph IV ANDA litigation activities concluding in May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three months ended September 30, 2014 and 2013, other non-operating income consisted principally of investment income derived from our cash reserves being invested in marketable securities in accordance with a Board of Director approved investment policy. Our marketable securities are classified as available-for-sale and are recorded at fair value based on quoted market prices. Our marketable securities may be sold within one year </w:t>
      </w:r>
      <w:r>
        <w:rPr>
          <w:rFonts w:ascii="Arial" w:cs="Arial" w:eastAsia="Arial" w:hAnsi="Arial"/>
          <w:sz w:val="18"/>
          <w:szCs w:val="18"/>
          <w:color w:val="111111"/>
        </w:rPr>
        <w:t>in response to</w:t>
      </w:r>
      <w:r>
        <w:rPr>
          <w:rFonts w:ascii="Arial" w:cs="Arial" w:eastAsia="Arial" w:hAnsi="Arial"/>
          <w:sz w:val="18"/>
          <w:szCs w:val="18"/>
          <w:color w:val="auto"/>
        </w:rPr>
        <w:t xml:space="preserve"> </w:t>
      </w:r>
      <w:r>
        <w:rPr>
          <w:rFonts w:ascii="Arial" w:cs="Arial" w:eastAsia="Arial" w:hAnsi="Arial"/>
          <w:sz w:val="18"/>
          <w:szCs w:val="18"/>
          <w:color w:val="111111"/>
        </w:rPr>
        <w:t>changes in market prices or interest rates, to realign our investment concentrations or to meet our working capital needs and we may realize a gain or loss upon sale. During the three months ended September 30, 2014, other non-operating expense consisted of $0.3 million interest cost associated with our debt funded in December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 for the three months ended September 30, 2014 and 2013 includes no federal or state income tax benefit provisions due to uncertainty of their future utilization.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2014 Compared to Nine months Ended September 30, 2013</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8"/>
              </w:rPr>
              <w:t>Increase (decrease)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$000’s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$000’s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Percent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(excludes inventory write-down)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5,903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(9,744)</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(10,609)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(Loss) gain on sales of marketable securities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(10,513)</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nm = not meaningful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launched Nexafed commercially in mid-December 2012. Given the limited sales history of Nexafed, we could not reliably estimate expected returns of the product at the time of shipment. Accordingly, we have deferred recognition of revenue and the related cost of sales on selected product shipments of Nexafed since its launch until the right of return no longer exists or adequate history and information is available to estimate product returns. At September 30, 2014 we have deferred $228 thousand of revenue. During the nine months ended September 30, 2014 and 2013 we recognized revenue of $218 thousand and $80 thousand, respectively,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Pfizer Agreement, we began to earn royalties equal to 5% of Aversion Oxycodone net sales starting in February 2013. The Pfizer Agreement was terminated effective April 9, 2014 and Pfizer’s royalty payment obligations ceased as of such date. We earned royalties of approximately $4 thousand and $8 thousand for the nine months ended September 30,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the nine months ended September 30, 2014 and 2013, we recorded $0.2 million and $0.4 million, respectfully, of inventory reserve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(“R&amp;D”) expense during the nine months ended September 30, 2014 and 2013 were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$0.2 million. Excluding the share-based compensation expense, our R&amp;D expenses decreased approximately $0.4 million between reporting periods. The decrease is primarily due to the nasal abuse liability liking study AP-ADF-301 expenses on our Aversion hydrocodone/acetaminophen product candidate which was ongoing during the nine month period ended September 30, 2013 and completed later in the fourth quarter of 2013.</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and marketing expenses during the nine months ended September 30, 2014 and 2013 primarily consisted of advertising and marketing activities on Nexafed. We are continuing our Nexafed advertising and marketing activities. Our general and administrative expenses primarily consisted of legal, audit and other professional services, corporate insurance, and payroll. Included in each of the 2014 and 2013 results are non-cash share-based compensation expenses of $0.5 million and $0.7 million, respectively. Excluding the share-based compensation expense our selling, marketing, general and administrative expenses remained relatively unchanged between reporting periods. The legal services relating to our paragraph IV ANDA litigation activities concluded in May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nine months ended September 30, 2014 and 2013, other non-operating income consisted principally of investment income derived from our cash reserves being invested in marketable securities in accordance with a Board of Director approved investment policy. Our marketable securities are classified as available-for-sale and are recorded at fair value based on quoted market prices. Our marketable securities may be sold within one year </w:t>
      </w:r>
      <w:r>
        <w:rPr>
          <w:rFonts w:ascii="Arial" w:cs="Arial" w:eastAsia="Arial" w:hAnsi="Arial"/>
          <w:sz w:val="18"/>
          <w:szCs w:val="18"/>
          <w:color w:val="111111"/>
        </w:rPr>
        <w:t>in response to</w:t>
      </w:r>
      <w:r>
        <w:rPr>
          <w:rFonts w:ascii="Arial" w:cs="Arial" w:eastAsia="Arial" w:hAnsi="Arial"/>
          <w:sz w:val="18"/>
          <w:szCs w:val="18"/>
          <w:color w:val="auto"/>
        </w:rPr>
        <w:t xml:space="preserve"> </w:t>
      </w:r>
      <w:r>
        <w:rPr>
          <w:rFonts w:ascii="Arial" w:cs="Arial" w:eastAsia="Arial" w:hAnsi="Arial"/>
          <w:sz w:val="18"/>
          <w:szCs w:val="18"/>
          <w:color w:val="111111"/>
        </w:rPr>
        <w:t>changes in market prices or interest rates, to realign our investment concentrations or to meet our working capital needs and we may realize a gain or loss upon sale. During the nine months ended September 30, 2014, other non-operating expense consisted of $0.9 million interest cost associated with our debt funded in December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 for the nine months ended September 30, 2014 and 2013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2014, the Company had cash, cash equivalents and marketable securities of $14.6 million compared to $26.1 million at December 31, 2013. The Company had working capital of $13.1 million at September 30, 2014 compared to $26.3 million at December 31, 2013. The decrease in our cash position is primarily due to our period’s net operating loss which is adjusted for non-cash share-based compensation expenses. Our net loss includes our advertising and marketing activities on Nexafed of $1.9 million, our legal expenses incurred from our paragraph IV ANDA litigation of $0.3 million and for maintaining our patent and trademarks of $0.6 million. The decrease in our cash position includes our payment of employees’ withholding taxes of $0.5 million associated with their option exercises and RSU exchanges during such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Pending the receipt of milestone and royalty payments under license agreements similar to the Pfizer Agreement anticipated to be negotiated and executed with other pharmaceutical company partners, of which no assurance can be given, we must rely on revenues from our Nexafed sales and our current cash reserves, including interest income from the investment of our cash reserves, to fund the development of our Aversion Technology, Impede Technology, Limitx Technology and related administrative and operating expenses. Our future sources of revenue, if any, will be derived from milestone payments and royalties under license agreements similar to the Pfizer Agreement with other pharmaceutical company partners, for which there can be no assurance, and from the commercialization of our Nexafed tablets and other Impede Technology products that we expect to develop.</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30, 2014, the Company had cash, cash equivalents and marketable securities of approximately $14.0 million. We estimate that our current cash reserves will be sufficient to fund operations through at least the next 12 months.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18, 2014, we received a letter from the Listing Qualifications Staff of the NASDAQ Stock Market notifying us that because the closing bid price of our common stock has been below $1.00 for 30 consecutive business days, it no longer complies with the requirements for continued listing on the NASDAQ Capital Market. The NASDAQ notice does not impact our current listing on the NASDAQ Capital Market at this time and our common stock will continue to trade under the symbol “ACUR”. In accordance with NASDAQ rules, we have been provided a period of 180 calendar days, or until March 17, 2015, in which to regain compliance. In order to regain compliance with the minimum bid price requirement, the closing bid price of our common stock must be at least $1.00 per share for a minimum of 10 consecutive business days during this 180 day period. If we do not satisfy this requirement by March 17, 2015, NASDAQ will determine whether the Company meets the applicable market value of publicly held shares requirement for continued listing and all other applicable standards for initial listing on the NASDAQ Capital Market (except the bid price requirement). If Acura meets such criteria, it may be eligible for an additional 180 day compliance period. If we do not regain compliance, our common stock will be subject to delisting.</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intend to monitor the bid price of our common stock between now and March 17, 2015, and will consider available options to regain compliance with the listing requirements. There can be no assurance that we will be able to regain compliance with the minimum bid price requirement or maintain compliance with other listing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2013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2013 Annual Report are also applicable to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268"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2014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3, “License, Development, and Commercialization Agreement – Paragraph IV ANDA Litigation”, and Note 14, “Commitments and Contingencies,” in Part I, 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exhibits required by this Item are listed below.</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tcPr>
          <w:p>
            <w:pPr>
              <w:ind w:left="46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tcPr>
          <w:p>
            <w:pPr>
              <w:ind w:left="46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tcPr>
          <w:p>
            <w:pPr>
              <w:ind w:left="46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160" w:type="dxa"/>
            <w:vAlign w:val="bottom"/>
          </w:tcPr>
          <w:p>
            <w:pPr>
              <w:spacing w:after="0"/>
              <w:rPr>
                <w:sz w:val="24"/>
                <w:szCs w:val="24"/>
                <w:color w:val="auto"/>
              </w:rPr>
            </w:pPr>
          </w:p>
        </w:tc>
      </w:tr>
    </w:tbl>
    <w:p>
      <w:pPr>
        <w:spacing w:after="0" w:line="20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4124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4124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1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246"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113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089"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October 30, 2014</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754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75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7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42"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10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October 30, 2014</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778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77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7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2014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40" w:hanging="27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October 30, 2014</w:t>
            </w: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50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500" w:type="dxa"/>
            <w:vAlign w:val="bottom"/>
          </w:tcPr>
          <w:p>
            <w:pPr>
              <w:spacing w:after="0"/>
              <w:rPr>
                <w:sz w:val="24"/>
                <w:szCs w:val="24"/>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50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5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þ"/>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2"/>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2019-12-05T22:05:36Z</dcterms:created>
  <dcterms:modified xsi:type="dcterms:W3CDTF">2019-12-05T22:05:36Z</dcterms:modified>
</cp:coreProperties>
</file>