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100" w:hanging="531"/>
        <w:spacing w:after="0" w:line="261"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80" w:right="1280" w:hanging="567"/>
        <w:spacing w:after="0" w:line="282"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1-10113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ACURA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5"/>
              </w:rPr>
              <w:t>New York</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616 N. North Court, Suite 120, Palatine, Illinois</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60067</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3"/>
              </w:rPr>
              <w:t>(Address of principal administrative office)</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p>
      <w:pPr>
        <w:sectPr>
          <w:pgSz w:w="11900" w:h="16838" w:orient="portrait"/>
          <w:cols w:equalWidth="0" w:num="1">
            <w:col w:w="11420"/>
          </w:cols>
          <w:pgMar w:left="240" w:top="783" w:right="239" w:bottom="289" w:gutter="0" w:footer="0" w:header="0"/>
        </w:sectPr>
      </w:pPr>
    </w:p>
    <w:p>
      <w:pPr>
        <w:spacing w:after="0" w:line="225"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0"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N/A</w:t>
      </w:r>
    </w:p>
    <w:p>
      <w:pPr>
        <w:spacing w:after="0" w:line="200" w:lineRule="exact"/>
        <w:rPr>
          <w:sz w:val="24"/>
          <w:szCs w:val="24"/>
          <w:color w:val="auto"/>
        </w:rPr>
      </w:pPr>
    </w:p>
    <w:p>
      <w:pPr>
        <w:sectPr>
          <w:pgSz w:w="11900" w:h="16838" w:orient="portrait"/>
          <w:cols w:equalWidth="0" w:num="2">
            <w:col w:w="6140" w:space="720"/>
            <w:col w:w="4560"/>
          </w:cols>
          <w:pgMar w:left="240" w:top="783" w:right="239" w:bottom="289"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07" w:lineRule="exact"/>
        <w:tabs>
          <w:tab w:leader="none" w:pos="5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9" w:lineRule="exact"/>
        <w:rPr>
          <w:sz w:val="24"/>
          <w:szCs w:val="24"/>
          <w:color w:val="auto"/>
        </w:rPr>
      </w:pPr>
    </w:p>
    <w:p>
      <w:pPr>
        <w:spacing w:after="0" w:line="207" w:lineRule="exact"/>
        <w:tabs>
          <w:tab w:leader="none" w:pos="57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Arial" w:cs="Arial" w:eastAsia="Arial" w:hAnsi="Arial"/>
          <w:sz w:val="16"/>
          <w:szCs w:val="16"/>
          <w:color w:val="auto"/>
        </w:rPr>
        <w:t>x Smaller Reporting Company.</w:t>
      </w:r>
    </w:p>
    <w:p>
      <w:pPr>
        <w:spacing w:after="0" w:line="9" w:lineRule="exact"/>
        <w:rPr>
          <w:sz w:val="24"/>
          <w:szCs w:val="24"/>
          <w:color w:val="auto"/>
        </w:rPr>
      </w:pPr>
    </w:p>
    <w:p>
      <w:pPr>
        <w:ind w:left="5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16"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last sale price on the OTCQB Market of the Common Stock of $0.56 on June 30, 2017 (the last business day of the registrant’s most recently completed second fiscal quarter), the aggregate market value of the voting stock held by non-affiliates of the registrant was approximately $4.2 million.</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As of June 6, 2018, the registrant had 21,033,528 shares of Common Stock, par value $0.01, outstanding.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83" w:right="239" w:bottom="28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20" w:type="dxa"/>
            <w:vAlign w:val="bottom"/>
            <w:gridSpan w:val="14"/>
          </w:tcPr>
          <w:p>
            <w:pPr>
              <w:jc w:val="center"/>
              <w:ind w:right="3460"/>
              <w:spacing w:after="0"/>
              <w:rPr>
                <w:sz w:val="20"/>
                <w:szCs w:val="20"/>
                <w:color w:val="auto"/>
              </w:rPr>
            </w:pPr>
            <w:r>
              <w:rPr>
                <w:rFonts w:ascii="Arial" w:cs="Arial" w:eastAsia="Arial" w:hAnsi="Arial"/>
                <w:sz w:val="18"/>
                <w:szCs w:val="18"/>
                <w:b w:val="1"/>
                <w:bCs w:val="1"/>
                <w:color w:val="auto"/>
                <w:w w:val="90"/>
              </w:rPr>
              <w:t>Acura Pharmaceuticals, Inc.</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40" w:type="dxa"/>
            <w:vAlign w:val="bottom"/>
            <w:gridSpan w:val="13"/>
          </w:tcPr>
          <w:p>
            <w:pPr>
              <w:jc w:val="center"/>
              <w:ind w:right="4240"/>
              <w:spacing w:after="0"/>
              <w:rPr>
                <w:sz w:val="20"/>
                <w:szCs w:val="20"/>
                <w:color w:val="auto"/>
              </w:rPr>
            </w:pPr>
            <w:r>
              <w:rPr>
                <w:rFonts w:ascii="Arial" w:cs="Arial" w:eastAsia="Arial" w:hAnsi="Arial"/>
                <w:sz w:val="18"/>
                <w:szCs w:val="18"/>
                <w:b w:val="1"/>
                <w:bCs w:val="1"/>
                <w:color w:val="auto"/>
                <w:w w:val="96"/>
              </w:rPr>
              <w:t>Form 10-K</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w w:val="90"/>
              </w:rPr>
              <w:t>For the Fiscal Year Ended December 31, 2017</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gridSpan w:val="14"/>
          </w:tcPr>
          <w:p>
            <w:pPr>
              <w:jc w:val="center"/>
              <w:ind w:right="344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00" w:type="dxa"/>
            <w:vAlign w:val="bottom"/>
            <w:gridSpan w:val="10"/>
            <w:shd w:val="clear" w:color="auto" w:fill="CCEEFF"/>
          </w:tcPr>
          <w:p>
            <w:pPr>
              <w:jc w:val="center"/>
              <w:ind w:right="4360"/>
              <w:spacing w:after="0" w:line="15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340" w:type="dxa"/>
            <w:vAlign w:val="bottom"/>
            <w:tcBorders>
              <w:top w:val="single" w:sz="8" w:color="CCEEFF"/>
            </w:tcBorders>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15"/>
                <w:szCs w:val="15"/>
                <w:color w:val="auto"/>
              </w:rPr>
            </w:pPr>
          </w:p>
        </w:tc>
        <w:tc>
          <w:tcPr>
            <w:tcW w:w="43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gridSpan w:val="4"/>
          </w:tcPr>
          <w:p>
            <w:pPr>
              <w:jc w:val="center"/>
              <w:ind w:left="33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w:t>
              </w:r>
            </w:hyperlink>
          </w:p>
        </w:tc>
        <w:tc>
          <w:tcPr>
            <w:tcW w:w="4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1B.</w:t>
              </w:r>
            </w:hyperlink>
          </w:p>
        </w:tc>
        <w:tc>
          <w:tcPr>
            <w:tcW w:w="520" w:type="dxa"/>
            <w:vAlign w:val="bottom"/>
          </w:tcPr>
          <w:p>
            <w:pPr>
              <w:spacing w:after="0"/>
              <w:rPr>
                <w:sz w:val="15"/>
                <w:szCs w:val="15"/>
                <w:color w:val="auto"/>
              </w:rPr>
            </w:pPr>
          </w:p>
        </w:tc>
        <w:tc>
          <w:tcPr>
            <w:tcW w:w="9240" w:type="dxa"/>
            <w:vAlign w:val="bottom"/>
            <w:gridSpan w:val="2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2.</w:t>
              </w:r>
            </w:hyperlink>
          </w:p>
        </w:tc>
        <w:tc>
          <w:tcPr>
            <w:tcW w:w="640" w:type="dxa"/>
            <w:vAlign w:val="bottom"/>
            <w:gridSpan w:val="3"/>
            <w:shd w:val="clear" w:color="auto" w:fill="CCEEFF"/>
          </w:tcPr>
          <w:p>
            <w:pPr>
              <w:spacing w:after="0"/>
              <w:rPr>
                <w:sz w:val="15"/>
                <w:szCs w:val="15"/>
                <w:color w:val="auto"/>
              </w:rPr>
            </w:pPr>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Item 3.</w:t>
              </w:r>
            </w:hyperlink>
          </w:p>
        </w:tc>
        <w:tc>
          <w:tcPr>
            <w:tcW w:w="640" w:type="dxa"/>
            <w:vAlign w:val="bottom"/>
            <w:gridSpan w:val="3"/>
          </w:tcPr>
          <w:p>
            <w:pPr>
              <w:spacing w:after="0"/>
              <w:rPr>
                <w:sz w:val="15"/>
                <w:szCs w:val="15"/>
                <w:color w:val="auto"/>
              </w:rPr>
            </w:pPr>
          </w:p>
        </w:tc>
        <w:tc>
          <w:tcPr>
            <w:tcW w:w="9240" w:type="dxa"/>
            <w:vAlign w:val="bottom"/>
            <w:gridSpan w:val="2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4.</w:t>
              </w:r>
            </w:hyperlink>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920" w:type="dxa"/>
            <w:vAlign w:val="bottom"/>
            <w:tcBorders>
              <w:top w:val="single" w:sz="8" w:color="CCEEFF"/>
            </w:tcBorders>
            <w:gridSpan w:val="11"/>
          </w:tcPr>
          <w:p>
            <w:pPr>
              <w:jc w:val="center"/>
              <w:ind w:right="4320"/>
              <w:spacing w:after="0" w:line="17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PART II</w:t>
              </w:r>
            </w:hyperlink>
          </w:p>
        </w:tc>
        <w:tc>
          <w:tcPr>
            <w:tcW w:w="4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5.</w:t>
              </w:r>
            </w:hyperlink>
          </w:p>
        </w:tc>
        <w:tc>
          <w:tcPr>
            <w:tcW w:w="640" w:type="dxa"/>
            <w:vAlign w:val="bottom"/>
            <w:gridSpan w:val="3"/>
            <w:shd w:val="clear" w:color="auto" w:fill="CCEEFF"/>
          </w:tcPr>
          <w:p>
            <w:pPr>
              <w:spacing w:after="0"/>
              <w:rPr>
                <w:sz w:val="15"/>
                <w:szCs w:val="15"/>
                <w:color w:val="auto"/>
              </w:rPr>
            </w:pPr>
          </w:p>
        </w:tc>
        <w:tc>
          <w:tcPr>
            <w:tcW w:w="8080" w:type="dxa"/>
            <w:vAlign w:val="bottom"/>
            <w:gridSpan w:val="26"/>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Market for Registrant’s Common Equity, Related Stockholder Matters and Issuer Purchases of Equity Securities</w:t>
              </w:r>
            </w:hyperlink>
          </w:p>
        </w:tc>
        <w:tc>
          <w:tcPr>
            <w:tcW w:w="116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Item 6.</w:t>
              </w:r>
            </w:hyperlink>
          </w:p>
        </w:tc>
        <w:tc>
          <w:tcPr>
            <w:tcW w:w="640" w:type="dxa"/>
            <w:vAlign w:val="bottom"/>
            <w:gridSpan w:val="3"/>
          </w:tcPr>
          <w:p>
            <w:pPr>
              <w:spacing w:after="0"/>
              <w:rPr>
                <w:sz w:val="15"/>
                <w:szCs w:val="15"/>
                <w:color w:val="auto"/>
              </w:rPr>
            </w:pPr>
          </w:p>
        </w:tc>
        <w:tc>
          <w:tcPr>
            <w:tcW w:w="8080" w:type="dxa"/>
            <w:vAlign w:val="bottom"/>
            <w:gridSpan w:val="26"/>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1160" w:type="dxa"/>
            <w:vAlign w:val="bottom"/>
          </w:tcPr>
          <w:p>
            <w:pPr>
              <w:spacing w:after="0"/>
              <w:rPr>
                <w:sz w:val="15"/>
                <w:szCs w:val="15"/>
                <w:color w:val="auto"/>
              </w:rPr>
            </w:pPr>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57</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7.</w:t>
              </w:r>
            </w:hyperlink>
          </w:p>
        </w:tc>
        <w:tc>
          <w:tcPr>
            <w:tcW w:w="640" w:type="dxa"/>
            <w:vAlign w:val="bottom"/>
            <w:gridSpan w:val="3"/>
            <w:shd w:val="clear" w:color="auto" w:fill="CCEEFF"/>
          </w:tcPr>
          <w:p>
            <w:pPr>
              <w:spacing w:after="0"/>
              <w:rPr>
                <w:sz w:val="15"/>
                <w:szCs w:val="15"/>
                <w:color w:val="auto"/>
              </w:rPr>
            </w:pPr>
          </w:p>
        </w:tc>
        <w:tc>
          <w:tcPr>
            <w:tcW w:w="6460" w:type="dxa"/>
            <w:vAlign w:val="bottom"/>
            <w:gridSpan w:val="24"/>
            <w:shd w:val="clear" w:color="auto" w:fill="CCEEFF"/>
          </w:tcPr>
          <w:p>
            <w:pPr>
              <w:spacing w:after="0" w:line="17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3"/>
            <w:shd w:val="clear" w:color="auto" w:fill="CCEEFF"/>
          </w:tcPr>
          <w:p>
            <w:pPr>
              <w:spacing w:after="0"/>
              <w:rPr>
                <w:sz w:val="15"/>
                <w:szCs w:val="15"/>
                <w:color w:val="auto"/>
              </w:rPr>
            </w:pPr>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7A.</w:t>
              </w:r>
            </w:hyperlink>
          </w:p>
        </w:tc>
        <w:tc>
          <w:tcPr>
            <w:tcW w:w="9240" w:type="dxa"/>
            <w:vAlign w:val="bottom"/>
            <w:gridSpan w:val="27"/>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Item 8.</w:t>
              </w:r>
            </w:hyperlink>
          </w:p>
        </w:tc>
        <w:tc>
          <w:tcPr>
            <w:tcW w:w="640" w:type="dxa"/>
            <w:vAlign w:val="bottom"/>
            <w:gridSpan w:val="3"/>
            <w:shd w:val="clear" w:color="auto" w:fill="CCEEFF"/>
          </w:tcPr>
          <w:p>
            <w:pPr>
              <w:spacing w:after="0"/>
              <w:rPr>
                <w:sz w:val="15"/>
                <w:szCs w:val="15"/>
                <w:color w:val="auto"/>
              </w:rPr>
            </w:pPr>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Item 9.</w:t>
              </w:r>
            </w:hyperlink>
          </w:p>
        </w:tc>
        <w:tc>
          <w:tcPr>
            <w:tcW w:w="640" w:type="dxa"/>
            <w:vAlign w:val="bottom"/>
            <w:gridSpan w:val="3"/>
          </w:tcPr>
          <w:p>
            <w:pPr>
              <w:spacing w:after="0"/>
              <w:rPr>
                <w:sz w:val="15"/>
                <w:szCs w:val="15"/>
                <w:color w:val="auto"/>
              </w:rPr>
            </w:pPr>
          </w:p>
        </w:tc>
        <w:tc>
          <w:tcPr>
            <w:tcW w:w="9240" w:type="dxa"/>
            <w:vAlign w:val="bottom"/>
            <w:gridSpan w:val="27"/>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 with Accountants on Accounting and Financial Disclosure</w:t>
              </w:r>
            </w:hyperlink>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9A.</w:t>
              </w:r>
            </w:hyperlink>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69</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Item 9B.</w:t>
              </w:r>
            </w:hyperlink>
          </w:p>
        </w:tc>
        <w:tc>
          <w:tcPr>
            <w:tcW w:w="520" w:type="dxa"/>
            <w:vAlign w:val="bottom"/>
          </w:tcPr>
          <w:p>
            <w:pPr>
              <w:spacing w:after="0"/>
              <w:rPr>
                <w:sz w:val="15"/>
                <w:szCs w:val="15"/>
                <w:color w:val="auto"/>
              </w:rPr>
            </w:pPr>
          </w:p>
        </w:tc>
        <w:tc>
          <w:tcPr>
            <w:tcW w:w="1760" w:type="dxa"/>
            <w:vAlign w:val="bottom"/>
            <w:gridSpan w:val="8"/>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480" w:type="dxa"/>
            <w:vAlign w:val="bottom"/>
            <w:gridSpan w:val="19"/>
          </w:tcPr>
          <w:p>
            <w:pPr>
              <w:spacing w:after="0"/>
              <w:rPr>
                <w:sz w:val="15"/>
                <w:szCs w:val="15"/>
                <w:color w:val="auto"/>
              </w:rPr>
            </w:pPr>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69</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60" w:type="dxa"/>
            <w:vAlign w:val="bottom"/>
            <w:gridSpan w:val="12"/>
            <w:shd w:val="clear" w:color="auto" w:fill="CCEEFF"/>
          </w:tcPr>
          <w:p>
            <w:pPr>
              <w:jc w:val="center"/>
              <w:ind w:right="4300"/>
              <w:spacing w:after="0" w:line="17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PART III</w:t>
              </w:r>
            </w:hyperlink>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10.</w:t>
              </w:r>
            </w:hyperlink>
          </w:p>
        </w:tc>
        <w:tc>
          <w:tcPr>
            <w:tcW w:w="4280" w:type="dxa"/>
            <w:vAlign w:val="bottom"/>
            <w:tcBorders>
              <w:top w:val="single" w:sz="8" w:color="CCEEFF"/>
            </w:tcBorders>
            <w:gridSpan w:val="15"/>
          </w:tcPr>
          <w:p>
            <w:pPr>
              <w:spacing w:after="0" w:line="17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Directors, Executive Officers and Corporate Governance</w:t>
              </w:r>
            </w:hyperlink>
          </w:p>
        </w:tc>
        <w:tc>
          <w:tcPr>
            <w:tcW w:w="660" w:type="dxa"/>
            <w:vAlign w:val="bottom"/>
            <w:tcBorders>
              <w:top w:val="single" w:sz="8" w:color="0000EE"/>
            </w:tcBorders>
            <w:gridSpan w:val="6"/>
          </w:tcPr>
          <w:p>
            <w:pPr>
              <w:spacing w:after="0"/>
              <w:rPr>
                <w:sz w:val="15"/>
                <w:szCs w:val="15"/>
                <w:color w:val="auto"/>
              </w:rPr>
            </w:pPr>
          </w:p>
        </w:tc>
        <w:tc>
          <w:tcPr>
            <w:tcW w:w="4300" w:type="dxa"/>
            <w:vAlign w:val="bottom"/>
            <w:tcBorders>
              <w:top w:val="single" w:sz="8" w:color="CCEEFF"/>
            </w:tcBorders>
            <w:gridSpan w:val="6"/>
          </w:tcPr>
          <w:p>
            <w:pPr>
              <w:spacing w:after="0"/>
              <w:rPr>
                <w:sz w:val="15"/>
                <w:szCs w:val="15"/>
                <w:color w:val="auto"/>
              </w:rPr>
            </w:pPr>
          </w:p>
        </w:tc>
        <w:tc>
          <w:tcPr>
            <w:tcW w:w="600" w:type="dxa"/>
            <w:vAlign w:val="bottom"/>
            <w:tcBorders>
              <w:top w:val="single" w:sz="8" w:color="CCEEFF"/>
            </w:tcBorders>
            <w:gridSpan w:val="4"/>
          </w:tcPr>
          <w:p>
            <w:pPr>
              <w:jc w:val="center"/>
              <w:ind w:left="330"/>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c>
          <w:tcPr>
            <w:tcW w:w="4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11.</w:t>
              </w:r>
            </w:hyperlink>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75</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12.</w:t>
              </w:r>
            </w:hyperlink>
          </w:p>
        </w:tc>
        <w:tc>
          <w:tcPr>
            <w:tcW w:w="9240" w:type="dxa"/>
            <w:vAlign w:val="bottom"/>
            <w:gridSpan w:val="27"/>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87</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13.</w:t>
              </w:r>
            </w:hyperlink>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90</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Item 14.</w:t>
              </w:r>
            </w:hyperlink>
          </w:p>
        </w:tc>
        <w:tc>
          <w:tcPr>
            <w:tcW w:w="9240" w:type="dxa"/>
            <w:vAlign w:val="bottom"/>
            <w:gridSpan w:val="27"/>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Principal Accounting Fees and Services</w:t>
              </w:r>
            </w:hyperlink>
          </w:p>
        </w:tc>
        <w:tc>
          <w:tcPr>
            <w:tcW w:w="600" w:type="dxa"/>
            <w:vAlign w:val="bottom"/>
            <w:gridSpan w:val="4"/>
          </w:tcPr>
          <w:p>
            <w:pPr>
              <w:jc w:val="center"/>
              <w:ind w:left="330"/>
              <w:spacing w:after="0" w:line="17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92</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60" w:type="dxa"/>
            <w:vAlign w:val="bottom"/>
            <w:gridSpan w:val="12"/>
            <w:shd w:val="clear" w:color="auto" w:fill="CCEEFF"/>
          </w:tcPr>
          <w:p>
            <w:pPr>
              <w:jc w:val="center"/>
              <w:ind w:right="4300"/>
              <w:spacing w:after="0" w:line="176" w:lineRule="exact"/>
              <w:rPr>
                <w:rFonts w:ascii="Arial" w:cs="Arial" w:eastAsia="Arial" w:hAnsi="Arial"/>
                <w:sz w:val="18"/>
                <w:szCs w:val="18"/>
                <w:color w:val="0000EE"/>
                <w:w w:val="94"/>
              </w:rPr>
            </w:pPr>
            <w:hyperlink w:anchor="page96">
              <w:r>
                <w:rPr>
                  <w:rFonts w:ascii="Arial" w:cs="Arial" w:eastAsia="Arial" w:hAnsi="Arial"/>
                  <w:sz w:val="18"/>
                  <w:szCs w:val="18"/>
                  <w:color w:val="0000EE"/>
                  <w:w w:val="94"/>
                </w:rPr>
                <w:t>PART IV</w:t>
              </w:r>
            </w:hyperlink>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15.</w:t>
              </w:r>
            </w:hyperlink>
          </w:p>
        </w:tc>
        <w:tc>
          <w:tcPr>
            <w:tcW w:w="4280" w:type="dxa"/>
            <w:vAlign w:val="bottom"/>
            <w:tcBorders>
              <w:top w:val="single" w:sz="8" w:color="CCEEFF"/>
            </w:tcBorders>
            <w:gridSpan w:val="15"/>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6"/>
          </w:tcPr>
          <w:p>
            <w:pPr>
              <w:spacing w:after="0"/>
              <w:rPr>
                <w:sz w:val="15"/>
                <w:szCs w:val="15"/>
                <w:color w:val="auto"/>
              </w:rPr>
            </w:pPr>
          </w:p>
        </w:tc>
        <w:tc>
          <w:tcPr>
            <w:tcW w:w="4300" w:type="dxa"/>
            <w:vAlign w:val="bottom"/>
            <w:tcBorders>
              <w:top w:val="single" w:sz="8" w:color="CCEEFF"/>
            </w:tcBorders>
            <w:gridSpan w:val="6"/>
          </w:tcPr>
          <w:p>
            <w:pPr>
              <w:spacing w:after="0"/>
              <w:rPr>
                <w:sz w:val="15"/>
                <w:szCs w:val="15"/>
                <w:color w:val="auto"/>
              </w:rPr>
            </w:pPr>
          </w:p>
        </w:tc>
        <w:tc>
          <w:tcPr>
            <w:tcW w:w="600" w:type="dxa"/>
            <w:vAlign w:val="bottom"/>
            <w:tcBorders>
              <w:top w:val="single" w:sz="8" w:color="CCEEFF"/>
            </w:tcBorders>
            <w:gridSpan w:val="4"/>
          </w:tcPr>
          <w:p>
            <w:pPr>
              <w:jc w:val="center"/>
              <w:ind w:left="330"/>
              <w:spacing w:after="0" w:line="17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93</w:t>
              </w:r>
            </w:hyperlink>
          </w:p>
        </w:tc>
        <w:tc>
          <w:tcPr>
            <w:tcW w:w="4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16.</w:t>
              </w:r>
            </w:hyperlink>
          </w:p>
        </w:tc>
        <w:tc>
          <w:tcPr>
            <w:tcW w:w="9240" w:type="dxa"/>
            <w:vAlign w:val="bottom"/>
            <w:gridSpan w:val="27"/>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93</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Finance LLC for our failure to comply with our covenants contained in such term loan agreement;</w:t>
      </w: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or any successor product candidate, the date by which such studies will be complete and the results will be available and whether LTX-03 will ultimately receive FDA approval;</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a third pseudoephedrine product in development utilizing our Impede Technology.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John Schutte, who became our largest shareholder pursuant to a private placement completed in July 2017.</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28, 2017, Bayer Healthcare LLC, or Bayer, terminated a 2015 License and Development Agreement in which we granted Bayer an exclusive worldwide license to our Impede technology for use in an undisclosed methamphetamine resistant PSE containing product. As a result of the termination, MainPointe has the option to license our Impede Technology with respect to such product in the United States and Canada upon payment of a fee. MainPointe has not yet exercised this option.</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or Cmax, was reduced in healthy adult fasted subjects by 50% to 65% when excessive buffer levels were ingested or a situation consistent with over-ingestion of tablets. Study AP-LTX-301, or Study 301, the results for which were announced in January 2018, demonstrated drug Cmax from LTX-03, a Limitx hydrocodone bitartrate and acetaminophen combination product, in healthy adult fasted subjects trended toward bioequivalence in test formulations A through E while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Study AP-LTX-300, or Study 300, was inconclusive in its results due to observed issues with drug release from over-encapsulated test product. We submitted an Investigational New Drug Application, or IND, for LTX-03 to the FDA in the first quarter of 2018 in order to advance to NDA development, which became effective in April 2018. The FDA has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we have voluntarily placed the IND for LTX-04 on inactive status.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ind w:firstLine="648"/>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 to 684,000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w:t>
      </w:r>
    </w:p>
    <w:p>
      <w:pPr>
        <w:spacing w:after="0" w:line="189"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March 2017, we completed a pilot pharmacokinetic study for a PSE and loratadine-combination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5050(b)(2) NDA submission. The Company intends to upgrade this formulation with its Impede 2.0 technology before determining any advancement in development.</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technologies that address medication abuse and misuse</w:t>
      </w:r>
      <w:r>
        <w:rPr>
          <w:rFonts w:ascii="Arial" w:cs="Arial" w:eastAsia="Arial" w:hAnsi="Arial"/>
          <w:sz w:val="18"/>
          <w:szCs w:val="18"/>
          <w:color w:val="auto"/>
        </w:rPr>
        <w:t>. We have one</w:t>
      </w:r>
      <w:r>
        <w:rPr>
          <w:rFonts w:ascii="Arial" w:cs="Arial" w:eastAsia="Arial" w:hAnsi="Arial"/>
          <w:sz w:val="18"/>
          <w:szCs w:val="18"/>
          <w:i w:val="1"/>
          <w:iCs w:val="1"/>
          <w:color w:val="auto"/>
        </w:rPr>
        <w:t xml:space="preserve"> </w:t>
      </w:r>
      <w:r>
        <w:rPr>
          <w:rFonts w:ascii="Arial" w:cs="Arial" w:eastAsia="Arial" w:hAnsi="Arial"/>
          <w:sz w:val="18"/>
          <w:szCs w:val="18"/>
          <w:color w:val="auto"/>
        </w:rPr>
        <w:t>FDA approved product containing our Aversion Technology commercially launched in the United States by our licensee, and two products commercially launched containing our Impede Technology. We continue to invest in improvements in these technologies and innovate new technologies, including our Limitx technology, to address medication abuse and misuse.</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Leverage our technologies by developing a full line of pharmaceutical products which utilize our proprietary technologies</w:t>
      </w:r>
      <w:r>
        <w:rPr>
          <w:rFonts w:ascii="Arial" w:cs="Arial" w:eastAsia="Arial" w:hAnsi="Arial"/>
          <w:sz w:val="18"/>
          <w:szCs w:val="18"/>
          <w:color w:val="auto"/>
        </w:rPr>
        <w:t>. Medication abuse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misuse is not limited to single drugs but often pervades entire drug categories. We intend to develop or collaborate with strategically focused pharmaceutical companies to develop multiple products in the prescription opioid and OTC cold/allergy markets with our technologies, and are seeking licensing partners for products in development utilizing our Limitx technology.</w:t>
      </w:r>
    </w:p>
    <w:p>
      <w:pPr>
        <w:spacing w:after="0" w:line="213"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Commercialize our products by licensing to strategically focused companies in the United States and other geographic territories</w:t>
      </w:r>
      <w:r>
        <w:rPr>
          <w:rFonts w:ascii="Arial" w:cs="Arial" w:eastAsia="Arial" w:hAnsi="Arial"/>
          <w:sz w:val="17"/>
          <w:szCs w:val="17"/>
          <w:color w:val="auto"/>
        </w:rPr>
        <w:t>. We have 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our Oxaydo product to Egalet for commercialization, have licensed our Aversion technology to KemPharm for use in certain of its prodrug products, have licensed our Nexafed products utilizing our Impede technology to MainPointe for commercialization (and granted MainPointe options to other Impede products), and we are seeking licensing partners for our products in development utilizing our Limitx, Aversion and Impede technologies. While we had developed a small infrastructure to commercialize our OTC products that utilize the Impede Technology, this infrastructure has been discontinued in conjunction with our entering into the MainPointe Agreement.</w:t>
      </w:r>
    </w:p>
    <w:p>
      <w:pPr>
        <w:spacing w:after="0" w:line="20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Maintain an efficient internal cost structure</w:t>
      </w:r>
      <w:r>
        <w:rPr>
          <w:rFonts w:ascii="Arial" w:cs="Arial" w:eastAsia="Arial" w:hAnsi="Arial"/>
          <w:sz w:val="17"/>
          <w:szCs w:val="17"/>
          <w:color w:val="auto"/>
        </w:rPr>
        <w:t>. Our internal cost structure is focused on discovering new technologies and developing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formulations using those technologies. We outsource many high cost elements of development and commercialization, such as clinical trials and commercial manufacturing that minimize required fixed overhead and capital investment and thereby reduces our business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21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Development of our Limitx and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w:t>
      </w:r>
    </w:p>
    <w:p>
      <w:pPr>
        <w:spacing w:after="0" w:line="5" w:lineRule="exact"/>
        <w:rPr>
          <w:sz w:val="20"/>
          <w:szCs w:val="20"/>
          <w:color w:val="auto"/>
        </w:rPr>
      </w:pPr>
    </w:p>
    <w:p>
      <w:pPr>
        <w:ind w:firstLine="8"/>
        <w:spacing w:after="0" w:line="261"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dose proportionality of our formulation. A product candidate that does not achieve satisfactory pharmacokinetic results may require a phase III clinical pain study.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During 2017 we redirected our development focus from LTX-04 to a hydrocodone/APAP product utilizing our Limitx Technology (LTX-03). In August 2015, April 2016, and May 2017 the United States Patent and Trademark Office, or USPTO, issued to us patents 9,101,636, 9,320,796 and 9,662,393, respectively, covering, among other things, our Limitx Technology.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LTX-04 development program is also designated as Fast Track by the FDA for its potential to address an unmet medical need but we have voluntarily placed the IND for LTX-04 on inactive status to pursue development of LTX-03.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Limitx Technology Product</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Status</w:t>
            </w:r>
          </w:p>
        </w:tc>
      </w:tr>
      <w:tr>
        <w:trPr>
          <w:trHeight w:val="426"/>
        </w:trPr>
        <w:tc>
          <w:tcPr>
            <w:tcW w:w="5620" w:type="dxa"/>
            <w:vAlign w:val="bottom"/>
          </w:tcPr>
          <w:p>
            <w:pPr>
              <w:spacing w:after="0"/>
              <w:rPr>
                <w:sz w:val="20"/>
                <w:szCs w:val="20"/>
                <w:color w:val="auto"/>
              </w:rPr>
            </w:pPr>
            <w:r>
              <w:rPr>
                <w:rFonts w:ascii="Arial" w:cs="Arial" w:eastAsia="Arial" w:hAnsi="Arial"/>
                <w:sz w:val="18"/>
                <w:szCs w:val="18"/>
                <w:color w:val="auto"/>
              </w:rPr>
              <w:t>Immediate-release hydromorphone HCI (LTX-04)</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Two Phase I exploratory pharmacokinetic studies completed</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w w:val="97"/>
              </w:rPr>
              <w:t>Immediate-release hydrocodone bitartrate with acetaminophen (LTX-03)</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Initial buffer dose ranging study completed October 2017</w:t>
            </w:r>
          </w:p>
        </w:tc>
      </w:tr>
      <w:tr>
        <w:trPr>
          <w:trHeight w:val="432"/>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Follow on dose ranging study completed in January 2018</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Immediate-release oxycodone HCl (LTX-01) &amp; (LTX-02)</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Formulation development in process</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Immediate-release non-opioid drug (LTX-09)</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Formulation development in process</w:t>
            </w:r>
          </w:p>
        </w:tc>
      </w:tr>
      <w:tr>
        <w:trPr>
          <w:trHeight w:val="648"/>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Study 300, completed in October 2017, yielded unreliable and inconclusive results due to inconsistent drug release from over-encapsulated test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advance LTX-03 to clinical development for a New Drug Application (NDA). Therefore, we submitted an Investigational New Drug Application, or IND with respect to LTX-03, to the FDA in the first quarter of 2018, which became effective in April 2018. We are also commencing the scale-up of the commercial manufacturing process as to-be-marketed formulations are required for all NDA development work. We may run additional exploratory studies before manufacturing scale-up is complete to further understand the Limitx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November 2024.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Egalet has advised that late in the fourth quarter of 2016 it filed a supplemental NDA for Oxaydo with the FDA to support an abuse-deterrent label claim for the intravenous route of abuse. Egalet reported that it submitted a prior approval supplement to support approval of 10 and 15 mg dosage strengths which was accepted by the FDA on April 18, 2017. On June 20, 2017, Egalet announced that it had received a complete response letter from the FDA in response to this prior approval supplement. Eaglet has advised that the FDA is requesting more information regarding the effect of food on Oxaydo 15mg and the intranasal abuse-deterrent properties of Oxaydo 10mg and 15mg and have publicly stated that it is working to determine next steps to respond to such letter.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Egalet commenced shipping Oxaydo in October 2015 and we are advised that Egalet is actively promoting Oxaydo to targeted opioid prescribing physicians.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Egalet paid us an upfront payment of $5.0 million upon signing of the Egalet Agreement and a $2.5 million milestone in October 2015 in connection with the launch of Oxaydo. In addition, we will be entitled to a one-time $12.5 million milestone payment when worldwide Oxaydo net sales reach $150.0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Meth Resistant</w:t>
            </w:r>
          </w:p>
        </w:tc>
        <w:tc>
          <w:tcPr>
            <w:tcW w:w="132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0"/>
              </w:rPr>
              <w:t>Meth Recovery</w:t>
            </w:r>
            <w:r>
              <w:rPr>
                <w:rFonts w:ascii="Arial" w:cs="Arial" w:eastAsia="Arial" w:hAnsi="Arial"/>
                <w:sz w:val="30"/>
                <w:szCs w:val="30"/>
                <w:b w:val="1"/>
                <w:bCs w:val="1"/>
                <w:color w:val="auto"/>
                <w:w w:val="90"/>
                <w:vertAlign w:val="superscript"/>
              </w:rPr>
              <w:t>1</w:t>
            </w:r>
          </w:p>
        </w:tc>
        <w:tc>
          <w:tcPr>
            <w:tcW w:w="380" w:type="dxa"/>
            <w:vAlign w:val="bottom"/>
            <w:vMerge w:val="restart"/>
          </w:tcPr>
          <w:p>
            <w:pPr>
              <w:spacing w:after="0"/>
              <w:rPr>
                <w:sz w:val="18"/>
                <w:szCs w:val="18"/>
                <w:color w:val="auto"/>
              </w:rPr>
            </w:pPr>
          </w:p>
        </w:tc>
        <w:tc>
          <w:tcPr>
            <w:tcW w:w="13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Purity</w:t>
            </w:r>
            <w:r>
              <w:rPr>
                <w:rFonts w:ascii="Arial" w:cs="Arial" w:eastAsia="Arial" w:hAnsi="Arial"/>
                <w:sz w:val="30"/>
                <w:szCs w:val="30"/>
                <w:b w:val="1"/>
                <w:bCs w:val="1"/>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Product/Formulation</w:t>
            </w:r>
          </w:p>
        </w:tc>
        <w:tc>
          <w:tcPr>
            <w:tcW w:w="2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none</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Impede® 1.0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Tarex®</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484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Impede® 2.0</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980" w:hanging="324"/>
        <w:spacing w:after="0" w:line="186" w:lineRule="auto"/>
        <w:tabs>
          <w:tab w:leader="none" w:pos="9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Total methamphetamine HCl recovered from the equivalent of 100 PSE 30mg tablets divided by the maximum theoretical yield of 2.7 grams.</w:t>
      </w:r>
    </w:p>
    <w:p>
      <w:pPr>
        <w:ind w:left="980" w:hanging="324"/>
        <w:spacing w:after="0" w:line="181" w:lineRule="auto"/>
        <w:tabs>
          <w:tab w:leader="none" w:pos="9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Total methamphetamine HCl recovered from the equivalent of 100 PSE 30mg tablets divided by the total weight of powder recovered.</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completed a project to integrate Impede 2.0 Technology into our commercially available Nexafed 30mg tablet while moving supply to an alternate contract manufacturer. We have completed process validation on this new formulation and we believe MainPointe launched the new formulation into the market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2017.</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Nexafed products currently marketed, Nexafed and Nexafed Sinus Pressure + Pain, consist of immediate release tablets. Nexafed is a 30mg pseudoephedrine tablet which until the third quarter of 2017 incorporated our patented Impede 1.0 technology and commencing in such quarter incorporated our Impede 2.0 technology and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to the MainPointe Agreement completed in March 2017, we capitalized on this consumer-pharmacist interaction at the point of sale by soliciting distribution to pharmacies and educating and encouraging pharmacists to recommend Nexafed to their customers. Under the terms of the MainPointe Agreement, MainPointe controls the marketing and sale of our Nexafed products.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launched Nexafed commercially in mid-December 2012 into the United States OTC market for cold and allergy products. Prior to the MainPointe Agreement, we distributed our Nexafed products through several regional and national drug wholesalers for redistribution to pharmacies, which included the three largest U.S. drug wholesalers: McKesson, Cardinal Health and AmerisourceBergen and we also shipped directly to the warehouses of certain pharmacy chains. Prior to the MainPointe Agreement,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recommended Nexafed to their customers while some replaced all 30mg PSE products, brand and generic, with Nexafed. Rite Aid, the nation’s fourth largest pharmacy operator, began purchasing Nexafed in late 2013. In late 2014, Kmart and Kroger initiated chain-wide stocking of Nexafed.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MainPointe Agreement covering Nexafed Products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firstLine="648"/>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Given the fragmented nature of the PSE market with products containing multiple active ingredients, we are developing additional products for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franchise:</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84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Impede Technology Product</w:t>
            </w:r>
          </w:p>
        </w:tc>
        <w:tc>
          <w:tcPr>
            <w:tcW w:w="100" w:type="dxa"/>
            <w:vAlign w:val="bottom"/>
          </w:tcPr>
          <w:p>
            <w:pPr>
              <w:spacing w:after="0"/>
              <w:rPr>
                <w:sz w:val="20"/>
                <w:szCs w:val="20"/>
                <w:color w:val="auto"/>
              </w:rPr>
            </w:pPr>
          </w:p>
        </w:tc>
        <w:tc>
          <w:tcPr>
            <w:tcW w:w="578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Status</w:t>
            </w:r>
          </w:p>
        </w:tc>
      </w:tr>
      <w:tr>
        <w:trPr>
          <w:trHeight w:val="411"/>
        </w:trPr>
        <w:tc>
          <w:tcPr>
            <w:tcW w:w="4840" w:type="dxa"/>
            <w:vAlign w:val="bottom"/>
          </w:tcPr>
          <w:p>
            <w:pPr>
              <w:spacing w:after="0"/>
              <w:rPr>
                <w:sz w:val="20"/>
                <w:szCs w:val="20"/>
                <w:color w:val="auto"/>
              </w:rPr>
            </w:pPr>
            <w:r>
              <w:rPr>
                <w:rFonts w:ascii="Arial" w:cs="Arial" w:eastAsia="Arial" w:hAnsi="Arial"/>
                <w:sz w:val="18"/>
                <w:szCs w:val="18"/>
                <w:color w:val="auto"/>
              </w:rPr>
              <w:t>Nexafed 30mg with Impede 2.0 Technology</w:t>
            </w: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Manufacturing validation complete. We believe MainPointe launched</w:t>
            </w:r>
          </w:p>
        </w:tc>
      </w:tr>
      <w:tr>
        <w:trPr>
          <w:trHeight w:val="230"/>
        </w:trPr>
        <w:tc>
          <w:tcPr>
            <w:tcW w:w="4840" w:type="dxa"/>
            <w:vAlign w:val="bottom"/>
          </w:tcPr>
          <w:p>
            <w:pPr>
              <w:spacing w:after="0"/>
              <w:rPr>
                <w:sz w:val="20"/>
                <w:szCs w:val="20"/>
                <w:color w:val="auto"/>
              </w:rPr>
            </w:pP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commercial shipments in third quarter of 2017</w:t>
            </w:r>
          </w:p>
        </w:tc>
      </w:tr>
      <w:tr>
        <w:trPr>
          <w:trHeight w:val="418"/>
        </w:trPr>
        <w:tc>
          <w:tcPr>
            <w:tcW w:w="4840" w:type="dxa"/>
            <w:vAlign w:val="bottom"/>
          </w:tcPr>
          <w:p>
            <w:pPr>
              <w:spacing w:after="0"/>
              <w:rPr>
                <w:sz w:val="20"/>
                <w:szCs w:val="20"/>
                <w:color w:val="auto"/>
              </w:rPr>
            </w:pPr>
            <w:r>
              <w:rPr>
                <w:rFonts w:ascii="Arial" w:cs="Arial" w:eastAsia="Arial" w:hAnsi="Arial"/>
                <w:sz w:val="18"/>
                <w:szCs w:val="18"/>
                <w:color w:val="auto"/>
                <w:w w:val="99"/>
              </w:rPr>
              <w:t>Immediate-release pseudoephedrine HCl in combination with</w:t>
            </w: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Nexafed Sinus Pressure + Pain launched and licensed to MainPointe</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other cold and allergy active ingredients</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418"/>
        </w:trPr>
        <w:tc>
          <w:tcPr>
            <w:tcW w:w="4840" w:type="dxa"/>
            <w:vAlign w:val="bottom"/>
          </w:tcPr>
          <w:p>
            <w:pPr>
              <w:spacing w:after="0"/>
              <w:rPr>
                <w:sz w:val="20"/>
                <w:szCs w:val="20"/>
                <w:color w:val="auto"/>
              </w:rPr>
            </w:pPr>
            <w:r>
              <w:rPr>
                <w:rFonts w:ascii="Arial" w:cs="Arial" w:eastAsia="Arial" w:hAnsi="Arial"/>
                <w:sz w:val="18"/>
                <w:szCs w:val="18"/>
                <w:color w:val="auto"/>
                <w:w w:val="97"/>
              </w:rPr>
              <w:t>Extended-release formulation utilizing Impede 2.0 Technology</w:t>
            </w: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w w:val="95"/>
              </w:rPr>
              <w:t>Pilot pharmacokinetic testing demonstrated bioequivalence to Sudafed® 12-</w:t>
            </w:r>
          </w:p>
        </w:tc>
      </w:tr>
      <w:tr>
        <w:trPr>
          <w:trHeight w:val="216"/>
        </w:trPr>
        <w:tc>
          <w:tcPr>
            <w:tcW w:w="4840" w:type="dxa"/>
            <w:vAlign w:val="bottom"/>
          </w:tcPr>
          <w:p>
            <w:pPr>
              <w:spacing w:after="0"/>
              <w:rPr>
                <w:sz w:val="18"/>
                <w:szCs w:val="18"/>
                <w:color w:val="auto"/>
              </w:rPr>
            </w:pP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hour Tablets. Pre-IND meeting held with the FDA</w:t>
            </w:r>
          </w:p>
        </w:tc>
      </w:tr>
      <w:tr>
        <w:trPr>
          <w:trHeight w:val="230"/>
        </w:trPr>
        <w:tc>
          <w:tcPr>
            <w:tcW w:w="4840" w:type="dxa"/>
            <w:vAlign w:val="bottom"/>
          </w:tcPr>
          <w:p>
            <w:pPr>
              <w:spacing w:after="0"/>
              <w:rPr>
                <w:sz w:val="20"/>
                <w:szCs w:val="20"/>
                <w:color w:val="auto"/>
              </w:rPr>
            </w:pP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No imminent development planned</w:t>
            </w: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Extended-release combination products</w:t>
            </w: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No imminent development planned</w:t>
            </w: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Loratadine with pseudoephedrine</w:t>
            </w: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Final formulation development in process</w:t>
            </w: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intends to upgrade this formulation with its Impede 2.0 technology before determining any advancement in development.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79" w:lineRule="auto"/>
        <w:rPr>
          <w:sz w:val="20"/>
          <w:szCs w:val="20"/>
          <w:color w:val="auto"/>
        </w:rPr>
      </w:pPr>
      <w:r>
        <w:rPr>
          <w:rFonts w:ascii="Arial" w:cs="Arial" w:eastAsia="Arial" w:hAnsi="Arial"/>
          <w:sz w:val="17"/>
          <w:szCs w:val="17"/>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We received reimbursement of certain our development expenses, and were entitled to success-based development and regulatory milestone payments, and low mid-single digit royalties on the net sales of the developed product. On June 28, 2017, we received Bayer’s written notice terminating the Bayer Agreement. Bayer exercised its convenience termination right prior to the completion of our development obligations under the Bayer Agreement, which we believe is as a result of Bayer’s de-prioritization of development of the methamphetamine resistant PSE-containing product contemplated in the Agreement. As a result of the termination, MainPointe has the option to license such product in the U.S. and Canada upon payment to us of $500 thousand (additional amounts would be due for expansion of the territory – See “–MainPointe Agreement covering Nexafed Products”, above), together with royalty of 7.5% of net sales of such product, under the MainPointe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Reference Brand</w:t>
            </w:r>
            <w:r>
              <w:rPr>
                <w:rFonts w:ascii="Arial" w:cs="Arial" w:eastAsia="Arial" w:hAnsi="Arial"/>
                <w:sz w:val="30"/>
                <w:szCs w:val="30"/>
                <w:b w:val="1"/>
                <w:bCs w:val="1"/>
                <w:color w:val="auto"/>
                <w:vertAlign w:val="superscript"/>
              </w:rPr>
              <w:t>1</w:t>
            </w:r>
          </w:p>
        </w:tc>
        <w:tc>
          <w:tcPr>
            <w:tcW w:w="20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Active</w:t>
            </w:r>
          </w:p>
        </w:tc>
        <w:tc>
          <w:tcPr>
            <w:tcW w:w="158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2014 Retail Sales</w:t>
            </w:r>
          </w:p>
        </w:tc>
        <w:tc>
          <w:tcPr>
            <w:tcW w:w="0" w:type="dxa"/>
            <w:vAlign w:val="bottom"/>
          </w:tcPr>
          <w:p>
            <w:pPr>
              <w:spacing w:after="0"/>
              <w:rPr>
                <w:sz w:val="1"/>
                <w:szCs w:val="1"/>
                <w:color w:val="auto"/>
              </w:rPr>
            </w:pPr>
          </w:p>
        </w:tc>
      </w:tr>
      <w:tr>
        <w:trPr>
          <w:trHeight w:val="234"/>
        </w:trPr>
        <w:tc>
          <w:tcPr>
            <w:tcW w:w="33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Brand Company</w:t>
            </w:r>
          </w:p>
        </w:tc>
        <w:tc>
          <w:tcPr>
            <w:tcW w:w="200" w:type="dxa"/>
            <w:vAlign w:val="bottom"/>
            <w:tcBorders>
              <w:bottom w:val="single" w:sz="8" w:color="CCEEFF"/>
            </w:tcBorders>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Ingredient(s)</w:t>
            </w: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Bayer</w:t>
            </w:r>
          </w:p>
        </w:tc>
        <w:tc>
          <w:tcPr>
            <w:tcW w:w="20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7"/>
        </w:trPr>
        <w:tc>
          <w:tcPr>
            <w:tcW w:w="358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1920" w:type="dxa"/>
            <w:vAlign w:val="bottom"/>
          </w:tcPr>
          <w:p>
            <w:pPr>
              <w:spacing w:after="0"/>
              <w:rPr>
                <w:sz w:val="20"/>
                <w:szCs w:val="20"/>
                <w:color w:val="auto"/>
              </w:rPr>
            </w:pPr>
            <w:r>
              <w:rPr>
                <w:rFonts w:ascii="Arial" w:cs="Arial" w:eastAsia="Arial" w:hAnsi="Arial"/>
                <w:sz w:val="18"/>
                <w:szCs w:val="18"/>
                <w:color w:val="auto"/>
              </w:rPr>
              <w:t>Chattem</w:t>
            </w:r>
          </w:p>
        </w:tc>
        <w:tc>
          <w:tcPr>
            <w:tcW w:w="2620" w:type="dxa"/>
            <w:vAlign w:val="bottom"/>
            <w:gridSpan w:val="2"/>
          </w:tcPr>
          <w:p>
            <w:pPr>
              <w:ind w:left="200"/>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Zyrtec-D</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262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Advil Sinus</w:t>
            </w:r>
          </w:p>
        </w:tc>
        <w:tc>
          <w:tcPr>
            <w:tcW w:w="1920" w:type="dxa"/>
            <w:vAlign w:val="bottom"/>
          </w:tcPr>
          <w:p>
            <w:pPr>
              <w:spacing w:after="0"/>
              <w:rPr>
                <w:sz w:val="20"/>
                <w:szCs w:val="20"/>
                <w:color w:val="auto"/>
              </w:rPr>
            </w:pPr>
            <w:r>
              <w:rPr>
                <w:rFonts w:ascii="Arial" w:cs="Arial" w:eastAsia="Arial" w:hAnsi="Arial"/>
                <w:sz w:val="18"/>
                <w:szCs w:val="18"/>
                <w:color w:val="auto"/>
              </w:rPr>
              <w:t>Pfizer</w:t>
            </w: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PSE &amp; Ibuprofen</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J&amp;J</w:t>
            </w:r>
          </w:p>
        </w:tc>
        <w:tc>
          <w:tcPr>
            <w:tcW w:w="2620" w:type="dxa"/>
            <w:vAlign w:val="bottom"/>
            <w:gridSpan w:val="2"/>
            <w:shd w:val="clear" w:color="auto" w:fill="CCEEFF"/>
          </w:tcPr>
          <w:p>
            <w:pPr>
              <w:ind w:left="20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7"/>
        </w:trPr>
        <w:tc>
          <w:tcPr>
            <w:tcW w:w="3580" w:type="dxa"/>
            <w:vAlign w:val="bottom"/>
            <w:gridSpan w:val="2"/>
          </w:tcPr>
          <w:p>
            <w:pPr>
              <w:spacing w:after="0"/>
              <w:rPr>
                <w:sz w:val="20"/>
                <w:szCs w:val="20"/>
                <w:color w:val="auto"/>
              </w:rPr>
            </w:pPr>
            <w:r>
              <w:rPr>
                <w:rFonts w:ascii="Arial" w:cs="Arial" w:eastAsia="Arial" w:hAnsi="Arial"/>
                <w:sz w:val="18"/>
                <w:szCs w:val="18"/>
                <w:color w:val="auto"/>
              </w:rPr>
              <w:t>Sudafed 30mg</w:t>
            </w:r>
          </w:p>
        </w:tc>
        <w:tc>
          <w:tcPr>
            <w:tcW w:w="1920" w:type="dxa"/>
            <w:vAlign w:val="bottom"/>
          </w:tcPr>
          <w:p>
            <w:pPr>
              <w:spacing w:after="0"/>
              <w:rPr>
                <w:sz w:val="20"/>
                <w:szCs w:val="20"/>
                <w:color w:val="auto"/>
              </w:rPr>
            </w:pPr>
            <w:r>
              <w:rPr>
                <w:rFonts w:ascii="Arial" w:cs="Arial" w:eastAsia="Arial" w:hAnsi="Arial"/>
                <w:sz w:val="18"/>
                <w:szCs w:val="18"/>
                <w:color w:val="auto"/>
              </w:rPr>
              <w:t>J&amp;J</w:t>
            </w: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PSE</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980" w:hanging="324"/>
        <w:spacing w:after="0" w:line="186" w:lineRule="auto"/>
        <w:tabs>
          <w:tab w:leader="none" w:pos="98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Branded product only. Does not include store brand sales.</w:t>
      </w:r>
    </w:p>
    <w:p>
      <w:pPr>
        <w:ind w:left="980" w:hanging="324"/>
        <w:spacing w:after="0" w:line="181" w:lineRule="auto"/>
        <w:tabs>
          <w:tab w:leader="none" w:pos="98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Extended release PSE formulations</w:t>
      </w:r>
    </w:p>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Prior to the MainPointe Agreement, we priced Nexafed at $4.39 for a box of 24 tablets and Nexafed Sinus Pressure + Pain at $7.95 for a box of 24 tablets. MainPointe controls the price of Nexafed and Nexafed Sinus under the terms of the MainPointe Agreement.</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tbl>
      <w:tblPr>
        <w:tblLayout w:type="fixed"/>
        <w:tblInd w:w="228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2016 US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IR Opioid Products</w:t>
            </w:r>
            <w:r>
              <w:rPr>
                <w:rFonts w:ascii="Arial" w:cs="Arial" w:eastAsia="Arial" w:hAnsi="Arial"/>
                <w:sz w:val="30"/>
                <w:szCs w:val="30"/>
                <w:b w:val="1"/>
                <w:bCs w:val="1"/>
                <w:color w:val="auto"/>
                <w:vertAlign w:val="superscript"/>
              </w:rPr>
              <w:t>(1)</w:t>
            </w:r>
          </w:p>
        </w:tc>
        <w:tc>
          <w:tcPr>
            <w:tcW w:w="160" w:type="dxa"/>
            <w:vAlign w:val="bottom"/>
            <w:vMerge w:val="restart"/>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Prescriptions</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0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CCEEFF"/>
            </w:tcBorders>
            <w:vMerge w:val="continue"/>
          </w:tcPr>
          <w:p>
            <w:pPr>
              <w:spacing w:after="0"/>
              <w:rPr>
                <w:sz w:val="23"/>
                <w:szCs w:val="23"/>
                <w:color w:val="auto"/>
              </w:rPr>
            </w:pPr>
          </w:p>
        </w:tc>
        <w:tc>
          <w:tcPr>
            <w:tcW w:w="102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(Millions)</w:t>
            </w:r>
            <w:r>
              <w:rPr>
                <w:rFonts w:ascii="Arial" w:cs="Arial" w:eastAsia="Arial" w:hAnsi="Arial"/>
                <w:sz w:val="30"/>
                <w:szCs w:val="30"/>
                <w:b w:val="1"/>
                <w:bCs w:val="1"/>
                <w:color w:val="auto"/>
                <w:w w:val="88"/>
                <w:vertAlign w:val="superscript"/>
              </w:rPr>
              <w:t>(2)</w:t>
            </w:r>
          </w:p>
        </w:tc>
        <w:tc>
          <w:tcPr>
            <w:tcW w:w="2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of Total</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Others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26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13633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left="2600" w:hanging="323"/>
        <w:spacing w:after="0" w:line="187" w:lineRule="auto"/>
        <w:tabs>
          <w:tab w:leader="none" w:pos="26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Includes all salts and esters of the opioid and opioids in combination with other active ingredients such as acetaminophen.</w:t>
      </w:r>
    </w:p>
    <w:p>
      <w:pPr>
        <w:ind w:left="2600" w:hanging="323"/>
        <w:spacing w:after="0" w:line="180" w:lineRule="auto"/>
        <w:tabs>
          <w:tab w:leader="none" w:pos="260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IMS Health, 2016</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provided Egalet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Patent No. (Jurisdiction)</w:t>
            </w:r>
          </w:p>
        </w:tc>
        <w:tc>
          <w:tcPr>
            <w:tcW w:w="220" w:type="dxa"/>
            <w:vAlign w:val="bottom"/>
          </w:tcPr>
          <w:p>
            <w:pPr>
              <w:spacing w:after="0"/>
              <w:rPr>
                <w:sz w:val="20"/>
                <w:szCs w:val="20"/>
                <w:color w:val="auto"/>
              </w:rPr>
            </w:pPr>
          </w:p>
        </w:tc>
        <w:tc>
          <w:tcPr>
            <w:tcW w:w="606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Subject matter</w:t>
            </w:r>
          </w:p>
        </w:tc>
      </w:tr>
      <w:tr>
        <w:trPr>
          <w:trHeight w:val="411"/>
        </w:trPr>
        <w:tc>
          <w:tcPr>
            <w:tcW w:w="760" w:type="dxa"/>
            <w:vAlign w:val="bottom"/>
          </w:tcPr>
          <w:p>
            <w:pPr>
              <w:jc w:val="right"/>
              <w:spacing w:after="0"/>
              <w:rPr>
                <w:sz w:val="20"/>
                <w:szCs w:val="20"/>
                <w:color w:val="auto"/>
              </w:rPr>
            </w:pPr>
            <w:r>
              <w:rPr>
                <w:rFonts w:ascii="Arial" w:cs="Arial" w:eastAsia="Arial" w:hAnsi="Arial"/>
                <w:sz w:val="18"/>
                <w:szCs w:val="18"/>
                <w:color w:val="auto"/>
                <w:w w:val="87"/>
              </w:rPr>
              <w:t>9,101,636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3 or more doses are consumed</w:t>
            </w: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w w:val="87"/>
              </w:rPr>
              <w:t>9,320,796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3 or more doses are consumed</w:t>
            </w: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w w:val="87"/>
              </w:rPr>
              <w:t>9,662,393</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3 or more doses are consumed</w:t>
            </w: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w w:val="87"/>
              </w:rPr>
              <w:t>2,892,908</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excessive doses are consumed</w:t>
            </w:r>
          </w:p>
        </w:tc>
      </w:tr>
      <w:tr>
        <w:trPr>
          <w:trHeight w:val="418"/>
        </w:trPr>
        <w:tc>
          <w:tcPr>
            <w:tcW w:w="760" w:type="dxa"/>
            <w:vAlign w:val="bottom"/>
          </w:tcPr>
          <w:p>
            <w:pPr>
              <w:jc w:val="right"/>
              <w:spacing w:after="0"/>
              <w:rPr>
                <w:sz w:val="20"/>
                <w:szCs w:val="20"/>
                <w:color w:val="auto"/>
              </w:rPr>
            </w:pPr>
            <w:r>
              <w:rPr>
                <w:rFonts w:ascii="Arial" w:cs="Arial" w:eastAsia="Arial" w:hAnsi="Arial"/>
                <w:sz w:val="18"/>
                <w:szCs w:val="18"/>
                <w:color w:val="auto"/>
                <w:w w:val="87"/>
              </w:rPr>
              <w:t>5,922,851</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6060" w:type="dxa"/>
            <w:vAlign w:val="bottom"/>
          </w:tcPr>
          <w:p>
            <w:pPr>
              <w:spacing w:after="0"/>
              <w:rPr>
                <w:sz w:val="20"/>
                <w:szCs w:val="20"/>
                <w:color w:val="auto"/>
              </w:rPr>
            </w:pPr>
            <w:r>
              <w:rPr>
                <w:rFonts w:ascii="Arial" w:cs="Arial" w:eastAsia="Arial" w:hAnsi="Arial"/>
                <w:sz w:val="18"/>
                <w:szCs w:val="18"/>
                <w:color w:val="auto"/>
                <w:w w:val="91"/>
              </w:rPr>
              <w:t>Abuse deterrent products wherein the release of active ingredient is retarded when</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excessive doses are consumed</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the following issued patents covering, among other things, Oxaydo and our Aversion Technology: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Patent No. (Jurisdiction)</w:t>
            </w:r>
          </w:p>
        </w:tc>
        <w:tc>
          <w:tcPr>
            <w:tcW w:w="220" w:type="dxa"/>
            <w:vAlign w:val="bottom"/>
          </w:tcPr>
          <w:p>
            <w:pPr>
              <w:spacing w:after="0"/>
              <w:rPr>
                <w:sz w:val="20"/>
                <w:szCs w:val="20"/>
                <w:color w:val="auto"/>
              </w:rPr>
            </w:pPr>
          </w:p>
        </w:tc>
        <w:tc>
          <w:tcPr>
            <w:tcW w:w="606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Subject Matter</w:t>
            </w:r>
          </w:p>
        </w:tc>
      </w:tr>
      <w:tr>
        <w:trPr>
          <w:trHeight w:val="411"/>
        </w:trPr>
        <w:tc>
          <w:tcPr>
            <w:tcW w:w="2300" w:type="dxa"/>
            <w:vAlign w:val="bottom"/>
            <w:gridSpan w:val="2"/>
          </w:tcPr>
          <w:p>
            <w:pPr>
              <w:spacing w:after="0"/>
              <w:rPr>
                <w:sz w:val="20"/>
                <w:szCs w:val="20"/>
                <w:color w:val="auto"/>
              </w:rPr>
            </w:pPr>
            <w:r>
              <w:rPr>
                <w:rFonts w:ascii="Arial" w:cs="Arial" w:eastAsia="Arial" w:hAnsi="Arial"/>
                <w:sz w:val="18"/>
                <w:szCs w:val="18"/>
                <w:color w:val="auto"/>
              </w:rPr>
              <w:t>7,201,920 (US)</w:t>
            </w:r>
          </w:p>
        </w:tc>
        <w:tc>
          <w:tcPr>
            <w:tcW w:w="6060" w:type="dxa"/>
            <w:vAlign w:val="bottom"/>
          </w:tcPr>
          <w:p>
            <w:pPr>
              <w:spacing w:after="0"/>
              <w:rPr>
                <w:sz w:val="20"/>
                <w:szCs w:val="20"/>
                <w:color w:val="auto"/>
              </w:rPr>
            </w:pPr>
            <w:r>
              <w:rPr>
                <w:rFonts w:ascii="Arial" w:cs="Arial" w:eastAsia="Arial" w:hAnsi="Arial"/>
                <w:sz w:val="18"/>
                <w:szCs w:val="18"/>
                <w:color w:val="auto"/>
                <w:w w:val="92"/>
              </w:rPr>
              <w:t>Pharmaceutical compositions including a mixture of functional inactive ingredients</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and specific opioid analgesics</w:t>
            </w: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7,510,726 (US)</w:t>
            </w:r>
          </w:p>
        </w:tc>
        <w:tc>
          <w:tcPr>
            <w:tcW w:w="6060" w:type="dxa"/>
            <w:vAlign w:val="bottom"/>
          </w:tcPr>
          <w:p>
            <w:pPr>
              <w:spacing w:after="0"/>
              <w:rPr>
                <w:sz w:val="20"/>
                <w:szCs w:val="20"/>
                <w:color w:val="auto"/>
              </w:rPr>
            </w:pPr>
            <w:r>
              <w:rPr>
                <w:rFonts w:ascii="Arial" w:cs="Arial" w:eastAsia="Arial" w:hAnsi="Arial"/>
                <w:sz w:val="18"/>
                <w:szCs w:val="18"/>
                <w:color w:val="auto"/>
                <w:w w:val="99"/>
              </w:rPr>
              <w:t>A wider range of compositions than those described in the 7,201,920 Patent</w:t>
            </w: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7,981,439 (US)</w:t>
            </w:r>
          </w:p>
        </w:tc>
        <w:tc>
          <w:tcPr>
            <w:tcW w:w="6060" w:type="dxa"/>
            <w:vAlign w:val="bottom"/>
          </w:tcPr>
          <w:p>
            <w:pPr>
              <w:spacing w:after="0"/>
              <w:rPr>
                <w:sz w:val="20"/>
                <w:szCs w:val="20"/>
                <w:color w:val="auto"/>
              </w:rPr>
            </w:pPr>
            <w:r>
              <w:rPr>
                <w:rFonts w:ascii="Arial" w:cs="Arial" w:eastAsia="Arial" w:hAnsi="Arial"/>
                <w:sz w:val="18"/>
                <w:szCs w:val="18"/>
                <w:color w:val="auto"/>
                <w:w w:val="90"/>
              </w:rPr>
              <w:t>Pharmaceutical compositions including any water soluble drug susceptible to abuse</w:t>
            </w: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8,409,616 (US)</w:t>
            </w:r>
          </w:p>
        </w:tc>
        <w:tc>
          <w:tcPr>
            <w:tcW w:w="6060" w:type="dxa"/>
            <w:vAlign w:val="bottom"/>
          </w:tcPr>
          <w:p>
            <w:pPr>
              <w:spacing w:after="0"/>
              <w:rPr>
                <w:sz w:val="20"/>
                <w:szCs w:val="20"/>
                <w:color w:val="auto"/>
              </w:rPr>
            </w:pPr>
            <w:r>
              <w:rPr>
                <w:rFonts w:ascii="Arial" w:cs="Arial" w:eastAsia="Arial" w:hAnsi="Arial"/>
                <w:sz w:val="18"/>
                <w:szCs w:val="18"/>
                <w:color w:val="auto"/>
                <w:w w:val="92"/>
              </w:rPr>
              <w:t>Pharmaceutical compositions of immediate-release abuse deterrent dosage forms</w:t>
            </w: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8,637,540 (US)</w:t>
            </w:r>
          </w:p>
        </w:tc>
        <w:tc>
          <w:tcPr>
            <w:tcW w:w="6060" w:type="dxa"/>
            <w:vAlign w:val="bottom"/>
          </w:tcPr>
          <w:p>
            <w:pPr>
              <w:spacing w:after="0"/>
              <w:rPr>
                <w:sz w:val="20"/>
                <w:szCs w:val="20"/>
                <w:color w:val="auto"/>
              </w:rPr>
            </w:pPr>
            <w:r>
              <w:rPr>
                <w:rFonts w:ascii="Arial" w:cs="Arial" w:eastAsia="Arial" w:hAnsi="Arial"/>
                <w:sz w:val="18"/>
                <w:szCs w:val="18"/>
                <w:color w:val="auto"/>
                <w:w w:val="90"/>
              </w:rPr>
              <w:t>Pharmaceutical compositions of immediate-release abuse deterrent opioid products</w:t>
            </w: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9,492,443 (US)</w:t>
            </w:r>
          </w:p>
        </w:tc>
        <w:tc>
          <w:tcPr>
            <w:tcW w:w="6060" w:type="dxa"/>
            <w:vAlign w:val="bottom"/>
          </w:tcPr>
          <w:p>
            <w:pPr>
              <w:spacing w:after="0"/>
              <w:rPr>
                <w:sz w:val="20"/>
                <w:szCs w:val="20"/>
                <w:color w:val="auto"/>
              </w:rPr>
            </w:pPr>
            <w:r>
              <w:rPr>
                <w:rFonts w:ascii="Arial" w:cs="Arial" w:eastAsia="Arial" w:hAnsi="Arial"/>
                <w:sz w:val="18"/>
                <w:szCs w:val="18"/>
                <w:color w:val="auto"/>
                <w:w w:val="90"/>
              </w:rPr>
              <w:t>Pharmaceutical compositions of immediate-release abuse deterrent opioid products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Patent No. (Jurisdiction)</w:t>
            </w:r>
          </w:p>
        </w:tc>
        <w:tc>
          <w:tcPr>
            <w:tcW w:w="220" w:type="dxa"/>
            <w:vAlign w:val="bottom"/>
          </w:tcPr>
          <w:p>
            <w:pPr>
              <w:spacing w:after="0"/>
              <w:rPr>
                <w:sz w:val="20"/>
                <w:szCs w:val="20"/>
                <w:color w:val="auto"/>
              </w:rPr>
            </w:pPr>
          </w:p>
        </w:tc>
        <w:tc>
          <w:tcPr>
            <w:tcW w:w="606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Subject Matter</w:t>
            </w: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w w:val="92"/>
              </w:rPr>
              <w:t>7,476,402</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tcPr>
          <w:p>
            <w:pPr>
              <w:spacing w:after="0"/>
              <w:rPr>
                <w:sz w:val="20"/>
                <w:szCs w:val="20"/>
                <w:color w:val="auto"/>
              </w:rPr>
            </w:pPr>
            <w:r>
              <w:rPr>
                <w:rFonts w:ascii="Arial" w:cs="Arial" w:eastAsia="Arial" w:hAnsi="Arial"/>
                <w:sz w:val="18"/>
                <w:szCs w:val="18"/>
                <w:color w:val="auto"/>
                <w:w w:val="98"/>
              </w:rPr>
              <w:t>Pharmaceutical compositions of certain combinations of kappa and mu opioid</w:t>
            </w:r>
          </w:p>
        </w:tc>
      </w:tr>
      <w:tr>
        <w:trPr>
          <w:trHeight w:val="216"/>
        </w:trPr>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receptor agonists and other ingredients intended to deter opioid analgesic product</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misuse and abuse</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8,822,489</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060" w:type="dxa"/>
            <w:vAlign w:val="bottom"/>
          </w:tcPr>
          <w:p>
            <w:pPr>
              <w:spacing w:after="0"/>
              <w:rPr>
                <w:sz w:val="20"/>
                <w:szCs w:val="20"/>
                <w:color w:val="auto"/>
              </w:rPr>
            </w:pPr>
            <w:r>
              <w:rPr>
                <w:rFonts w:ascii="Arial" w:cs="Arial" w:eastAsia="Arial" w:hAnsi="Arial"/>
                <w:sz w:val="18"/>
                <w:szCs w:val="18"/>
                <w:color w:val="auto"/>
                <w:w w:val="97"/>
              </w:rPr>
              <w:t>Pharmaceutical compositions of certain abuse deterrent products that contain</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polymers, surfactant and polysorb 80</w:t>
            </w: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2,547,334</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color w:val="auto"/>
              </w:rPr>
              <w:t>1694260 (EUR)</w:t>
            </w:r>
          </w:p>
        </w:tc>
        <w:tc>
          <w:tcPr>
            <w:tcW w:w="6060" w:type="dxa"/>
            <w:vAlign w:val="bottom"/>
          </w:tcPr>
          <w:p>
            <w:pPr>
              <w:spacing w:after="0"/>
              <w:rPr>
                <w:sz w:val="20"/>
                <w:szCs w:val="20"/>
                <w:color w:val="auto"/>
              </w:rPr>
            </w:pPr>
            <w:r>
              <w:rPr>
                <w:rFonts w:ascii="Arial" w:cs="Arial" w:eastAsia="Arial" w:hAnsi="Arial"/>
                <w:sz w:val="18"/>
                <w:szCs w:val="18"/>
                <w:color w:val="auto"/>
              </w:rPr>
              <w:t>Abuse deterrent pharmaceuticals</w:t>
            </w:r>
          </w:p>
        </w:tc>
      </w:tr>
      <w:tr>
        <w:trPr>
          <w:trHeight w:val="648"/>
        </w:trPr>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ind w:left="334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17145</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Aug. 2015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2016</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2017</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2016</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17145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2007</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Mar. 2009</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7"/>
          <w:szCs w:val="17"/>
          <w:color w:val="auto"/>
        </w:rPr>
        <w:t>Jul. 2011</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2013</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Jan.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2016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17145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Jan. 2009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Jul. 2014</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2010</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Aug. 2010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Aug. 2010</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2012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2004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2004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17145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Nov. 2033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 2033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 2033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 2033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 2033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17145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Mar.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 2023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Aug.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17145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Nov.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Nov.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Nov.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 2027</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Nov.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Nov. 2024</w:t>
      </w:r>
    </w:p>
    <w:p>
      <w:pPr>
        <w:sectPr>
          <w:pgSz w:w="11900" w:h="16838" w:orient="portrait"/>
          <w:cols w:equalWidth="0" w:num="3">
            <w:col w:w="8380" w:space="400"/>
            <w:col w:w="860" w:space="720"/>
            <w:col w:w="760"/>
          </w:cols>
          <w:pgMar w:left="240" w:top="904" w:right="5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Patent No. (Jurisdiction)</w:t>
            </w:r>
          </w:p>
        </w:tc>
        <w:tc>
          <w:tcPr>
            <w:tcW w:w="220" w:type="dxa"/>
            <w:vAlign w:val="bottom"/>
          </w:tcPr>
          <w:p>
            <w:pPr>
              <w:spacing w:after="0"/>
              <w:rPr>
                <w:sz w:val="20"/>
                <w:szCs w:val="20"/>
                <w:color w:val="auto"/>
              </w:rPr>
            </w:pPr>
          </w:p>
        </w:tc>
        <w:tc>
          <w:tcPr>
            <w:tcW w:w="606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Subject Matter</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411"/>
        </w:trPr>
        <w:tc>
          <w:tcPr>
            <w:tcW w:w="2300" w:type="dxa"/>
            <w:vAlign w:val="bottom"/>
            <w:gridSpan w:val="3"/>
          </w:tcPr>
          <w:p>
            <w:pPr>
              <w:spacing w:after="0"/>
              <w:rPr>
                <w:sz w:val="20"/>
                <w:szCs w:val="20"/>
                <w:color w:val="auto"/>
              </w:rPr>
            </w:pPr>
            <w:r>
              <w:rPr>
                <w:rFonts w:ascii="Arial" w:cs="Arial" w:eastAsia="Arial" w:hAnsi="Arial"/>
                <w:sz w:val="18"/>
                <w:szCs w:val="18"/>
                <w:color w:val="auto"/>
              </w:rPr>
              <w:t>8,901,113 (US)</w:t>
            </w: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suitable for reducing the chemical conversion of</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 2014</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9,757,466</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suitable for reducing the chemical conversion of</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2017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300" w:type="dxa"/>
            <w:vAlign w:val="bottom"/>
            <w:gridSpan w:val="3"/>
          </w:tcPr>
          <w:p>
            <w:pPr>
              <w:spacing w:after="0"/>
              <w:rPr>
                <w:sz w:val="20"/>
                <w:szCs w:val="20"/>
                <w:color w:val="auto"/>
              </w:rPr>
            </w:pPr>
            <w:r>
              <w:rPr>
                <w:rFonts w:ascii="Arial" w:cs="Arial" w:eastAsia="Arial" w:hAnsi="Arial"/>
                <w:sz w:val="18"/>
                <w:szCs w:val="18"/>
                <w:color w:val="auto"/>
              </w:rPr>
              <w:t>2010300641 (AUS)</w:t>
            </w: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suitable for reducing the chemical conversion of</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Jun.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2,775,890</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suitable for reducing the chemical conversion of</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Jun.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w w:val="92"/>
              </w:rPr>
              <w:t>2,488,029</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(EUR)</w:t>
            </w: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suitable for reducing the chemical conversion of</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2300" w:type="dxa"/>
            <w:vAlign w:val="bottom"/>
            <w:gridSpan w:val="3"/>
          </w:tcPr>
          <w:p>
            <w:pPr>
              <w:spacing w:after="0"/>
              <w:rPr>
                <w:sz w:val="20"/>
                <w:szCs w:val="20"/>
                <w:color w:val="auto"/>
              </w:rPr>
            </w:pPr>
            <w:r>
              <w:rPr>
                <w:rFonts w:ascii="Arial" w:cs="Arial" w:eastAsia="Arial" w:hAnsi="Arial"/>
                <w:sz w:val="18"/>
                <w:szCs w:val="18"/>
                <w:color w:val="auto"/>
              </w:rPr>
              <w:t>218533 (ISR)</w:t>
            </w:r>
          </w:p>
        </w:tc>
        <w:tc>
          <w:tcPr>
            <w:tcW w:w="618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suitable for reducing the chemical conversion of</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Jan.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Sep. 2030</w:t>
            </w:r>
          </w:p>
        </w:tc>
      </w:tr>
      <w:tr>
        <w:trPr>
          <w:trHeight w:val="230"/>
        </w:trPr>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precursor compounds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w:t>
      </w:r>
    </w:p>
    <w:p>
      <w:pPr>
        <w:spacing w:after="0" w:line="2" w:lineRule="exact"/>
        <w:rPr>
          <w:sz w:val="20"/>
          <w:szCs w:val="20"/>
          <w:color w:val="auto"/>
        </w:rPr>
      </w:pPr>
    </w:p>
    <w:p>
      <w:pPr>
        <w:jc w:val="both"/>
        <w:ind w:firstLine="8"/>
        <w:spacing w:after="0" w:line="287" w:lineRule="auto"/>
        <w:tabs>
          <w:tab w:leader="none" w:pos="2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See the discussion under “Item 3. Legal Proceedings” below for a summary of the settlement agreement with Purdue. The Settlement Agreement specifically excludes our patents related to our Impede and Limitx technologies from the scope of our patents subject to the Settlement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Reference is made to the Risk Factors contained in this Report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Egalet is responsible for commercial manufacture of Oxaydo under the Egalet Agreement. We expect that future opioid product candidates developed and licensed by us will be commercially manufactured by our licensees or other qualified third party contract manufacturers.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our entering into the MainPointe Agreement, we relied on two contract manufacturers to manufacture, package and supply our commercial quantities of Nexafed and Nexafed Sinus Pressure + Pain products. We assigned our existing supply agreement to MainPointe in accordance with the terms of the MainPointe Agreement. Although we believe there are alternate sources of supply that can satisfy MainPointe’s anticipated commercial requirements, replacing or adding a contract manufacturer may cause an interruption in supply and could adversely impact our royalties from MainPointe on the net sales of the Nexafed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or our licensed products. Also, these competitors may have a substantial sales volume advantage over our products, which may result in our costs of manufacturing being higher than our competitors’ costs.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Teva Pharmaceuticals, Sun Pharmaceuticals, Ensysce Biopharma, Inspirion Delivery Sciences and Collegium Pharmaceuticals. Egalet, our partner for Oxaydo, has developed and is marketing at least one other analgesic product and is developing other analgesic products, all of which compete for development and commercialization resources for Oxaydo, which may adversely impact the sales of Oxaydo.</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Cold and Sinus, as well as generic/store brand formulations of such products manufactured by Perrigo Company and others. A competing product from Perrigo is being marketed with claims of methamphetamine-resistance.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77" w:lineRule="auto"/>
        <w:rPr>
          <w:sz w:val="20"/>
          <w:szCs w:val="20"/>
          <w:color w:val="auto"/>
        </w:rPr>
      </w:pPr>
      <w:r>
        <w:rPr>
          <w:rFonts w:ascii="Arial" w:cs="Arial" w:eastAsia="Arial" w:hAnsi="Arial"/>
          <w:sz w:val="18"/>
          <w:szCs w:val="18"/>
          <w:color w:val="auto"/>
        </w:rPr>
        <w:t>We are also aware that some large pharmaceutical companies in the past have sought to develop PSE technologies or products that resist conversion into methamphetamine.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our license agreement with MainPointe, we may consider licensing our Impede Technology or products utilizing such technology for commercialization.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current Good Manufacturing Practices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 (typically, 20-50).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Phase 2</w:t>
      </w:r>
      <w:r>
        <w:rPr>
          <w:rFonts w:ascii="Arial" w:cs="Arial" w:eastAsia="Arial" w:hAnsi="Arial"/>
          <w:sz w:val="17"/>
          <w:szCs w:val="17"/>
          <w:color w:val="auto"/>
        </w:rPr>
        <w:t>: Once the preliminary safety and tolerability of the drug in humans is confirmed during phase 1, phase 2 involves studies in a somewhat</w:t>
      </w:r>
      <w:r>
        <w:rPr>
          <w:rFonts w:ascii="Arial" w:cs="Arial" w:eastAsia="Arial" w:hAnsi="Arial"/>
          <w:sz w:val="17"/>
          <w:szCs w:val="17"/>
          <w:b w:val="1"/>
          <w:bCs w:val="1"/>
          <w:color w:val="auto"/>
        </w:rPr>
        <w:t xml:space="preserve"> </w:t>
      </w:r>
      <w:r>
        <w:rPr>
          <w:rFonts w:ascii="Arial" w:cs="Arial" w:eastAsia="Arial" w:hAnsi="Arial"/>
          <w:sz w:val="17"/>
          <w:szCs w:val="17"/>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3</w:t>
      </w:r>
      <w:r>
        <w:rPr>
          <w:rFonts w:ascii="Arial" w:cs="Arial" w:eastAsia="Arial" w:hAnsi="Arial"/>
          <w:sz w:val="16"/>
          <w:szCs w:val="16"/>
          <w:color w:val="auto"/>
        </w:rPr>
        <w:t>: 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4 or Post-Marketing Requirements</w:t>
      </w:r>
      <w:r>
        <w:rPr>
          <w:rFonts w:ascii="Arial" w:cs="Arial" w:eastAsia="Arial" w:hAnsi="Arial"/>
          <w:sz w:val="16"/>
          <w:szCs w:val="16"/>
          <w:color w:val="auto"/>
        </w:rPr>
        <w:t>: Phase 4 trials may be required by FDA after the approval of the NDA for the product, as a condition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Abbreviated New Drug Application, or ANDA, to the FDA including the results of the preclinical and clinical testing, together with, among other things, detailed information on the chemistry, manufacturing, quality controls, and proposed product labeling. There are two types of NDAs; a 505(b)(1) NDA and a 505(b)(2) NDA. A 505(b)</w:t>
      </w:r>
    </w:p>
    <w:p>
      <w:pPr>
        <w:jc w:val="both"/>
        <w:ind w:firstLine="8"/>
        <w:spacing w:after="0" w:line="268" w:lineRule="auto"/>
        <w:tabs>
          <w:tab w:leader="none" w:pos="261" w:val="left"/>
        </w:tabs>
        <w:numPr>
          <w:ilvl w:val="0"/>
          <w:numId w:val="15"/>
        </w:numPr>
        <w:rPr>
          <w:rFonts w:ascii="Arial" w:cs="Arial" w:eastAsia="Arial" w:hAnsi="Arial"/>
          <w:sz w:val="17"/>
          <w:szCs w:val="17"/>
          <w:color w:val="auto"/>
        </w:rPr>
      </w:pPr>
      <w:r>
        <w:rPr>
          <w:rFonts w:ascii="Arial" w:cs="Arial" w:eastAsia="Arial" w:hAnsi="Arial"/>
          <w:sz w:val="17"/>
          <w:szCs w:val="17"/>
          <w:color w:val="auto"/>
        </w:rPr>
        <w:t>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Prescription Drug User Fee Amendments of 2017, PDUFA VI, the FDA collects two types of fees associated with NDAs – (i) a fee collected at the time applications are submitted, and (ii) prescription drug program fees (accounting for 80% of the total), which are collected annually for certain prescription drugs. Exceptions to the application fee include previously filed applications and applications for drugs designated as orphan drugs for a rare disease.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FDA’s fee schedule, posted on September 25, 2017, for the 2018 fiscal year, the user fee for an application fee requiring clinical data, such as an NDA is $2,421,495. The FDA adjusts PDUFA user fees on an annual basis. A written request can be submitted for a waiver of the application fee for the first human drug application that is filed by a small business. Where we are subject to these fees, they are significant expenditures that may be incurred in the future and must be paid at the time of submission of each application to FDA.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terms of program fees, subject to certain exceptions, each sponsor is required to pay the annual fee for each new prescription drug approved as of 1 October of each fiscal year (for 2018 such fee is $304,162 per product strength), but applicants may not be assessed more than five prescription drug program fees for a fiscal year, for prescription drugs identified in a single application. For example, an applicant that has 10 drug products identified in an approved NDA for 10 different strengths of tablet dosage form products is eligible for an assessment for a maximum of 5 program fees. PDUFA VI also eliminated fees for drug application supplements and, establishment fees.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Currently, all extended-release or long-acting (ERLA) opioid products approved by the FDA are subject to a class-wide REMS program. The FDA has determined that a REMS is necessary for immediate release opioid analgesics and has begun the process of incorporating immediate-release opioids into this class-wide REMS program.</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market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Oxaydo product is,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34"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284"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Healthcare Reform Law, and we expect there will be additional challenges and amendments to the Healthcare Reform Law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or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14 full-time employees, 9 of whom are engaged in the research, development and manufacture of product candidates utilizing our proprietary Aversion, Impede, and Limitx Technologies. The remaining employees are engaged in administrative legal, accounting, finance, marketing, market research, and business development activities. All of our senior management and most of our other employees have had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 our auditors have included in their 2017 audit report an explanatory paragraph as to substantial doubt as to our ability to continue as a going concern.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a net loss of $5.7 million, $7.4 million, and $5.0 million for the years ended December 31, 2017, 2016 and 2015, respectively. As of June 6, 2018 we had approximately $0.5 million of cash, cash equivalents, and refundable deposits and expect such amounts will only be sufficient to fund operations into late June 2018. Our auditors have included in their report relating to our 2017 financial statements a “going concern” explanatory paragraph as to substantial doubt of our ability to continue as a going concern that assumes the realization of our assets and the satisfaction of our liabilities and commitments in the normal course of business. Our future profitability will depend on several factors, including:</w:t>
      </w:r>
    </w:p>
    <w:p>
      <w:pPr>
        <w:spacing w:after="0" w:line="17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receipt of royalties relating to Egalet’s sale of Oxaydo;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MainPointe’s successful marketing and sale of our Nexafed products and other products utilizing our Impede Technology, and market acceptance, increased demand for and sales of our Nexafed products;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Limitx Technology products in development from future licensees, of which no assurance can be given; and</w:t>
      </w:r>
    </w:p>
    <w:p>
      <w:pPr>
        <w:spacing w:after="0" w:line="197"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receipt of FDA approval and the successful commercialization by future licensees (if any) of products utilizing our Limitx Technology and our ability to commercialize our Impede Technology without infringing the patents and other intellectual property rights of third parties.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focused primarily on the development of our lead Limitx product candidate, LTX-03, as well as our other Limitx programs, which we believe will result in our continued incurrence of significant research, development and other expenses related to those programs. If preclinical studies or the clinical trials for any of our Limitx drug candidates fail or produce unsuccessful results and those drug candidates do not gain regulatory approval, or if any of our Limitx drug candidates, if approved, fail to achieve market acceptance, we may never become profitable.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assure you that Oxaydo or our Nexafed products will be successfully commercialized or our Limitx Technology or Impede Technology products in development will be successfully developed or be approved for commercialization by the FDA.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if Egalet succeeds in commercializing Oxaydo, if MainPointe is successful in commercializing our Nexafed products, or if we or a licensee succeed in developing and commercializing one or more of our pipeline Limitx or Impede Technology products, we expect to continue using cash reserves for the foreseeable future. Our expenses may increase in the foreseeable future as a result of continued research and development of our product candidates, maintaining and expanding the scope of our intellectual property, and hiring of additional research and development staff.</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generate revenues from royalties on sales to achieve and maintain profitability. If Egalet does not successfully commercialize Oxaydo, if MainPointe does not successfully commercialize the Nexafed products, or if we or our licensee (if any) cannot successfully develop, obtain regulatory approval and commercialize our products in development, including our Limitx product candidates,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June 6, 2018 we had approximately $0.5 million of cash, cash equivalents, and refundable deposits and expect such amounts will only be sufficient to fund operations into late June 2018.</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during June 2018,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December 2013, we (including our wholly-owned subsidiary Acura Pharmaceutical Technologies, Inc. (“APT”), entered into a loan and security agreement with Oxford Finance LLC, or Oxford, pursuant to which we borrowed $10 million from Oxford. Our loan and security agreement with Oxford was amended on January 7, 2015 in connection with our collaboration and license agreement with Egalet, on October 13, 2016 in connection with our license agreement with KemPharm, on March 16, 2017 in connection with our license agreement with MainPointe, and in the second quarter 2018 in connection with an aggregate loan of $1.0 million extended to us by John Schutte, a principal of MainPointe and our largest shareholder. Under the Oxford loan agreement, as amended, we are subject to a variety of affirmative and negative covenants. These covenants include required financial reporting, providing an unqualified auditor’s opinion together with our annual financial statements within 120 days of the end of our fiscal year (the unqualified audit opinion covenant), limitations on certain dispositions and licensing of assets and limitations on the incurrence of additional debt. To secure our performance of our obligations under this loan and security agreement, we granted Oxford a security interest in all of our assets, and pledged to Oxford the stock of APT. Our failure to comply with the terms of the loan and security agreement, including the unqualified audit opinion covenant, the occurrence of a material adverse change in our business, operations or condition (financial or otherwise) or prospects, if we are not solvent,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$795 thousand, potential foreclosure on our assets, and other adverse results.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Pursuant to the amendment to the loan and security agreement with Oxford entered into in connection with the MainPointe license agreement, among other things, Oxford waived compliance with the unqualified audit opinion covenant for our 2016 financial statements, in exchange for which we granted Oxford a lien on our intellectual property. In connection with an $1.0 million loan extended to us by Mr. Schutte in the second quarter of 2018, which is subordinated to our obligations to Oxford under the Loan Agreement, pursuant to the fourth amendment to the Loan Agreement, Oxford granted a similar waiver of compliance with the unqualified audit opinion covenant for our 2017 financial statements and extended the period in which we could deliver financial statements for 2017 to 160 days after year’s end (instead of 120 days). We are required to make equal monthly installments of principal and accrued interest of $260 thousand sufficient to amortize the term loan through the maturity date of December 1, 2018, when an additional one-time interest payment of $795 thousand (which is not included in the amortization payments), will be due and payable. There is no assurance that we will have sufficient funds to make the requisite amortization and interest payments when due, including at maturity.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93" w:lineRule="auto"/>
        <w:rPr>
          <w:sz w:val="20"/>
          <w:szCs w:val="20"/>
          <w:color w:val="auto"/>
        </w:rPr>
      </w:pPr>
      <w:r>
        <w:rPr>
          <w:rFonts w:ascii="Arial" w:cs="Arial" w:eastAsia="Arial" w:hAnsi="Arial"/>
          <w:sz w:val="16"/>
          <w:szCs w:val="16"/>
          <w:color w:val="auto"/>
        </w:rPr>
        <w:t>If Oxford were to declare an event of default, including as result of our failure to make a required amortization payment, Oxford would have the option, among other things, of accelerating the debt under our loan and security agreement and in such event, and in the event we do not make the additional interest payment of $795 thousand required on the maturity date of December 1, 2018, foreclosing on the Company’s assets pledged as collateral for the term loan. Any declaration of an event of default by Oxford, or our failure to pay all principal and interest on or before the maturity date, would significantly harm our business and would likely cause the price of our common stock to decline. In our most recent amendment of the Loan Agreement, Oxford made no commitment not to declare an Event of Default on account of our financial condition and there is no assurance Oxford will not attempt to do so at any time.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largely dependent on our successful development of our Limitx product candidates and on the commercial success of Oxaydo.</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anticipate that, for at least fiscal 2018 and 2019, our ability to generate revenues and become profitable will depend in large part on our successful development of our Limitx product candidates and on the commercial success of our only FDA approved product, Oxaydo. We expect that a substantial portion of our efforts and expenditures over the next few years will be devoted to our lead Limitx product candidate, LTX-03, and other Limitx product candidates in development. We completed our first two Phase I clinical studies for LTX-04, an opioid hydromorphone HCI, in mid-2016. We have changed our primary development focus from immediate-release hydromorphone products (i.e., LTX-04, described above) to immediate-release hydrocodone products (</w:t>
      </w:r>
      <w:r>
        <w:rPr>
          <w:rFonts w:ascii="Arial" w:cs="Arial" w:eastAsia="Arial" w:hAnsi="Arial"/>
          <w:sz w:val="17"/>
          <w:szCs w:val="17"/>
          <w:i w:val="1"/>
          <w:iCs w:val="1"/>
          <w:color w:val="auto"/>
        </w:rPr>
        <w:t>i.e.</w:t>
      </w:r>
      <w:r>
        <w:rPr>
          <w:rFonts w:ascii="Arial" w:cs="Arial" w:eastAsia="Arial" w:hAnsi="Arial"/>
          <w:sz w:val="17"/>
          <w:szCs w:val="17"/>
          <w:color w:val="auto"/>
        </w:rPr>
        <w:t>, LTX-03) because hydrocodone bitartrate is more likely to be abused in oral excessive tablet abuse, or ETA, and completed two pharmokinetic studies for LTX-03 during 2017 and the first week of 2018. We are also engaged in formulation development or early preclinical development for other Limitx product candidates. Accordingly, our business is currently substantially dependent on the successful development, clinical testing, regulatory approval and commercialization of our Limitx product candidates, which may never occur. If our clinical studies for LTX-03 are not successful we may determine that further clinical development of LTX-03 or other Limitx product candidates should be discontinued. If clinical studies for these product candidates produce unsuccessful results and we are forced or elect to cease their development, our business and prospects would be substantially harmed. We expect that any revenues from our Limitx product candidates will be derived from upfront payments, milestone payments and royalties under license agreements with one or more pharmaceutical company partners, of which no assurance can be given.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success of Oxaydo will depend on many factors, including our and our licensee Egalet’s ability to:</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Oxaydo;</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acceptance of Oxaydo by physicians and patients;</w:t>
      </w:r>
    </w:p>
    <w:p>
      <w:pPr>
        <w:spacing w:after="0" w:line="25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and maintain adequate levels of coverage and reimbursement for Oxaydo from commercial health plans and government health programs, which we refer to collectively as third-party payors, particularly in light of the availability of other branded and generic competitive products;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Oxaydo competitively and enter into price discounting contracts with third-party payors;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manufacture and supply Oxaydo to meet commercial demand, including obtaining sufficient quota from the DEA;</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intellectual property protection for Oxaydo and obtain favorable drug listing treatment by the FDA to minimize generic competition;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additional dosage strengths of Oxaydo.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There can be no assurance that Egalet will devote sufficient resources to the further development, marketing and commercialization of Oxaydo. Egalet’s marketing of Oxaydo may result in low market acceptance and insufficient demand for, and sales of, the product. To date we have only minimal royalties from the sale of Oxaydo. In addition, Egalet has filed a prior approval supplement for OXAYDO® 10 mg and 15 mg dosage strengths, but received a complete response letter from the FDA, and according to a recent filing is working to determine next steps to respond to such filing. Egalet has advised that the FDA is requesting more information regarding the effect of food on Oxaydo 15mg and the intranasal abuse-deterrent properties of Oxaydo 10mg and 15mg. If Egalet fails to successfully commercialize Oxaydo and increase sales, we may be unable to generate sufficient revenues to sustain or grow our business and we may never become profitable, and our business, financial condition and results of operations will be materially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MainPointe is not successful in commercializing our Nexafed Products, our revenues and business will suffer.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commenced the launch and commercial distribution of Nexafed in mid-December 2012 and launched our Nexafed Sinus Pressure + Pain product in February 2015. Our Nexafed products compete in the highly competitive market for cold, sinus and allergy products generally available to the consumer without a prescription. Many of our competitors have substantially greater financial and other resources and are able to expend more funds and effort than MainPointe in marketing their competing products. Category leading brands are often supported by regional and national advertising and promotional efforts. Our Nexafed products will compete with national brands as well as pharmacy store brands that are offered at a lower price. There can be no assurance that MainPointe will succeed in commercializing our Nexafed products, or that the pricing of our Nexafed products will allow us to generate significant royalty revenues. Regulations have been enacted in several state or local jurisdictions requiring a doctor’s prescription to obtain pseudoephedrine products. An expansion of such restrictions to other jurisdictions or even nationally will adversely impact MainPointe’s ability to market our Nexafed products as over-the-counter, or OTC, products and negatively impact royalty payments to us from Nexafed products sales. There can be no assurance that MainPointe will devote sufficient resources to marketing and commercialization of our Nexafed products. MainPointe’s failure to successfully commercialize our Nexafed® products will have a material adverse effect on our business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Egalet is not successful in commercializing Oxaydo, our revenues and our business will suffer.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Collaboration and License Agreement with Egalet, or the Egalet Agreement, Egalet is responsible for manufacturing, marketing, pricing, promotion, selling and distribution of Oxaydo. If the Egalet Agreement is terminated in accordance with its terms, including due to a party’s failure to perform its obligations or responsibilities under the Agreement, then we would need to commercialize Oxaydo ourselves, for which we currently have no infrastructure, or alternatively enter into a new agreement with another pharmaceutical company, of which no assurance can be given. If we are unable to build the necessary infrastructure to commercialize Oxaydo ourselves, which would substantially increase our expenses and capital requirements, which we are currently unable to fund, or are unable to find a suitable replacement commercialization partner, we would be unable to generate any revenue from Oxaydo. Even if we are successful at replacing the commercialization capabilities of Egalet, our revenues and/or royalties from Oxaydo could be adversely impacted.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Egalet’s third party manufacturing facility currently is the sole commercial source of supply of Oxaydo. If Egalet’s manufacturing facility fails to obtain sufficient DEA quotas for oxycodone, fails to source adequate quantities of active and inactive ingredients, fails to comply with regulatory requirements, or otherwise experiences disruptions in commercial supply of Oxaydo, product revenue and our royalties could be adversely impacted.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Egalet has various products in development and also markets other products, for which Oxaydo will vie for such licensee’s development, promotional, marketing, and selling resources. If Egalet fails to commit sufficient promotional, marketing and selling resources to Oxaydo, our expected royalties could be adversely impacted. Additionally, there can be no assurance that Egalet will commit the resources required for the successful commercialization of Oxaydo.</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Egalet prices Oxaydo inappropriately, fails to position Oxaydo properly, targets inappropriate physician specialties, or otherwise does not provide sufficient promotional support, product revenue and our royalties could be materially adversely impacted.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7"/>
          <w:szCs w:val="17"/>
          <w:color w:val="auto"/>
        </w:rPr>
        <w:t>Egalet’s promotional, marketing and sales activities in connection with Oxaydo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Egalet’s activities are found to be in violation of these laws or any other federal and state fraud and abuse laws, Egalet may be subject to penalties, including civil and criminal penalties, damages, fines and the curtailment or restructuring of its activities with regard to the commercialization of Oxaydo, which could harm the commercial success of Oxaydo and have a material adverse effect on our business, financial condition and results of operations.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failure to continue the development of our Limitx opioid product candidates including hydrocodone/acetaminophen, or to successfully establish a license agreement with a pharmaceutical company for the development and commercialization of such products, will adversely impact our ability to develop, market and sell our Limitx technology products and our revenues and business will be materially adversely affected.</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engaged in the development of product candidates utilizing or Limitx technology, including planning Phase 1 studies for our hydrocodone/acetaminophen lead product candidate. Our plan for developing, manufacturing and commercializing our Limitx opioid products includes entering into an agreement similar to the Egalet Agreement with a strategically focused pharmaceutical company. There can be no assurance, however, that our early-stage development of our Limitx product candidates will be successful, or even if successful, that we will be successful in entering into such an agreement. Pending any such agreement, and subject to available funding, we expect to continue the development of our Limitx product candidates on our own. The continued development of our Limitx product candidates will likely require additional financing, which may not be available on acceptable terms, or at all. In the absence of available financing, or our failure to successfully enter into a license agreement with a pharmaceutical company to develop and commercialize our Limitx products, we may have to limit the size or scope of, or delay or abandon, the development of some or all of our product candidates, which would adversely impact our financial condition and results of operations.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rely on current cash reserves, royalties from Egalet on Egalet’s sales of Oxaydo, royalties from MainPointe on its sales of Nexafed products to fund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fund our continued operations, we expect to rely on our current cash resources, capital raising, royalty payments under the Egalet Agreement relating to Oxaydo, and royalty payments under the MainPointe Agreement relating to our Nexafed products, and milestones and royalty payments that may be made under future license agreements with other pharmaceutical company partners for our product candidates in development, of which no assurances can be given. No assurance can be given that current cash reserves, royalties from Egalet on Oxaydo net sales, or royalties from MainPointe on Nexafed products net sales will be sufficient to fund continued operations and the development of our product candidates until such time as we generate revenues from any of our products in development. Moreover, no assurance can be given that we will be successful in raising additional financing or, if financing is obtained, that such financing will be sufficient to fund operations until we generate sufficient revenues from Oxaydo and Nexafed products, or until product candidates utilizing our Limitx or Impede Technologies may be commercialized. In the event our cash reserves are insufficient to fund continued operations, we may need to suspend some or all of our product development efforts or possibly discontinue operations. Since the termination of the Bayer Agreement in June 2017 (which we believe is as a result of Bayer’s de-prioritization of development of the methamphetamine resistant pseudoephedrine-containing product contemplated in the Agreement), which was a potential source of milestones and royalties, the MainPointe Agreement and the Egalet Agreement have increased in importance as potential sources of revenue,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Oxaydo and Limitx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commercial success of Oxaydo and our Limitx Technology products in development will depend upon our and our licensees’ ability to obtain FDA approved labeling describing such products’ abuse deterrent features or benefits. Our or our licensees’ failure to achieve FDA approval of product labeling containing such information will prevent or substantially limit our and our licensees’ advertising and promotion of such abuse deterrent features in order to differentiate our products from other immediate release opioid products containing the same active ingredients, and would have a material adverse impact on our business and results of operations. 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and Limitx Technology products in development. We have committed to the FDA to undertake epidemiological studies to assess the actual consequences of abuse of Oxaydo in the market. However, the extent to which a description of the abuse deterrent properties or results of epidemiological or other studies will be added to or included in the FDA approved product label for our products in development will be the subject of our and our licensees’ discussions with, and agreement by, the FDA as part of the new drug application, or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Oxaydo includes the results from a clinical study which evaluated the effects of nasally snorting crushed Oxaydo and commercially available oxycodone tablets and limitations on wetting or dissolving Oxaydo, it does not, however, include the results of our laboratory studies intended to evaluate Oxaydo’s potential to limit extraction of oxycodone HCl from dissolved Oxaydo Tablets and resist conversion into an injectable, or IV solution. According to filings made by Egalet, a supplemental new drug application (“sNDA”) was submitted by Egalet in December 2016 for Oxaydo to support an abuse-deterrent label claim for the intravenous route of abuse, and in February 2017, Egalet filed a prior approval supplement (“PAS”) with data on new dosage strengths of 10 mg and 15 mg of Oxaydo. Egalet reported they received a complete response letter from the FDA in June of 2017 where the FDA requested more information regarding the effect of food on Oxaydo 15 mg and the intranasal abuse deterrent properties of Oxaydo 10 and 15 mg. Egalet reported that based on discussions with the FDA regarding the sNDA, Egalet believed a contemporary intranasal human abuse potential study would be needed to complete the sNDA, and given that the issues involved in the sNDA and PAS are intertwined, Egalet disclosed that they are evaluating their options and the costs associated to proceed on the abuse deterrent label and/or the additional dosage strengths. The absence of the results of these extraction and syringe studies in the FDA approved label for Oxaydo may substantially limit our licensee’s ability to differentiate Oxaydo from other immediate release oxycodone products, which would have a material adverse effect on market acceptance of Oxaydo and on our business and results of operations.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FDA approved labeling for Oxaydo, there can be no assurance that our Limitx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because the FDA closely regulates promotional materials and other promotional activities, even if the FDA initially approves product labeling that includes a description of the abuse deterrent characteristics of our product, as in the case of Oxaydo, the FDA’s Office of Prescription Drug Promotion, or OPDP, will continue to review the acceptability of promotional claims and product advertising campaigns for our marketed products. This could lead to the issuance of warning letters or untitled letters, suspension or withdrawal of Oxaydo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committing a majority of our resources to the development of product candidates utilizing our Limitx and Impede Technologies. Notwithstanding the receipt of FDA approval of Oxaydo and our marketing of our Nexafed products, there can be no assurance that any product candidate utilizing our Impede or Limitx Technologies will meet FDA’s standards for commercial distribution. Further, there can be no assurance that other product candidates that may be developed using Limitx, Impede or Aversion Technologies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affect on our financial condition.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the FDA disagrees with our determination that certain of our products meet the over-the-counter, or OTC, Monograph requirements, once those products are commercialized, they may be removed from the market; the FDA or the U.S. Federal Trade Commission, or FTC, may object to our advertisement and promotion of the extraction characteristics and benefits of our Nexafed products.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current Good Manufacturing Practices, or cGMP and establishment registration. Any product which fails to conform to each of the general conditions in a monograph is subject to regulatory action. Further, although the FDA regulates OTC drug product labeling, the FTC regulates the advertising and marketing of OTC drug products. We believe that our Nexafed products licensed to MainPointe are classified for OTC sale under an FDA OTC monograph, which will allow for their commercialization without submitting an NDA or abbreviated new drug application, or ANDA to the FDA. We have also determined that, provided MainPointe adheres to the FDA’s requirements for OTC monograph products, including product labeling, we can advertise and promote the extraction characteristics and benefits of our Nexafed products which are supported by our research studies. No assurance can be given, however, that the FDA will agree that our Nexafed products may be sold under the FDA’s OTC monograph product regulations or that the FDA or FTC will not object to MainPointe’s advertisement and promotion of our Nexafed products’ extraction characteristics and benefits. If the FDA determines that our Nexafed products do not conform to the OTC monograph or if MainPointe fails to meet the general conditions, once commercialized, the products may be removed from the market and we and MainPointe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announced that it is considering material changes to how it regulates OTC drug products and held a hearing in late March 2014 for public comment. Changes to the existing OTC regulations could result in a requirement that an NDA or ANDA be filed for our Nexafed products or other Impede Technology products in order to commercialize such products. If the FDA requires the submission of a NDA or ANDA to obtain marketing approval for our Nexafed® products or other Impede Technology products, this would result in substantial additional costs, suspend the commercialization of our Nexafed products and require FDA approval prior to sale, of which no assurance can be provided. In such case, the label for our Nexafed products or other Impede Technology products would be subject to FDA review and approval and there can be no assurance that we or our licensees will be able to market Nexafed or other Impede Technology products with labeling sufficient to differentiate it from products that have comparable therapeutic profiles. If we or our licensees are unable to advertise and promote the extraction characteristics of Nexafed or other Impede Technology products, we or our licensees may be unable to compete with national brands and pharmacy chain store brands.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Our Limitx, Impede and Aversion Technology products may not be successful in limiting or impeding abuse or misuse upon commercialization.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committing a majority of our resources to the development of products utilizing our Limitx and Impede Technologies. Notwithstanding the receipt of FDA approval of Oxaydo and the results of our numerous clinical and laboratory studies for Oxaydo, our Nexafed products, and our Limitx and Impede Technology products in development, there can be no assurance that Oxaydo, our Nexafed products or any other product utilizing our Limitx, Impede or Aversion Technologies will perform as tested and limit or impede the actual abuse or misuse of such products in commercial settings. Moreover, there can be no assurance that the post-approval epidemiological study required by the FDA as a condition of approval of Oxaydo will show a reduction in the consequences of abuse and misuse by patients for whom Oxaydo is prescribed. To date, Egalet has not achieved sufficient market share for Oxaydo to support a full epidemiological study. The failure of Oxaydo, our Nexafed products or other products utilizing our Limitx and Impede Technologies to limit or impede actual abuse or misuse in practice will have a material adverse impact on market acceptance for such products and on our financial condition and results of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Relying on third party contract research organizations, or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or our licensee’s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Limitx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drug products, including our licensed Nexafed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 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If these executive actions impose constraints on the FDA’s ability to engage in oversight and implementation activities in the normal course, our business may be negatively impacted.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Oxaydo is conditioned on us or Egalet conducting a post-approval epidemiological study to assess the actual abuse levels and consequences of Oxaydo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Oxaydo and Limitx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Limitx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Impede or Limitx Technologies, which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Egalet Agreement grants Egalet an exclusive worldwide license to develop and commercialize Oxaydo. Our license agreement with KemPharm Inc., or the KemPharm Agreement, grants exclusive worldwide rights to KemPharm to utilize our Aversion technology in certain of KemPharm’s prodrug products. Our license agreement with MainPointe grants exclusive rights in the U.S. and Canada (with option rights to expand the licensed territory) to our Nexafed products with option rights to certain other pseudoephedrine-containing products utilizing our Impede technology. We believe that opportunities exist to enter into license agreements similar to the Egalet Agreement, the KemPharm Agreement and the MainPointe Agreement with other pharmaceutical company partners for the development and commercialization of our Limitx, Impede and Aversion Technologies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Egalet Agreement, the KemPharm Agreement, the MainPointe Agreement, or any license agreement we may enter into relating to any of our Limitx or Impede Technology products in development or our Aversion technology, we will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Oxaydo and our Limitx and Impede product candidates, it may be necessary for us to license a significant portion of our product candidates to a single company, thereby eliminating our opportunity to commercialize other product candidates with other licensees.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our license agreement with Egalet, we may have to commercialize Oxaydo on our own and if we fail to maintain the license agreement with MainPointe we may have to commercialize Nexafed Products on our own.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plan for manufacturing and commercializing Oxaydo currently requires us to maintain our license agreement with Egalet. In addition to other customary termination provisions, the Egalet Agreement provides that Egalet may terminate the Egalet Agreement upon certain notice periods. If Egalet elects to terminate the Egalet Agreement, or if we are otherwise unable to maintain our existing relationship with Egalet, we would have to commercialize Oxaydo ourselves for which we currently have no infrastructure, or alternatively enter into a new agreement with another pharmaceutical company, of which no assurance can be given. Our ability to commercialize Oxaydo on our own may require additional financing, which may not be available on acceptable terms, or at all. While, there is no provision for MainPointe to elect to terminate its license agreement without cause, if it should fail to perform thereunder and we terminated the agreement, then we would have to commercialize the Nexafed Products on our own. Although prior to entering into the MainPointe agreement we had been commercializing certain Nexafed Products on our own, we would have to reestablish our capabilities, which will require additional financing which may not be available on acceptable terms, if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Impede or Limitx Technologies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Impede or Limitx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pharmacy chains to stock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Oxaydo and our Nexafed Products compete, and our other product candidates, if successfully developed and commercially launched will compete, with both currently marketed and new products launched in the future by other companies. Physicians and other prescribers may not be inclined to prescribe our prescription products unless our products demonstrate commercially viable advantages over other products currently marketed for the same indications. Pharmacy chains may not be willing to stock any of our products and pharmacists may not recommend Nexafed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Our revenues may be adversely affected if we fail to obtain insurance coverage or adequate reimbursement for our products from third-party payers.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Impede or Limitx Technologies.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 candidates. The continuing efforts of government and third-party payers to contain or reduce the costs of health care may limit our commercial opportunity. If government and other third-party payers do not provide adequate coverage and reimbursement for any product utilizing our technologies,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500" w:right="20" w:hanging="330"/>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In addition, since its enactment, there have been judicial and Congressional challenges to certain aspects of the Healthcare Reform Law, and we expect there will be additional challenges and amendments to the Affordable Care Act in the future. The Trump administration and members of the U.S. Congress have indicated that they may continue to seek to modify, repeal, or otherwise invalidate all, or certain provisions of, the Healthcare Reform Law.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each of the Egalet Agreement, the KemPharm Agreement and the MainPointe Agreement, our licensees control the price of the licensed products,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 in the next risk factor;</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right="20" w:hanging="324"/>
        <w:spacing w:after="0" w:line="265"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Oxaydo and our other products.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Oxaydo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Oxaydo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Oxaydo from the market.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more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effect on our operations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Oxaydo, which could cause Egalet’s sales to suffer and adversely impact our royalty revenue.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In November 2017 the FDA issued guidance for the industry on obtaining approval for generic versions of opioids that reference products whose labeling describes abuse-deterrent properties.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 Under the 2017 FDA guidance when a potential ANDA applicant develops a generic solid oral opioid drug product, the potential ANDA applicant should evaluate its proposed generic drug to show that it is no less abuse deterrent than the reference drug with respect to all of the potential routes of abuse.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or our licensee will have 45 days to bring a patent infringement suit known as a Paragraph IV Proceeding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 applicant’s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Oxaydo (formerly known as Oxecta) as the reference listed drug. Since such date, we have received similar Paragraph IV Notices from four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Oxaydo product in advance of our patent expiring.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right="20"/>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Oxaydo product for which each of Par and Impax is separately seeking approval to market in the United States pursuant to an ANDA filing with the FDA infringes a U.S. patent owned by us. Par is the first filer of an ANDA for a generic Oxaydo product and is entitled to the 180-day first filer exclusivity under applicable law and FDA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possible that other generic manufacturers may also seek to launch a generic version of Oxaydo and challenge our patents. Any determination in any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exposed to product liability claims and claims regarding marketing of products and may not be able to obtain or maintain adequate product liability insurance and some claims may not be covered by insurance.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and in particular opioid products. Manufacturers and distributors of prescription opioid medications, are the subject of lawsuits and have received subpoenas and other requests for information from various state and local government agencies regarding the sales and marketing of opioid medications. While we would not expect to be implicated in any such action or investigations, since our business is focused on abuse deterrence, there can be no assurance that we will not be so implicated. Product liability claims or marketing related claims might be made by patients, health care providers or others that sell or consume our products or insurance companies that insure those affected by our products. These claims may be made even with respect to those products that possess regulatory approval for commercial sale. We currently have clinical trial product liability insurance on a claims-made basis for our subject clinical trials and have product liability insurance for the Nexafed and Oxaydo products. This coverage may not be adequate to cover any product liability claims. Product liability coverage and other insurance is expensive. In the future, we may not be able to maintain such product liability insurance or other insurance at a reasonable cost or in sufficient amounts to protect us against losses due to product liability claims or other claims. In addition our insurance may not cover certain marketing related claims and excludes certain products from product liability coverage. See litigation discussed below under “Item 3. Legal Proceedings” of this Report. Any claims that are not covered by product liability insurance or other insurance could have a material adverse effect on our business, financial condition and results of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and DES (diethylstilbestrol) litigation discussed below under “Item 3. Legal Proceedings” of this Report, including litigation relating to products we manufactured or distributed several years and decades ago when we manufactured and sold a broad range of prescription and over the counter products. Such litigation may have material adverse consequences to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significant competition, which may result in others developing or commercializing products before or more successfully than we do.</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and our licensees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licensee’s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Teva Pharmaceuticals, Sun Pharmaceuticals, Inspirion Delivery Sciences, and Collegium Pharmaceuticals, Inc. These companies appear to be focusing their development efforts on ER Opioid Products, except for Atlantic Pharmaceuticals, Pisgah Labs, Inspirion and KemPharm.</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Impede Technology products containing PSE, including our licensed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Limitx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and Impede Technologies. Alternative technologies and non-opioid products are being developed to improve or replace the use of opioid analgesics. In the event that such alternatives to opioid analgesics are widely adopted, then the market for products utilizing our Limitx and Impede Technologies may be substantially decreased, thus reducing our ability to generate future revenues and adversely affecting our ability to generate a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other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Social issues around the abuse of opioids, including law enforcement concerns over diversion of opioid and regulatory efforts to combat abuse, could decrease the potential market for Oxaydo, and, if approved, our Limitx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Media stories regarding prescription drug abuse and the diversion of opioids and other controlled substances are commonplace. Law enforcement and regulatory agencies may apply policies that seek to limit the availability of opioids. Such efforts may inhibit Egalet’s ability to commercialize Oxaydo and, if approved, our Limitx product candidate. Aggressive enforcement and unfavorable publicity regarding, for example, the use or misuse of oxycodone or other opioid drugs, the limitations of abuse resistant formulations, public inquiries and investigations into prescription drug abuse, litigation or regulatory activity, sales, marketing, distribution or storage of our drug products could harm our reputation. Such negative publicity could reduce the potential size of the market for our product candidates and Oxaydo and decrease the revenues and royalties we are able to generate from their sale. Similarly, to the extent opioid abuse becomes less prevalent or a less urgent public health issue, regulators and third-party payers may not be willing to pay a premium for abuse deterrent formulations of opioids.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efforts by the FDA and other regulatory bodies to combat abuse of opioids may negatively impact the market for our product candidates. For example, in February 2016, as part of a broader initiative led by U.S. Department of Health and Human Services to address opioid-related overdose, death and dependence,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 abuse-deterrent opioid formulations, and seeking input from the FDA’s Scientific Board to broaden the understanding of the public risks of opioid abuse. Many of these changes could require our licensing partner and us to expend additional resources in developing and commercializing Oxaydo and our product candidates to meet additional requirements. In October 2017, the acting director of HHS under the directive of President Trump, declared the opioid crisis a national health emergency and initiated a five point plan including (i) improving access to prevention, treatment, and recovery support services; (ii) targeting the availability and distribution of overdose-reversing drugs; (iii) strengthening public health data reporting and collection; (iv) supporting cutting-edge research on addiction and pain; and (v) advancing the practice of pain management. The impact that this five point plan will have on us and our licensing partners is unclear at this time.</w:t>
      </w:r>
    </w:p>
    <w:p>
      <w:pPr>
        <w:spacing w:after="0" w:line="188" w:lineRule="exact"/>
        <w:rPr>
          <w:sz w:val="20"/>
          <w:szCs w:val="20"/>
          <w:color w:val="auto"/>
        </w:rPr>
      </w:pPr>
    </w:p>
    <w:p>
      <w:pPr>
        <w:ind w:right="100" w:hanging="38"/>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 equity restructuring often results in an Internal Revenue Section 382 ownership change that limits the future use of Net Operating Loss (“NOL”), carryforwards and other tax attributes. In addition, under the Tax Cuts and Jobs Act of 2017, NOL usage in any given year will be limited to 80% of taxable income, without regard to the NOL deduction, and losses incurred in 2018 and forward may not be carried back but can be carried forward indefinitely, but losses incurred prior to 2018 can only be carried forward for 20 years. We have determined that we have undergone ownership changes in both 2004 and 2017 (as defined by Section 382 of the Internal Revenue Code) and as a result, our use of NOL carryforwards on an annual basis will be very limited.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2017, our stock traded as high as $1.40 per share and as low as $0.29 per share. The trading price of our common stock is likely to continue to be highly volatile and could be subject to wide fluctuations in response to various factors, some of which are beyond our control. These factors could include:</w:t>
      </w:r>
    </w:p>
    <w:p>
      <w:pPr>
        <w:spacing w:after="0" w:line="12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from our pre-clinical and clinical development programs, including our Limitx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progress of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and 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licensee’s success in the commercialization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the execution of license agreements with third parties for our products or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not declared and paid any cash dividends on our common stock. In addition, our Loan and Security Agreement with Oxford Finance LLC restricts our ability to pay dividends during the term of such Agreement.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sale of a substantial number of shares in a capital raising transaction could depress the trading price of our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30, 2018, our two largest shareholders own an aggregate of approximately 12,651,543 shares (including 1,782,531 shares underlying warrants) (representing approximately 56% of our outstanding shares). If some or all of such shares are sold by such stockholders, it may have the effect of depressing the trading price of our common stock. In addition, such sales could make it more difficult for us to raise capital if needed in the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Approximately 47.5% of our common stock is owned by a single individual, who is also a principal of MainPointe Pharmaceuticals LLC, and that individual is also party to our Second Amended and Restated Voting Agreement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significant amount of our common stock is owned by a single individual, John Schutte. On July 24, 2017, we completed a $4.0 million private placement with him for the sale of 8,912,655 shares and warrants to purchase 1,782,531 shares at an exercise price of $0.528 and expiring on July 24, 2022. In the second quarter of 2018, Mr. Schutte lent us an aggregate of $1.0 million on an unsecured basis until our obligations to Oxford have been satisfied in full, and thereafter on a secured basis with a security interest in all of our assets. Mr. Schutte is a principal of MainPointe. In March 2017, we granted MainPointe an exclusive license to our Impede technology to commercialize our Nexafed® and Nexafed® Sinus Pressure + Pain Products in the United States and Canada. MainPointe also has options to expand the territory and products covered for additional sums following the termination of the Bayer Agreement. Further, as part of the closing of the Transaction, we, Essex Woodlands Health Ventures V, L.P. (“Essex”) and Galen Partners III, L.P. (“Galen”), which has subsequently sold its shares, amended and restated the existing Voting Agreement between the parties to provide for Mr. Schutte to join as a party so that he can designate a director (he has not done so). The combination of Mr. Schutte’s share ownership, control of one of our key licensing partners, and the right to designate a director to oversee the long-term affairs of our company, and right to have a security interest in all of our assets after the Oxford obligations have been satisfied in full, gives him the potential to have considerable influence over our business and affairs. As a result, Mr. Schutte, in view of his ownership percentage of our common stock, will as a practical matter be able to control all matters requiring approval by our shareholders, including the approval or rejection of mergers, sales or licenses of all or substantially all of our assets, or other business combination transactions. The interests of Mr. Schutte as a shareholder and creditor may not always coincide with the interests of our other shareholders and as such we may take action to advance his interests to the detriment of our other shareholders. Accordingly, you may not be able to influence any action we take or consider taking, even if it requires a shareholder holder vote.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deemed a “penny stock,” which would make it more difficult for our investors to sell their shares.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common stock is subject to the “penny stock” rules adopted under the Exchange Act. The penny stock rules generally apply to companies whose common stock is not listed on the NASDAQ Stock Market or other national securities exchange and trades at less than $5.00 per share, other than companies that have had average revenue of at least $6,000,000 for the last three years or that have net tangible assets of at least $5,000,000 ($2,000,000 if the company (such as Acura)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At times, our shares of common stock have been thinly traded, so you may be unable to sell at or near ask prices or even at all if you need to sell your shares to raise money or otherwise desire to liquidate your shares.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common stock is quoted on the OTC Markets OTC Pink tier (after being removed from the OTCQB where it was previously quoted). Our common stock experiences periods when it could be considered “thinly-traded.” This situation may be attributable to a number of factors, including the fact that we are a small company which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currently a “smaller reporting company,” meaning that we are not an investment company, an asset- backed issuer, or a majority-owned subsidiary of a parent company that is not a smaller reporting company and have a public float of less than $75 million, or in the absence of any public float had annual revenues of less than $50 million during the most recently completed fiscal year.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and in certain registration statements. Decreased disclosures in our SEC filings due to our status as a “smaller reporting company” may make it harder for investors to analyze our results of operations and financial prospects.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2017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from an unaffiliated Lessor, approximately 1,600 square feet of administrative office space at 616 N. North Court, Suite 120, Palatine, Illinois 60067. The lease agreement expired on March 31, 2017; effective April 1, 2017, the office space is leased on a month-to-month basis. The lease agreement provides for rent, property taxes, common area maintenance, and janitorial services on a monthly basis of approximately $2 thousand per month. We utilize this lease space for our administrative and business development functions.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Impede and Limitx Technologies at the facility we own located at 16235 State Road 17, Culver, Indiana. At this location, our wholly-owned subsidiary APT,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or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Partes Review, or IPR Review, with the U.S. Patent and Trademark Office, or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or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Settlement Agreement also provides that Purdue will not, in the future, assert certain Purdue U.S. patents, including the 007 Patent, the 171 Patent and related technologies, or collectively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or collectively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we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we conceded Purdue Pharma’s claim of priority in exchange for certain financial consideration to us including an immediate non-refundable payment of $500 thousand. In June 2015, we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20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Pennsylvania, the trial court proceedings were stayed on January 12, 2017. On June 15, 2017, the Court entered an Order approving a stipulation which dismisses nearly all of the individual cases against us based upon lack of product identification without prejudice and provides for these cases to be dismissed finally, with prejudice, on June 15, 2018, or at an earlier date in each individual case, if all parties are dismissed. Acura is in the process of seeking voluntary dismissal without prejudice of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number of remaining Pennsylvania cases pending against Acura on the basis of lack of product identification. We expect that these remaining few cases will be dismissed based on lack of product identification and the Court will finally dismiss the Pennsylvania-based litigation against us with prejudice in 2018. Legal fees related to this matter are currently covered by our insurance carrier.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In California, on May 24, 2016, the Court entered an Order approving a stipulation which stays the individual cases against us and provides for an agreed upon dismissal protocol for all cases where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 prejudice in 2018. Legal fees related to this matter are currently covered by our insurance carrier.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2017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 Litigation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April 12, 2018, an action was commenced against the Company and over twenty-five other pharmaceutical manufacturers in New York State Supreme Court, New York County, captioned </w:t>
      </w:r>
      <w:r>
        <w:rPr>
          <w:rFonts w:ascii="Arial" w:cs="Arial" w:eastAsia="Arial" w:hAnsi="Arial"/>
          <w:sz w:val="16"/>
          <w:szCs w:val="16"/>
          <w:i w:val="1"/>
          <w:iCs w:val="1"/>
          <w:color w:val="auto"/>
        </w:rPr>
        <w:t>Cotto et al. v. Abbott Laboratories, Inc., et al</w:t>
      </w:r>
      <w:r>
        <w:rPr>
          <w:rFonts w:ascii="Arial" w:cs="Arial" w:eastAsia="Arial" w:hAnsi="Arial"/>
          <w:sz w:val="16"/>
          <w:szCs w:val="16"/>
          <w:color w:val="auto"/>
        </w:rPr>
        <w:t xml:space="preserve"> (index 153339/2018). The Complaint contains seven causes of action, including negligence, strict liability, and breach of warranty, wrongful death, among others, in connection with the alleged exposure of the deceased plaintiff in utero to diethylstilbestrol (DES) in the 1950s as the result of the ingestion of the drug by her mother or grandmother. The plaintiffs are the personal representative of the deceased and her two daughters. The plaintiffs were unable to determine which of the defendants produced the DES used by the deceased, but regardless seeks to hold all defendants jointly and severally liable. The Complaint seeks $10.0 million in compensatory and $10.0 million in punitive damages on each of five counts and damages in an amount to be determined for wrongful death and additional punitive damages in an unstated amount. As any potential loss is neither probable nor estimable, we have not accrued for any potential loss related to these matters as of December 31, 2017. We are presently unable to determine if any potential loss would be covered by any of our current or former insurance carriers.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our 2016 fiscal year and through February 22, 2017, our common stock was traded on the Nasdaq Capital Market under the symbol “ACUR”. On February 23, 2017, our common stock was delisted from the Nasdaq Capital Market due to our failure to comply with Nasdaq’s Listing Rule 5550(b)(1), which requires that we maintain $2.5 million in stockholders’ equity for continued listing (or meet the alternatives of market value of listed securities of $35 million or net income from continuing operations). NASDAQ had granted us a grace period through February 10, 2017, to regain compliance with Listing Rule 5550(b)(1), but we were unable to regain compliance within such period.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Commencing on February 23, 2017, our common stock is quoted on the OTCQB under the symbol “ACUR”, however commencing June 4, 2018 it is quoted on the OTC Markets OTC Pink tier. The downgrade was a result of the late filing of this Annual Report on Form 10-K beyond any applicable grace periods.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20"/>
                <w:szCs w:val="20"/>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7"/>
              </w:rPr>
              <w:t>Sale Prices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Low</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 Fiscal Year</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60"/>
              <w:spacing w:after="0"/>
              <w:rPr>
                <w:sz w:val="20"/>
                <w:szCs w:val="20"/>
                <w:color w:val="auto"/>
              </w:rPr>
            </w:pPr>
            <w:r>
              <w:rPr>
                <w:rFonts w:ascii="Arial" w:cs="Arial" w:eastAsia="Arial" w:hAnsi="Arial"/>
                <w:sz w:val="18"/>
                <w:szCs w:val="18"/>
                <w:color w:val="auto"/>
              </w:rPr>
              <w:t>First Quarter</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Second Quarter</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60"/>
              <w:spacing w:after="0"/>
              <w:rPr>
                <w:sz w:val="20"/>
                <w:szCs w:val="20"/>
                <w:color w:val="auto"/>
              </w:rPr>
            </w:pPr>
            <w:r>
              <w:rPr>
                <w:rFonts w:ascii="Arial" w:cs="Arial" w:eastAsia="Arial" w:hAnsi="Arial"/>
                <w:sz w:val="18"/>
                <w:szCs w:val="18"/>
                <w:color w:val="auto"/>
              </w:rPr>
              <w:t>Third Quarter</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Fourth Quarter</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Fiscal Year</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460"/>
              <w:spacing w:after="0"/>
              <w:rPr>
                <w:sz w:val="20"/>
                <w:szCs w:val="20"/>
                <w:color w:val="auto"/>
              </w:rPr>
            </w:pPr>
            <w:r>
              <w:rPr>
                <w:rFonts w:ascii="Arial" w:cs="Arial" w:eastAsia="Arial" w:hAnsi="Arial"/>
                <w:sz w:val="18"/>
                <w:szCs w:val="18"/>
                <w:color w:val="auto"/>
              </w:rPr>
              <w:t>First Quarter (through February 22, 2017)</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for the period indicated are the high and low sales prices for our common stock in the OTC Market of OTCQB.</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spacing w:after="0"/>
              <w:rPr>
                <w:sz w:val="20"/>
                <w:szCs w:val="20"/>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Sales Prices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Fiscal Year</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60"/>
              <w:spacing w:after="0"/>
              <w:rPr>
                <w:sz w:val="20"/>
                <w:szCs w:val="20"/>
                <w:color w:val="auto"/>
              </w:rPr>
            </w:pPr>
            <w:r>
              <w:rPr>
                <w:rFonts w:ascii="Arial" w:cs="Arial" w:eastAsia="Arial" w:hAnsi="Arial"/>
                <w:sz w:val="18"/>
                <w:szCs w:val="18"/>
                <w:color w:val="auto"/>
              </w:rPr>
              <w:t>First Quarter (from February 23, 2017)</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0.75</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Second Quarter</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60"/>
              <w:spacing w:after="0"/>
              <w:rPr>
                <w:sz w:val="20"/>
                <w:szCs w:val="20"/>
                <w:color w:val="auto"/>
              </w:rPr>
            </w:pPr>
            <w:r>
              <w:rPr>
                <w:rFonts w:ascii="Arial" w:cs="Arial" w:eastAsia="Arial" w:hAnsi="Arial"/>
                <w:sz w:val="18"/>
                <w:szCs w:val="18"/>
                <w:color w:val="auto"/>
              </w:rPr>
              <w:t>Third Quarter</w:t>
            </w:r>
          </w:p>
        </w:tc>
        <w:tc>
          <w:tcPr>
            <w:tcW w:w="94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Fourth Quarter</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Fiscal Year</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460"/>
              <w:spacing w:after="0"/>
              <w:rPr>
                <w:sz w:val="20"/>
                <w:szCs w:val="20"/>
                <w:color w:val="auto"/>
              </w:rPr>
            </w:pPr>
            <w:r>
              <w:rPr>
                <w:rFonts w:ascii="Arial" w:cs="Arial" w:eastAsia="Arial" w:hAnsi="Arial"/>
                <w:sz w:val="18"/>
                <w:szCs w:val="18"/>
                <w:color w:val="auto"/>
              </w:rPr>
              <w:t>First Quarter (through March 29, 2018)</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0.87</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29, 2018, the closing sales price of our common stock was $0.51.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approximately 301 holders of record of our common stock as of March 29, 2018 including approximately 82 holders who are nominees for an undetermined number of beneficial owners based upon a review of a securities position listing provided by our transfer agent in September 2017. This number, however, does not reflect the ultimate number of beneficial holders of our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 In addition, our Loan and Security Agreement with Oxford Finance LLC restricts our ability to pay dividends during the term of such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2017, 2016, 2015, 2014, and 2013 are derived from our audited Consolidated Financial Statements. The Consolidated Financial Statements as of December 31, 2017 and 2016 and for each of the years in the two-year period ended December 31, 2017, and the reports thereon, are included elsewhere in this Report. The selected financial information presented for our 2015, 2014 and 2013 operations and for our 2015, 2014 and 2013 balance sheets are derived from our audited Consolidated Financial Statements not presented in this Report.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below has been retroactively adjusted to reflect a one-for-five reverse stock split effected by us on August 27, 2015,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DATA (in thousands) except per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and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4,028</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2,608</w:t>
            </w:r>
          </w:p>
        </w:tc>
        <w:tc>
          <w:tcPr>
            <w:tcW w:w="18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Selling, marketing, general and administrative </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6,516</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8,994</w:t>
            </w: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(5,682)</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of common stock: Basic</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per share of common stock: Diluted</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used in computing net loss per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share: Basic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11,870</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10,796</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9,779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used in computing net loss per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Diluted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10,796</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58" w:lineRule="auto"/>
        <w:tabs>
          <w:tab w:leader="none" w:pos="2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$140, $170, $160, $220, and $315 for years 2017, 2016, 2015, 2014 and 2013, respectively.</w:t>
      </w:r>
    </w:p>
    <w:p>
      <w:pPr>
        <w:spacing w:after="0" w:line="1" w:lineRule="exact"/>
        <w:rPr>
          <w:rFonts w:ascii="Arial" w:cs="Arial" w:eastAsia="Arial" w:hAnsi="Arial"/>
          <w:sz w:val="18"/>
          <w:szCs w:val="18"/>
          <w:color w:val="auto"/>
        </w:rPr>
      </w:pPr>
    </w:p>
    <w:p>
      <w:pPr>
        <w:ind w:firstLine="8"/>
        <w:spacing w:after="0" w:line="26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$360, $450, $480, $700 and $900 for years 2017, 2016, 2015, 2014 and 2013,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64"/>
        </w:trPr>
        <w:tc>
          <w:tcPr>
            <w:tcW w:w="57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 xml:space="preserve">Working capital (deficit) </w:t>
            </w:r>
            <w:r>
              <w:rPr>
                <w:rFonts w:ascii="Arial" w:cs="Arial" w:eastAsia="Arial" w:hAnsi="Arial"/>
                <w:sz w:val="30"/>
                <w:szCs w:val="30"/>
                <w:color w:val="auto"/>
                <w:vertAlign w:val="superscript"/>
              </w:rPr>
              <w:t>(3)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26,346</w:t>
            </w:r>
          </w:p>
        </w:tc>
      </w:tr>
      <w:tr>
        <w:trPr>
          <w:trHeight w:val="210"/>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bottom w:val="single" w:sz="8" w:color="CCEEFF"/>
            </w:tcBorders>
          </w:tcPr>
          <w:p>
            <w:pPr>
              <w:spacing w:after="0"/>
              <w:rPr>
                <w:sz w:val="18"/>
                <w:szCs w:val="18"/>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(380,380)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(374,698)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(367,310)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(362,321)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(349,112)</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(3) Excludes cash compensating balance requirement of $2,500 at December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launched our first Impede Technology product, Nexafed, into the United States market in December 2012 and launched our Nexafed Sinus Pressure + Pain product in the United States in February 2015. We have a third pseudoephedrine product in development utilizing our Impede Technology.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(MainPointe has an option to license other Impede Technology following termination of the Bayer Agreement). The MainPointe Agreement also grants MainPointe the option to expand the licensed territory to the European Union, Japan and South Korea and to add additional pseudoephedrine-containing products utilizing our Impede technology. MainPointe is controlled by John Schutte, who became our largest shareholder pursuant to a private placement completed in July 2017 and became a creditor in May 2018.</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28, 2017, Bayer Healthcare LLC, or Bayer, terminated a 2015 License and Development Agreement in which we granted Bayer an exclusive worldwide license to our Impede technology for use in an undisclosed methamphetamine resistant product. As a result of the termination, MainPointe has the option to license our Impede technology with respect to such product in the United States and Canada upon payment of a fee. MainPointe has not yet exercised this option.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both"/>
        <w:ind w:firstLine="648"/>
        <w:spacing w:after="0" w:line="285" w:lineRule="auto"/>
        <w:rPr>
          <w:sz w:val="20"/>
          <w:szCs w:val="20"/>
          <w:color w:val="auto"/>
        </w:rPr>
      </w:pPr>
      <w:r>
        <w:rPr>
          <w:rFonts w:ascii="Arial" w:cs="Arial" w:eastAsia="Arial" w:hAnsi="Arial"/>
          <w:sz w:val="16"/>
          <w:szCs w:val="16"/>
          <w:color w:val="auto"/>
        </w:rPr>
        <w:t>Our third abuse deterrent technology, Limitx, is designed to retard the release of active drug ingredients when too many tablets are accidently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or Cmax, was reduced in healthy fasted adult subjects by 50% to 65% when excessive buffer levels were ingested, or a situation consistent with the over-ingestion of tablets. Study AP-LTX-301, or Study 301, the results for which were announced in January 2018, demonstrated drug Cmax from LTX-03, a Limitx hydrocodone bitartrate and acetaminophen combination product, in healthy adult fasted subjects trended toward bioequivalence in test formulations A through E while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Study AP-LTX-300, or Study 300, was inconclusive in its results due to observed issues with drug release from over-encapsulated test product. We submitted an Investigational New Drug Application, or IND, for LTX-03 to the FDA in the first quarter of 2018 in order to advance to NDA development, which became effective in April 2018. The FDA has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We have voluntarily placed the IND for LTX-04 on inactive status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actively seeking a licensing partner for our Limitx product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December 31, 2017, we had cash and cash equivalents of $2.2 million compared to $2.7 million of unrestricted cash and cash equivalents at December 31, 2016. Under our term loan with Oxford Finance LLC, we were required to maintain a $2.5 million compensating balance until such time as we raise an additional $6.0 million (excluding payments under our KemPharm Agreement) through the issuance of equity securities and from upfront payments under license, joint venture, collaboration or other partnering transactions. We satisfied such condition on July 24, 2017, when we received a $4.0 million equity investment. We had an accumulated deficit of approximately $380.4 million and $367.3 million at December 31, 2017 and December 31, 2016, respectively. We had a loss from operations of $5.2 million and a net loss of $5.7 million for the year ended December 31, 2017, compared to a net loss from operations of $6.6 million and net loss of $7.4 million for the year ended December 31, 2016. As of June 6, 2018 after giving effect to a $1.0 million loan from John Schutte, our cash, cash equivalents, and refundable deposits was approximately $0.5 million and expect such amounts will only be able to fund operations into late June 2018.</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648"/>
        <w:spacing w:after="0" w:line="273" w:lineRule="auto"/>
        <w:rPr>
          <w:sz w:val="20"/>
          <w:szCs w:val="20"/>
          <w:color w:val="auto"/>
        </w:rPr>
      </w:pPr>
      <w:r>
        <w:rPr>
          <w:rFonts w:ascii="Arial" w:cs="Arial" w:eastAsia="Arial" w:hAnsi="Arial"/>
          <w:sz w:val="17"/>
          <w:szCs w:val="17"/>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 line advertising incurred prior to our entering into the MainPointe Agreement on March 16, 2017, salaries and other personnel-related costs include the stock-based compensation associated with stock options and restricted stock units granted to employees and non-employee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Results of Operations for the Years Ended December 31, 2017 and 2016.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7"/>
              </w:rPr>
              <w:t>$000’s</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$000’s</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bottom w:val="single" w:sz="8" w:color="CCEEFF"/>
            </w:tcBorders>
          </w:tcPr>
          <w:p>
            <w:pPr>
              <w:jc w:val="right"/>
              <w:ind w:right="8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and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Inventory reserve expense for write-downs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(2,174)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 and expenses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6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investment income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bottom w:val="single" w:sz="8" w:color="CCEEFF"/>
            </w:tcBorders>
          </w:tcPr>
          <w:p>
            <w:pPr>
              <w:jc w:val="right"/>
              <w:ind w:right="8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8" w:right="239" w:bottom="1440" w:gutter="0" w:footer="0" w:header="0"/>
        </w:sectPr>
      </w:pPr>
    </w:p>
    <w:p>
      <w:pPr>
        <w:ind w:left="1480"/>
        <w:spacing w:after="0"/>
        <w:rPr>
          <w:sz w:val="20"/>
          <w:szCs w:val="20"/>
          <w:color w:val="auto"/>
        </w:rPr>
      </w:pPr>
      <w:r>
        <w:rPr>
          <w:rFonts w:ascii="Arial" w:cs="Arial" w:eastAsia="Arial" w:hAnsi="Arial"/>
          <w:sz w:val="16"/>
          <w:szCs w:val="16"/>
          <w:color w:val="auto"/>
        </w:rPr>
        <w:t>Loss before provision for income taxes</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Provision (benefit) for income taxes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0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(5,817)</w:t>
            </w:r>
          </w:p>
        </w:tc>
        <w:tc>
          <w:tcPr>
            <w:tcW w:w="260" w:type="dxa"/>
            <w:vAlign w:val="bottom"/>
          </w:tcPr>
          <w:p>
            <w:pPr>
              <w:spacing w:after="0"/>
              <w:rPr>
                <w:sz w:val="17"/>
                <w:szCs w:val="17"/>
                <w:color w:val="auto"/>
              </w:rPr>
            </w:pPr>
          </w:p>
        </w:tc>
        <w:tc>
          <w:tcPr>
            <w:tcW w:w="8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(7,388)</w:t>
            </w:r>
          </w:p>
        </w:tc>
        <w:tc>
          <w:tcPr>
            <w:tcW w:w="10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(1,571)</w:t>
            </w:r>
          </w:p>
        </w:tc>
        <w:tc>
          <w:tcPr>
            <w:tcW w:w="110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(21)</w:t>
            </w:r>
          </w:p>
        </w:tc>
      </w:tr>
      <w:tr>
        <w:trPr>
          <w:trHeight w:val="244"/>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r>
      <w:tr>
        <w:trPr>
          <w:trHeight w:val="210"/>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-299720</wp:posOffset>
            </wp:positionV>
            <wp:extent cx="579755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44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March 2017, MainPointe Pharmaceuticals LLC paid us a licensing fee of $2.5 million under our collaboration and license agreement with it pursuant to which we granted MainPointe an exclusive license to our Impede Technology to commercialize our Nexafed products in the U.S. and Canada.</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2016, KemPharm, Inc. paid us a licensing fee of $3.5 million under our worldwide license agreement pursuant to which we licensed our Aversion® Technology to KemPharm, Inc. for its use in the development and commercialization of three products using two of KemPharm’s prodrug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Collaboration revenue is derived from research and development services we perform under various license and development agreements. We recognized $59 thousand and $392 thousand of collaboration revenue during the years ended 2017 and 2016, respectively. We are not currently providing research and development services under any of our license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our license agreement with Egalet for Oxaydo Tablets, we earn a royalty based on product net sales. Egalet’s first commercial sale of Oxaydo occurred in October 2015. We recognized $281 thousand and $149 thousand of royalty revenue from Oxaydo during the years ended 2017 and 2016, respectively.</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connection with our license agreement with MainPointe for our Nexafed product line, we earn a royalty based on product net sales. MainPointe’s first commercial sale of Nexafed occurred in March 2017. We recognized $19 thousand of royalty revenue from Nexafed during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Nexafed® was launched by us in December 2012. Nexafed® Sinus Pressure + Pain was launched by us in February 2015. In March 2017, we licensed the Nexafed product line to MainPointe. We recorded $107 thousand and $423 thousand of net product sales during the years 2017 (through March 16,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cost of sales on the Nexafed product line includes third-party manufacturing costs, third-party warehousing and product distribution charges. Our cost of sales for 2017 (through March 16, 2017) and 2016 were $128 thousand and $451 thousand, respectively. In March 2017 we licensed the Nexafed product line to MainPointe.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Inventory reserve expense for the year ended 2016 was $26 thousand. We did not incur any reserve expense on our inventory during the year ended 2017. We have no inventories on hand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Research and development expense (“R&amp;D”) for 2017 was primarily for our Limitx Technology and Impede Technology development activity and may include, among other items, costs of preclinical and non-clinical internal and external activities, clinical study trials, clinical supplies and its related formulation and design costs, salaries and other personnel related expenses of our employees, our facility costs, and a percentage share of selected cost sharing expenses under the license agreement with Egalet. For the years ended 2017 and 2016, there is $86 thousand and $186 thousand, respectively of cost sharing expenses from clinical studies for product line extensions (additional strengths) on Oxaydo and $118 thousand and $140 thousand, respectively of potential cost sharing expenses for a FDA required post-marketing study on Oxaydo. Also included in each of 2017 and 2016 year end results are non-cash share-based compensation expenses of $139 thousand and $166 thousand, respectively. Excluding the share-based compensation expense, our R&amp;D expenses decreased approximately $300 thousand between reporting periods. During 2016 we completed Study AP-LTX-400 while we substantially completed our project to integrate Impede 2.0 Technology into our Nexafed 30mg tablet while moving supply to an alternate contract manufacturer. During 2017 we completed Study AP-LTX-401 and Study AP-LTX-300 and substantially completed our Study AP-LTX-301 by the end of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limited selling and marketing expenses for 2017 associated with advertising and marketing activities on the Nexafed product line, which was licensed to MainPointe in March 2017. Our general and administrative expenses primarily consisted of legal, audit and other professional services, corporate insurance, and payroll. Included in each of the 2017 and 2016 results are non-cash share-based compensation expenses of $324 thousand and $420 thousand, respectively. Excluding the share-based compensation expense our selling, marketing, general and administrative expenses decreased by approximately $2.1 million between reporting periods, resulting primarily from the elimination of advertising and marketing activities on the Nexafed product line as well as decreases in patent and general legal activities, including the elimination of ongoing legal and litigation expenses incurred with respect to our litigation with Purdue Pharma which was settled in May 2016.</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Non-Operating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2017 and 2016, non-operating expense consisted principally of interest expense on our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for 2017 and 2016 include no federal or state income tax benefit provisions due to 100% allowances placed against our deferred tax assets for the uncertainty of their future utilization. As a result of the Tax Cuts and Jobs Act of 2017, the $135 thousand Federal alternative minimum taxes we paid in a prior year is refundable to the Company in prescribed percentages and time periods and therefore, we recorded a non-current receivable for a like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2017, we had cash and cash equivalents of $2.2 million. As of June 6, 2018 we had approximately $0.5 million of cash, cash equivalents, and refundable deposits and expect such amounts will only be sufficient to fund operations into late June 2018.</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fund further operations beyond June 2018, we must raise additional financing or enter into license or collaboration agreements with third parties relating to our technologies. The Company is exploring a variety of capital raising and other transactions to provide additional funding to continue operations. These include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Agreement and the now terminated Bayer Agreement.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2017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KemPharm Agreement, the MainPointe Agreement and similar agreements which we may enter into for our Limitx products in development with other pharmaceutical company partners, for which there can be no assurance.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Years Ended December 31, 2017 and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years ended December 31, 2017 and 2016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provided by:</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jc w:val="right"/>
        <w:ind w:right="3780"/>
        <w:spacing w:after="0"/>
        <w:rPr>
          <w:sz w:val="20"/>
          <w:szCs w:val="20"/>
          <w:color w:val="auto"/>
        </w:rPr>
      </w:pPr>
      <w:r>
        <w:rPr>
          <w:rFonts w:ascii="Arial" w:cs="Arial" w:eastAsia="Arial" w:hAnsi="Arial"/>
          <w:sz w:val="17"/>
          <w:szCs w:val="17"/>
          <w:color w:val="auto"/>
        </w:rPr>
        <w:t>Net (decrease) increase in cash</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480"/>
        <w:spacing w:after="0"/>
        <w:tabs>
          <w:tab w:leader="none" w:pos="20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637159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(4,510)</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10,798</w:t>
            </w: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1,240</w:t>
            </w: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23"/>
        </w:trPr>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28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-462280</wp:posOffset>
            </wp:positionV>
            <wp:extent cx="637159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-179705</wp:posOffset>
            </wp:positionV>
            <wp:extent cx="637159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7159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72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cash used in operating activities was $4.5 million for the year ended December 31, 2017 and consisted primarily of a net loss of $5.7 million. This net loss was partially offset by $464 thousand in noncash share-based compensation expense, $306 thousand of noncash debt discount and debt issue cost amortization expense, $87 thousand of noncash depreciation expense, $49 thousand provision expense for sales returns and approximately $270 thousand in net cash inflows from changes in operating assets and liabilities. Cash inflows from changes in operating assets and liabilities were primarily due to a net increase of $226 between accounts payable, accrued expenses, accrued interest, and other liabilities primarily driven by our commercial operations, clinical studies and interest obligations, a net decrease between trade receivables, collaboration and royalty receivables of $81 thousand, and a decrease in inventory of $103 thousand. These inflows were partially offset by cash outflows due to increases in deposits and other assets of $142 thousand.</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used in operating activities was $5.6 million for the year ended December 31, 2016 and consisted primarily of a net loss of $7.4 million. This net loss was partially offset by $588 thousand in noncash share-based compensation expense, $352 thousand of noncash debt discount and debt issue cost amortization expense, $138 thousand of noncash depreciation expense, $99 thousand sales returns provision expense, $108 thousand inventory and fixed assets impairment provision expenses, $31 thousand marketable securities bond premium amortization expense and approximately $510 thousand in net cash inflows from changes in operating assets and liabilities. Cash inflows from changes in operating assets and liabilities were primarily due to a net increase of $277 thousand between accounts payable, accrued expenses, accrued interest and other liabilities primarily driven by our commercial operations, clinical studies and interest obligations, as well as net decrease of $324 thousand in prepaid expenses and other assets. These inflows were partially offset by cash outflows due to a net increase between trade receivables, accrued investment income, and collaboration and royalty receivables of $32 thousand and an increase in inventory of $59 thousand.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2017 was 309 thousand and consisted of $103 thousand and $206 thousand from the transfer of equipment and inventory, respectively, under Nexafed license agreement we completed in March 2017.</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provided by investing activities for the year ended December 31, 2016 was $10.8 million and consisted primarily of $10.9 million from the sales and maturities of marketable securities. The cash inflows were partially offset by $75 thousand in purchases of capital equipment.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$1.2 million for the year ended December 31, 2017 and consisted of the $4.0 million net proceeds from the issuance of Common Stock to John Schutte in July 2017, partially offset by $2.8 million of repayments against the loan maturing December 1, 2018 we have with Oxford.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for the year ended December 31, 2016 was $2.5 million of repayments against the loan maturing December 1, 2018 we have with Oxford.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2017:</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7"/>
              </w:rPr>
              <w:t>Payments due by period (in thousands)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6"/>
                <w:szCs w:val="16"/>
                <w:color w:val="auto"/>
              </w:rPr>
            </w:pPr>
          </w:p>
        </w:tc>
        <w:tc>
          <w:tcPr>
            <w:tcW w:w="8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 year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Service agreements</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RSU awards</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Debt interest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Debt principal</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2,740</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0"/>
        </w:trPr>
        <w:tc>
          <w:tcPr>
            <w:tcW w:w="3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with Oxford Finance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27, 2013, we and our subsidiary, APT entered into a Loan and Security Agreement, or the Loan Agreement, with Oxford Finance LLC, or Oxford, as collateral agent and as a lender, pursuant to which the Oxford made a term loan to us in the principal amount of $10.0 million, or the Term Loan, subject to the terms and conditions set forth in the Loan Agreement. We used the proceeds of the Loan Agreement for general working capital and to fund our business requirements.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full principal amount of the Term Loan was funded on December 27, 2013. The Term Loan accrues interest at a fixed rate of 8.35% per annum (with a default rate of 13.35% per annum). We were required to make monthly interest−only payments until April 1, 2015 and starting on April 1, 2015, we are required to make payments of principal and accrued interest in equal monthly installments sufficient to amortize the Term Loan through the maturity date of December 1, 2018. As of December 31, 2017, the outstanding principal balance of the Term Loan was $2.7 million. All unpaid principal and accrued and unpaid interest with respect to the Term Loan is due and payable in full on December 1, 2018. As security for our obligations under the Loan Agreement, we granted Oxford a security interest in substantially all of our existing and after−acquired assets, exclusive of intellectual property assets. Pursuant to the Loan Agreement, we are not allowed to pledge our intellectual property assets to others.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7, 2015, we and Oxford entered into an amendment, or the First Amendment, to the Loan Agreement. Pursuant to the First Amendment,</w:t>
      </w:r>
    </w:p>
    <w:p>
      <w:pPr>
        <w:spacing w:after="0" w:line="46" w:lineRule="exact"/>
        <w:rPr>
          <w:sz w:val="20"/>
          <w:szCs w:val="20"/>
          <w:color w:val="auto"/>
        </w:rPr>
      </w:pPr>
    </w:p>
    <w:p>
      <w:pPr>
        <w:jc w:val="both"/>
        <w:ind w:firstLine="8"/>
        <w:spacing w:after="0" w:line="253"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of the warrants issued to Oxford on the date of funding the Term Loan to purchase 59,561 shares of our common stock was lowered from $7.98 to $2.52 per share (such reduced amount being equal to the average closing price of our common stock on Nasdaq for the 10 trading days preceding the date of the First Amendment and after giving effect to our one-for-five reverse stock split), (ii) we agreed to maintain a $2.5 million cash balance until such time as we have repaid $5.0 million in principal of the Term Loan, and (iii) Oxford consented to the terms of our Collaboration and License Agreement with Egalet relating to our Oxaydo product.</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13, 2016, we and Oxford entered into a second amendment to the Loan Agreement, or the Second Amendment. Pursuant to the Second Amendment, (i) the requirement that we maintain a $2.5 million cash balance reserve until such time as $5 million in principal was repaid under the Term Loan, has been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Oxford consented to the terms of our Agreement with KemPharm.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648"/>
        <w:spacing w:after="0" w:line="259" w:lineRule="auto"/>
        <w:rPr>
          <w:sz w:val="20"/>
          <w:szCs w:val="20"/>
          <w:color w:val="auto"/>
        </w:rPr>
      </w:pPr>
      <w:r>
        <w:rPr>
          <w:rFonts w:ascii="Arial" w:cs="Arial" w:eastAsia="Arial" w:hAnsi="Arial"/>
          <w:sz w:val="18"/>
          <w:szCs w:val="18"/>
          <w:color w:val="auto"/>
        </w:rPr>
        <w:t>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opinion with a going concern explanatory paragraph for our 2016 financial statements and (iii) Oxford consented to the terms of the MainPointe Agreement.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second quarter of 2018, in connection with the total of a $1.0 million loan extended to us by John Schutte, we and Oxford entered into a fourth amendment to the Loan Agreement, or the Fourth Amendment. Pursuant to the Fourth Amendment, Oxford provided a waiver of compliance with the unqualified audit opinion covenant in connection with our receipt of our auditor’s opinion with a going concern explanatory paragraph for our 2017 financial statements and allowed us to deliver financial statements up to 160 days after year end, instead of 120 days after year end.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1% of the principal prepaid. In addition, at the maturity, termination or upon voluntary or mandatory prepayment of the Term Loan, we must pay Oxford an additional one-time interest payment of $795 thousand. We are accruing additional monthly interest expense over the term of the loan for this additional one-time interest payment using the loan’s effective cash interest rate. As of December 31, 2017 and December 31, 2016, we have accumulated and accrued $700 thousand and $559 thousand, respectively, of this additional interest.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we must submit on an annual basis to Oxford, within 120 days after the end of its fiscal year, audited consolidated financial statements, together with an unqualified audit opinion from an independent registered public accounting firm, or the unqualified audit opinion covenant. Failure to comply with the unqualified audit opinion covenant is a breach of the Loan Agreement and unless such covenant or breach is waived, Oxford would have the option of declaring an event of default, accelerating our indebtedness under the Loan Agreement and initiating enforcement collection actions, foreclosing on collateral (which includes most assets of the Company) and, among other things, preventing the Company from using any funds in its bank or securities accounts. Per the term loan agreement an audit opinion with an explanatory paragraph noting substantial doubt about the Company’s ability to continue in business (the “going concern opinion”) is deemed to violate the unqualified audit opinion covenant. Oxford provided a waiver of compliance with the unqualified audit opinion covenant in connection with our receipt of our auditor’s going concern opinion for our 2016 and 2017 financial statements and extended the period in which we could deliver financial statements for 2017 to 160 days after year’s end (instead of 120 days). Separately, we had a covenant to have $2.5 million in cash reserves per the terms of the Oxford loan, but that was extinguished by our July 2017 private placement to Mr. Schutte of 8,912,655 shares and warrants to purchase 1,782,531 shares exercisable at $0.528 per share and expiring in July 23, 2022 for $4 million.</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Loan Agreement contains other customary events of default (some of which are subject to applicable grace or cure periods) that entitle Oxford to cause our indebtedness under the Loan Agreement to become immediately due and payable. These include, among others, non−payment defaults, covenant defaults, a material adverse change affecting us or our operations, bankruptcy and insolvency defaults and material judgment defaults.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to purchase 59,561 shares of our common stock we issued to Oxford in connection with the Term Loan, having an exercise price of $2.52 per share (as adjusted pursuant to the First Amendment and after giving effect to our one-for-five reverse stock split), are immediately exercisable for cash or by net exercise and will expire December 27,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Loan from John Schutte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second quarter of 2018, we borrowed a total of $1.0 million from John Schutte and issued a promissory note, or the Schutte Note, in that principal amount to him. The Schutte Note bears interest at prime plus 2.0%, and matures on January 2, 2020, at which time all principal and interest is due and is unsecured until all of our obligations to Oxford are satisfied, at which time we are required to grant Mr. Schutte a security interest in all of our assets. Events of Default under the Schutte Note are limited to bankruptcy defaults and failure to pay interest and principal when due on January 2, 2020. In addition, Mr. Schutte and Oxford entered into a subordination agreement, approved by us and APT pursuant to which Mr. Schutte subordinated the Schutte Note to our obligations to Oxford under the Loan Agreement. The Schutte Note may be prepaid at any time in whole or in part, however while Oxford’s loan is outstanding such prepayment will require Oxford’s consent.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preparation of the consolidated financial statements for the years ended December 31, 2016 and December 31,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noting that there did appear to be evidence of substantial doubt of the entity’s ability to continue as a going concern as further discussed in Note 1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generate license fee revenue, milestone revenue, collaboration revenue, and royalty revenue from license, commercialization and research and development agreements. As of March 16, 2017, we no longer manufacture Nexafed as we granted MainPointe an exclusive license to our Impede technology to commercialize our Nexafed products in the U.S. and Canada; prior to such date we generated revenue from our product sales of our Nexafed product line that we marketed and distributed ourselves.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is generally realized or realizable and earned when there is persuasive evidence an arrangement exists, delivery has occurred or services rendered, the price is fixed and determinable, and collection is reasonably assured. The Company had recorded revenue from its Nexafed product line sales, prior to entering into the MainPointe Agreement on March 16, 2017, when the price was fixed and determinable at the date of sale, title and risk of ownership had been transferred to the customer, and returns could be reasonably estimated.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License fee revenue can be derived from the licensing of our technologies, such as pursuant to which we licensed our Aversion® technology to KemPharm in 2016 for its use in the development and commercialization of three products using two of KemPharm’s prodrug candidates or to which we licensed our Nexafed product line using our Impede Technology to MainPointe. The license fee payments received under the agreements were non-refundable and non-creditable when made and we had no further requirements to earn the payment. The amounts were recognized as revenue when received.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259" w:lineRule="auto"/>
        <w:rPr>
          <w:sz w:val="20"/>
          <w:szCs w:val="20"/>
          <w:color w:val="auto"/>
        </w:rPr>
      </w:pPr>
      <w:r>
        <w:rPr>
          <w:rFonts w:ascii="Arial" w:cs="Arial" w:eastAsia="Arial" w:hAnsi="Arial"/>
          <w:sz w:val="18"/>
          <w:szCs w:val="18"/>
          <w:color w:val="auto"/>
        </w:rPr>
        <w:t>Collaboration revenue can be derived from research and development services we provide from time to time and are recognized when those services are incurred pursuant to the agreements. The research and development services provided under the collaboration were priced at fair value at our service’s hourly labor rates pursuant to the collaboration agreement. We are not currently providing research and development services under any of our license agreements.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revenue can be derived from our licensing agreements, such as under our Collaboration and License Agreement with Egalet to commercialize Oxaydo based on Oxaydo net sales, and our License Agreement with MainPointe Pharmaceuticals LLC to commercialize our Nexafed product line, during each calendar year over the term of the agreements. We recognize royalty revenue each calendar quarter based on net sales reported to us in accordance with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include facility overhead, equipment and facility maintenance and repairs, laboratory supplies, pre-clinical laboratory experiments, formulation work, depreciation, salaries, benefits, insurance and share-based compensation expenses. CRO activity costs include preclinical laboratory experiments and clinical trial studies. Other activity costs include regulatory consulting, regulatory legal counsel, cost of acquiring, developing and manufacturing pre-clinical trial materials, and the costs of manufacturing scale-up. Internal R&amp;D cost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At December 31, 2017,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 In May 2017, the FASB issued ASU No. 2017-09, </w:t>
      </w:r>
      <w:r>
        <w:rPr>
          <w:rFonts w:ascii="Arial" w:cs="Arial" w:eastAsia="Arial" w:hAnsi="Arial"/>
          <w:sz w:val="17"/>
          <w:szCs w:val="17"/>
          <w:i w:val="1"/>
          <w:iCs w:val="1"/>
          <w:color w:val="auto"/>
        </w:rPr>
        <w:t>Compensation - Stock Compensation (ASC 718) - Scope of Modification Accounting.</w:t>
      </w:r>
      <w:r>
        <w:rPr>
          <w:rFonts w:ascii="Arial" w:cs="Arial" w:eastAsia="Arial" w:hAnsi="Arial"/>
          <w:sz w:val="17"/>
          <w:szCs w:val="17"/>
          <w:color w:val="auto"/>
        </w:rPr>
        <w:t xml:space="preserve"> The amendments provide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We did not elect to adopt the standard early and do not anticipate that the standard will have a material effect, if any, on our consolidated financial statements and related disclosures.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2 Summary of Significant Accounting Policies - Recent Accounting Pronouncements of the Notes to Financial Statements (Part II, Item 8 of this Form 10-K)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have any capital expenditures during 2017. Our capital expenditures during 2016 were approximately $75 thousand and were primarily attributable to the purchase of machinery and equipment for the Nexafed product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of the securities that we may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2017, we had no investments in marketable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2017. In making this assessment, management used the criteria set forth by the Committee of Sponsoring Organizations of the Treadway Commission (COSO) in Internal Control – Integrated Framework (2013 Framework). Based on our assessment, our Chief Executive Officer and our Chief Financial Officer both believe that, as of December 31, 2017,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was no change in our internal control over financial reporting that occurred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Fourth Quarter 2017 that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age and position of our directors, executive officers and key employees as of March 30, 2018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620" w:type="dxa"/>
            <w:vAlign w:val="bottom"/>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6"/>
                <w:szCs w:val="16"/>
                <w:color w:val="auto"/>
              </w:rPr>
            </w:pPr>
          </w:p>
        </w:tc>
        <w:tc>
          <w:tcPr>
            <w:tcW w:w="6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Peter A. Clemens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Senior Vice President, Chief Financial Officer and Secretary</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Albert W. Brzeczko, Ph.D.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Technical Affairs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Robert A. Seiser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Treasurer, and Corporate Controller</w:t>
            </w:r>
          </w:p>
        </w:tc>
      </w:tr>
      <w:tr>
        <w:trPr>
          <w:trHeight w:val="220"/>
        </w:trPr>
        <w:tc>
          <w:tcPr>
            <w:tcW w:w="3440" w:type="dxa"/>
            <w:vAlign w:val="bottom"/>
            <w:gridSpan w:val="3"/>
          </w:tcPr>
          <w:p>
            <w:pPr>
              <w:spacing w:after="0"/>
              <w:rPr>
                <w:sz w:val="20"/>
                <w:szCs w:val="20"/>
                <w:color w:val="auto"/>
              </w:rPr>
            </w:pPr>
            <w:r>
              <w:rPr>
                <w:rFonts w:ascii="Arial" w:cs="Arial" w:eastAsia="Arial" w:hAnsi="Arial"/>
                <w:sz w:val="18"/>
                <w:szCs w:val="18"/>
                <w:color w:val="auto"/>
              </w:rPr>
              <w:t>James F. Emigh</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of Corporate Development</w:t>
            </w:r>
          </w:p>
        </w:tc>
      </w:tr>
      <w:tr>
        <w:trPr>
          <w:trHeight w:val="257"/>
        </w:trPr>
        <w:tc>
          <w:tcPr>
            <w:tcW w:w="3440" w:type="dxa"/>
            <w:vAlign w:val="bottom"/>
            <w:gridSpan w:val="3"/>
          </w:tcPr>
          <w:p>
            <w:pPr>
              <w:spacing w:after="0" w:line="256" w:lineRule="exact"/>
              <w:rPr>
                <w:sz w:val="20"/>
                <w:szCs w:val="20"/>
                <w:color w:val="auto"/>
              </w:rPr>
            </w:pPr>
            <w:r>
              <w:rPr>
                <w:rFonts w:ascii="Arial" w:cs="Arial" w:eastAsia="Arial" w:hAnsi="Arial"/>
                <w:sz w:val="18"/>
                <w:szCs w:val="18"/>
                <w:color w:val="auto"/>
              </w:rPr>
              <w:t>Bruce F. Wesson</w:t>
            </w:r>
            <w:r>
              <w:rPr>
                <w:rFonts w:ascii="Arial" w:cs="Arial" w:eastAsia="Arial" w:hAnsi="Arial"/>
                <w:sz w:val="29"/>
                <w:szCs w:val="29"/>
                <w:color w:val="auto"/>
                <w:vertAlign w:val="superscript"/>
              </w:rPr>
              <w:t>(1) (2) (3)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22"/>
                <w:szCs w:val="22"/>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440" w:type="dxa"/>
            <w:vAlign w:val="bottom"/>
            <w:gridSpan w:val="3"/>
          </w:tcPr>
          <w:p>
            <w:pPr>
              <w:spacing w:after="0" w:line="256" w:lineRule="exact"/>
              <w:rPr>
                <w:sz w:val="20"/>
                <w:szCs w:val="20"/>
                <w:color w:val="auto"/>
              </w:rPr>
            </w:pPr>
            <w:r>
              <w:rPr>
                <w:rFonts w:ascii="Arial" w:cs="Arial" w:eastAsia="Arial" w:hAnsi="Arial"/>
                <w:sz w:val="18"/>
                <w:szCs w:val="18"/>
                <w:color w:val="auto"/>
              </w:rPr>
              <w:t>William G. Skelly</w:t>
            </w:r>
            <w:r>
              <w:rPr>
                <w:rFonts w:ascii="Arial" w:cs="Arial" w:eastAsia="Arial" w:hAnsi="Arial"/>
                <w:sz w:val="29"/>
                <w:szCs w:val="29"/>
                <w:color w:val="auto"/>
                <w:vertAlign w:val="superscript"/>
              </w:rPr>
              <w:t>(1)(2) (3)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2"/>
                <w:szCs w:val="22"/>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440" w:type="dxa"/>
            <w:vAlign w:val="bottom"/>
            <w:gridSpan w:val="3"/>
          </w:tcPr>
          <w:p>
            <w:pPr>
              <w:spacing w:after="0" w:line="256" w:lineRule="exact"/>
              <w:rPr>
                <w:sz w:val="20"/>
                <w:szCs w:val="20"/>
                <w:color w:val="auto"/>
              </w:rPr>
            </w:pPr>
            <w:r>
              <w:rPr>
                <w:rFonts w:ascii="Arial" w:cs="Arial" w:eastAsia="Arial" w:hAnsi="Arial"/>
                <w:sz w:val="18"/>
                <w:szCs w:val="18"/>
                <w:color w:val="auto"/>
              </w:rPr>
              <w:t>Immanuel Thangaraj</w:t>
            </w:r>
            <w:r>
              <w:rPr>
                <w:rFonts w:ascii="Arial" w:cs="Arial" w:eastAsia="Arial" w:hAnsi="Arial"/>
                <w:sz w:val="29"/>
                <w:szCs w:val="29"/>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2"/>
                <w:szCs w:val="22"/>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r>
        <w:trPr>
          <w:trHeight w:val="390"/>
        </w:trPr>
        <w:tc>
          <w:tcPr>
            <w:tcW w:w="3440" w:type="dxa"/>
            <w:vAlign w:val="bottom"/>
            <w:gridSpan w:val="3"/>
          </w:tcPr>
          <w:p>
            <w:pPr>
              <w:spacing w:after="0"/>
              <w:rPr>
                <w:sz w:val="20"/>
                <w:szCs w:val="20"/>
                <w:color w:val="auto"/>
              </w:rPr>
            </w:pPr>
            <w:r>
              <w:rPr>
                <w:rFonts w:ascii="Arial" w:cs="Arial" w:eastAsia="Arial" w:hAnsi="Arial"/>
                <w:sz w:val="18"/>
                <w:szCs w:val="18"/>
                <w:color w:val="auto"/>
              </w:rPr>
              <w:t>George K. Ross</w:t>
            </w:r>
            <w:r>
              <w:rPr>
                <w:rFonts w:ascii="Arial" w:cs="Arial" w:eastAsia="Arial" w:hAnsi="Arial"/>
                <w:sz w:val="30"/>
                <w:szCs w:val="30"/>
                <w:color w:val="auto"/>
                <w:vertAlign w:val="superscript"/>
              </w:rPr>
              <w:t>(1) (3)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Member of strategic transaction committee.</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Robert B. Jones </w:t>
      </w:r>
      <w:r>
        <w:rPr>
          <w:rFonts w:ascii="Arial" w:cs="Arial" w:eastAsia="Arial" w:hAnsi="Arial"/>
          <w:sz w:val="17"/>
          <w:szCs w:val="17"/>
          <w:color w:val="auto"/>
        </w:rPr>
        <w:t>has been our President and Chief Executive Officer since July 7, 2011. From April 2011 through July 6, 2011, Mr. Jones was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President and Chief Executive Officer. Mr. Jones was our Senior Vice President and Chief Operating Officer from April 2008 to April 2011. From May, 2003 to March, 2008, Mr. Jones served first as the Vice President, Finance and then as Vice President, Strategy and Business Analysis of Adolor Corporation. From November 2000 to May 2003 he served as Vice President, Finance and then as Chief Operating Officer of Opt-E-Script, Inc., a privately held personalized medicine company, where Mr. Jones was responsible for all commercialization activities. Prior to that, Mr. Jones was Vice President, Sales and Marketing for Purepac Pharmaceutical Company. Mr. Jones received his M.B.A. from the University of North Carolina and a B.S. from Cornell University. Mr. Jones was appointed a director of the Company in July 2011.</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Peter A. Clemens </w:t>
      </w:r>
      <w:r>
        <w:rPr>
          <w:rFonts w:ascii="Arial" w:cs="Arial" w:eastAsia="Arial" w:hAnsi="Arial"/>
          <w:sz w:val="18"/>
          <w:szCs w:val="18"/>
          <w:color w:val="auto"/>
        </w:rPr>
        <w:t>has been Senior Vice President, Chief Financial Officer and Secretary since April 2004. Mr. Clemens was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Secretary from February 1998 to March 2004 and a member of our Board of Directors from June, 1998 to August, 2004. Mr. Clemens is a Certified Public Accountant and earned a Bachelor of Business Administration degree from the University of Notre Dame and a Masters of Business Administration from Indiana University.</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Albert W. Brzeczko, Ph.D., </w:t>
      </w:r>
      <w:r>
        <w:rPr>
          <w:rFonts w:ascii="Arial" w:cs="Arial" w:eastAsia="Arial" w:hAnsi="Arial"/>
          <w:sz w:val="16"/>
          <w:szCs w:val="16"/>
          <w:color w:val="auto"/>
        </w:rPr>
        <w:t>has been Vice President, Technical Affairs of APT since February 2009. From 1999 through 2009, Dr. Brzeczko was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Global Pharma New Product Development and Pharma Technologies for International Specialty Products, Inc., a contract services group specializing in the development of technologies for the bioenhancement of poorly soluble drugs. Prior to 1999, Dr. Brzeczko held various positions of increasing responsibility in pharmaceutical product development with UPM Pharmaceuticals, Banner Pharmacaps, Mylan Laboratories, and DuPont Merck. Dr. Brzeczko received a Bachelor of Science degree in biochemistry and a Ph.D. in pharmaceutical sciences from the University of Maryland.</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Robert A. Seiser </w:t>
      </w:r>
      <w:r>
        <w:rPr>
          <w:rFonts w:ascii="Arial" w:cs="Arial" w:eastAsia="Arial" w:hAnsi="Arial"/>
          <w:sz w:val="18"/>
          <w:szCs w:val="18"/>
          <w:color w:val="auto"/>
        </w:rPr>
        <w:t>has been a Vice President, Treasurer and Corporate Controller since April 2004. Mr. Seiser joined us in March 1998 as our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and Corporate Controller. Mr. Seiser is a Certified Public Accountant and earned a Bachelor of Business Administration degree from Loyola University of Chicago.</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James F. Emigh </w:t>
      </w:r>
      <w:r>
        <w:rPr>
          <w:rFonts w:ascii="Arial" w:cs="Arial" w:eastAsia="Arial" w:hAnsi="Arial"/>
          <w:sz w:val="17"/>
          <w:szCs w:val="17"/>
          <w:color w:val="auto"/>
        </w:rPr>
        <w:t>has been Vice President of Corporate Development since October 2011. From April 2004 to October 2011, Mr. Emigh was our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Marketing and Administration. Prior to such time, Mr. Emigh was our Vice President of Sales and Marketing. Mr. Emigh joined us in May, 1998, serving first as Executive Director of Customer Relations and then as Vice President of Operations. Mr. Emigh holds a Bachelor of Pharmacy degree from Washington State University and a Masters of Business Administration from George Mason University.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Bruce F. Wesson </w:t>
      </w:r>
      <w:r>
        <w:rPr>
          <w:rFonts w:ascii="Arial" w:cs="Arial" w:eastAsia="Arial" w:hAnsi="Arial"/>
          <w:sz w:val="18"/>
          <w:szCs w:val="18"/>
          <w:color w:val="auto"/>
        </w:rPr>
        <w:t>has been a member of our Board of Directors since March 1998. From January 1991 until June 30, 2011, Mr. Wesson was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Galen Associates, a health care venture firm, and a General Partner of Galen Partners III, L.P. Prior to January 1991, he was Senior Vice President and Managing Director of Smith Barney, Harris Upham &amp; Co. Inc., an investment banking firm. From May 2006 until June 2016 he served on the Board of Derma Sciences, Inc. From June 1999 until January 2016 he served as director of the Board of MedAssets, Inc. and for over eight years until January 2016 served as Vice Chairman of MedAssets, Inc. Mr. Wesson earned a Bachelor of Arts degree from Colgate University and a Masters of Business Administration from Columbia University.</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William G. Skelly </w:t>
      </w:r>
      <w:r>
        <w:rPr>
          <w:rFonts w:ascii="Arial" w:cs="Arial" w:eastAsia="Arial" w:hAnsi="Arial"/>
          <w:sz w:val="18"/>
          <w:szCs w:val="18"/>
          <w:color w:val="auto"/>
        </w:rPr>
        <w:t>has been a member of our Board of Directors since May 1996 and served as our Chairman from October 1996 through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2000. Since 1990, Mr. Skelly has served as Chairman, President and Chief Executive Officer of Central Biomedia, Inc. and its subsidiary SERA, Inc. From 1985 to 1990, Mr. Skelly served as President of Martec Pharmaceutical, Inc. Mr. Skelly earned a Bachelor of Arts degree from Michigan State University and a Masters of Business Administration from the University of Missouri-Kansas City.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Immanuel Thangaraj </w:t>
      </w:r>
      <w:r>
        <w:rPr>
          <w:rFonts w:ascii="Arial" w:cs="Arial" w:eastAsia="Arial" w:hAnsi="Arial"/>
          <w:sz w:val="18"/>
          <w:szCs w:val="18"/>
          <w:color w:val="auto"/>
        </w:rPr>
        <w:t>has been a member of our Board of Directors since December, 2002. Mr. Thangaraj has been a Managing Director of Essex</w:t>
      </w:r>
      <w:r>
        <w:rPr>
          <w:rFonts w:ascii="Arial" w:cs="Arial" w:eastAsia="Arial" w:hAnsi="Arial"/>
          <w:sz w:val="18"/>
          <w:szCs w:val="18"/>
          <w:b w:val="1"/>
          <w:bCs w:val="1"/>
          <w:color w:val="auto"/>
        </w:rPr>
        <w:t xml:space="preserve"> </w:t>
      </w:r>
      <w:r>
        <w:rPr>
          <w:rFonts w:ascii="Arial" w:cs="Arial" w:eastAsia="Arial" w:hAnsi="Arial"/>
          <w:sz w:val="18"/>
          <w:szCs w:val="18"/>
          <w:color w:val="auto"/>
        </w:rPr>
        <w:t>Woodlands Health Ventures, a venture capital firm specializing in the healthcare industry, since 1997. Prior to joining Essex Woodlands Health Ventures, he helped establish a telecommunication services company, for which he served as its CEO. Mr. Thangaraj holds a Bachelor of Arts and a Masters in Business Administration from the University of Chicago.</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George K. Ross </w:t>
      </w:r>
      <w:r>
        <w:rPr>
          <w:rFonts w:ascii="Arial" w:cs="Arial" w:eastAsia="Arial" w:hAnsi="Arial"/>
          <w:sz w:val="17"/>
          <w:szCs w:val="17"/>
          <w:color w:val="auto"/>
        </w:rPr>
        <w:t>has been a member of our Board of Directors since January, 2008. Since April 2002, Mr. Ross has been a consultant to early stage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and a financial investor. From April 1, 2015 until its sale in March 2017, Mr. Ross was an advisor to GP Shopper LLC, a provider of mobile solutions for retail and brands. From July 2005 through December 2010 he served as Executive Director, Foundations and Partnerships for World Vision U.S. in New York City. His business career has included senior financial officer and board member positions with both public and private companies in diverse industries. Mr. Ross was Executive Vice President and Chief Financial Officer and a board member of Tier Technologies Inc. from February 1997 to January 2000, which became a public company during this period. Mr. Ross is a Certified Public Accountant and earned a Bachelor of Arts degree from Ohio Wesleyan University and a Masters of Business Administration from Ohio State University.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office of each director will continue until the next annual meeting of shareholders and until such person’s successor has been elected and qualified. Officers are appointed by the Board of Directors and serve at the discretion of the Board, although the employment of Robert B. Jones, our President and Chief Executive Officer and Peter A. Clemens, our Senior Vice President and Chief Financial Officer are subject to the provisions of their respective Employment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shares of common stock were listed on The NASDAQ Capital Market until February 22, 2017 and were quoted on the OTCQB market until June 4, 2018</w:t>
      </w:r>
      <w:r>
        <w:rPr>
          <w:rFonts w:ascii="Arial" w:cs="Arial" w:eastAsia="Arial" w:hAnsi="Arial"/>
          <w:sz w:val="17"/>
          <w:szCs w:val="17"/>
          <w:b w:val="1"/>
          <w:bCs w:val="1"/>
          <w:color w:val="auto"/>
        </w:rPr>
        <w:t>.</w:t>
      </w:r>
      <w:r>
        <w:rPr>
          <w:rFonts w:ascii="Arial" w:cs="Arial" w:eastAsia="Arial" w:hAnsi="Arial"/>
          <w:sz w:val="17"/>
          <w:szCs w:val="17"/>
          <w:color w:val="auto"/>
        </w:rPr>
        <w:t xml:space="preserve"> Our stock is currently quoted on the OTC Markets OTC pink tier. In 2016 we were subject to the Nasdaq Stock Market independence standards and we continue to follow those standards in determining whether a director is independent for Board or Committee purposes. Under the rules of The NASDAQ Stock Market, which we were subject to until February 22, 2017, independent directors must comprise a majority of our Board of Directors. In addition, the rules of The NASDAQ Stock Market require that, subject to specified exceptions, each member of the Audit and Compensation Committees of our Board of Directors be independent. Audit Committee members must also satisfy the independence criteria set forth in Rule 10A-3 under the Securities Exchange Act of 1934, as amended, or Exchange Act. Under the rules of The Nasdaq Stock Market, a director will only qualify as an “independent director” if, in the opinion of our Board of Directors, that person does have a relationship that would interfere with the exercise of independent judgment in carrying out the responsibilities of a director.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firstLine="648"/>
        <w:spacing w:after="0" w:line="308" w:lineRule="auto"/>
        <w:rPr>
          <w:sz w:val="20"/>
          <w:szCs w:val="20"/>
          <w:color w:val="auto"/>
        </w:rPr>
      </w:pPr>
      <w:r>
        <w:rPr>
          <w:rFonts w:ascii="Arial" w:cs="Arial" w:eastAsia="Arial" w:hAnsi="Arial"/>
          <w:sz w:val="17"/>
          <w:szCs w:val="17"/>
          <w:color w:val="auto"/>
        </w:rPr>
        <w:t>In order to be considered to be independent for purposes of Rule 10A-3, a member of the Audit Committee of our Board of Directors may not, other than in his or her capacity as a member of the Audit Committee, the Board of Directors or any other committee of our Board of Directors:</w:t>
      </w:r>
    </w:p>
    <w:p>
      <w:pPr>
        <w:spacing w:after="0" w:line="14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us or any of our subsidiaries;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an affiliated person of us or any of our subsidiaries.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In connection with this review, our Board of Directors determined that each of Messrs. Wesson, Skelly, Thangaraj and Ross, representing four of our five directors, satisfies the independence requirements of The NASDAQ Stock Market and Rule 10A-3 of the Exchange Act. In making this determination, our Board of Directors considered the relationships that each non-employee director has with us and all other facts and circumstances our Board of Directors deemed relevant in determining their independence, including the beneficial ownership of our share capital by each non-employee director and their affiliates. In addition, our Board of Directors considered information that was provided by each director concerning his or her background, employment and affiliations, including relationships with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Strategic Transaction Committee. Currently, our entire Board serves as our Nominating Committee. Our Audit Committee and our Compensation Committee operate under written charters approved by our Board of Directors, copies of which are available on our website and will be made available in print to any shareholder who requests it. A brief description of these committees is provided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is composed of George K. Ross, Chairman, Bruce F. Wesson and William G. Skelly. The Audit Committee is responsible for selecting the Company’s registered independent public accounting firm, approving the audit fee payable to the auditors, working with independent auditors and other corporate officials, reviewing the scope and results of the audit by, and the recommendations of, our independent auditors, approving the services provided by the auditors, reviewing our financial statements and reporting on the results of the audits to the Board, reviewing our insurance coverage, financial controls and filings with the SEC, including, meeting quarterly prior to the filing of our quarterly and annual reports containing financial statements filed with the SEC, and submitting to the Board its recommendations relating to our financial reporting, accounting practices and policies and financial, accounting and operational controls.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assessing the independence of the Audit Committee in 2017, our Board reviewed and analyzed the standards for independence provided in NASDAQ Marketplace Rule 5605 and applicable SEC regulations. Based on this analysis, our Board has determined that each of Messrs. Ross, Wesson and Skelly satisfies such standards for independence. Our Board also determined that Mr. Ross is a “financial expert” as provided in NASDAQ Marketplace Rule 5605(c)(3) and SEC regulations.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is composed of William Skelly, Chairman, Bruce F. Wesson and Immanuel Thangaraj. This committee is responsible for consulting with and making recommendations to the Board of Directors about executive and director compensation and compensation of employees. In 2016 the Compensation Committee retained the Hay Group, an independent compensation consulting firm, to assist in evaluating stock option and other incentives for our executive officers and other employees. The retention of the Hay Group was not recommended by management.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determined that each of Messrs. Skelly, Wesson and Thangaraj were independent directors under the Nasdaq Marketplace Rules. The Board has also determined that each of Messrs. Skelly, Thangaraj and Wesson meet the more stringent independence standards for compensation committees imposed under NASDAQ Rule 5605(d)(2)(A).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b w:val="1"/>
          <w:bCs w:val="1"/>
          <w:i w:val="1"/>
          <w:iCs w:val="1"/>
          <w:color w:val="auto"/>
        </w:rPr>
        <w:t>Strategic Transaction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Strategic Transaction Committee is composed of George K. Ross, Bruce F. Wesson and William G. Skelly. The Strategic Transaction Committee reviews, evaluates and recommends to the Board, for the Board’s evaluation and determination, potential acquisitions, divestitures, capital raising transactions, joint ventures and strategic alliances, and licensing and collaboration transactions. All members of this Committee are considered by our Board as independent directors. The Strategic Transaction Committee does not have a Chair.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Currently our entire Board of Directors functions as our nominating committee. As needed, the Board will perform the functions typical of a nominating committee, including the identification, recruitment and selection of nominees for election to our Board. Our Board determined that all members of the Board were independent other than Mr. Jones, our CEO. We believe that a nominating committee separate from the Board is not necessary at this time given our relative size, the size of our Board, and our opinion that an additional committee of the Board would not add to the effectiveness of the evaluation and nomination process. The Board’s process for recruiting and selecting nominees for Board members, if required, would be to identify individuals who are thought to have the business background and experience, industry specific knowledge and general reputation and expertise allowing them to contribute as effective directors to our governance, and who would be willing to serve as directors of a public company. To date, we have not engaged any third party to assist in identifying or evaluating potential nominees. If a possible candidate is identified, the individual will meet with each member of the Board and be sounded out concerning his/her possible interest and willingness to serve, and Board members would discuss amongst themselves the individual’s potential to be an effective Board member. If the discussions and evaluation are positive, the individual would be invited to serve on the Board. To date, no shareholder has presented any candidate for Board membership for consideration, and we do not have a specific policy on shareholder-recommended director candidates. The Board believes its process for evaluation of nominees proposed by shareholders would be no different than the process of evaluating any other candidate, and therefore the Board believes it is appropriate to not have a policy on shareholder-recommended director candidates. The Board of Directors does not have a policy regarding diversity in identifying nominees for director.</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experience, qualifications, attributes or skills that led the Board to conclude that the current board members should serve are: (i) their pharmaceutical industry and senior level management experience in the case of Messrs. Jones, Skelly, and Wesson; (ii) financial and senior level management expertise in the case of Mr. Ross, and (iii) their experience in overseeing management as principals of private equity firms in the case of Messrs. Wesson, and Thangaraj. Although our Certificate of Incorporation provides for a maximum of 11 directors, in accordance with the terms of a Second Amended and Restated Voting Agreement dated as of July 24, 2017 executed by us, John Schutte (“Schutte”), Essex Woodlands Health Ventures V, L.P. (“Essex”) and Galen Partners III, L.P. (“Galen”), (the “Second Amended and Restated Voting Agreement”), we have agreed that the Board of Directors shall be comprised of not more than seven members (or such greater number that is required to assure that we have a majority of independent directors after giving effect to the various designation rights described herein), one of whom shall be the designee of Schutte, one of whom shall be the designee of Essex, and one of whom shall be the designee of Galen, one of whom is our Chief Executive Officer and three of whom are independent directors. Mr. Thangaraj serves as the designee of Essex. The Second Amended and Restated Voting Agreement provides that each of Schutte’s, Essex’s and Galen’s right to designate one director will terminate when it or its affiliates (determined separately for each of Schutte, Essex and Galen) fail to hold at least 600,000 shares of our common stock (or warrants exercisable for such shares). The Board is required to nominate an independent director upon forfeiture of a designation right. Galen has not designated a nominee since the resignation of its director designee effective December 31, 2012 and lost its right to designate a director at the end of December, 2017 upon the disposition of its shares. Mr. Schutte has not designated a nominee.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member of the Compensation Committee was or currently is, an officer or employee of the Company, and no member of the Compensation Committee had any relationship with us requiring disclosure under Item 404 of SEC Regulation S-K. None of our executive officers has served on the Board of Directors or Compensation Committee of any other entity that has or had one or more executive officers who served as a member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CEO</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Jones serves as Chief Executive Officer. Our Chairman of our Board of Directors resigned on March 11, 2013. A replacement Chairman has not been elected to date. We believe the separation of offices is beneficial because a separate chairman (i) can provide the Chief Executive Officer with guidance and feedback on his performance, (ii) provides a more effective channel for the Board to express its views on management, (iii) allows the chairman to focus on shareholder interests and corporate governance while the Chief Executive Officer leads the Company’s strategy development and implementation. It is our intention to seek to add to our Board additional members having significant senior level pharmaceutical experience, and that one of such additional Board members will be entrusted by the Board to serve as Chairman.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Assessment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as a whole engages in risk oversight as part of its functions. As an emerging pharmaceutical development company we face numerous risks identified in this Annual Report on Form 10-K, many of which are outside of our control. In addition, the Audit Committee reviews our insurance coverage and the Board and Audit Committee regularly monitor our liquidity position and operating expenses and review our capital-funding needs. The Company believes the Board leadership structure effectively enables it to oversee risk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Shareholders who wish to send communications to our Board of Directors may do so by sending them in care of our Secretary at Acura Pharmaceuticals, Inc., 616 N. North Court, Suite 120 Palatine, Illinois 60067. The envelope containing such communication must contain a clear notation indicating that the enclosed letter is a “Shareholder-Board Communication” or “Shareholder-Director Communication” or similar statement that clearly and unmistakably indicates the communication is intended for the Board. All such communications must clearly indicate the author as a shareholder and state whether the intended recipients are all members of the Board or just certain specified directors. Our Secretary will have the discretion to screen and not forward to Directors communications which the Secretary determines in his or her discretion are communications unrelated to our business or our governance, commercial solicitations, or communications that are offensive, obscene, or otherwise inappropriate. The Secretary will, however, compile all shareholder communications which are not forwarded and such communications will be available to any Director.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beneficially more than ten percent (10%) of our common stock, to file reports of ownership and changes of ownership with the SEC. Copies of all filed reports are required to be furnished to us pursuant to Section 16(a). Based solely on the reports received by us and on written representations from reporting persons, we believe that our Directors, executive officers and greater than ten percent (10%) beneficial owners of our common stock complied with all Section 16(a) filing requirements during the year ended December 31, 2017, except that Galen Partners III, LP filed a late Form 4 on January 2, 2018, reflecting the sale of its shares on or about 12/14/2017.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Code of Ethics applicable to our principal executive officer, principal financial officer, principal accounting officer and all of our other employees is available on our website, www.acurapharm.com, by clicking on “Corporate Governance” under the “Investors” tab.</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Compensation Table and Discussion of Employment and Incentive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a summary of the compensation paid by us for services rendered in all capacities to us during each of the two fiscal years ended December 31, 2017, to our Chief Executive Officer, and the two most highly compensated executive officers other than the Chief Executive Officer who were serving as executive officers at the end of the last completed fiscal year (collectively, the “2017 named executive officers”) whose total annual compensation for 2017 exceeded $100,000: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Non-equity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3"/>
              </w:rPr>
              <w:t>Base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8"/>
                <w:szCs w:val="18"/>
                <w:b w:val="1"/>
                <w:bCs w:val="1"/>
                <w:color w:val="auto"/>
                <w:w w:val="86"/>
              </w:rPr>
              <w:t>incentive plan</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380" w:type="dxa"/>
            <w:vAlign w:val="bottom"/>
          </w:tcPr>
          <w:p>
            <w:pPr>
              <w:ind w:left="920"/>
              <w:spacing w:after="0"/>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Salary</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180"/>
              <w:spacing w:after="0" w:line="252" w:lineRule="exact"/>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b w:val="1"/>
                <w:bCs w:val="1"/>
                <w:color w:val="auto"/>
                <w:w w:val="87"/>
                <w:vertAlign w:val="superscript"/>
              </w:rPr>
              <w:t>1</w:t>
            </w:r>
          </w:p>
        </w:tc>
        <w:tc>
          <w:tcPr>
            <w:tcW w:w="1140" w:type="dxa"/>
            <w:vAlign w:val="bottom"/>
            <w:gridSpan w:val="2"/>
          </w:tcPr>
          <w:p>
            <w:pPr>
              <w:jc w:val="center"/>
              <w:ind w:right="200"/>
              <w:spacing w:after="0" w:line="252" w:lineRule="exact"/>
              <w:rPr>
                <w:sz w:val="20"/>
                <w:szCs w:val="20"/>
                <w:color w:val="auto"/>
              </w:rPr>
            </w:pPr>
            <w:r>
              <w:rPr>
                <w:rFonts w:ascii="Arial" w:cs="Arial" w:eastAsia="Arial" w:hAnsi="Arial"/>
                <w:sz w:val="18"/>
                <w:szCs w:val="18"/>
                <w:b w:val="1"/>
                <w:bCs w:val="1"/>
                <w:color w:val="auto"/>
                <w:w w:val="87"/>
              </w:rPr>
              <w:t>Awards</w:t>
            </w:r>
            <w:r>
              <w:rPr>
                <w:rFonts w:ascii="Arial" w:cs="Arial" w:eastAsia="Arial" w:hAnsi="Arial"/>
                <w:sz w:val="29"/>
                <w:szCs w:val="29"/>
                <w:b w:val="1"/>
                <w:bCs w:val="1"/>
                <w:color w:val="auto"/>
                <w:w w:val="87"/>
                <w:vertAlign w:val="superscript"/>
              </w:rPr>
              <w:t>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compensation</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380" w:type="dxa"/>
            <w:vAlign w:val="bottom"/>
          </w:tcPr>
          <w:p>
            <w:pPr>
              <w:ind w:left="138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CEO</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13,530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421,147</w:t>
            </w: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Peter A. Clemens</w:t>
            </w:r>
          </w:p>
        </w:tc>
        <w:tc>
          <w:tcPr>
            <w:tcW w:w="11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286,000</w:t>
            </w: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26,214</w:t>
            </w:r>
          </w:p>
        </w:tc>
        <w:tc>
          <w:tcPr>
            <w:tcW w:w="12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312,214</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SVP &amp; CFO</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286,000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9,240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10,574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325,814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317,985</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VP, Technical Affairs of Acura</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Technologies, Inc.</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56"/>
        <w:spacing w:after="0" w:line="264" w:lineRule="auto"/>
        <w:tabs>
          <w:tab w:leader="none" w:pos="9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 date fair values are computed in accordance with FASB ASC Topic 718. Values represent (A) our last sale price of $0.34 on 12/11/2017 less $.01 par value multiplied by (B) the number of shares underlying RSUs (41,000, 28,000 and 28,000, in the case of Messrs. Jones, Clemens and Brzeczko, respectively).</w:t>
      </w:r>
    </w:p>
    <w:p>
      <w:pPr>
        <w:spacing w:after="0" w:line="181" w:lineRule="exact"/>
        <w:rPr>
          <w:rFonts w:ascii="Arial" w:cs="Arial" w:eastAsia="Arial" w:hAnsi="Arial"/>
          <w:sz w:val="18"/>
          <w:szCs w:val="18"/>
          <w:color w:val="auto"/>
        </w:rPr>
      </w:pPr>
    </w:p>
    <w:p>
      <w:pPr>
        <w:jc w:val="both"/>
        <w:ind w:firstLine="656"/>
        <w:spacing w:after="0" w:line="271" w:lineRule="auto"/>
        <w:tabs>
          <w:tab w:leader="none" w:pos="92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2016 entries reflect the grant date fair value of options with respect to 47,000, 34,000, and 35,000 underlying shares to Messrs. Jones, Clemens and Brzeczko, respectively. The 2017 entries reflect the grant date fair value of options with respect to 47,000, 34,000, and 35,000 underlying shares to Messrs. Jones, Clemens and Brzeczko, respectively. Grant date fair values are computed in accordance with FASB ASC Topic 718. To calculate grant date fair value, we consider an assumed risk free interest rate and a historical volatility percentage for our common stock, with an expected divided yield of 0% and an expected term of 10 years, with respect to option granted in 2016 and an expected term of 5 years with respect to options granted in 2017. For options issued in 2016 we used a risk free interest rate of 2.34% and historical volatility of 85.27%. For options issued in 2017 we used a risk free interest rate of 1.8% and historical volatility of 88%. In all cases we excluded the possibility of forfeiture. We calculated values based on 10 year option terms for options issued in 2016 and 5 year option terms for options issued in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Other Compensatory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participate in medical, dental, life and disability insurance plans provided to all of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Bonus/Non-Equity Incentive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Messrs. Jones, Clemens and Brzeczko are eligible for annual bonuses. Each of Mr. Jones’ and Mr. Clemens’ bonuses are weighted 100% to achievement of organizational goals, while the bonuses for other employees, including for Dr. Brzeczko are weighted 50% to the achievement of organizational goals and 50% to the achievement of individual goals. Amounts paid are reflected in the “Non-equity Incentive Compensation” column of the Summary Compensation Table.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Material organizational goals for 2016 were advancing the success of Nexafed on the U.S. market, developing Impede Technology products, the continued development of our Limitx technology product candidates, executing partnerships around our Aversion or Impede technologies, executing partnerships/transactions around our Limitx technology, compliance with SOX, successfully managing our intellectual property, the execution of transactions to further build our cash, and meeting year-end cash targets. The Compensation Committee determined that 20% of the organizational goals were met in 2016. However because of our desire to preserve cash, no bonuses were paid in 2016 to Messrs. Jones, Clemens or Brzeczko.</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Material organizational goals for 2017 were advancing Limitx reformulations and at Board’s discretion executing certain clinical studies, successfully completing ongoing development using Impede technology for a third party and receiving the associated milestone, engaging in a strategic transaction for Nexafed and Nexafed Sinus (so as to maintain the products’ sales and distribution levels), executing strategic transaction, partnership or financings to maximize value to our shareholders and debt holder, compliance with SOX and successfully managing our intellectual property. The receipt of a milestone to successfully complete ongoing development work using Impede technology was not achieved as the Bayer agreement was terminated. The milestone for engaging in a strategic transaction for Nexafed and Nexafed sinus products was achieved through our transaction with MainPointe Pharmaceuticals, LLC. In addition, we engaged in one $4 million financing, which at least partially met the goal of engaging in financings. See “Certain Relationships and Related Transactions, and Director Independence” for a description of the transaction with MainPointe Pharmaceuticals, LLC and the $4 million financing. The Board concluded that 36% of organizational goals were met. Our 2017 named executive officers did not receive any payments under our non-equity incentive plan, except that Mr. Clemens received a $20,000 bonus outside of such plan.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Material organizational goals for 2018 include conducting clinical trials on our LTX-03 compound, complete ongoing development using Impede technology, executing strategic transaction, partnership or financings to maximize value to the Company’s shareholders and debt holder, compliance with SOX and successfully managing our intellectual property.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compensation will be earned with respect to a performance measure unless a performance “floor” for that measure is exceeded; the incentive opportunity with respect to a measure will be earned if the target is achieved; achievement between the floor and the target results in a lower amount of award with respect to that performance measure. An amount larger than the incentive opportunity for each performance measure can be earned, up to and possibly exceeding a specified limit, for exceeding the target for that measure. Depending on market conditions and other circumstances, performance criteria may be modified during the course of the year, and other performance criteria reweighted.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both"/>
        <w:ind w:firstLine="648"/>
        <w:spacing w:after="0" w:line="259" w:lineRule="auto"/>
        <w:rPr>
          <w:sz w:val="20"/>
          <w:szCs w:val="20"/>
          <w:color w:val="auto"/>
        </w:rPr>
      </w:pPr>
      <w:r>
        <w:rPr>
          <w:rFonts w:ascii="Arial" w:cs="Arial" w:eastAsia="Arial" w:hAnsi="Arial"/>
          <w:sz w:val="18"/>
          <w:szCs w:val="18"/>
          <w:color w:val="auto"/>
        </w:rPr>
        <w:t>In ascertaining the achieved level of performance against the targets, the effects of certain extraordinary events, as determined by the Compensation Committee, such as (i) major acquisitions and divestitures, (ii) significant one-time charges, and (iii) changes in accounting principles required by the Financial Accounting Standards Board, are “compensation neutral” for the year in which they occurred; that is, they are not taken into account in determining the degree to which the targets are met in that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may, after a review of an executive’s performance, recommend to the Board that a bonus award be made to such executives based upon other non-enumerated performance targets (whether or not they are parties to employment agreements). This could result in the award of salary increases or bonuses above a targeted range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Robert B. Jones commenced employment with us on April 7, 2008 pursuant to an Employment Agreement dated March 18, 2008 as our Senior Vice President and Chief Operating Officer. On April 28, 2011, Mr. Jones was appointed our Interim President and Chief Executive Officer. On July 7, 2011, Mr. Jones was named President and Chief Executive Officer. Mr. Jones’ salary was increased from $392,000 to $393,000 commencing January 1, 2016. The term of the Employment Agreement is currently scheduled to expire December 31, 2018, and provides for automatic one year renewals in the absence of written notice to the contrary from us (which would give Mr. Jones the right to terminate his employment for Good Reason) or Mr. Jones at least ninety days prior to the expiration of the initial term or any subsequent renewal period. Pursuant to the Employment Agreement Mr. Jones is eligible for annual bonuses of up to 100% of his base salary on the achievement of such targets, conditions, or parameters as may be set from time to time by the Board of Directors or the Compensation Committee of the Board of Directors. In 2016, Mr. Jones did not receive a bonus. On December 11, 2014, December 10, 2015, December 8, 2016, and August 9, 2017 we granted Mr. Jones stock options to purchase 50,400 shares, 70,000, 47,000 and 47,000 shares of our common stock, respectively, in each case exercisable at the fair market value of our common stock at the date of grant and vesting in equal installments over 24 months, except that the August 9, 2017 grant vests in one installment on August 9, 2018 (in each case, subject to earlier exercisability as set forth in the table below entitled “Events Affecting Stock Option Vesting and Exercise”). On December 11, 2017, we granted Mr. Jones 41,000 Restricted Stock Units exchangeable for 41,000 shares of the Company on a 1-for-1 basis after payment of $.01 par value per share. The Restricted Stock Units vest on December 11, 2018 or earlier if Mr. Jones’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on the first business day of each of January 2020, 2021, and 2022 or earlier upon a qualifying change of control which also meets certain criteria of Section 409A of the Internal Revenue Code. The Employment Agreement contains standard termination provisions, including upon death, disability, for Cause, for Good Reason and without Cause. In the event that we terminate the Employment Agreement without Cause or Mr. Jones terminates the Employment Agreement for Good Reason, we are required to pay Mr. Jones an amount equal to the bonus for such year, calculated on a pro-rata basis assuming full achievement of the bonus criteria for such year (to the extent it has not already been paid), as well as Mr. Jones’ base salary for one year (such salary amount being the “Severance Pay”). Pursuant to an amendment to Mr. Jones’ Employment Agreement entered into in 2012, in case of termination without Cause and for Good Reason or for voluntary termination more than two years after a Change of Control, such Severance Pay and bonus is payable in equal monthly installments over a period of twelve months, with the first six installments payable six months and one day after termination, if mandated by applicable law, which requires certain payments to certain officers of a public company (“specified employees”) to be made commencing six months after termination. However, if such termination is without Cause, for Good Reason or for voluntary termination within two years of a qualifying Change of Control, then the Severance Pay and bonus is payable in a lump sum six months and one day after termination (unless a six month delay is not required by applicable law in which case it is payable 31 days after termination). In addition, upon a termination without Cause or for Good Reason or voluntarily after a Change of Control, any shares remaining unvested under stock options and restricted stock units granted to Mr. Jones will vest in full and Mr. Jones will be entitled to continued coverage under our then-existing benefit plans, including medical and life insurance, for twelve months from the date of termination.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648"/>
        <w:spacing w:after="0" w:line="254" w:lineRule="auto"/>
        <w:rPr>
          <w:sz w:val="20"/>
          <w:szCs w:val="20"/>
          <w:color w:val="auto"/>
        </w:rPr>
      </w:pPr>
      <w:r>
        <w:rPr>
          <w:rFonts w:ascii="Arial" w:cs="Arial" w:eastAsia="Arial" w:hAnsi="Arial"/>
          <w:sz w:val="18"/>
          <w:szCs w:val="18"/>
          <w:color w:val="auto"/>
        </w:rPr>
        <w:t>The Employment Agreement restricts Mr. Jones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one year after the termination of his employment with us. In addition, Mr. Jones has agreed not to (and not to cause or direct any person to) hire or solicit for employment any of our employees or those of our subsidiaries or affiliates (i) for six months following the termination of his employment by us without Cause or by him for Good Reason, prior to a Change of Control, (ii) for twelve months following the termination of his employment for Cause, prior to a Change of Control, or (iii) twenty-four months following a Change of Control. The table entitled “Events Affecting Stock Option Vesting and Exercise,” below, summarizes the vesting and exercisability of Mr. Jones’ options following a number of termination scenarios or a Change of Control.</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Peter A. Clemens is employed pursuant to an Employment Agreement effective as of March 10, 1998, as amended, which provides that Mr. Clemens will serve as our Senior Vice President and Chief Financial Officer for a term currently scheduled to expire December 31, 2018, and provides for automatic one year renewals in the absence of written notice to the contrary from the Company or Mr. Clemens at least ninety (90) days prior to the expiration of any renewal period. Pursuant to a 2008 amendment to the Employment Agreement, our non-renewal of the Employment Agreement is considered as a termination without Cause for all purposes under the Employment Agreement. Mr. Clemens current base salary under the Employment Agreement is $286,000 (increased from $285,000 effective January 1, 2016). His maximum bonus under our bonus plan is 70% of base salary. Mr. Clemens’ bonus is based on the achievement of such targets, conditions, or parameters as may be set from time to time by the Board of Directors or the Compensation Committee of the Board of Directors. On August 9, 2017 we granted Mr. Clemens a special bonus outside the bonus plan of $20,000 for his efforts in the negotiation and closing of our July 2017 private equity financing. On December 11, 2014, December 10, 2015, December 8, 2016 and August 9, 2017 we granted Mr. Clemens options to purchase 36,000 shares, 50,000 shares, 34,000 shares and 34,000 shares of our common stock, respectively, in each case at an exercise price equal to the fair market value of our common stock at the date of grant and vesting in equal installments over 24 months, except that the August 9, 2017 grant vests in one installment on August 9, 2018 (in each case, subject to earlier exercisability as set forth in the table below entitled “Events Affecting Stock Option Vesting and Exercise”). On December 11, 2017, we granted Mr. Clemens 28,000 Restricted Stock Units exchangeable for 28,000 shares of the Company on a 1-for-1 basis after payment of $.01 par value per share. The Restricted Stock Units vest on December 11, 2018 or earlier if Mr. Clemens’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on the first business day of each of January 2020, 2021, and 2022 or earlier upon a qualifying change of control which also meets certain criteria of Section 409A of the Internal Revenue Code.</w:t>
      </w:r>
    </w:p>
    <w:p>
      <w:pPr>
        <w:spacing w:after="0" w:line="3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Employment Agreement contains standard termination provisions, including upon death, disability, for Cause, for Good Reason and without Cause. In the event the Employment Agreement is terminated by us without Cause or by Mr. Clemens for Good Reason, we are required to pay Mr. Clemens an amount equal to twice his then base salary, payable in the case of termination without Cause or for Good Reason six months and one day after termination (unless he is not a specified employee at termination in which case payment is in a lump sum within 30 days following termination) and to continue to provide Mr. Clemens coverage under our then existing benefit plans, including medical and life insurance, for a term of 24 months. The Employment Agreement permits Mr. Clemens to terminate the Employment Agreement in the event of a Change in Control (as defined in the Employment Agreement), in which case he would receive the same payments on the same schedule as on a termination for Good Reason. In addition, Mr. Clemens’ estate is entitled to six month’s salary upon his death as well as a pro rata bonus for the number of months he worked in the year of his death. The Employment Agreement also restricts Mr. Clemens from disclosing, disseminating or using for his personal benefit or for the benefit of others confidential or proprietary information (as defined in the Employment Agreement) and, provided we have not breached the terms of the Employment Agreement, from competing with us at any time prior to two years after the earlier to occur of the expiration of the term and the termination of his employment. In addition, for a period of two years from and after the effective date of the termination of his employment with us (for any reason whatsoever), (i) induce or attempt to influence any employee of the Corporation or any of its subsidiaries or affiliates to leave its employ, or (ii) aid any person, business, or firm, including a supplier, a competitor, licensor or customer of or our manufacturer for the Corporation, in any attempt to hire any person who shall have been employed by us or any of our subsidiaries or affiliates within the period of one year of the date of any such requested aid. The table entitled “Events Affecting Stock Option Vesting and Exercise,” below, summarizes the vesting and exercisability of Mr. Clemens’ options following a number of termination scenarios or a Change of Control.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For purposes of Mr. Jones and Mr. Clemens severance pay, a Change of Control is generally defined, with certain exceptions, as</w:t>
      </w:r>
    </w:p>
    <w:p>
      <w:pPr>
        <w:spacing w:after="0" w:line="225" w:lineRule="exact"/>
        <w:rPr>
          <w:sz w:val="20"/>
          <w:szCs w:val="20"/>
          <w:color w:val="auto"/>
        </w:rPr>
      </w:pPr>
    </w:p>
    <w:p>
      <w:pPr>
        <w:ind w:left="1360" w:hanging="326"/>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 by a person or group of more than 50% of our outstanding shares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reorganization, consolidation of exchange, other than one in which current holders of our voting securities hold more than 50% of our voting securities</w:t>
      </w:r>
    </w:p>
    <w:p>
      <w:pPr>
        <w:spacing w:after="0" w:line="170" w:lineRule="exact"/>
        <w:rPr>
          <w:rFonts w:ascii="Arial" w:cs="Arial" w:eastAsia="Arial" w:hAnsi="Arial"/>
          <w:sz w:val="18"/>
          <w:szCs w:val="18"/>
          <w:color w:val="auto"/>
        </w:rPr>
      </w:pPr>
    </w:p>
    <w:p>
      <w:pPr>
        <w:ind w:left="1360" w:hanging="326"/>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in which we are not the surviving corporation</w:t>
      </w:r>
    </w:p>
    <w:p>
      <w:pPr>
        <w:spacing w:after="0" w:line="225" w:lineRule="exact"/>
        <w:rPr>
          <w:rFonts w:ascii="Arial" w:cs="Arial" w:eastAsia="Arial" w:hAnsi="Arial"/>
          <w:sz w:val="18"/>
          <w:szCs w:val="18"/>
          <w:color w:val="auto"/>
        </w:rPr>
      </w:pPr>
    </w:p>
    <w:p>
      <w:pPr>
        <w:ind w:left="1360" w:hanging="326"/>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sale or license of substantially all of our assets</w:t>
      </w:r>
    </w:p>
    <w:p>
      <w:pPr>
        <w:spacing w:after="0" w:line="225" w:lineRule="exact"/>
        <w:rPr>
          <w:rFonts w:ascii="Arial" w:cs="Arial" w:eastAsia="Arial" w:hAnsi="Arial"/>
          <w:sz w:val="18"/>
          <w:szCs w:val="18"/>
          <w:color w:val="auto"/>
        </w:rPr>
      </w:pPr>
    </w:p>
    <w:p>
      <w:pPr>
        <w:ind w:left="1360" w:hanging="326"/>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Acura going private (i.e. no longer files reports under the Exchange Act), unless the relevant employee (e.g., Jones, in the case of Jones’ severance and Clemens in the case of Clemens’ severance) “participates” in such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Affecting Stock Option Vesting and Exercise (For Messrs. Jones and Clemens)</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Vesting of All</w:t>
            </w:r>
          </w:p>
        </w:tc>
        <w:tc>
          <w:tcPr>
            <w:tcW w:w="37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Options (Options</w:t>
            </w:r>
          </w:p>
        </w:tc>
        <w:tc>
          <w:tcPr>
            <w:tcW w:w="374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are exercisable</w:t>
            </w:r>
          </w:p>
        </w:tc>
        <w:tc>
          <w:tcPr>
            <w:tcW w:w="3740" w:type="dxa"/>
            <w:vAlign w:val="bottom"/>
          </w:tcPr>
          <w:p>
            <w:pPr>
              <w:spacing w:after="0"/>
              <w:rPr>
                <w:sz w:val="18"/>
                <w:szCs w:val="18"/>
                <w:color w:val="auto"/>
              </w:rPr>
            </w:pPr>
          </w:p>
        </w:tc>
      </w:tr>
      <w:tr>
        <w:trPr>
          <w:trHeight w:val="234"/>
        </w:trPr>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Event</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upon vesting)</w:t>
            </w:r>
          </w:p>
        </w:tc>
        <w:tc>
          <w:tcPr>
            <w:tcW w:w="80" w:type="dxa"/>
            <w:vAlign w:val="bottom"/>
          </w:tcPr>
          <w:p>
            <w:pPr>
              <w:spacing w:after="0"/>
              <w:rPr>
                <w:sz w:val="20"/>
                <w:szCs w:val="20"/>
                <w:color w:val="auto"/>
              </w:rPr>
            </w:pPr>
          </w:p>
        </w:tc>
        <w:tc>
          <w:tcPr>
            <w:tcW w:w="37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Exercisability of Options</w:t>
            </w: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 w:lineRule="exact"/>
        <w:rPr>
          <w:sz w:val="20"/>
          <w:szCs w:val="20"/>
          <w:color w:val="auto"/>
        </w:rPr>
      </w:pPr>
    </w:p>
    <w:p>
      <w:pPr>
        <w:ind w:left="1440"/>
        <w:spacing w:after="0"/>
        <w:tabs>
          <w:tab w:leader="none" w:pos="4440" w:val="left"/>
        </w:tabs>
        <w:rPr>
          <w:sz w:val="20"/>
          <w:szCs w:val="20"/>
          <w:color w:val="auto"/>
        </w:rPr>
      </w:pPr>
      <w:r>
        <w:rPr>
          <w:rFonts w:ascii="Arial" w:cs="Arial" w:eastAsia="Arial" w:hAnsi="Arial"/>
          <w:sz w:val="18"/>
          <w:szCs w:val="18"/>
          <w:color w:val="auto"/>
        </w:rPr>
        <w:t>Termination due to Death</w:t>
      </w:r>
      <w:r>
        <w:rPr>
          <w:sz w:val="20"/>
          <w:szCs w:val="20"/>
          <w:color w:val="auto"/>
        </w:rPr>
        <w:tab/>
      </w:r>
      <w:r>
        <w:rPr>
          <w:rFonts w:ascii="Arial" w:cs="Arial" w:eastAsia="Arial" w:hAnsi="Arial"/>
          <w:sz w:val="16"/>
          <w:szCs w:val="16"/>
          <w:color w:val="auto"/>
        </w:rPr>
        <w:t>Options vest for one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month after death; after</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that no additional</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vesting</w:t>
      </w:r>
    </w:p>
    <w:p>
      <w:pPr>
        <w:spacing w:after="0" w:line="20" w:lineRule="exact"/>
        <w:rPr>
          <w:sz w:val="20"/>
          <w:szCs w:val="20"/>
          <w:color w:val="auto"/>
        </w:rPr>
      </w:pPr>
      <w:r>
        <w:rPr>
          <w:sz w:val="20"/>
          <w:szCs w:val="20"/>
          <w:color w:val="auto"/>
        </w:rPr>
        <w:br w:type="column"/>
      </w:r>
    </w:p>
    <w:p>
      <w:pPr>
        <w:ind w:right="1780"/>
        <w:spacing w:after="0" w:line="277" w:lineRule="auto"/>
        <w:rPr>
          <w:sz w:val="20"/>
          <w:szCs w:val="20"/>
          <w:color w:val="auto"/>
        </w:rPr>
      </w:pPr>
      <w:r>
        <w:rPr>
          <w:rFonts w:ascii="Arial" w:cs="Arial" w:eastAsia="Arial" w:hAnsi="Arial"/>
          <w:sz w:val="18"/>
          <w:szCs w:val="18"/>
          <w:color w:val="auto"/>
        </w:rPr>
        <w:t>Vested options immediately exercisable for one year following termination</w:t>
      </w:r>
    </w:p>
    <w:p>
      <w:pPr>
        <w:spacing w:after="0" w:line="591" w:lineRule="exact"/>
        <w:rPr>
          <w:sz w:val="20"/>
          <w:szCs w:val="20"/>
          <w:color w:val="auto"/>
        </w:rPr>
      </w:pPr>
    </w:p>
    <w:p>
      <w:pPr>
        <w:sectPr>
          <w:pgSz w:w="11900" w:h="16838" w:orient="portrait"/>
          <w:cols w:equalWidth="0" w:num="2">
            <w:col w:w="6140" w:space="100"/>
            <w:col w:w="5180"/>
          </w:cols>
          <w:pgMar w:left="240" w:top="908"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1440"/>
              <w:spacing w:after="0"/>
              <w:rPr>
                <w:sz w:val="20"/>
                <w:szCs w:val="20"/>
                <w:color w:val="auto"/>
              </w:rPr>
            </w:pPr>
            <w:r>
              <w:rPr>
                <w:rFonts w:ascii="Arial" w:cs="Arial" w:eastAsia="Arial" w:hAnsi="Arial"/>
                <w:sz w:val="18"/>
                <w:szCs w:val="18"/>
                <w:color w:val="auto"/>
              </w:rPr>
              <w:t>Termination by Company Without</w:t>
            </w:r>
          </w:p>
        </w:tc>
        <w:tc>
          <w:tcPr>
            <w:tcW w:w="1720" w:type="dxa"/>
            <w:vAlign w:val="bottom"/>
          </w:tcPr>
          <w:p>
            <w:pPr>
              <w:ind w:left="60"/>
              <w:spacing w:after="0"/>
              <w:rPr>
                <w:sz w:val="20"/>
                <w:szCs w:val="20"/>
                <w:color w:val="auto"/>
              </w:rPr>
            </w:pPr>
            <w:r>
              <w:rPr>
                <w:rFonts w:ascii="Arial" w:cs="Arial" w:eastAsia="Arial" w:hAnsi="Arial"/>
                <w:sz w:val="18"/>
                <w:szCs w:val="18"/>
                <w:color w:val="auto"/>
              </w:rPr>
              <w:t>All options fully vest.</w:t>
            </w:r>
          </w:p>
        </w:tc>
        <w:tc>
          <w:tcPr>
            <w:tcW w:w="5300" w:type="dxa"/>
            <w:vAlign w:val="bottom"/>
          </w:tcPr>
          <w:p>
            <w:pPr>
              <w:ind w:left="120"/>
              <w:spacing w:after="0"/>
              <w:rPr>
                <w:sz w:val="20"/>
                <w:szCs w:val="20"/>
                <w:color w:val="auto"/>
              </w:rPr>
            </w:pPr>
            <w:r>
              <w:rPr>
                <w:rFonts w:ascii="Arial" w:cs="Arial" w:eastAsia="Arial" w:hAnsi="Arial"/>
                <w:sz w:val="18"/>
                <w:szCs w:val="18"/>
                <w:color w:val="auto"/>
              </w:rPr>
              <w:t>Vested options immediately exercisable for one</w:t>
            </w:r>
          </w:p>
        </w:tc>
      </w:tr>
      <w:tr>
        <w:trPr>
          <w:trHeight w:val="216"/>
        </w:trPr>
        <w:tc>
          <w:tcPr>
            <w:tcW w:w="4400" w:type="dxa"/>
            <w:vAlign w:val="bottom"/>
          </w:tcPr>
          <w:p>
            <w:pPr>
              <w:ind w:left="1440"/>
              <w:spacing w:after="0"/>
              <w:rPr>
                <w:sz w:val="20"/>
                <w:szCs w:val="20"/>
                <w:color w:val="auto"/>
              </w:rPr>
            </w:pPr>
            <w:r>
              <w:rPr>
                <w:rFonts w:ascii="Arial" w:cs="Arial" w:eastAsia="Arial" w:hAnsi="Arial"/>
                <w:sz w:val="18"/>
                <w:szCs w:val="18"/>
                <w:color w:val="auto"/>
                <w:w w:val="90"/>
              </w:rPr>
              <w:t>Cause or by Employee for Good Reason</w:t>
            </w:r>
          </w:p>
        </w:tc>
        <w:tc>
          <w:tcPr>
            <w:tcW w:w="17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year following termination Vested options</w:t>
            </w:r>
          </w:p>
        </w:tc>
      </w:tr>
      <w:tr>
        <w:trPr>
          <w:trHeight w:val="216"/>
        </w:trPr>
        <w:tc>
          <w:tcPr>
            <w:tcW w:w="4400" w:type="dxa"/>
            <w:vAlign w:val="bottom"/>
          </w:tcPr>
          <w:p>
            <w:pPr>
              <w:ind w:left="1440"/>
              <w:spacing w:after="0"/>
              <w:rPr>
                <w:sz w:val="20"/>
                <w:szCs w:val="20"/>
                <w:color w:val="auto"/>
              </w:rPr>
            </w:pPr>
            <w:r>
              <w:rPr>
                <w:rFonts w:ascii="Arial" w:cs="Arial" w:eastAsia="Arial" w:hAnsi="Arial"/>
                <w:sz w:val="18"/>
                <w:szCs w:val="18"/>
                <w:color w:val="auto"/>
                <w:w w:val="99"/>
              </w:rPr>
              <w:t>or termination by Employee following</w:t>
            </w:r>
          </w:p>
        </w:tc>
        <w:tc>
          <w:tcPr>
            <w:tcW w:w="17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exercisable for 12 months for Mr. Jones (twenty</w:t>
            </w:r>
          </w:p>
        </w:tc>
      </w:tr>
      <w:tr>
        <w:trPr>
          <w:trHeight w:val="230"/>
        </w:trPr>
        <w:tc>
          <w:tcPr>
            <w:tcW w:w="4400" w:type="dxa"/>
            <w:vAlign w:val="bottom"/>
          </w:tcPr>
          <w:p>
            <w:pPr>
              <w:ind w:left="1440"/>
              <w:spacing w:after="0"/>
              <w:rPr>
                <w:sz w:val="20"/>
                <w:szCs w:val="20"/>
                <w:color w:val="auto"/>
              </w:rPr>
            </w:pPr>
            <w:r>
              <w:rPr>
                <w:rFonts w:ascii="Arial" w:cs="Arial" w:eastAsia="Arial" w:hAnsi="Arial"/>
                <w:sz w:val="18"/>
                <w:szCs w:val="18"/>
                <w:color w:val="auto"/>
              </w:rPr>
              <w:t>Change of Control</w:t>
            </w:r>
          </w:p>
        </w:tc>
        <w:tc>
          <w:tcPr>
            <w:tcW w:w="17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four months in the case of Mr. Clemens)</w:t>
            </w:r>
          </w:p>
        </w:tc>
      </w:tr>
      <w:tr>
        <w:trPr>
          <w:trHeight w:val="418"/>
        </w:trPr>
        <w:tc>
          <w:tcPr>
            <w:tcW w:w="4400" w:type="dxa"/>
            <w:vAlign w:val="bottom"/>
          </w:tcPr>
          <w:p>
            <w:pPr>
              <w:ind w:left="1440"/>
              <w:spacing w:after="0"/>
              <w:rPr>
                <w:sz w:val="20"/>
                <w:szCs w:val="20"/>
                <w:color w:val="auto"/>
              </w:rPr>
            </w:pPr>
            <w:r>
              <w:rPr>
                <w:rFonts w:ascii="Arial" w:cs="Arial" w:eastAsia="Arial" w:hAnsi="Arial"/>
                <w:sz w:val="18"/>
                <w:szCs w:val="18"/>
                <w:color w:val="auto"/>
              </w:rPr>
              <w:t>Termination due to Disability</w:t>
            </w:r>
          </w:p>
        </w:tc>
        <w:tc>
          <w:tcPr>
            <w:tcW w:w="1720" w:type="dxa"/>
            <w:vAlign w:val="bottom"/>
          </w:tcPr>
          <w:p>
            <w:pPr>
              <w:ind w:left="60"/>
              <w:spacing w:after="0"/>
              <w:rPr>
                <w:sz w:val="20"/>
                <w:szCs w:val="20"/>
                <w:color w:val="auto"/>
              </w:rPr>
            </w:pPr>
            <w:r>
              <w:rPr>
                <w:rFonts w:ascii="Arial" w:cs="Arial" w:eastAsia="Arial" w:hAnsi="Arial"/>
                <w:sz w:val="18"/>
                <w:szCs w:val="18"/>
                <w:color w:val="auto"/>
                <w:w w:val="98"/>
              </w:rPr>
              <w:t>No additional vesting</w:t>
            </w:r>
          </w:p>
        </w:tc>
        <w:tc>
          <w:tcPr>
            <w:tcW w:w="5300" w:type="dxa"/>
            <w:vAlign w:val="bottom"/>
          </w:tcPr>
          <w:p>
            <w:pPr>
              <w:ind w:left="120"/>
              <w:spacing w:after="0"/>
              <w:rPr>
                <w:sz w:val="20"/>
                <w:szCs w:val="20"/>
                <w:color w:val="auto"/>
              </w:rPr>
            </w:pPr>
            <w:r>
              <w:rPr>
                <w:rFonts w:ascii="Arial" w:cs="Arial" w:eastAsia="Arial" w:hAnsi="Arial"/>
                <w:sz w:val="18"/>
                <w:szCs w:val="18"/>
                <w:color w:val="auto"/>
              </w:rPr>
              <w:t>Vested options immediately exercisable for one</w:t>
            </w:r>
          </w:p>
        </w:tc>
      </w:tr>
      <w:tr>
        <w:trPr>
          <w:trHeight w:val="230"/>
        </w:trPr>
        <w:tc>
          <w:tcPr>
            <w:tcW w:w="4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year following termination</w:t>
            </w:r>
          </w:p>
        </w:tc>
      </w:tr>
      <w:tr>
        <w:trPr>
          <w:trHeight w:val="418"/>
        </w:trPr>
        <w:tc>
          <w:tcPr>
            <w:tcW w:w="4400" w:type="dxa"/>
            <w:vAlign w:val="bottom"/>
          </w:tcPr>
          <w:p>
            <w:pPr>
              <w:ind w:left="1440"/>
              <w:spacing w:after="0"/>
              <w:rPr>
                <w:sz w:val="20"/>
                <w:szCs w:val="20"/>
                <w:color w:val="auto"/>
              </w:rPr>
            </w:pPr>
            <w:r>
              <w:rPr>
                <w:rFonts w:ascii="Arial" w:cs="Arial" w:eastAsia="Arial" w:hAnsi="Arial"/>
                <w:sz w:val="18"/>
                <w:szCs w:val="18"/>
                <w:color w:val="auto"/>
                <w:w w:val="93"/>
              </w:rPr>
              <w:t>Termination by the Company for Cause</w:t>
            </w:r>
          </w:p>
        </w:tc>
        <w:tc>
          <w:tcPr>
            <w:tcW w:w="1720" w:type="dxa"/>
            <w:vAlign w:val="bottom"/>
          </w:tcPr>
          <w:p>
            <w:pPr>
              <w:ind w:left="60"/>
              <w:spacing w:after="0"/>
              <w:rPr>
                <w:sz w:val="20"/>
                <w:szCs w:val="20"/>
                <w:color w:val="auto"/>
              </w:rPr>
            </w:pPr>
            <w:r>
              <w:rPr>
                <w:rFonts w:ascii="Arial" w:cs="Arial" w:eastAsia="Arial" w:hAnsi="Arial"/>
                <w:sz w:val="18"/>
                <w:szCs w:val="18"/>
                <w:color w:val="auto"/>
                <w:w w:val="98"/>
              </w:rPr>
              <w:t>No additional vesting</w:t>
            </w:r>
          </w:p>
        </w:tc>
        <w:tc>
          <w:tcPr>
            <w:tcW w:w="5300" w:type="dxa"/>
            <w:vAlign w:val="bottom"/>
          </w:tcPr>
          <w:p>
            <w:pPr>
              <w:ind w:left="120"/>
              <w:spacing w:after="0"/>
              <w:rPr>
                <w:sz w:val="20"/>
                <w:szCs w:val="20"/>
                <w:color w:val="auto"/>
              </w:rPr>
            </w:pPr>
            <w:r>
              <w:rPr>
                <w:rFonts w:ascii="Arial" w:cs="Arial" w:eastAsia="Arial" w:hAnsi="Arial"/>
                <w:sz w:val="18"/>
                <w:szCs w:val="18"/>
                <w:color w:val="auto"/>
              </w:rPr>
              <w:t>Vested options immediately exercisable for 40 days</w:t>
            </w:r>
          </w:p>
        </w:tc>
      </w:tr>
      <w:tr>
        <w:trPr>
          <w:trHeight w:val="216"/>
        </w:trPr>
        <w:tc>
          <w:tcPr>
            <w:tcW w:w="4400" w:type="dxa"/>
            <w:vAlign w:val="bottom"/>
          </w:tcPr>
          <w:p>
            <w:pPr>
              <w:ind w:left="1440"/>
              <w:spacing w:after="0"/>
              <w:rPr>
                <w:sz w:val="20"/>
                <w:szCs w:val="20"/>
                <w:color w:val="auto"/>
              </w:rPr>
            </w:pPr>
            <w:r>
              <w:rPr>
                <w:rFonts w:ascii="Arial" w:cs="Arial" w:eastAsia="Arial" w:hAnsi="Arial"/>
                <w:sz w:val="18"/>
                <w:szCs w:val="18"/>
                <w:color w:val="auto"/>
              </w:rPr>
              <w:t>or by executive other than for Good</w:t>
            </w:r>
          </w:p>
        </w:tc>
        <w:tc>
          <w:tcPr>
            <w:tcW w:w="17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following termination</w:t>
            </w:r>
          </w:p>
        </w:tc>
      </w:tr>
      <w:tr>
        <w:trPr>
          <w:trHeight w:val="230"/>
        </w:trPr>
        <w:tc>
          <w:tcPr>
            <w:tcW w:w="4400" w:type="dxa"/>
            <w:vAlign w:val="bottom"/>
          </w:tcPr>
          <w:p>
            <w:pPr>
              <w:ind w:left="1440"/>
              <w:spacing w:after="0"/>
              <w:rPr>
                <w:sz w:val="20"/>
                <w:szCs w:val="20"/>
                <w:color w:val="auto"/>
              </w:rPr>
            </w:pPr>
            <w:r>
              <w:rPr>
                <w:rFonts w:ascii="Arial" w:cs="Arial" w:eastAsia="Arial" w:hAnsi="Arial"/>
                <w:sz w:val="18"/>
                <w:szCs w:val="18"/>
                <w:color w:val="auto"/>
              </w:rPr>
              <w:t>Reason</w:t>
            </w:r>
          </w:p>
        </w:tc>
        <w:tc>
          <w:tcPr>
            <w:tcW w:w="17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18"/>
        </w:trPr>
        <w:tc>
          <w:tcPr>
            <w:tcW w:w="4400" w:type="dxa"/>
            <w:vAlign w:val="bottom"/>
          </w:tcPr>
          <w:p>
            <w:pPr>
              <w:ind w:left="1440"/>
              <w:spacing w:after="0"/>
              <w:rPr>
                <w:sz w:val="20"/>
                <w:szCs w:val="20"/>
                <w:color w:val="auto"/>
              </w:rPr>
            </w:pPr>
            <w:r>
              <w:rPr>
                <w:rFonts w:ascii="Arial" w:cs="Arial" w:eastAsia="Arial" w:hAnsi="Arial"/>
                <w:sz w:val="18"/>
                <w:szCs w:val="18"/>
                <w:color w:val="auto"/>
              </w:rPr>
              <w:t>Change of Control</w:t>
            </w:r>
          </w:p>
        </w:tc>
        <w:tc>
          <w:tcPr>
            <w:tcW w:w="1720" w:type="dxa"/>
            <w:vAlign w:val="bottom"/>
          </w:tcPr>
          <w:p>
            <w:pPr>
              <w:ind w:left="60"/>
              <w:spacing w:after="0"/>
              <w:rPr>
                <w:sz w:val="20"/>
                <w:szCs w:val="20"/>
                <w:color w:val="auto"/>
              </w:rPr>
            </w:pPr>
            <w:r>
              <w:rPr>
                <w:rFonts w:ascii="Arial" w:cs="Arial" w:eastAsia="Arial" w:hAnsi="Arial"/>
                <w:sz w:val="18"/>
                <w:szCs w:val="18"/>
                <w:color w:val="auto"/>
              </w:rPr>
              <w:t>Options fully vest for</w:t>
            </w:r>
          </w:p>
        </w:tc>
        <w:tc>
          <w:tcPr>
            <w:tcW w:w="5300" w:type="dxa"/>
            <w:vAlign w:val="bottom"/>
          </w:tcPr>
          <w:p>
            <w:pPr>
              <w:ind w:left="120"/>
              <w:spacing w:after="0"/>
              <w:rPr>
                <w:sz w:val="20"/>
                <w:szCs w:val="20"/>
                <w:color w:val="auto"/>
              </w:rPr>
            </w:pPr>
            <w:r>
              <w:rPr>
                <w:rFonts w:ascii="Arial" w:cs="Arial" w:eastAsia="Arial" w:hAnsi="Arial"/>
                <w:sz w:val="18"/>
                <w:szCs w:val="18"/>
                <w:color w:val="auto"/>
              </w:rPr>
              <w:t>Vested options immediately exercisable</w:t>
            </w:r>
          </w:p>
        </w:tc>
      </w:tr>
      <w:tr>
        <w:trPr>
          <w:trHeight w:val="216"/>
        </w:trPr>
        <w:tc>
          <w:tcPr>
            <w:tcW w:w="4400" w:type="dxa"/>
            <w:vAlign w:val="bottom"/>
          </w:tcPr>
          <w:p>
            <w:pPr>
              <w:spacing w:after="0"/>
              <w:rPr>
                <w:sz w:val="18"/>
                <w:szCs w:val="18"/>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Mr. Jones and Mr.</w:t>
            </w:r>
          </w:p>
        </w:tc>
        <w:tc>
          <w:tcPr>
            <w:tcW w:w="5300" w:type="dxa"/>
            <w:vAlign w:val="bottom"/>
          </w:tcPr>
          <w:p>
            <w:pPr>
              <w:spacing w:after="0"/>
              <w:rPr>
                <w:sz w:val="18"/>
                <w:szCs w:val="18"/>
                <w:color w:val="auto"/>
              </w:rPr>
            </w:pPr>
          </w:p>
        </w:tc>
      </w:tr>
      <w:tr>
        <w:trPr>
          <w:trHeight w:val="230"/>
        </w:trPr>
        <w:tc>
          <w:tcPr>
            <w:tcW w:w="4400" w:type="dxa"/>
            <w:vAlign w:val="bottom"/>
          </w:tcPr>
          <w:p>
            <w:pPr>
              <w:spacing w:after="0"/>
              <w:rPr>
                <w:sz w:val="20"/>
                <w:szCs w:val="20"/>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Clemens.</w:t>
            </w:r>
          </w:p>
        </w:tc>
        <w:tc>
          <w:tcPr>
            <w:tcW w:w="5300" w:type="dxa"/>
            <w:vAlign w:val="bottom"/>
          </w:tcPr>
          <w:p>
            <w:pPr>
              <w:spacing w:after="0"/>
              <w:rPr>
                <w:sz w:val="20"/>
                <w:szCs w:val="20"/>
                <w:color w:val="auto"/>
              </w:rPr>
            </w:pPr>
          </w:p>
        </w:tc>
      </w:tr>
      <w:tr>
        <w:trPr>
          <w:trHeight w:val="648"/>
        </w:trPr>
        <w:tc>
          <w:tcPr>
            <w:tcW w:w="4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79</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82" w:name="page83"/>
    <w:bookmarkEnd w:id="82"/>
    <w:p>
      <w:pPr>
        <w:jc w:val="both"/>
        <w:ind w:firstLine="648"/>
        <w:spacing w:after="0" w:line="267" w:lineRule="auto"/>
        <w:rPr>
          <w:sz w:val="20"/>
          <w:szCs w:val="20"/>
          <w:color w:val="auto"/>
        </w:rPr>
      </w:pPr>
      <w:r>
        <w:rPr>
          <w:rFonts w:ascii="Arial" w:cs="Arial" w:eastAsia="Arial" w:hAnsi="Arial"/>
          <w:sz w:val="17"/>
          <w:szCs w:val="17"/>
          <w:color w:val="auto"/>
        </w:rPr>
        <w:t>Dr. Brzeczko is not party to an employment agreement. Dr. Brzeczko was hired pursuant to an offer letter pursuant to which he received a $40,000 signing bonus and commencing 2016 and thereafter, is eligible for annual bonuses of up to 50% of his base salary (increased from 35% in effect during 2015). Dr. Brzeczko’s bonus is based on the achievement of such targets, conditions, or parameters as may be set from time to time by the Board of Directors or the Compensation Committee of the Board of Directors. In 2017 he received no bonus. Upon commencement of his employment on February 9, 2009, he received 4,800 RSUs vesting in equal installments over 24 months, and stock options exercisable for 19,200 shares of common stock vesting in equal installments over 24 months. Dr. Brzeczko’s annual salary is $291,000 (increased from $290,000 effective January 1, 2016). Dr. Brzeczko is eligible for and over the years of his employment, Dr. Brzeczko has received annual option grants. On December 8, 2016, Dr. Brzeczko was granted stock options exercisable at the fair market value on date of grant for 35,000 shares of common stock, vesting in equal installments over 24 months and on August 9, 2017 Dr. Brzeczko was granted stock options exercisable at the fair market value on date of grant for 35,000 shares of common stock, vesting in one installment in 12 months from grant and expiring five years from issuance. If a change of control occurs (which constitutes a change of control under the stock option agreements) previously unvested options vest and become exercisable with respect to all underlying shares held by Dr. Brzeczko. On December 11, 2017, we granted Dr. Brzeczko 28,000 Restricted Stock Units exchangeable for 28,000 shares of the Company on a 1-for-1 basis after payment of $.01 par value per share. The Restricted Stock Units vest on December 11, 2018 or earlier if Dr. Brzeczko’s service as an employee is terminated by us without Cause (as defined in the 2017 Restricted Stock Unit Award Plan) or due to his death or Disability (as defined in the 2017 Restricted Stock Unit Award Plan) or a qualifying change of control occurs. Distributions in respect of such vested Restricted Stock Units will be made in three equal installments on the first business day of each of January 2020, 2021, and 2022 or earlier upon a qualifying change of control which also meets certain criteria of Section 409A of the Internal Revenue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three stock option plans adopted in 1998, 2008 and 2016, respectively. Our option plans are administered by the Board of Directors. The Board of Directors selects the employees, directors and consultants to be granted options under the plans and, subject to the provisions of each plan, determines the terms and conditions and number of shares subject to each option. Any of our employees or employees of our subsidiary are eligible to receive incentive stock options within the meaning of Section 422 of the Internal Revenue Code of 1986, or the Code (“ISOs”). Non-qualified stock options may be granted to employees as well as non-employee directors and consultants under the plans as determined by the Board. Any person who has been granted an option may, if they are otherwise eligible, be granted an additional option or options.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grant of an option is evidenced by an option agreement, and each option agreement specifies whether the option is an ISO or a non-qualified stock option and incorporates such other terms and conditions as the Board of Directors acting in its absolute discretion deems consistent with the terms of the plan, including, without limitation, a restriction on the number of shares of Common Stock subject to the option which first become exercisable during any calendar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the aggregate fair market value of the common stock of the Company underlying a grant of ISOs (determined as of the date such an ISO is granted), which first become exercisable in any calendar year, exceeds $100,000, such Options shall be treated as non-qualified stock options. This $100,000 limitation shall be administered in accordance with the rules under Section 422(d) of the Code.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the grant of an option to an employee, director or consultant the Board will fix the number of shares of common stock that the optionee may purchase upon exercise of the option and the price at which the shares may be purchased. The option exercise price for ISOs shall not be less than the fair market value of the common stock at the time the option is granted, except that the option exercise price shall be at least 110% of the fair market value where the option is granted to an employee who owns more than 10% of the voting power of all of our classes of stock or any parent or subsidiary. The option exercise price for non-qualified stock options granted under the plans may be less than the fair market value of our common stock (“Discounted Options”). “Fair market value” is the closing price for a share of the common stock on the exchange or quotation system which reports or quotes the closing prices for a share of the common stock (or alternate methodologies if no such quote is available).</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options available to be granted under each plan must be granted within ten years after shareholder approval of the applicable plan. The Board will determine the actual term of the options but no option will be exercisable after the expiration of 10 years from the date of grant. No ISO granted to an employee who owns more than 10% of the combined voting power of all of our outstanding classes of stock may be exercised after five years from the date of grant. Historically, our grants to employees generally vest 1/24th each month, although under the plans any vesting schedule is permissible as determined by the Compensation Committee or the Board. However on August 9, 2017 we made a special option grant to employees which generally vests 12 months from issuance instead of ratably over 24 months. Our grants to director generally vest in equal quarterly installments over the calendar year. Since 2015 our option agreements include vesting upon a change of control (as defined in the 2016 Stock Option Plan). In addition, the plans provide options may be accelerated by the Board of Directors in their discretion, including, upon a change of control, a proposed dissolution or liquidation of the Company, in the event of a proposed sale of all or substantially all of the assets of the Company, or a merger of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48"/>
        <w:spacing w:after="0" w:line="264" w:lineRule="auto"/>
        <w:rPr>
          <w:sz w:val="20"/>
          <w:szCs w:val="20"/>
          <w:color w:val="auto"/>
        </w:rPr>
      </w:pPr>
      <w:r>
        <w:rPr>
          <w:rFonts w:ascii="Arial" w:cs="Arial" w:eastAsia="Arial" w:hAnsi="Arial"/>
          <w:sz w:val="18"/>
          <w:szCs w:val="18"/>
          <w:color w:val="auto"/>
        </w:rPr>
        <w:t>All of our option plans allow the participant to elect to exercise options on a net exercise basis by allowing shares subject to the option to be withheld by the Company in satisfaction of the option exercise price, and to satisfy the participant’s withholding tax payment obligations relating to the option exercise.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Options granted to employees, directors or consultants under the plans may be exercised during the optionee’s lifetime only by the optionee during his employment or service with us or for a period not exceeding one year if the optionee ceased employment or service as a director or consultant because of permanent or total disability within the meaning of Section 22(e)(3) of the Code. Options may be exercised by the optionee’s estate, or by any person who acquired the right to exercise such option by bequest or inheritance from the optionee for a period of twelve months from the date of the optionee’s death. If such option shall by its terms expire sooner, such option shall not be extended as a result of the optionee’s death.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1998 Stock Option Plan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1998 Stock Option Plan was adopted by the Board of Directors in April 1998 and approved by our shareholders in June 1998. The 1998 Stock Option Plan, as amended, provided for the grant of stock options to purchase up to 400,000 shares of our common stock. As of December 31, 2017, stock options to purchase 18,000 shares of common stock are outstanding under the 1998 Stock Option Plan. Of such option grants 6,000 are ISO’s and 12,000 are non-qualified options. No exercise price of an ISO was set at less than 100% of the fair market value of the underlying common stock.</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2008 the 1998 Stock Option Plan expired and the remaining 4,382 unissued shares allocated to the Plan were terminated. The average per share exercise price for all outstanding options under the 1998 Stock Option Plan as of December 31, 2017 was $36.07.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2008 Stock Option Plan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2008 Stock Option Plan was adopted by the Board of Directors on March 14, 2008 and approved by our shareholders on April 30, 2008. On June 25, 2009, the 2008 Stock Option Plan was amended to allow participants to require us to withhold common stock upon exercise of options for payment of exercise price and statutory minimum withholding taxes. The 2008 Stock Option Plan permits the grant of ISO’s and non-qualified stock options to purchase in the aggregate up to 1,200,000 shares of our common stock. As of December 31, 2017, stock options to purchase 1,122,593 shares of common stock had been granted (and not forfeited) under the 2008 Stock Option Plan. Of such option grants, 715,631 are ISOs and 406,962 are non-qualified options. The average per share exercise price for all outstanding options under the 2008 Stock Option Plan as of December 31, 2017 was $15.61.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2016 Stock Option Plan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2016 Stock Option Plan, as amended, was adopted by the Board of Directors and approved by our shareholders in April 2016. The 2016 Stock Option Plan permits the grant of ISO’s and non-qualified stock options to purchase in the aggregate up to 600,000 shares of our common stock. As of December 31, 2017, stock options to purchase 353,356 shares of common stock had been granted (and were not forfeited) under the 2016 Stock Option Plan. Of such option grants, all are ISOs. Up to 60,000 shares underlying options may be granted to any participant in a calendar year under the 2016 Stock Option Plan. The average per share exercise price for all outstanding options under the 2016 Stock Option Plan as of December 31, 2017 was $0.67.</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Restricted Stock Unit Award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2014 Restricted Stock Unit Award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2014 Restricted Stock Unit Award Plan (the “2014 RSU Plan”) was approved by the Company’s Board of Directors in February 2014 and by our shareholders in May 2014. Under the 2014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maximum aggregate number of shares which may be subject to RSUs granted under the 2014 RSU Plan is 400,000 shares of authorized, but unissued or reacquired common stock. Payment of Cash Settled RSUs will reduce such limit. If an RSU should expire or become forfeited for any reason without the underlying shares of common stock or cash subject to such RSU having been distributed, the underlying shares shall, unless the 2014 RSU Plan shall have been terminated, become available for further grant under the 2014 RSU Plan. Unless terminated earlier by the Board of Directors, the RSUs may be distributed under the 2014 RSU Plan until April 30, 2024.</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March 30, 2018 we had granted RSUs under the 2014 RSU Plan providing for our issuance of up to an aggregate of 396,844 shares of our common stock. At March 30, 2018, no RSU awards were outstanding under our 2014 RSU Plan. To date we have only issued RSUs under the 2014 RSU Plan to our Non-Employee Directors. Because there were less than 4,000 shares available for issuance under the 2014 RSU Plan, in November 2017, our shareholders approved the 2017 Restricted Stock Unit Award Plan. We do not intend to issue any more RSUs under the 2014 RSU Plan.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description of the 2017 Restricted Stock Unit Award Plan, under the captions, “Terms”, “Administration”, “Amendment and Termination”, and “Adjustment upon Capitalization and Merger”, below are similar to the provisions of the 2014 RSU Plan, with the significant differences noted under such captions.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2017 Restricted Stock Unit Award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2017 Restricted Stock Unit Award Plan (the “2017 RSU Plan”) was approved by the Company’s Board of Directors on September 8, 2017 and approved by shareholders on November 8, 2017. Under the 2017 RSU Plan, a Restricted Stock Unit (“RSU”) represents the right to receive (upon payment of $0.01 par value per share) a share of the Company’s common stock (or under certain circumstances, cash in lieu thereof (“Cash Settled RSUs”)) at a designated time or upon designated events.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Number of RSUs that may be granted. </w:t>
      </w:r>
      <w:r>
        <w:rPr>
          <w:rFonts w:ascii="Arial" w:cs="Arial" w:eastAsia="Arial" w:hAnsi="Arial"/>
          <w:sz w:val="16"/>
          <w:szCs w:val="16"/>
          <w:color w:val="auto"/>
        </w:rPr>
        <w:t>The maximum aggregate number of shares which may be subject to RSUs granted under the 2017 RSU Plan</w:t>
      </w:r>
      <w:r>
        <w:rPr>
          <w:rFonts w:ascii="Arial" w:cs="Arial" w:eastAsia="Arial" w:hAnsi="Arial"/>
          <w:sz w:val="16"/>
          <w:szCs w:val="16"/>
          <w:i w:val="1"/>
          <w:iCs w:val="1"/>
          <w:color w:val="auto"/>
        </w:rPr>
        <w:t xml:space="preserve"> </w:t>
      </w:r>
      <w:r>
        <w:rPr>
          <w:rFonts w:ascii="Arial" w:cs="Arial" w:eastAsia="Arial" w:hAnsi="Arial"/>
          <w:sz w:val="16"/>
          <w:szCs w:val="16"/>
          <w:color w:val="auto"/>
        </w:rPr>
        <w:t>is 1,500,000 shares of authorized, but unissued, or reacquired common stock. (See “Adjustments Upon Changes in Capitalization or Merger” below.) If an RSU should expire or become forfeited for any reason without the underlying shares of common stock or cash subject to such RSU having been distributed, the underlying shares shall, unless the 2017 RSU Plan shall have been terminated, become available for further grant under the 2017 RSU Plan. The 2017 RSU Plan has no limit on the number of RSUs that may be granted to an individual employee, consultant or director in any calendar year. Payment of Cash Settled RSUs (as hereinafter defined) will reduce such limit. As of March 30, 2018 approximately 467,000 RSUs have been granted under the 2017 RSU Plan. Unless terminated earlier by the Board of Directors, the RSUs may be distributed under the 2017 RSU Plan until November 7, 2027, however we expect that RSUs available under the Plan will have been distributed within the next four years. The 2017 RSU Plan allows for amendment by the Board of Directors, provided shareholder approval for the amendment is not required under the rules of an exchange on which our stock is listed or applicable law.</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2017 RSU Plan is intended to assist the Company in securing and retaining employees, consultants and directors by allowing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ownership and growth of the Company through the RSUs. The granting of RSUs serves as partial consideration for and gives key employees, directors and consultants an additional inducement to, remain in the service of the Company and will provide them with an increased incentive to work for the Company’s success. Cash Settled RSUs give Non-Employee Directors the ability to pay tax on their other RSUs distributed simultaneously therewith. Employees have a separate right to have stock withheld in payment of withholding taxes.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2017 RSU Plan is administered by the Company’s Board of Directors, or, except with respect to matters involving non-employee Directors (“Non-Employee Directors”), the Compensation Committee, provided it is comprised of not less than two members of the Board, each of whom must be Non-Employee Directors as that term is defined in Rule 16b-3(b)(3)(i) of the Exchange Act (the “Committee”).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Powers of the Board/Committee. </w:t>
      </w:r>
      <w:r>
        <w:rPr>
          <w:rFonts w:ascii="Arial" w:cs="Arial" w:eastAsia="Arial" w:hAnsi="Arial"/>
          <w:sz w:val="18"/>
          <w:szCs w:val="18"/>
          <w:color w:val="auto"/>
        </w:rPr>
        <w:t>The Board/Committee has the authority, subject to the provisions of the 2017 RSU Plan, to establish, adopt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revise such rules, regulations and forms and agreements and to interpret the 2017 RSU Plan and make all determinations relating to the 2017 RSU Plan as it may deem necessary or advisable. The Board/Committee also has the authority, subject to the provisions of the 2017 RSU Plan, to delegate ministerial, day-to-day administrative details and non-discretionary duties and functions to officers and employees of the Company. In the administration of the 2017 RSU Plan with respect to Non-Employee Directors, the Board has all of the authority and discretion otherwise granted to the Committee with respect to the administration of the 2017 RSU Plan. All decisions, determinations and interpretations of the Board/Committee are binding and conclusive on participants in the 2017 RSU Plan and on their legal representatives and beneficiaries.</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Director Participation in the RSU Plan. </w:t>
      </w:r>
      <w:r>
        <w:rPr>
          <w:rFonts w:ascii="Arial" w:cs="Arial" w:eastAsia="Arial" w:hAnsi="Arial"/>
          <w:sz w:val="17"/>
          <w:szCs w:val="17"/>
          <w:color w:val="auto"/>
        </w:rPr>
        <w:t>Non-Employee Directors are eligible to receive RSU grants under the 2017 RSU Plan, and it is expected that</w:t>
      </w:r>
      <w:r>
        <w:rPr>
          <w:rFonts w:ascii="Arial" w:cs="Arial" w:eastAsia="Arial" w:hAnsi="Arial"/>
          <w:sz w:val="17"/>
          <w:szCs w:val="17"/>
          <w:i w:val="1"/>
          <w:iCs w:val="1"/>
          <w:color w:val="auto"/>
        </w:rPr>
        <w:t xml:space="preserve"> </w:t>
      </w:r>
      <w:r>
        <w:rPr>
          <w:rFonts w:ascii="Arial" w:cs="Arial" w:eastAsia="Arial" w:hAnsi="Arial"/>
          <w:sz w:val="17"/>
          <w:szCs w:val="17"/>
          <w:color w:val="auto"/>
        </w:rPr>
        <w:t>RSU awards under the 2017 RSU Plan will represent the annual equity compensation component of Non-Employee Directors’ compensation.</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RSU Plan Eligibility. </w:t>
      </w:r>
      <w:r>
        <w:rPr>
          <w:rFonts w:ascii="Arial" w:cs="Arial" w:eastAsia="Arial" w:hAnsi="Arial"/>
          <w:sz w:val="17"/>
          <w:szCs w:val="17"/>
          <w:color w:val="auto"/>
        </w:rPr>
        <w:t>RSUs may be granted to any of the Company’s Non-Employee Directors, any of the Company’s employees or consultants, or</w:t>
      </w:r>
      <w:r>
        <w:rPr>
          <w:rFonts w:ascii="Arial" w:cs="Arial" w:eastAsia="Arial" w:hAnsi="Arial"/>
          <w:sz w:val="17"/>
          <w:szCs w:val="17"/>
          <w:i w:val="1"/>
          <w:iCs w:val="1"/>
          <w:color w:val="auto"/>
        </w:rPr>
        <w:t xml:space="preserve"> </w:t>
      </w:r>
      <w:r>
        <w:rPr>
          <w:rFonts w:ascii="Arial" w:cs="Arial" w:eastAsia="Arial" w:hAnsi="Arial"/>
          <w:sz w:val="17"/>
          <w:szCs w:val="17"/>
          <w:color w:val="auto"/>
        </w:rPr>
        <w:t>any employees or consultants of any of the Company’s subsidiary corporations, including officers (collectively, “Eligible Participants”). For purposes of the 2017 RSU Plan employees or consultants of the Company also mean employees or consultants of the Company’s subsidiary. As of March 30, 2018 all of the Company’s 14 full-time employees and four Non-Employee Directors of the Company will be eligible participants (“Participants”) in the 2017 RSU Plan. Any Eligible Participant who has been granted an RSU may be granted additional RSUs. The RSU Plan does not confer any rights upon any Participant with respect to continuation of employment or service as an employee, consultant or a Non-Employee Director.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RSU Award Agreement. </w:t>
      </w:r>
      <w:r>
        <w:rPr>
          <w:rFonts w:ascii="Arial" w:cs="Arial" w:eastAsia="Arial" w:hAnsi="Arial"/>
          <w:sz w:val="18"/>
          <w:szCs w:val="18"/>
          <w:color w:val="auto"/>
        </w:rPr>
        <w:t>Each RSU granted under the 2017 RSU Plan is evidenced by a written award agreement (“RSU Award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contains the terms and conditions of the specific RSU granted.</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Vesting of RSUs. </w:t>
      </w:r>
      <w:r>
        <w:rPr>
          <w:rFonts w:ascii="Arial" w:cs="Arial" w:eastAsia="Arial" w:hAnsi="Arial"/>
          <w:sz w:val="17"/>
          <w:szCs w:val="17"/>
          <w:color w:val="auto"/>
        </w:rPr>
        <w:t>RSUs generally vest as set forth in the RSU Award Agreement. In addition, unless expressly provided otherwise in the RSU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each RSU immediately vests and is nonforfeitable to the Participant upon the occurrence of any of the following events:</w:t>
      </w:r>
    </w:p>
    <w:p>
      <w:pPr>
        <w:spacing w:after="0" w:line="147" w:lineRule="exact"/>
        <w:rPr>
          <w:sz w:val="20"/>
          <w:szCs w:val="20"/>
          <w:color w:val="auto"/>
        </w:rPr>
      </w:pPr>
    </w:p>
    <w:p>
      <w:pPr>
        <w:jc w:val="both"/>
        <w:ind w:firstLine="656"/>
        <w:spacing w:after="0" w:line="286" w:lineRule="auto"/>
        <w:tabs>
          <w:tab w:leader="none" w:pos="9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Participant’s service as an employee of the Company is terminated by the Company without Cause (as defined) or due to the Participant’s death or disability (as defined), or in the case of a Non-Employee Director, upon the Participant’s death or Disability or if the Participant is not renominated as a director (other than for “Cause” or refusal to stand for re-election) or is not elected by the Company’s stockholders, if nominated; or</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qualifying change of control, referred to as a Change in Control-Plan (as defined in the 2017 RSU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Accelerated vesting does not directly translate into accelerated distribution of shares subject to an RSU Award. For instance if the Company terminates an employee’s employment without Cause, such employee’s RSUs will immediately vest (unless otherwise provided in the RSU Award Agreement) but, absent a qualifying change of control the employee will not commence to receive the shares underlying his RSU award until the scheduled distribution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Distribution of Shares Underlying RSUs. </w:t>
      </w:r>
      <w:r>
        <w:rPr>
          <w:rFonts w:ascii="Arial" w:cs="Arial" w:eastAsia="Arial" w:hAnsi="Arial"/>
          <w:sz w:val="16"/>
          <w:szCs w:val="16"/>
          <w:color w:val="auto"/>
        </w:rPr>
        <w:t>Under the 2017 RSU Plan, (unless an award provides otherwise, vesting is accelerated as provided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under “Vesting of RSUs” or a Change of Control-Plan occurs as described below), stock underlying vested RSUs is generally distributed on the first business day of the year after they vest. Hence, if an award to a Non-Employee Director vests as scheduled in full over four quarters during 2018, it will be generally be distributed the first business day of January 2019. However, the Company may set other distribution dates, with respect to awards to Participants, including Non-Employee Directors. Under the 2014 RSU Plan Non-Employee Directors (but not other Participants) could designate the length of the deferrals. This is not the case with the 2017 RSU Plan, where only the Company can set the distribution dates for all Participants. Non-Employee-Directors may elect to take payment in cash instead of stock for up to 40% of the RSUs in an award (rendering such RSUs as “Cash Settled RSUs”). With respect to Participants for whom the Company is required to withhold taxes (generally employees) the Company may mandate such Participants or such Participants may elect that the Company withhold stock otherwise payable on exchange of an RSU to pay withholding taxes (this differs from the 2014 RSU Plan where the Company could not mandate withholding stock to pay withholding taxes). The cash payment election or withholding election may be made at anytime before distribution, but any such cash payment or withholding is subject to any limits on redemption under any preferred stock, loan or other financing agreement. Under the Company’s current loan agreement with Oxford Finance LLC, there is an annual limit of $350,000 (“Redemption Limit”) on the amount of redemptions the Company may make (which includes payment on Cash Settled RSUs, withholding of stock for taxes and par value). The Company has the option of establishing a RSU award that defers distributions to a Participant, including in installments (e.g., 25% of RSUs to be paid in 2019, 2020, 2021 and 2022). If a Change of Control-Plan which is also a Change in Control-409A occurs, all vested shares of common stock underlying an RSU (after payment or withholding of $0.01 per share par value) will be distributed by the Company to the holder of the RSU at or about the time of the Change in Control-Plan. No dividends accrue on shares of common stock underlying RSUs prior to distribution. Participants need not be employees, consultants or directors of the Company on a distribution date. A Change in Control-409A for distribution purposes is generally the same as a Change in Control-Plan for vesting purposes, except that in order to have a Change in Control-409A for distribution purposes, a change in control qualifying under Section 409A of the Code must occur. In lieu of requiring cash payment of par value, the Company may, in its discretion or shall at the Participant’s request, accept payment of any such par value by withholding from stock payments a number of whole shares of stock whose value is equal to the amount of such par value, provided the same does not cause the Redemption Limit to be exceeded.</w:t>
      </w:r>
    </w:p>
    <w:p>
      <w:pPr>
        <w:spacing w:after="0" w:line="3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Non Transferability of RSUs. </w:t>
      </w:r>
      <w:r>
        <w:rPr>
          <w:rFonts w:ascii="Arial" w:cs="Arial" w:eastAsia="Arial" w:hAnsi="Arial"/>
          <w:sz w:val="16"/>
          <w:szCs w:val="16"/>
          <w:color w:val="auto"/>
        </w:rPr>
        <w:t>RSUs may not be sold, pledged, assigned, hypothecated, transferred, or disposed of in any manner by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or by the laws of descent or distribution and the Committee may, in its discretion, authorize all or a portion of the RSUs to be granted to a Participant to be on terms which permit transfer by such Participant to (i) the spouse, children or grandchildren of the awardee (the “Immediate Family Members”), (ii) a trust or trusts for the exclusive benefit of such Immediate Family Members, or (iii) a partnership in which such Immediate Family Members are the only partners, provided that (x) there may be no consideration for any such transfer, (y) subsequent transfers of transferred RSUs shall be prohibited except those made by will or by the laws of descent or distribution, and (z) such transfer is approved in advance by the Committee (or Board in absence of a Committee). A married Participant may generally designate only a spouse as a beneficiary unless spousal consent is obtained.</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Termination of Status as an Employee or Non-Employee Director. </w:t>
      </w:r>
      <w:r>
        <w:rPr>
          <w:rFonts w:ascii="Arial" w:cs="Arial" w:eastAsia="Arial" w:hAnsi="Arial"/>
          <w:sz w:val="18"/>
          <w:szCs w:val="18"/>
          <w:color w:val="auto"/>
        </w:rPr>
        <w:t>See “Vesting of RSUs”, above for a discussion of vesting upon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service as a Non-Employee Director.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Dividend and Voting Rights. </w:t>
      </w:r>
      <w:r>
        <w:rPr>
          <w:rFonts w:ascii="Arial" w:cs="Arial" w:eastAsia="Arial" w:hAnsi="Arial"/>
          <w:sz w:val="18"/>
          <w:szCs w:val="18"/>
          <w:color w:val="auto"/>
        </w:rPr>
        <w:t>Unless other provided in an RSU Award Agreement, Participants have no dividend rights and no voting rights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shares underlying RSUs until the RSUs settle in shares of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and Termination of the RSU Plan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terminate and, without shareholder approval, unless the same is required by the rules of the exchange where the Company’s stock trades, or applicable law, amend the 2017 RSU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Adjustments upon Changes in Capitalization or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or in contemplation of any reclassification, recapitalization, stock split (including a stock split in the form of a stock dividend) or reverse stock split; any merger, combination, consolidation or other reorganization; any split-up; spin-off, or similar extraordinary dividend distribution with respect to the common stock (whether in the form of securities or property); any exchange of stock or other securities of the Company, or any similar, unusual or extraordinary corporate transaction with respect to the common stock; or a sale of substantially all the assets of the Company as an entirety; then the Board shall proportionately adjust any or all of (a) the number and type of shares of common stock (or other securities or property) that thereafter may be made the subject of RSUs, (b) the number, amount and type of shares of common stock (or other securities or property) payable with respect to RSUs, and (c) and the number and type of RSUs (both credited and vested) under the 2017 RSU Plan.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b w:val="1"/>
          <w:bCs w:val="1"/>
          <w:color w:val="auto"/>
        </w:rPr>
        <w:t>Outstanding Equity Awards at 2017 Year 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information regarding outstanding restricted stock unit and stock option awards at December 31, 2017 for each of the 2017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 Awards</w:t>
            </w: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(in Form of Restricted</w:t>
            </w:r>
          </w:p>
        </w:tc>
      </w:tr>
      <w:tr>
        <w:trPr>
          <w:trHeight w:val="234"/>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Stock Option Awards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 Units)</w:t>
            </w: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Market value</w:t>
            </w: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4080" w:type="dxa"/>
            <w:vAlign w:val="bottom"/>
          </w:tcPr>
          <w:p>
            <w:pPr>
              <w:spacing w:after="0"/>
              <w:rPr>
                <w:sz w:val="18"/>
                <w:szCs w:val="18"/>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 Units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units of stock</w:t>
            </w: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Options (#)</w:t>
            </w:r>
          </w:p>
        </w:tc>
        <w:tc>
          <w:tcPr>
            <w:tcW w:w="1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Options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that have not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that have not</w:t>
            </w:r>
          </w:p>
        </w:tc>
      </w:tr>
      <w:tr>
        <w:trPr>
          <w:trHeight w:val="234"/>
        </w:trPr>
        <w:tc>
          <w:tcPr>
            <w:tcW w:w="4080" w:type="dxa"/>
            <w:vAlign w:val="bottom"/>
          </w:tcPr>
          <w:p>
            <w:pPr>
              <w:ind w:left="18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Unexercisable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vested(3)</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vested(4)</w:t>
            </w: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B. Jones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04/06/2018</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41,000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05/23/2018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04/23/2019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12/13/2022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27,500</w:t>
            </w:r>
          </w:p>
        </w:tc>
        <w:tc>
          <w:tcPr>
            <w:tcW w:w="2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50,400</w:t>
            </w:r>
          </w:p>
        </w:tc>
        <w:tc>
          <w:tcPr>
            <w:tcW w:w="2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12/10/2024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12/09/2025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25,458(1)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21,542(1)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12/09/2026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47,000(2)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08/08/2022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Peter A. Clemens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49.35</w:t>
            </w:r>
          </w:p>
        </w:tc>
        <w:tc>
          <w:tcPr>
            <w:tcW w:w="20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0"/>
              </w:rPr>
              <w:t>05/23/2018</w:t>
            </w:r>
          </w:p>
        </w:tc>
        <w:tc>
          <w:tcPr>
            <w:tcW w:w="132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28,000</w:t>
            </w:r>
          </w:p>
        </w:tc>
        <w:tc>
          <w:tcPr>
            <w:tcW w:w="11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10,898</w:t>
            </w: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31.45</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04/23/2019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12/15/2020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12/14/2021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12/13/2022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12/10/2024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12/09/2025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18,417(1)</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15,558(1)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0.915</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12/09/2026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34,000(2)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08/08/2022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Albert W. Brzeczko</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19,200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02/08/2019</w:t>
            </w:r>
          </w:p>
        </w:tc>
        <w:tc>
          <w:tcPr>
            <w:tcW w:w="13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28,000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10,898</w:t>
            </w: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12/14/2021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12/13/2022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28,800</w:t>
            </w:r>
          </w:p>
        </w:tc>
        <w:tc>
          <w:tcPr>
            <w:tcW w:w="2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12/10/2024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12/09/2025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12/09/2026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08/08/2022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-3703955</wp:posOffset>
            </wp:positionV>
            <wp:extent cx="1551940" cy="1097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51940" cy="109791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-822960</wp:posOffset>
            </wp:positionV>
            <wp:extent cx="1414780" cy="823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14780" cy="823595"/>
                    </a:xfrm>
                    <a:prstGeom prst="rect">
                      <a:avLst/>
                    </a:prstGeom>
                    <a:noFill/>
                  </pic:spPr>
                </pic:pic>
              </a:graphicData>
            </a:graphic>
          </wp:anchor>
        </w:drawing>
      </w:r>
    </w:p>
    <w:p>
      <w:pPr>
        <w:spacing w:after="0" w:line="185" w:lineRule="exact"/>
        <w:rPr>
          <w:sz w:val="20"/>
          <w:szCs w:val="20"/>
          <w:color w:val="auto"/>
        </w:rPr>
      </w:pPr>
    </w:p>
    <w:p>
      <w:pPr>
        <w:ind w:left="1040" w:hanging="343"/>
        <w:spacing w:after="0" w:line="186" w:lineRule="auto"/>
        <w:tabs>
          <w:tab w:leader="none" w:pos="1040" w:val="left"/>
        </w:tabs>
        <w:numPr>
          <w:ilvl w:val="0"/>
          <w:numId w:val="34"/>
        </w:numPr>
        <w:rPr>
          <w:rFonts w:ascii="Arial" w:cs="Arial" w:eastAsia="Arial" w:hAnsi="Arial"/>
          <w:sz w:val="36"/>
          <w:szCs w:val="36"/>
          <w:color w:val="auto"/>
          <w:vertAlign w:val="superscript"/>
        </w:rPr>
      </w:pPr>
      <w:r>
        <w:rPr>
          <w:rFonts w:ascii="Arial" w:cs="Arial" w:eastAsia="Arial" w:hAnsi="Arial"/>
          <w:sz w:val="18"/>
          <w:szCs w:val="18"/>
          <w:color w:val="auto"/>
        </w:rPr>
        <w:t>1/24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total option issuance (vested and unvested) becomes exercisable on the last day of each month after issuance, and under certain other circumstances.</w:t>
      </w:r>
    </w:p>
    <w:p>
      <w:pPr>
        <w:spacing w:after="0" w:line="2" w:lineRule="exact"/>
        <w:rPr>
          <w:rFonts w:ascii="Arial" w:cs="Arial" w:eastAsia="Arial" w:hAnsi="Arial"/>
          <w:sz w:val="36"/>
          <w:szCs w:val="36"/>
          <w:color w:val="auto"/>
          <w:vertAlign w:val="superscript"/>
        </w:rPr>
      </w:pPr>
    </w:p>
    <w:p>
      <w:pPr>
        <w:ind w:left="1040" w:hanging="343"/>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on August 9, 2018.</w:t>
      </w:r>
    </w:p>
    <w:p>
      <w:pPr>
        <w:spacing w:after="0" w:line="9" w:lineRule="exact"/>
        <w:rPr>
          <w:rFonts w:ascii="Arial" w:cs="Arial" w:eastAsia="Arial" w:hAnsi="Arial"/>
          <w:sz w:val="18"/>
          <w:szCs w:val="18"/>
          <w:color w:val="auto"/>
        </w:rPr>
      </w:pPr>
    </w:p>
    <w:p>
      <w:pPr>
        <w:jc w:val="both"/>
        <w:ind w:left="1040" w:hanging="343"/>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Stock Units vest on December 11, 2018 or earlier under certain circumstances. Distributions in respect of vested Restricted Stock Units will be made in three equal installments on the first business day of each of January 2020, 2021, and 2022 or earlier upon a qualifying change of control which also meets certain criteria of Section 409A of the Internal Revenue Code.</w:t>
      </w:r>
    </w:p>
    <w:p>
      <w:pPr>
        <w:spacing w:after="0" w:line="1" w:lineRule="exact"/>
        <w:rPr>
          <w:rFonts w:ascii="Arial" w:cs="Arial" w:eastAsia="Arial" w:hAnsi="Arial"/>
          <w:sz w:val="18"/>
          <w:szCs w:val="18"/>
          <w:color w:val="auto"/>
        </w:rPr>
      </w:pPr>
    </w:p>
    <w:p>
      <w:pPr>
        <w:ind w:left="1040" w:hanging="343"/>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market price of $0.40 at December 29, 2017, less $0.01 par value, multiplied by number of units.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sets forth a summary of the compensation paid by us to our Directors (other than Robert Jones, whose compensation, is reflected in the Summary Compensation Table) for services rendered in all capacities to us during the fiscal year ended December 31,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5"/>
          </w:tcPr>
          <w:p>
            <w:pPr>
              <w:ind w:left="120"/>
              <w:spacing w:after="0"/>
              <w:rPr>
                <w:sz w:val="20"/>
                <w:szCs w:val="20"/>
                <w:color w:val="auto"/>
              </w:rPr>
            </w:pPr>
            <w:r>
              <w:rPr>
                <w:rFonts w:ascii="Arial" w:cs="Arial" w:eastAsia="Arial" w:hAnsi="Arial"/>
                <w:sz w:val="18"/>
                <w:szCs w:val="18"/>
                <w:b w:val="1"/>
                <w:bCs w:val="1"/>
                <w:color w:val="auto"/>
              </w:rPr>
              <w:t>2017 DIRECTOR COMPENSATION</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Stock Awards</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(in form of</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Fees Earned or Paid in</w:t>
            </w:r>
          </w:p>
        </w:tc>
        <w:tc>
          <w:tcPr>
            <w:tcW w:w="80" w:type="dxa"/>
            <w:vAlign w:val="bottom"/>
          </w:tcPr>
          <w:p>
            <w:pPr>
              <w:spacing w:after="0"/>
              <w:rPr>
                <w:sz w:val="19"/>
                <w:szCs w:val="19"/>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Restricted Stock</w:t>
            </w:r>
          </w:p>
        </w:tc>
        <w:tc>
          <w:tcPr>
            <w:tcW w:w="1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Option 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(2)</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ind w:left="1540"/>
              <w:spacing w:after="0"/>
              <w:rPr>
                <w:sz w:val="20"/>
                <w:szCs w:val="20"/>
                <w:color w:val="auto"/>
              </w:rPr>
            </w:pPr>
            <w:r>
              <w:rPr>
                <w:rFonts w:ascii="Arial" w:cs="Arial" w:eastAsia="Arial" w:hAnsi="Arial"/>
                <w:sz w:val="18"/>
                <w:szCs w:val="18"/>
                <w:b w:val="1"/>
                <w:bCs w:val="1"/>
                <w:color w:val="auto"/>
              </w:rPr>
              <w:t>Director</w:t>
            </w:r>
          </w:p>
        </w:tc>
        <w:tc>
          <w:tcPr>
            <w:tcW w:w="220" w:type="dxa"/>
            <w:vAlign w:val="bottom"/>
          </w:tcPr>
          <w:p>
            <w:pPr>
              <w:spacing w:after="0"/>
              <w:rPr>
                <w:sz w:val="23"/>
                <w:szCs w:val="23"/>
                <w:color w:val="auto"/>
              </w:rPr>
            </w:pPr>
          </w:p>
        </w:tc>
        <w:tc>
          <w:tcPr>
            <w:tcW w:w="210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Cash ($)</w:t>
            </w:r>
          </w:p>
        </w:tc>
        <w:tc>
          <w:tcPr>
            <w:tcW w:w="80" w:type="dxa"/>
            <w:vAlign w:val="bottom"/>
          </w:tcPr>
          <w:p>
            <w:pPr>
              <w:spacing w:after="0"/>
              <w:rPr>
                <w:sz w:val="23"/>
                <w:szCs w:val="23"/>
                <w:color w:val="auto"/>
              </w:rPr>
            </w:pPr>
          </w:p>
        </w:tc>
        <w:tc>
          <w:tcPr>
            <w:tcW w:w="1680" w:type="dxa"/>
            <w:vAlign w:val="bottom"/>
            <w:gridSpan w:val="2"/>
          </w:tcPr>
          <w:p>
            <w:pPr>
              <w:jc w:val="center"/>
              <w:ind w:right="380"/>
              <w:spacing w:after="0" w:line="269" w:lineRule="exact"/>
              <w:rPr>
                <w:sz w:val="20"/>
                <w:szCs w:val="20"/>
                <w:color w:val="auto"/>
              </w:rPr>
            </w:pPr>
            <w:r>
              <w:rPr>
                <w:rFonts w:ascii="Arial" w:cs="Arial" w:eastAsia="Arial" w:hAnsi="Arial"/>
                <w:sz w:val="18"/>
                <w:szCs w:val="18"/>
                <w:b w:val="1"/>
                <w:bCs w:val="1"/>
                <w:color w:val="auto"/>
                <w:w w:val="88"/>
              </w:rPr>
              <w:t>Units)($)</w:t>
            </w:r>
            <w:r>
              <w:rPr>
                <w:rFonts w:ascii="Arial" w:cs="Arial" w:eastAsia="Arial" w:hAnsi="Arial"/>
                <w:sz w:val="30"/>
                <w:szCs w:val="30"/>
                <w:b w:val="1"/>
                <w:bCs w:val="1"/>
                <w:color w:val="auto"/>
                <w:w w:val="88"/>
                <w:vertAlign w:val="superscript"/>
              </w:rPr>
              <w:t>(1)</w:t>
            </w:r>
          </w:p>
        </w:tc>
        <w:tc>
          <w:tcPr>
            <w:tcW w:w="190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G. Skelly</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560"/>
              <w:spacing w:after="0"/>
              <w:rPr>
                <w:sz w:val="20"/>
                <w:szCs w:val="20"/>
                <w:color w:val="auto"/>
              </w:rPr>
            </w:pPr>
            <w:r>
              <w:rPr>
                <w:rFonts w:ascii="Arial" w:cs="Arial" w:eastAsia="Arial" w:hAnsi="Arial"/>
                <w:sz w:val="18"/>
                <w:szCs w:val="18"/>
                <w:color w:val="auto"/>
              </w:rPr>
              <w:t>42,500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9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15"/>
        </w:trPr>
        <w:tc>
          <w:tcPr>
            <w:tcW w:w="39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Immanuel Thangaraj</w:t>
            </w:r>
          </w:p>
        </w:tc>
        <w:tc>
          <w:tcPr>
            <w:tcW w:w="220" w:type="dxa"/>
            <w:vAlign w:val="bottom"/>
            <w:shd w:val="clear" w:color="auto" w:fill="CCEEFF"/>
          </w:tcPr>
          <w:p>
            <w:pPr>
              <w:spacing w:after="0"/>
              <w:rPr>
                <w:sz w:val="20"/>
                <w:szCs w:val="20"/>
                <w:color w:val="auto"/>
              </w:rPr>
            </w:pPr>
            <w:r>
              <w:rPr>
                <w:rFonts w:ascii="Arial" w:cs="Arial" w:eastAsia="Arial" w:hAnsi="Arial"/>
                <w:sz w:val="1"/>
                <w:szCs w:val="1"/>
                <w:color w:val="auto"/>
              </w:rPr>
              <w:t>$</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
                <w:szCs w:val="1"/>
                <w:color w:val="auto"/>
              </w:rPr>
              <w:t>28,750</w:t>
            </w:r>
          </w:p>
        </w:tc>
        <w:tc>
          <w:tcPr>
            <w:tcW w:w="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
                <w:szCs w:val="1"/>
                <w:color w:val="auto"/>
              </w:rPr>
              <w:t>50,000</w:t>
            </w:r>
          </w:p>
        </w:tc>
        <w:tc>
          <w:tcPr>
            <w:tcW w:w="1900" w:type="dxa"/>
            <w:vAlign w:val="bottom"/>
            <w:gridSpan w:val="2"/>
            <w:shd w:val="clear" w:color="auto" w:fill="CCEEFF"/>
          </w:tcPr>
          <w:p>
            <w:pPr>
              <w:ind w:left="1420"/>
              <w:spacing w:after="0"/>
              <w:rPr>
                <w:sz w:val="20"/>
                <w:szCs w:val="20"/>
                <w:color w:val="auto"/>
              </w:rPr>
            </w:pPr>
            <w:r>
              <w:rPr>
                <w:rFonts w:ascii="Arial" w:cs="Arial" w:eastAsia="Arial" w:hAnsi="Arial"/>
                <w:sz w:val="1"/>
                <w:szCs w:val="1"/>
                <w:color w:val="auto"/>
              </w:rPr>
              <w:t>—</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
                <w:sz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78,750</w:t>
            </w:r>
          </w:p>
        </w:tc>
        <w:tc>
          <w:tcPr>
            <w:tcW w:w="0" w:type="dxa"/>
            <w:vAlign w:val="bottom"/>
          </w:tcPr>
          <w:p>
            <w:pPr>
              <w:spacing w:after="0" w:line="20" w:lineRule="exact"/>
              <w:rPr>
                <w:sz w:val="1"/>
                <w:szCs w:val="1"/>
                <w:color w:val="auto"/>
              </w:rPr>
            </w:pPr>
          </w:p>
        </w:tc>
      </w:tr>
      <w:tr>
        <w:trPr>
          <w:trHeight w:val="201"/>
        </w:trPr>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560"/>
              <w:spacing w:after="0"/>
              <w:rPr>
                <w:sz w:val="20"/>
                <w:szCs w:val="20"/>
                <w:color w:val="auto"/>
              </w:rPr>
            </w:pPr>
            <w:r>
              <w:rPr>
                <w:rFonts w:ascii="Arial" w:cs="Arial" w:eastAsia="Arial" w:hAnsi="Arial"/>
                <w:sz w:val="18"/>
                <w:szCs w:val="18"/>
                <w:color w:val="auto"/>
              </w:rPr>
              <w:t>52,500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9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grant date fair value of restricted stock units, or RSUs with respect to the 59,523 RSUs granted to Messrs. Skelly, Wesson, Thangaraj and Ross under our 2014 RSU Plan based on a closing price of $0.84 on January 3, 2017.</w:t>
      </w:r>
    </w:p>
    <w:p>
      <w:pPr>
        <w:spacing w:after="0" w:line="170" w:lineRule="exact"/>
        <w:rPr>
          <w:rFonts w:ascii="Arial" w:cs="Arial" w:eastAsia="Arial" w:hAnsi="Arial"/>
          <w:sz w:val="18"/>
          <w:szCs w:val="18"/>
          <w:color w:val="auto"/>
        </w:rPr>
      </w:pPr>
    </w:p>
    <w:p>
      <w:pPr>
        <w:jc w:val="both"/>
        <w:ind w:left="1000"/>
        <w:spacing w:after="0" w:line="264" w:lineRule="auto"/>
        <w:rPr>
          <w:rFonts w:ascii="Arial" w:cs="Arial" w:eastAsia="Arial" w:hAnsi="Arial"/>
          <w:sz w:val="18"/>
          <w:szCs w:val="18"/>
          <w:color w:val="auto"/>
        </w:rPr>
      </w:pPr>
      <w:r>
        <w:rPr>
          <w:rFonts w:ascii="Arial" w:cs="Arial" w:eastAsia="Arial" w:hAnsi="Arial"/>
          <w:sz w:val="18"/>
          <w:szCs w:val="18"/>
          <w:color w:val="auto"/>
        </w:rPr>
        <w:t>Each director realized $8,800 on March 31, 2017, $8,184 on June 30, 2017, $6,547 on September 30, 2017 and $5,803 on December 31, 2017 as a result of the vesting of 14,880.75 RSUs on each of such dates (based on closing prices of our common stock of $0.60 on March 31, 2017, $0.56 on June 30, 2017, $0.45 on September 29, 2017 and $0.40 on December 29, 2017).</w:t>
      </w:r>
    </w:p>
    <w:p>
      <w:pPr>
        <w:spacing w:after="0" w:line="181" w:lineRule="exact"/>
        <w:rPr>
          <w:rFonts w:ascii="Arial" w:cs="Arial" w:eastAsia="Arial" w:hAnsi="Arial"/>
          <w:sz w:val="18"/>
          <w:szCs w:val="18"/>
          <w:color w:val="auto"/>
        </w:rPr>
      </w:pPr>
    </w:p>
    <w:p>
      <w:pPr>
        <w:jc w:val="both"/>
        <w:ind w:left="1000"/>
        <w:spacing w:after="0" w:line="276" w:lineRule="auto"/>
        <w:rPr>
          <w:rFonts w:ascii="Arial" w:cs="Arial" w:eastAsia="Arial" w:hAnsi="Arial"/>
          <w:sz w:val="18"/>
          <w:szCs w:val="18"/>
          <w:color w:val="auto"/>
        </w:rPr>
      </w:pPr>
      <w:r>
        <w:rPr>
          <w:rFonts w:ascii="Arial" w:cs="Arial" w:eastAsia="Arial" w:hAnsi="Arial"/>
          <w:sz w:val="17"/>
          <w:szCs w:val="17"/>
          <w:color w:val="auto"/>
        </w:rPr>
        <w:t>Additionally, in January 2017, Mr. Skelly exchanged 13,216 RSUs at $0.01 par value per share, for 13,216 shares of common stock and exchanged 8,810 RSUs for approximately $6,800 in cash. In January 2017, Mr. Wesson exchanged 22,026 RSUs at $0.01 par value per share, for 22,026 shares of common stock. In January 2017, Mr. Thangaraj exchanged 13,216 RSUs at $0.01 par value per share, for 13,216 shares of common stock and exchanged 8,810 RSUs for approximately $6,800 in cash. In January 2017, Mr. Ross exchanged 735 RSUs at $0.01 par value per share, for 735 shares of common stock and exchanged 490 RSUs for approximately $400 in cash.</w:t>
      </w:r>
    </w:p>
    <w:p>
      <w:pPr>
        <w:spacing w:after="0" w:line="172" w:lineRule="exact"/>
        <w:rPr>
          <w:rFonts w:ascii="Arial" w:cs="Arial" w:eastAsia="Arial" w:hAnsi="Arial"/>
          <w:sz w:val="18"/>
          <w:szCs w:val="18"/>
          <w:color w:val="auto"/>
        </w:rPr>
      </w:pPr>
    </w:p>
    <w:p>
      <w:pPr>
        <w:ind w:left="100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2017, Messrs. Skelly and Wesson, Thangaraj each held 59,523 fully vested RSUs and Mr. Ross held 82,774 fully vested RSUs.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of Messrs. Skelly, Wesson, Thangaraj and Ross held vested options with respect to 18,000 underlying shares as of December 31, 2017.</w:t>
      </w:r>
    </w:p>
    <w:p>
      <w:pPr>
        <w:spacing w:after="0" w:line="244"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Committee and board meeting attendance fees waived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fees paid to Mr. Thangaraj are remitted to Essex Woodlands.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Our Director compensation program is as follows:</w:t>
      </w:r>
    </w:p>
    <w:p>
      <w:pPr>
        <w:spacing w:after="0" w:line="225"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retainer for each non-employee director of $30,000;</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separate Board meeting fees;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additional retainer for the Chairman of the Board (unfilled at present) of $20,000;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Committee members receive a retainer of $7,500 per year (with no separate per meeting fee);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Committee Chairperson receives an additional annual retainer of $10,000 (in addition to the $7,500 retainer as an Audit Committee member);</w:t>
      </w: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Committee members receive an annual retainer of $5,000 with no separate per meeting fee;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Committee Chairperson receives a $5,000 annual retainer (in addition to the $5,000 retainer for Compensation Committee members); and</w:t>
      </w: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Transaction Committee Members receive a $250 per meeting fee.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retainer fees are payable in four equal installments at the end of each calendar quarter during the year.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commencing in 2014 Directors receive annual equity awards valued at $50,000 in the form of stock options or RSUs. For RSUs this is determined by dividing $50,000 by the (i) greater of the Company’s closing stock price on the date of grant, and (ii) the minimum stock price (if any) imposed by the Board. For the 2014 and 2016 award there was no minimum stock price. For the 2015 award the minimum stock price was set at $4.85, and as a result Directors received less than $50,000 of value. For the 2017 award, in which each director received 59,523 RSUs, the minimum stock price was set at $0.83, but as the closing price of the stock on the date of grant was higher, and the directors received the full $50,000 of value. For 2018, the Board has decided there will be a minimum stock price or floor of $0.75 and as a result each nonemployee director received 66,666 Restricted Stock Units on January 2, 2018. For 2019 and beyond the floor will be $1.00, in each case, subject to reevaluation by the Board. Directors who are also our employees receive no additional or special remuneration for their services as Directors. We also reimburse Directors for travel and lodging expenses, if any, incurred in connection with attendance at Board meetings.</w:t>
      </w:r>
    </w:p>
    <w:p>
      <w:pPr>
        <w:spacing w:after="0" w:line="193" w:lineRule="exact"/>
        <w:rPr>
          <w:sz w:val="20"/>
          <w:szCs w:val="20"/>
          <w:color w:val="auto"/>
        </w:rPr>
      </w:pPr>
    </w:p>
    <w:p>
      <w:pPr>
        <w:jc w:val="both"/>
        <w:ind w:left="780" w:hanging="769"/>
        <w:spacing w:after="0" w:line="282" w:lineRule="auto"/>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sets forth information regarding the beneficial ownership of the common stock, as of March 15, 2018, for individuals or entities in the following categories: (i) each of the Company’s Directors; (ii) the Company’s principal executive officer, and the next two highest paid executive officers of the Company whose total annual compensation for 2017 exceeded $100,000 (the “2017 named executive officers”); (iii) all Directors and executive officers as a group; and (iv) each person known by the Company to be a beneficial owner of more than 5% of the common stock. Unless indicated otherwise, each of the shareholders has sole voting and investment power with respect to the shares beneficially owned. At March 30, 2018, there were 21,033,528 shares of our common stock outstanding. Shares of common stock issuable pursuant to stock options, warrants and restricted stock units exercisable or exchangeable within 60 days are deemed outstanding and held by the holder of such options warrants or restricted stock units for computing the percentage of the person holding such options, warrants or restricted stock units, but are not deemed outstanding for computing the percentage of any other person. There were no restricted stock units exchangeable within 60 days of March 15, 2018.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tbl>
      <w:tblPr>
        <w:tblLayout w:type="fixed"/>
        <w:tblInd w:w="652" w:type="dxa"/>
        <w:tblCellMar>
          <w:top w:w="0" w:type="dxa"/>
          <w:left w:w="0" w:type="dxa"/>
          <w:bottom w:w="0" w:type="dxa"/>
          <w:right w:w="0" w:type="dxa"/>
        </w:tblCellMar>
      </w:tblPr>
      <w:tr>
        <w:trPr>
          <w:trHeight w:val="345"/>
        </w:trPr>
        <w:tc>
          <w:tcPr>
            <w:tcW w:w="6380" w:type="dxa"/>
            <w:vAlign w:val="bottom"/>
            <w:gridSpan w:val="2"/>
          </w:tcPr>
          <w:p>
            <w:pPr>
              <w:ind w:left="2080"/>
              <w:spacing w:after="0"/>
              <w:rPr>
                <w:sz w:val="20"/>
                <w:szCs w:val="20"/>
                <w:color w:val="auto"/>
              </w:rPr>
            </w:pPr>
            <w:r>
              <w:rPr>
                <w:rFonts w:ascii="Arial" w:cs="Arial" w:eastAsia="Arial" w:hAnsi="Arial"/>
                <w:sz w:val="18"/>
                <w:szCs w:val="18"/>
                <w:b w:val="1"/>
                <w:bCs w:val="1"/>
                <w:color w:val="auto"/>
              </w:rPr>
              <w:t>Name of Beneficial Owner</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Amount Owned</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 xml:space="preserve">Percent of Class </w:t>
            </w:r>
            <w:r>
              <w:rPr>
                <w:rFonts w:ascii="Arial" w:cs="Arial" w:eastAsia="Arial" w:hAnsi="Arial"/>
                <w:sz w:val="30"/>
                <w:szCs w:val="30"/>
                <w:b w:val="1"/>
                <w:bCs w:val="1"/>
                <w:color w:val="auto"/>
                <w:w w:val="84"/>
                <w:vertAlign w:val="superscript"/>
              </w:rPr>
              <w:t>(1)</w:t>
            </w:r>
          </w:p>
        </w:tc>
        <w:tc>
          <w:tcPr>
            <w:tcW w:w="0" w:type="dxa"/>
            <w:vAlign w:val="bottom"/>
          </w:tcPr>
          <w:p>
            <w:pPr>
              <w:spacing w:after="0"/>
              <w:rPr>
                <w:sz w:val="1"/>
                <w:szCs w:val="1"/>
                <w:color w:val="auto"/>
              </w:rPr>
            </w:pPr>
          </w:p>
        </w:tc>
      </w:tr>
      <w:tr>
        <w:trPr>
          <w:trHeight w:val="195"/>
        </w:trPr>
        <w:tc>
          <w:tcPr>
            <w:tcW w:w="6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John Schutte</w:t>
            </w:r>
          </w:p>
        </w:tc>
        <w:tc>
          <w:tcPr>
            <w:tcW w:w="1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MainPointe Pharmaceuticals, LLC</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E. Main Street</w:t>
            </w:r>
          </w:p>
        </w:tc>
        <w:tc>
          <w:tcPr>
            <w:tcW w:w="170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10,695,186</w:t>
            </w:r>
          </w:p>
        </w:tc>
        <w:tc>
          <w:tcPr>
            <w:tcW w:w="1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9"/>
        </w:trPr>
        <w:tc>
          <w:tcPr>
            <w:tcW w:w="6380" w:type="dxa"/>
            <w:vAlign w:val="bottom"/>
            <w:gridSpan w:val="2"/>
            <w:shd w:val="clear" w:color="auto" w:fill="CCEEFF"/>
          </w:tcPr>
          <w:p>
            <w:pPr>
              <w:spacing w:after="0" w:line="30" w:lineRule="exact"/>
              <w:rPr>
                <w:sz w:val="20"/>
                <w:szCs w:val="20"/>
                <w:color w:val="auto"/>
              </w:rPr>
            </w:pPr>
            <w:r>
              <w:rPr>
                <w:rFonts w:ascii="Arial" w:cs="Arial" w:eastAsia="Arial" w:hAnsi="Arial"/>
                <w:sz w:val="3"/>
                <w:szCs w:val="3"/>
                <w:color w:val="auto"/>
              </w:rPr>
              <w:t>Louisville, KY 40202</w:t>
            </w:r>
          </w:p>
        </w:tc>
        <w:tc>
          <w:tcPr>
            <w:tcW w:w="1700" w:type="dxa"/>
            <w:vAlign w:val="bottom"/>
            <w:gridSpan w:val="2"/>
            <w:vMerge w:val="continue"/>
            <w:shd w:val="clear" w:color="auto" w:fill="CCEEFF"/>
          </w:tcPr>
          <w:p>
            <w:pPr>
              <w:spacing w:after="0"/>
              <w:rPr>
                <w:sz w:val="2"/>
                <w:szCs w:val="2"/>
                <w:color w:val="auto"/>
              </w:rPr>
            </w:pPr>
          </w:p>
        </w:tc>
        <w:tc>
          <w:tcPr>
            <w:tcW w:w="162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(2)</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rPr>
              <w:t>Essex Woodlands Health Ventures Fund V, L.P.</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21 Waterway Avenue, Suite 225</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Woodlands, TX 77380</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1,956,357</w:t>
            </w:r>
            <w:r>
              <w:rPr>
                <w:rFonts w:ascii="Arial" w:cs="Arial" w:eastAsia="Arial" w:hAnsi="Arial"/>
                <w:sz w:val="15"/>
                <w:szCs w:val="15"/>
                <w:color w:val="auto"/>
              </w:rPr>
              <w:t>(3)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5"/>
        </w:trPr>
        <w:tc>
          <w:tcPr>
            <w:tcW w:w="6380" w:type="dxa"/>
            <w:vAlign w:val="bottom"/>
            <w:gridSpan w:val="2"/>
            <w:shd w:val="clear" w:color="auto" w:fill="CCEEFF"/>
          </w:tcPr>
          <w:p>
            <w:pPr>
              <w:spacing w:after="0"/>
              <w:rPr>
                <w:sz w:val="20"/>
                <w:szCs w:val="20"/>
                <w:color w:val="auto"/>
              </w:rPr>
            </w:pPr>
            <w:r>
              <w:rPr>
                <w:rFonts w:ascii="Arial" w:cs="Arial" w:eastAsia="Arial" w:hAnsi="Arial"/>
                <w:sz w:val="1"/>
                <w:szCs w:val="1"/>
                <w:color w:val="auto"/>
              </w:rPr>
              <w:t>Robert B. Jones</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
                <w:szCs w:val="1"/>
                <w:color w:val="auto"/>
              </w:rPr>
              <w:t>747,746</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3.5%</w:t>
            </w:r>
          </w:p>
        </w:tc>
        <w:tc>
          <w:tcPr>
            <w:tcW w:w="0" w:type="dxa"/>
            <w:vAlign w:val="bottom"/>
          </w:tcPr>
          <w:p>
            <w:pPr>
              <w:spacing w:after="0" w:line="20" w:lineRule="exact"/>
              <w:rPr>
                <w:sz w:val="1"/>
                <w:szCs w:val="1"/>
                <w:color w:val="auto"/>
              </w:rPr>
            </w:pPr>
          </w:p>
        </w:tc>
      </w:tr>
      <w:tr>
        <w:trPr>
          <w:trHeight w:val="190"/>
        </w:trPr>
        <w:tc>
          <w:tcPr>
            <w:tcW w:w="6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(4)</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William G. Skelly</w:t>
            </w:r>
          </w:p>
        </w:tc>
        <w:tc>
          <w:tcPr>
            <w:tcW w:w="1700" w:type="dxa"/>
            <w:vAlign w:val="bottom"/>
            <w:gridSpan w:val="2"/>
            <w:shd w:val="clear" w:color="auto" w:fill="CCEEFF"/>
          </w:tcPr>
          <w:p>
            <w:pPr>
              <w:jc w:val="right"/>
              <w:ind w:right="440"/>
              <w:spacing w:after="0" w:line="27" w:lineRule="exact"/>
              <w:rPr>
                <w:sz w:val="20"/>
                <w:szCs w:val="20"/>
                <w:color w:val="auto"/>
              </w:rPr>
            </w:pPr>
            <w:r>
              <w:rPr>
                <w:rFonts w:ascii="Arial" w:cs="Arial" w:eastAsia="Arial" w:hAnsi="Arial"/>
                <w:sz w:val="3"/>
                <w:szCs w:val="3"/>
                <w:color w:val="auto"/>
              </w:rPr>
              <w:t>202,868</w:t>
            </w:r>
          </w:p>
        </w:tc>
        <w:tc>
          <w:tcPr>
            <w:tcW w:w="16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1.0%</w:t>
            </w:r>
          </w:p>
        </w:tc>
        <w:tc>
          <w:tcPr>
            <w:tcW w:w="0" w:type="dxa"/>
            <w:vAlign w:val="bottom"/>
          </w:tcPr>
          <w:p>
            <w:pPr>
              <w:spacing w:after="0" w:line="20" w:lineRule="exact"/>
              <w:rPr>
                <w:sz w:val="1"/>
                <w:szCs w:val="1"/>
                <w:color w:val="auto"/>
              </w:rPr>
            </w:pPr>
          </w:p>
        </w:tc>
      </w:tr>
      <w:tr>
        <w:trPr>
          <w:trHeight w:val="190"/>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260"/>
              <w:spacing w:after="0"/>
              <w:rPr>
                <w:sz w:val="20"/>
                <w:szCs w:val="20"/>
                <w:color w:val="auto"/>
              </w:rPr>
            </w:pPr>
            <w:r>
              <w:rPr>
                <w:rFonts w:ascii="Arial" w:cs="Arial" w:eastAsia="Arial" w:hAnsi="Arial"/>
                <w:sz w:val="15"/>
                <w:szCs w:val="15"/>
                <w:color w:val="auto"/>
              </w:rPr>
              <w:t>(5)</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Bruce F. Wesson</w:t>
            </w:r>
          </w:p>
        </w:tc>
        <w:tc>
          <w:tcPr>
            <w:tcW w:w="1700" w:type="dxa"/>
            <w:vAlign w:val="bottom"/>
            <w:gridSpan w:val="2"/>
            <w:shd w:val="clear" w:color="auto" w:fill="CCEEFF"/>
          </w:tcPr>
          <w:p>
            <w:pPr>
              <w:jc w:val="right"/>
              <w:ind w:right="440"/>
              <w:spacing w:after="0" w:line="27" w:lineRule="exact"/>
              <w:rPr>
                <w:sz w:val="20"/>
                <w:szCs w:val="20"/>
                <w:color w:val="auto"/>
              </w:rPr>
            </w:pPr>
            <w:r>
              <w:rPr>
                <w:rFonts w:ascii="Arial" w:cs="Arial" w:eastAsia="Arial" w:hAnsi="Arial"/>
                <w:sz w:val="3"/>
                <w:szCs w:val="3"/>
                <w:color w:val="auto"/>
              </w:rPr>
              <w:t>468,927</w:t>
            </w:r>
          </w:p>
        </w:tc>
        <w:tc>
          <w:tcPr>
            <w:tcW w:w="16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2.2%</w:t>
            </w:r>
          </w:p>
        </w:tc>
        <w:tc>
          <w:tcPr>
            <w:tcW w:w="0" w:type="dxa"/>
            <w:vAlign w:val="bottom"/>
          </w:tcPr>
          <w:p>
            <w:pPr>
              <w:spacing w:after="0" w:line="20" w:lineRule="exact"/>
              <w:rPr>
                <w:sz w:val="1"/>
                <w:szCs w:val="1"/>
                <w:color w:val="auto"/>
              </w:rPr>
            </w:pPr>
          </w:p>
        </w:tc>
      </w:tr>
      <w:tr>
        <w:trPr>
          <w:trHeight w:val="190"/>
        </w:trPr>
        <w:tc>
          <w:tcPr>
            <w:tcW w:w="6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(6)</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Peter A. Clemens</w:t>
            </w:r>
          </w:p>
        </w:tc>
        <w:tc>
          <w:tcPr>
            <w:tcW w:w="1700" w:type="dxa"/>
            <w:vAlign w:val="bottom"/>
            <w:gridSpan w:val="2"/>
            <w:shd w:val="clear" w:color="auto" w:fill="CCEEFF"/>
          </w:tcPr>
          <w:p>
            <w:pPr>
              <w:jc w:val="right"/>
              <w:ind w:right="440"/>
              <w:spacing w:after="0" w:line="27" w:lineRule="exact"/>
              <w:rPr>
                <w:sz w:val="20"/>
                <w:szCs w:val="20"/>
                <w:color w:val="auto"/>
              </w:rPr>
            </w:pPr>
            <w:r>
              <w:rPr>
                <w:rFonts w:ascii="Arial" w:cs="Arial" w:eastAsia="Arial" w:hAnsi="Arial"/>
                <w:sz w:val="3"/>
                <w:szCs w:val="3"/>
                <w:color w:val="auto"/>
              </w:rPr>
              <w:t>549,215</w:t>
            </w:r>
          </w:p>
        </w:tc>
        <w:tc>
          <w:tcPr>
            <w:tcW w:w="16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2.6%</w:t>
            </w:r>
          </w:p>
        </w:tc>
        <w:tc>
          <w:tcPr>
            <w:tcW w:w="0" w:type="dxa"/>
            <w:vAlign w:val="bottom"/>
          </w:tcPr>
          <w:p>
            <w:pPr>
              <w:spacing w:after="0" w:line="20" w:lineRule="exact"/>
              <w:rPr>
                <w:sz w:val="1"/>
                <w:szCs w:val="1"/>
                <w:color w:val="auto"/>
              </w:rPr>
            </w:pPr>
          </w:p>
        </w:tc>
      </w:tr>
      <w:tr>
        <w:trPr>
          <w:trHeight w:val="190"/>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260"/>
              <w:spacing w:after="0"/>
              <w:rPr>
                <w:sz w:val="20"/>
                <w:szCs w:val="20"/>
                <w:color w:val="auto"/>
              </w:rPr>
            </w:pPr>
            <w:r>
              <w:rPr>
                <w:rFonts w:ascii="Arial" w:cs="Arial" w:eastAsia="Arial" w:hAnsi="Arial"/>
                <w:sz w:val="15"/>
                <w:szCs w:val="15"/>
                <w:color w:val="auto"/>
              </w:rPr>
              <w:t>(7)</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Immanuel Thangaraj</w:t>
            </w:r>
          </w:p>
        </w:tc>
        <w:tc>
          <w:tcPr>
            <w:tcW w:w="1700" w:type="dxa"/>
            <w:vAlign w:val="bottom"/>
            <w:gridSpan w:val="2"/>
            <w:shd w:val="clear" w:color="auto" w:fill="CCEEFF"/>
          </w:tcPr>
          <w:p>
            <w:pPr>
              <w:jc w:val="right"/>
              <w:ind w:right="440"/>
              <w:spacing w:after="0" w:line="27" w:lineRule="exact"/>
              <w:rPr>
                <w:sz w:val="20"/>
                <w:szCs w:val="20"/>
                <w:color w:val="auto"/>
              </w:rPr>
            </w:pPr>
            <w:r>
              <w:rPr>
                <w:rFonts w:ascii="Arial" w:cs="Arial" w:eastAsia="Arial" w:hAnsi="Arial"/>
                <w:sz w:val="3"/>
                <w:szCs w:val="3"/>
                <w:color w:val="auto"/>
              </w:rPr>
              <w:t>74,526</w:t>
            </w:r>
          </w:p>
        </w:tc>
        <w:tc>
          <w:tcPr>
            <w:tcW w:w="16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6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(8)</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Albert W. Brzeczko</w:t>
            </w:r>
          </w:p>
        </w:tc>
        <w:tc>
          <w:tcPr>
            <w:tcW w:w="1700" w:type="dxa"/>
            <w:vAlign w:val="bottom"/>
            <w:gridSpan w:val="2"/>
            <w:shd w:val="clear" w:color="auto" w:fill="CCEEFF"/>
          </w:tcPr>
          <w:p>
            <w:pPr>
              <w:jc w:val="right"/>
              <w:ind w:right="440"/>
              <w:spacing w:after="0" w:line="27" w:lineRule="exact"/>
              <w:rPr>
                <w:sz w:val="20"/>
                <w:szCs w:val="20"/>
                <w:color w:val="auto"/>
              </w:rPr>
            </w:pPr>
            <w:r>
              <w:rPr>
                <w:rFonts w:ascii="Arial" w:cs="Arial" w:eastAsia="Arial" w:hAnsi="Arial"/>
                <w:sz w:val="3"/>
                <w:szCs w:val="3"/>
                <w:color w:val="auto"/>
              </w:rPr>
              <w:t>481,191</w:t>
            </w:r>
          </w:p>
        </w:tc>
        <w:tc>
          <w:tcPr>
            <w:tcW w:w="16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2.3%</w:t>
            </w:r>
          </w:p>
        </w:tc>
        <w:tc>
          <w:tcPr>
            <w:tcW w:w="0" w:type="dxa"/>
            <w:vAlign w:val="bottom"/>
          </w:tcPr>
          <w:p>
            <w:pPr>
              <w:spacing w:after="0" w:line="20" w:lineRule="exact"/>
              <w:rPr>
                <w:sz w:val="1"/>
                <w:szCs w:val="1"/>
                <w:color w:val="auto"/>
              </w:rPr>
            </w:pPr>
          </w:p>
        </w:tc>
      </w:tr>
      <w:tr>
        <w:trPr>
          <w:trHeight w:val="190"/>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260"/>
              <w:spacing w:after="0"/>
              <w:rPr>
                <w:sz w:val="20"/>
                <w:szCs w:val="20"/>
                <w:color w:val="auto"/>
              </w:rPr>
            </w:pPr>
            <w:r>
              <w:rPr>
                <w:rFonts w:ascii="Arial" w:cs="Arial" w:eastAsia="Arial" w:hAnsi="Arial"/>
                <w:sz w:val="15"/>
                <w:szCs w:val="15"/>
                <w:color w:val="auto"/>
              </w:rPr>
              <w:t>(9)</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gridSpan w:val="2"/>
            <w:shd w:val="clear" w:color="auto" w:fill="CCEEFF"/>
          </w:tcPr>
          <w:p>
            <w:pPr>
              <w:spacing w:after="0" w:line="27" w:lineRule="exact"/>
              <w:rPr>
                <w:sz w:val="20"/>
                <w:szCs w:val="20"/>
                <w:color w:val="auto"/>
              </w:rPr>
            </w:pPr>
            <w:r>
              <w:rPr>
                <w:rFonts w:ascii="Arial" w:cs="Arial" w:eastAsia="Arial" w:hAnsi="Arial"/>
                <w:sz w:val="3"/>
                <w:szCs w:val="3"/>
                <w:color w:val="auto"/>
              </w:rPr>
              <w:t>George K. Ross</w:t>
            </w:r>
          </w:p>
        </w:tc>
        <w:tc>
          <w:tcPr>
            <w:tcW w:w="1700" w:type="dxa"/>
            <w:vAlign w:val="bottom"/>
            <w:gridSpan w:val="2"/>
            <w:shd w:val="clear" w:color="auto" w:fill="CCEEFF"/>
          </w:tcPr>
          <w:p>
            <w:pPr>
              <w:jc w:val="right"/>
              <w:ind w:right="440"/>
              <w:spacing w:after="0" w:line="27" w:lineRule="exact"/>
              <w:rPr>
                <w:sz w:val="20"/>
                <w:szCs w:val="20"/>
                <w:color w:val="auto"/>
              </w:rPr>
            </w:pPr>
            <w:r>
              <w:rPr>
                <w:rFonts w:ascii="Arial" w:cs="Arial" w:eastAsia="Arial" w:hAnsi="Arial"/>
                <w:sz w:val="3"/>
                <w:szCs w:val="3"/>
                <w:color w:val="auto"/>
              </w:rPr>
              <w:t>159,339</w:t>
            </w:r>
          </w:p>
        </w:tc>
        <w:tc>
          <w:tcPr>
            <w:tcW w:w="1620" w:type="dxa"/>
            <w:vAlign w:val="bottom"/>
            <w:gridSpan w:val="2"/>
            <w:shd w:val="clear" w:color="auto" w:fill="CCEEFF"/>
          </w:tcPr>
          <w:p>
            <w:pPr>
              <w:jc w:val="right"/>
              <w:ind w:right="20"/>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201"/>
        </w:trPr>
        <w:tc>
          <w:tcPr>
            <w:tcW w:w="6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(10)</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(9 persons)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3,652,397</w:t>
            </w:r>
            <w:r>
              <w:rPr>
                <w:rFonts w:ascii="Arial" w:cs="Arial" w:eastAsia="Arial" w:hAnsi="Arial"/>
                <w:sz w:val="15"/>
                <w:szCs w:val="15"/>
                <w:color w:val="auto"/>
              </w:rPr>
              <w:t>(11)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2" w:hanging="132"/>
        <w:spacing w:after="0"/>
        <w:tabs>
          <w:tab w:leader="none" w:pos="1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Company’s common stock.</w:t>
      </w:r>
    </w:p>
    <w:p>
      <w:pPr>
        <w:spacing w:after="0" w:line="225" w:lineRule="exact"/>
        <w:rPr>
          <w:rFonts w:ascii="Arial" w:cs="Arial" w:eastAsia="Arial" w:hAnsi="Arial"/>
          <w:sz w:val="18"/>
          <w:szCs w:val="18"/>
          <w:color w:val="auto"/>
        </w:rPr>
      </w:pPr>
    </w:p>
    <w:p>
      <w:pPr>
        <w:jc w:val="both"/>
        <w:ind w:left="1292" w:hanging="644"/>
        <w:spacing w:after="0" w:line="286" w:lineRule="auto"/>
        <w:tabs>
          <w:tab w:leader="none" w:pos="1292" w:val="left"/>
        </w:tabs>
        <w:numPr>
          <w:ilvl w:val="1"/>
          <w:numId w:val="37"/>
        </w:numPr>
        <w:rPr>
          <w:rFonts w:ascii="Arial" w:cs="Arial" w:eastAsia="Arial" w:hAnsi="Arial"/>
          <w:sz w:val="17"/>
          <w:szCs w:val="17"/>
          <w:color w:val="auto"/>
        </w:rPr>
      </w:pPr>
      <w:r>
        <w:rPr>
          <w:rFonts w:ascii="Arial" w:cs="Arial" w:eastAsia="Arial" w:hAnsi="Arial"/>
          <w:sz w:val="17"/>
          <w:szCs w:val="17"/>
          <w:color w:val="auto"/>
        </w:rPr>
        <w:t>Shows percentage ownership assuming (i) such party converts all of its currently convertible securities or securities convertible within 60 days of March 15, 2018 into the Company’s common stock, and (ii) no other Company security holder converts any of its convertible securities. No shares held by any Director or 2017 named executive officer has been pledged as collateral security.</w:t>
      </w:r>
    </w:p>
    <w:p>
      <w:pPr>
        <w:spacing w:after="0" w:line="165" w:lineRule="exact"/>
        <w:rPr>
          <w:rFonts w:ascii="Arial" w:cs="Arial" w:eastAsia="Arial" w:hAnsi="Arial"/>
          <w:sz w:val="17"/>
          <w:szCs w:val="17"/>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warrants to purchase 1,782,531shares held by Mr. Schutte.</w:t>
      </w:r>
    </w:p>
    <w:p>
      <w:pPr>
        <w:spacing w:after="0" w:line="225" w:lineRule="exact"/>
        <w:rPr>
          <w:rFonts w:ascii="Arial" w:cs="Arial" w:eastAsia="Arial" w:hAnsi="Arial"/>
          <w:sz w:val="18"/>
          <w:szCs w:val="18"/>
          <w:color w:val="auto"/>
        </w:rPr>
      </w:pPr>
    </w:p>
    <w:p>
      <w:pPr>
        <w:jc w:val="both"/>
        <w:ind w:left="1292" w:right="20" w:hanging="644"/>
        <w:spacing w:after="0" w:line="279" w:lineRule="auto"/>
        <w:tabs>
          <w:tab w:leader="none" w:pos="1292" w:val="left"/>
        </w:tabs>
        <w:numPr>
          <w:ilvl w:val="1"/>
          <w:numId w:val="37"/>
        </w:numPr>
        <w:rPr>
          <w:rFonts w:ascii="Arial" w:cs="Arial" w:eastAsia="Arial" w:hAnsi="Arial"/>
          <w:sz w:val="17"/>
          <w:szCs w:val="17"/>
          <w:color w:val="auto"/>
        </w:rPr>
      </w:pPr>
      <w:r>
        <w:rPr>
          <w:rFonts w:ascii="Arial" w:cs="Arial" w:eastAsia="Arial" w:hAnsi="Arial"/>
          <w:sz w:val="17"/>
          <w:szCs w:val="17"/>
          <w:color w:val="auto"/>
        </w:rPr>
        <w:t>Mr. Thangaraj is the Board designee of Essex Woodlands Health Ventures Fund V, L.P. (“Essex”). Essex Woodlands Health Ventures V, L.L.C., a Delaware limited liability company is the general partner of Essex. Martin P. Sutter and Immanuel Thangaraj may be deemed to have shared dispositive power and voting power with respect to the securities held by the Essex. Messrs. Sutter and Thangaraj disclaim beneficial ownership of such securities except to the extent of their respective pecuniary interests therein.</w:t>
      </w:r>
    </w:p>
    <w:p>
      <w:pPr>
        <w:spacing w:after="0" w:line="171" w:lineRule="exact"/>
        <w:rPr>
          <w:rFonts w:ascii="Arial" w:cs="Arial" w:eastAsia="Arial" w:hAnsi="Arial"/>
          <w:sz w:val="17"/>
          <w:szCs w:val="17"/>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335,191 shares subject to stock options exercisable within 60 days of March 15, 2018. Does not include RSUs.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2018. Does not include RSUs.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2018. Does not include RSUs.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194,082 shares subject to stock options exercisable within 60 days of March 15, 2018. Does not include RSUs.</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2018. Mr. Thangaraj’s holdings do not include securities held by Essex. Mr. Thangaraj disclaims beneficial ownership in securities held by Essex except to the extent of his pecuniary interest therein. Does not include RSUs.</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Includes 165,191 shares subject to stock options exercisable within 60 days of March 15, 2018. Does not include RSUs.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34" w:right="239" w:bottom="1440" w:gutter="0" w:footer="0" w:header="0"/>
        </w:sectPr>
      </w:pPr>
    </w:p>
    <w:bookmarkStart w:id="91" w:name="page92"/>
    <w:bookmarkEnd w:id="91"/>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18,000 shares subject to stock options exercisable within 60 days of March 15, 2018. Does not include RSUs.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972,899 shares which Directors and executive officers have the right to acquire within 60 days of March 15, 2018 through exercise of outstanding stock options. Does not include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includes information as of December 31, 2017 relating to our 1998 Stock Option Plan, our 2008 Stock Option Plan, our 2016 Stock Option Plan, our 2014 Restricted Stock Unit Award Plan, and our 2017 Restricted Stock Award Plan, which comprise all of our equity compensation plans. The table provides the number of securities to be issued upon the exercise of outstanding options and distributions under outstanding Restricted Stock Unit Awards under such plans, the weighted-average exercise price of outstanding options and the number of securities remaining available for future issuance under such equity compensation plans: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 Securities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Exercise Price of</w:t>
            </w:r>
          </w:p>
        </w:tc>
        <w:tc>
          <w:tcPr>
            <w:tcW w:w="2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 Options,</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6"/>
              </w:rPr>
              <w:t>Outstanding Options,</w:t>
            </w:r>
          </w:p>
        </w:tc>
        <w:tc>
          <w:tcPr>
            <w:tcW w:w="1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(Excluding Securities</w:t>
            </w: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 Rights</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Warrants and Rights</w:t>
            </w:r>
          </w:p>
        </w:tc>
        <w:tc>
          <w:tcPr>
            <w:tcW w:w="1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Reflected in Column a</w:t>
            </w:r>
          </w:p>
        </w:tc>
      </w:tr>
      <w:tr>
        <w:trPr>
          <w:trHeight w:val="234"/>
        </w:trPr>
        <w:tc>
          <w:tcPr>
            <w:tcW w:w="5260" w:type="dxa"/>
            <w:vAlign w:val="bottom"/>
            <w:gridSpan w:val="2"/>
          </w:tcPr>
          <w:p>
            <w:pPr>
              <w:ind w:left="1980"/>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(Column a)</w:t>
            </w:r>
          </w:p>
        </w:tc>
        <w:tc>
          <w:tcPr>
            <w:tcW w:w="10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(Column b)</w:t>
            </w:r>
          </w:p>
        </w:tc>
        <w:tc>
          <w:tcPr>
            <w:tcW w:w="14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(Column c)</w:t>
            </w:r>
          </w:p>
        </w:tc>
      </w:tr>
      <w:tr>
        <w:trPr>
          <w:trHeight w:val="195"/>
        </w:trPr>
        <w:tc>
          <w:tcPr>
            <w:tcW w:w="5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Stock Option Equity Compensation Plans Approved by Security</w:t>
            </w:r>
          </w:p>
        </w:tc>
        <w:tc>
          <w:tcPr>
            <w:tcW w:w="1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1,493,949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12.33</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245,478</w:t>
            </w: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w w:val="97"/>
              </w:rPr>
              <w:t>Stock Option Equity Compensation Plans Not Approved by Security</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Restricted Stock Unit Equity Compensation Plans Approved by</w:t>
            </w: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461,343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1,061,908</w:t>
            </w: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w w:val="98"/>
              </w:rPr>
              <w:t>Restricted Stock Unit Equity Compensation Plans Not Approved by</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26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1,955,292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1,307,386</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5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and certain investors are party to a Voting Agreement. As amended in October 2012 (but prior to the 2017 amendment), the Voting Agreement provided our Board of Directors will be comprised of not more than seven (7) members one of whom shall be the CEO, three of whom would be independent under Nasdaq standards, and that each of Galen, Care Capital Investments II, LP (“Care Capital”) and Essex had the right to designate one director as a member of our Board of Directors as long as such shareholder held 600,000 shares of our common stock (including warrants to purchase shares), provided that once such shareholder no longer held such securities, the additional forfeited seat would become a seat for an independent director to thereafter be nominated and elected to the Board of Directors from time to time by the then current directors and, as applicable to be elected by the directors to fill the vacancy created by the forfeited seat or submitted to the Company’s shareholders at the next annual meeting. The Voting Agreement provided that if the majority of the Board of Directors were not independent under Nasdaq Marketplace Rules then, the Board would be expanded so that additional independent directors would be added. At the time of the October 2012 amendment, Messrs. Azad, Markham and Thangaraj, became the designees of Galen, Care Capital and Essex, respectively, as successors to GCE Holdings, LLC (an entity controlled by Galen, Care and Essex). Mr. Azad resigned effective December 31, 2012 and has not been replaced by Galen. Mr. Markham resigned effective March 11, 2013 and was never replaced by Care Capital. Neither Care Capital nor Galen is currently entitled to designate a director as they no longer hold the requisite amount of our equity. In addition, Essex has (and Galen and Care Capital had) the right to designate a member to any committee of our Board of Directors, provided that in the case of the Audit and Compensation committees they are independent under applicable NASDAQ rules.</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Mr. Schutte is chief executive officer and owner of MainPointe Pharmaceuticals, LLC. (“MainPointe”), a Kentucky limited liability company. In March 2017, prior to Mr. Schutte becoming a shareholder, we entered into a License, Commercialization and Option Agreement (the “MainPointe Agreement”) with MainPointe to commercialize Nexafed® and Nexafed® Sinus Pressure + Pain in the United States and Canada. Nexafed® and Nexafed® Sinus Pressure + Pain utilize our Impede technology and were previously marketed by us in the United States. Our Impede technology is directed at minimizing the extraction and conversion of pseudoephedrine, or PSE, into methamphetamine. Under the terms of the Agreement we transferred existing inventory and equipment relating to such products to MainPointe and licensed our Impede technology intellectual property rights to MainPointe for such products as well as certain future PSE-containing products. MainPointe is responsible for all development, manufacturing and commercialization activities with respect to products covered by the Agreement.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signing, MainPointe paid us an upfront licensing fee of $2.5 million plus approximately $425,000 for inventory and equipment being transferred. We will receive a 7.5% royalty on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MainPointe has the option to expand the territory beyond the United States and Canada to the European Union (and the United Kingdom), Japan and South Korea for payments of $1.0 million, $500,000 and $250,000, respectively. In addition, MainPointe has the option to add to the Agreement certain additional products, or Option Products, containing PSE and utilizing the Impede technology for a fee of $500,000 per product (for all such product strengths).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both"/>
        <w:ind w:firstLine="648"/>
        <w:spacing w:after="0" w:line="286" w:lineRule="auto"/>
        <w:rPr>
          <w:sz w:val="20"/>
          <w:szCs w:val="20"/>
          <w:color w:val="auto"/>
        </w:rPr>
      </w:pPr>
      <w:r>
        <w:rPr>
          <w:rFonts w:ascii="Arial" w:cs="Arial" w:eastAsia="Arial" w:hAnsi="Arial"/>
          <w:sz w:val="16"/>
          <w:szCs w:val="16"/>
          <w:color w:val="auto"/>
        </w:rPr>
        <w:t>On July 24, 2017 we completed the sale to Mr. Schutte of 8,912,655 shares and warrants to purchase 1,782,531 shares exercisable at $0.528 per share and expiring in July 23, 2022 for $4 million and amended the Voting Agreement described above (as so amended the “Second Amended and Restated Voting Agreement”) in connection with that purchase The Second Amended and Restated Voting Agreement was entered into following Care Capital’s no longer holding 600,000 shares but prior to Galen’s no longer holding 600,000 shares. The Second Amended and Restated Voting Agreement provides that our Board of Directors will be comprised of not more than seven (7) members , one of whom shall be the CEO, three of whom would be independent under Nasdaq standards, and that each of Galen, John Schutte and Essex had the right to designate one director as a member of our Board of Directors as long as such shareholder continues to hold 600,000 shares of our common stock (including warrants to purchase shares), provided that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The Second Amended and Restated Voting Agreement provides that in the event the majority of the Board of Directors were not independent under Nasdaq Marketplace Rules then, the Board would be expanded so that additional independent directors would be added. In addition, each of Galen, Essex and John Schutte has the right to designate a member to any committee of our Board of Directors, provided that in the case of the Audit and Compensation committees they are independent under applicable NASDAQ rules. As of late December, 2017, Galen no longer held the requisite amount of shares (when it completed the sale of 2,195,734 shares, at a price of $0.10 per share, severally to various officers, employees and non-employee directors of the Company) to designate a director to the Board or a Committee, a right which it had not recently exercised.</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second quarter of 2018, we borrowed a total of $1.0 million from John Schutte and issued a promissory note, or the Schutte Note, in that principal amount to him. The Schutte Note bears interest at prime plus 2.0%, and matures on January 2, 2020, at which time all principal and interest is due, and is unsecured until all of our obligations to Oxford are satisfied, at which time we are required to grant Mr. Schutte a security interest in all of our assets. Events of Default under the Schutte Note are limited to bankruptcy defaults and failure to pay interest and principal when due on January 2, 2020. In addition, Mr. Schutte and Oxford Finance, LLC, or Oxford, entered into a subordination agreement, approved by us and APT pursuant to which Mr. Schutte subordinated the Schutte Note to our obligations to Oxford under our loan and security agreement with Oxford, or the Loan Agreement. The Schutte Note may be prepaid at any time in whole or in part at any time, however while Oxford’s loan is outstanding such prepayment will require Oxford’s consent. Also, in connection with the loan, we and Oxford entered into a fourth amendment to the Loan Agreement, or the Fourth Amendment. Pursuant to the Fourth Amendment, Oxford provided a waiver of compliance with the unqualified audit opinion covenant in connection with our receipt of our auditor’s opinion with a going concern explanatory paragraph for our 2017 financial statements and allowed us to deliver financial statements up to 160 days after year end, instead of up to 120 days after year end.</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Board has not adopted formalized written policies and procedures for the review or approval of related party transactions. As a matter of practice, however, our Board has required that all related party transactions, be subject to review and approval by a committee of independent directors established by the Board. The Board’s practice is to evaluate whether a related party (including a director, officer, employee, Galen, Essex or other significant shareholder) will have a direct or indirect interest in a transaction in which we may be a party. Where the Board determines that such proposed transaction involves a related party, the Board formally establishes a committee comprised solely of independent directors to review and evaluate such proposed transaction, or the Independent Committee. The Independent Committee is authorized to review any and all information it deems necessary and appropriate to evaluate the fairness of the transaction to us and our shareholders (other than the interested related party to such transaction), including meeting with management, retaining third- party experts (including counsel and financial advisors if determined necessary and appropriate by the Independent Committee) and evaluating alternative transactions, if any. The Independent Committee is also empowered to negotiate the terms of such proposed related party transaction on our behalf. The proposed related party transaction may proceed only following the approval and recommendation of the Independent Committee. Following the Independent Committee’s approval, the related party transaction is subject to final review and approval of the Board as a whole, with any interested director abstaining from such action. As the transactions described above with MainPointe and Mr. Schutte did not involve a related party at the time such transactions were entered into, the Board determined that an Independent Committee was not necessary and such transactions were reviewed and approved solely by the Board as a whole. With respect to the $1.0 million loan provided by Mr. Schutte, an independent committee reviewed and approved the transaction.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assessing the independence of our Board members, our Board has reviewed and analyzed the standards for independence required under the NASDAQ Capital Market, including NASDAQ Marketplace Rule 5605 and applicable SEC regulations. Based on this analysis, our Board has determined that during 2017, each of Messrs. Bruce F. Wesson, Immanuel Thangaraj, William Skelly and George Ross met the standards for independence provided in the listing requirements of the NASDAQ Capital Market and SEC regulations.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has determined that during 2017 with respect to our Compensation Committee that Messrs. Skelly, Wesson, and Thangaraj meet the standards for independence described above and that Messrs. Skelly, Wesson and Thangaraj meet the additional independence standards of NASDAQ Rule 5605 relating to Compensation Committees.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registered independent public accounting firm is BDO USA, LLP. The fees billed by this firm in 2017 and 2016 were as follows: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7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149,898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Tax Fees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63,990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4760" w:type="dxa"/>
            <w:vAlign w:val="bottom"/>
          </w:tcPr>
          <w:p>
            <w:pPr>
              <w:ind w:left="160"/>
              <w:spacing w:after="0"/>
              <w:rPr>
                <w:sz w:val="20"/>
                <w:szCs w:val="20"/>
                <w:color w:val="auto"/>
              </w:rPr>
            </w:pPr>
            <w:r>
              <w:rPr>
                <w:rFonts w:ascii="Arial" w:cs="Arial" w:eastAsia="Arial" w:hAnsi="Arial"/>
                <w:sz w:val="18"/>
                <w:szCs w:val="18"/>
                <w:color w:val="auto"/>
              </w:rPr>
              <w:t>Total for BDO USA, LLP</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190,988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237,548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Audit Fees include professional services rendered in connection with the annual audit of our financial statements, and the review of the financial statements included in our Form 10-Qs for the related periods. Additionally, Audit Fees include other services that only an independent registered public accounting firm can reasonably provide, such as services associated with our SEC registration statements or other documents filed with the SEC or used in connection with financing activities. We had no Audit-Related Fees which would include accounting consultations related to accounting, financial reporting or disclosure matters not classified as Audit Fees.</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Tax Fees include tax compliance, tax advice and tax planning services. These services related to the preparation of various state income tax returns, our federal income tax return, and reviews of IRC Section 382.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Consistent with policies of the SEC regarding auditor independence and the Audit Committee Charter, the Audit Committee has the responsibility for appointing, setting compensation and overseeing the work of the registered independent public accounting firm (the “Firm”). The Audit Committee’s policy is to pre-approve all audit and permissible non-audit services provided by the Firm. Pre-approval is detailed as to the particular service or category of services and is generally subject to a specific budget. The Audit Committee may also pre-approve particular services on a case-by-case basis. In assessing requests for services by the Firm, the Audit Committee considers whether such services are consistent with the Firm’s independence, whether the Firm is likely to provide the most effective and efficient service based upon their familiarity with the Company, and whether the service could enhance the Company’s ability to manage or control risk or improve audit quality.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audit-related, tax and other services provided by BDO USA, LLP in 2017 and 2016 and related fees (as described in the captions above) were approved in advance by the Audit Committee.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Financial Statements: See Index to Consolidated Financial Statements on page F-1.</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 See Exhibits Index on page E-1.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7, 2018</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Robert B. Jones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200" w:type="dxa"/>
            <w:vAlign w:val="bottom"/>
          </w:tcPr>
          <w:p>
            <w:pPr>
              <w:spacing w:after="0"/>
              <w:rPr>
                <w:sz w:val="20"/>
                <w:szCs w:val="20"/>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800" w:type="dxa"/>
            <w:vAlign w:val="bottom"/>
            <w:gridSpan w:val="6"/>
          </w:tcPr>
          <w:p>
            <w:pPr>
              <w:spacing w:after="0"/>
              <w:rPr>
                <w:sz w:val="20"/>
                <w:szCs w:val="20"/>
                <w:color w:val="auto"/>
              </w:rPr>
            </w:pPr>
            <w:r>
              <w:rPr>
                <w:rFonts w:ascii="Arial" w:cs="Arial" w:eastAsia="Arial" w:hAnsi="Arial"/>
                <w:sz w:val="18"/>
                <w:szCs w:val="18"/>
                <w:color w:val="auto"/>
              </w:rPr>
              <w:t>/s/ Robert B. Jones</w:t>
            </w:r>
          </w:p>
        </w:tc>
        <w:tc>
          <w:tcPr>
            <w:tcW w:w="54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2060" w:type="dxa"/>
            <w:vAlign w:val="bottom"/>
            <w:vMerge w:val="restart"/>
          </w:tcPr>
          <w:p>
            <w:pPr>
              <w:ind w:left="1120"/>
              <w:spacing w:after="0"/>
              <w:rPr>
                <w:sz w:val="20"/>
                <w:szCs w:val="20"/>
                <w:color w:val="auto"/>
              </w:rPr>
            </w:pPr>
            <w:r>
              <w:rPr>
                <w:rFonts w:ascii="Arial" w:cs="Arial" w:eastAsia="Arial" w:hAnsi="Arial"/>
                <w:sz w:val="18"/>
                <w:szCs w:val="18"/>
                <w:color w:val="auto"/>
                <w:w w:val="88"/>
              </w:rPr>
              <w:t>June 7, 2018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Robert B. Jones</w:t>
            </w:r>
          </w:p>
        </w:tc>
        <w:tc>
          <w:tcPr>
            <w:tcW w:w="1440" w:type="dxa"/>
            <w:vAlign w:val="bottom"/>
            <w:gridSpan w:val="5"/>
            <w:vMerge w:val="restart"/>
          </w:tcPr>
          <w:p>
            <w:pPr>
              <w:spacing w:after="0"/>
              <w:rPr>
                <w:sz w:val="11"/>
                <w:szCs w:val="11"/>
                <w:color w:val="auto"/>
              </w:rPr>
            </w:pPr>
          </w:p>
        </w:tc>
        <w:tc>
          <w:tcPr>
            <w:tcW w:w="54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542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800" w:type="dxa"/>
            <w:vAlign w:val="bottom"/>
            <w:gridSpan w:val="6"/>
          </w:tcPr>
          <w:p>
            <w:pPr>
              <w:spacing w:after="0"/>
              <w:rPr>
                <w:sz w:val="20"/>
                <w:szCs w:val="20"/>
                <w:color w:val="auto"/>
              </w:rPr>
            </w:pPr>
            <w:r>
              <w:rPr>
                <w:rFonts w:ascii="Arial" w:cs="Arial" w:eastAsia="Arial" w:hAnsi="Arial"/>
                <w:sz w:val="18"/>
                <w:szCs w:val="18"/>
                <w:color w:val="auto"/>
              </w:rPr>
              <w:t>/s/ Peter A. Clemens</w:t>
            </w:r>
          </w:p>
        </w:tc>
        <w:tc>
          <w:tcPr>
            <w:tcW w:w="54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Senior Vice President and Chief Financial Officer</w:t>
            </w:r>
          </w:p>
        </w:tc>
        <w:tc>
          <w:tcPr>
            <w:tcW w:w="2060" w:type="dxa"/>
            <w:vAlign w:val="bottom"/>
            <w:vMerge w:val="restart"/>
          </w:tcPr>
          <w:p>
            <w:pPr>
              <w:ind w:left="1120"/>
              <w:spacing w:after="0"/>
              <w:rPr>
                <w:sz w:val="20"/>
                <w:szCs w:val="20"/>
                <w:color w:val="auto"/>
              </w:rPr>
            </w:pPr>
            <w:r>
              <w:rPr>
                <w:rFonts w:ascii="Arial" w:cs="Arial" w:eastAsia="Arial" w:hAnsi="Arial"/>
                <w:sz w:val="18"/>
                <w:szCs w:val="18"/>
                <w:color w:val="auto"/>
                <w:w w:val="88"/>
              </w:rPr>
              <w:t>June 7, 2018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4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8"/>
                <w:szCs w:val="18"/>
                <w:color w:val="auto"/>
              </w:rPr>
              <w:t>Peter A. Clemens</w:t>
            </w:r>
          </w:p>
        </w:tc>
        <w:tc>
          <w:tcPr>
            <w:tcW w:w="1320" w:type="dxa"/>
            <w:vAlign w:val="bottom"/>
            <w:gridSpan w:val="3"/>
            <w:vMerge w:val="restart"/>
          </w:tcPr>
          <w:p>
            <w:pPr>
              <w:spacing w:after="0"/>
              <w:rPr>
                <w:sz w:val="11"/>
                <w:szCs w:val="11"/>
                <w:color w:val="auto"/>
              </w:rPr>
            </w:pPr>
          </w:p>
        </w:tc>
        <w:tc>
          <w:tcPr>
            <w:tcW w:w="54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2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8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5420" w:type="dxa"/>
            <w:vAlign w:val="bottom"/>
            <w:gridSpan w:val="2"/>
            <w:vMerge w:val="continue"/>
          </w:tcPr>
          <w:p>
            <w:pPr>
              <w:spacing w:after="0"/>
              <w:rPr>
                <w:sz w:val="9"/>
                <w:szCs w:val="9"/>
                <w:color w:val="auto"/>
              </w:rPr>
            </w:pPr>
          </w:p>
        </w:tc>
        <w:tc>
          <w:tcPr>
            <w:tcW w:w="2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 William G. Skelly</w:t>
            </w:r>
          </w:p>
        </w:tc>
        <w:tc>
          <w:tcPr>
            <w:tcW w:w="1260" w:type="dxa"/>
            <w:vAlign w:val="bottom"/>
            <w:gridSpan w:val="2"/>
          </w:tcPr>
          <w:p>
            <w:pPr>
              <w:spacing w:after="0"/>
              <w:rPr>
                <w:sz w:val="24"/>
                <w:szCs w:val="24"/>
                <w:color w:val="auto"/>
              </w:rPr>
            </w:pPr>
          </w:p>
        </w:tc>
        <w:tc>
          <w:tcPr>
            <w:tcW w:w="54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vMerge w:val="restart"/>
          </w:tcPr>
          <w:p>
            <w:pPr>
              <w:ind w:left="1120"/>
              <w:spacing w:after="0"/>
              <w:rPr>
                <w:sz w:val="20"/>
                <w:szCs w:val="20"/>
                <w:color w:val="auto"/>
              </w:rPr>
            </w:pPr>
            <w:r>
              <w:rPr>
                <w:rFonts w:ascii="Arial" w:cs="Arial" w:eastAsia="Arial" w:hAnsi="Arial"/>
                <w:sz w:val="18"/>
                <w:szCs w:val="18"/>
                <w:color w:val="auto"/>
                <w:w w:val="88"/>
              </w:rPr>
              <w:t>June 7, 2018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00" w:type="dxa"/>
            <w:vAlign w:val="bottom"/>
            <w:gridSpan w:val="6"/>
            <w:vMerge w:val="restart"/>
          </w:tcPr>
          <w:p>
            <w:pPr>
              <w:spacing w:after="0"/>
              <w:rPr>
                <w:sz w:val="20"/>
                <w:szCs w:val="20"/>
                <w:color w:val="auto"/>
              </w:rPr>
            </w:pPr>
            <w:r>
              <w:rPr>
                <w:rFonts w:ascii="Arial" w:cs="Arial" w:eastAsia="Arial" w:hAnsi="Arial"/>
                <w:sz w:val="18"/>
                <w:szCs w:val="18"/>
                <w:color w:val="auto"/>
              </w:rPr>
              <w:t>William G. Skelly</w:t>
            </w:r>
          </w:p>
        </w:tc>
        <w:tc>
          <w:tcPr>
            <w:tcW w:w="5420" w:type="dxa"/>
            <w:vAlign w:val="bottom"/>
            <w:gridSpan w:val="2"/>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gridSpan w:val="6"/>
            <w:vMerge w:val="continue"/>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Bruce F Wesson</w:t>
            </w:r>
          </w:p>
        </w:tc>
        <w:tc>
          <w:tcPr>
            <w:tcW w:w="1400" w:type="dxa"/>
            <w:vAlign w:val="bottom"/>
            <w:gridSpan w:val="4"/>
          </w:tcPr>
          <w:p>
            <w:pPr>
              <w:spacing w:after="0"/>
              <w:rPr>
                <w:sz w:val="24"/>
                <w:szCs w:val="24"/>
                <w:color w:val="auto"/>
              </w:rPr>
            </w:pPr>
          </w:p>
        </w:tc>
        <w:tc>
          <w:tcPr>
            <w:tcW w:w="54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vMerge w:val="restart"/>
          </w:tcPr>
          <w:p>
            <w:pPr>
              <w:ind w:left="1120"/>
              <w:spacing w:after="0"/>
              <w:rPr>
                <w:sz w:val="20"/>
                <w:szCs w:val="20"/>
                <w:color w:val="auto"/>
              </w:rPr>
            </w:pPr>
            <w:r>
              <w:rPr>
                <w:rFonts w:ascii="Arial" w:cs="Arial" w:eastAsia="Arial" w:hAnsi="Arial"/>
                <w:sz w:val="18"/>
                <w:szCs w:val="18"/>
                <w:color w:val="auto"/>
                <w:w w:val="88"/>
              </w:rPr>
              <w:t>June 7, 2018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00" w:type="dxa"/>
            <w:vAlign w:val="bottom"/>
            <w:gridSpan w:val="6"/>
            <w:vMerge w:val="restart"/>
          </w:tcPr>
          <w:p>
            <w:pPr>
              <w:spacing w:after="0"/>
              <w:rPr>
                <w:sz w:val="20"/>
                <w:szCs w:val="20"/>
                <w:color w:val="auto"/>
              </w:rPr>
            </w:pPr>
            <w:r>
              <w:rPr>
                <w:rFonts w:ascii="Arial" w:cs="Arial" w:eastAsia="Arial" w:hAnsi="Arial"/>
                <w:sz w:val="18"/>
                <w:szCs w:val="18"/>
                <w:color w:val="auto"/>
              </w:rPr>
              <w:t>Bruce F. Wesson</w:t>
            </w:r>
          </w:p>
        </w:tc>
        <w:tc>
          <w:tcPr>
            <w:tcW w:w="5420" w:type="dxa"/>
            <w:vAlign w:val="bottom"/>
            <w:gridSpan w:val="2"/>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gridSpan w:val="6"/>
            <w:vMerge w:val="continue"/>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800" w:type="dxa"/>
            <w:vAlign w:val="bottom"/>
            <w:gridSpan w:val="6"/>
          </w:tcPr>
          <w:p>
            <w:pPr>
              <w:spacing w:after="0"/>
              <w:rPr>
                <w:sz w:val="20"/>
                <w:szCs w:val="20"/>
                <w:color w:val="auto"/>
              </w:rPr>
            </w:pPr>
            <w:r>
              <w:rPr>
                <w:rFonts w:ascii="Arial" w:cs="Arial" w:eastAsia="Arial" w:hAnsi="Arial"/>
                <w:sz w:val="18"/>
                <w:szCs w:val="18"/>
                <w:color w:val="auto"/>
              </w:rPr>
              <w:t>/s/ George K. Ross</w:t>
            </w:r>
          </w:p>
        </w:tc>
        <w:tc>
          <w:tcPr>
            <w:tcW w:w="54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vMerge w:val="restart"/>
          </w:tcPr>
          <w:p>
            <w:pPr>
              <w:ind w:left="1120"/>
              <w:spacing w:after="0"/>
              <w:rPr>
                <w:sz w:val="20"/>
                <w:szCs w:val="20"/>
                <w:color w:val="auto"/>
              </w:rPr>
            </w:pPr>
            <w:r>
              <w:rPr>
                <w:rFonts w:ascii="Arial" w:cs="Arial" w:eastAsia="Arial" w:hAnsi="Arial"/>
                <w:sz w:val="18"/>
                <w:szCs w:val="18"/>
                <w:color w:val="auto"/>
                <w:w w:val="88"/>
              </w:rPr>
              <w:t>June 7, 2018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George K. Ross</w:t>
            </w:r>
          </w:p>
        </w:tc>
        <w:tc>
          <w:tcPr>
            <w:tcW w:w="1440" w:type="dxa"/>
            <w:vAlign w:val="bottom"/>
            <w:gridSpan w:val="5"/>
            <w:vMerge w:val="restart"/>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vMerge w:val="continue"/>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4"/>
        </w:trPr>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00" w:type="dxa"/>
            <w:vAlign w:val="bottom"/>
            <w:gridSpan w:val="4"/>
          </w:tcPr>
          <w:p>
            <w:pPr>
              <w:ind w:left="1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9">
              <w:r>
                <w:rPr>
                  <w:rFonts w:ascii="Arial" w:cs="Arial" w:eastAsia="Arial" w:hAnsi="Arial"/>
                  <w:sz w:val="18"/>
                  <w:szCs w:val="18"/>
                  <w:color w:val="0000EE"/>
                  <w:w w:val="81"/>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Balance Sheets as of December 31, 2017 and 2016</w:t>
              </w:r>
            </w:hyperlink>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100">
              <w:r>
                <w:rPr>
                  <w:rFonts w:ascii="Arial" w:cs="Arial" w:eastAsia="Arial" w:hAnsi="Arial"/>
                  <w:sz w:val="18"/>
                  <w:szCs w:val="18"/>
                  <w:color w:val="0000EE"/>
                  <w:w w:val="81"/>
                </w:rPr>
                <w:t>F-3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Operations and Comprehensive Loss for the Years ended December 31, 2017 and 2016</w:t>
              </w:r>
            </w:hyperlink>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101">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Stockholders' Equity (Deficit) for the Years ended December 31, 2017 and 2016</w:t>
              </w:r>
            </w:hyperlink>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102">
              <w:r>
                <w:rPr>
                  <w:rFonts w:ascii="Arial" w:cs="Arial" w:eastAsia="Arial" w:hAnsi="Arial"/>
                  <w:sz w:val="18"/>
                  <w:szCs w:val="18"/>
                  <w:color w:val="0000EE"/>
                  <w:w w:val="81"/>
                </w:rPr>
                <w:t>F-5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Statements of Cash Flows for the Years ended December 31, 2017 and 2016</w:t>
              </w:r>
            </w:hyperlink>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103">
              <w:r>
                <w:rPr>
                  <w:rFonts w:ascii="Arial" w:cs="Arial" w:eastAsia="Arial" w:hAnsi="Arial"/>
                  <w:sz w:val="18"/>
                  <w:szCs w:val="18"/>
                  <w:color w:val="0000EE"/>
                  <w:w w:val="81"/>
                </w:rPr>
                <w:t>F-6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Notes to Consolidated Financial Statements</w:t>
              </w:r>
            </w:hyperlink>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105">
              <w:r>
                <w:rPr>
                  <w:rFonts w:ascii="Arial" w:cs="Arial" w:eastAsia="Arial" w:hAnsi="Arial"/>
                  <w:sz w:val="18"/>
                  <w:szCs w:val="18"/>
                  <w:color w:val="0000EE"/>
                  <w:w w:val="81"/>
                </w:rPr>
                <w:t>F-8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8"/>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Supplementary Data - Quarterly Results of Operation (Unaudited)</w:t>
              </w:r>
            </w:hyperlink>
          </w:p>
        </w:tc>
        <w:tc>
          <w:tcPr>
            <w:tcW w:w="1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F-30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760" w:type="dxa"/>
            <w:vAlign w:val="bottom"/>
            <w:tcBorders>
              <w:top w:val="single" w:sz="8" w:color="CCEEFF"/>
              <w:bottom w:val="single" w:sz="8" w:color="auto"/>
            </w:tcBorders>
            <w:gridSpan w:val="4"/>
          </w:tcPr>
          <w:p>
            <w:pPr>
              <w:ind w:left="820"/>
              <w:spacing w:after="0"/>
              <w:rPr>
                <w:sz w:val="20"/>
                <w:szCs w:val="20"/>
                <w:color w:val="auto"/>
              </w:rPr>
            </w:pPr>
            <w:r>
              <w:rPr>
                <w:rFonts w:ascii="Arial" w:cs="Arial" w:eastAsia="Arial" w:hAnsi="Arial"/>
                <w:sz w:val="18"/>
                <w:szCs w:val="18"/>
                <w:color w:val="auto"/>
              </w:rPr>
              <w:t>F-1</w:t>
            </w:r>
          </w:p>
        </w:tc>
        <w:tc>
          <w:tcPr>
            <w:tcW w:w="15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Acura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Acura Pharmaceuticals Inc. (the “Company”) and subsidiary as of December 31, 2017 and 2016, the related consolidated statements of operations and comprehensive loss,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and subsidiary at December 31, 2017 and 2016, and the results of their operations and their cash flows for the years then ended December 31, 2017</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deficiencies in working capital and equity and has not generated positive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7,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2,220</w:t>
            </w:r>
          </w:p>
        </w:tc>
        <w:tc>
          <w:tcPr>
            <w:tcW w:w="34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equivalents (Note 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allowances of $- and $7)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 receivable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Royalty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of allowances of $- and $32) (Note 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(net of accumulated amortization of $776 and $569) (Note 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6)</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interest - current</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Sales returns liability</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 current portion (net of discounts) (Note 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Debt – non-current portion (net of discounts) (Note 7)</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 non-current portion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 $.01 par value per share; 100,000 shares authorized, 20,796 and 11,834 shares issued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and outstanding at 2017 and 2016, respectively</w:t>
            </w:r>
          </w:p>
        </w:tc>
        <w:tc>
          <w:tcPr>
            <w:tcW w:w="3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380,145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(380,380)</w:t>
            </w:r>
          </w:p>
        </w:tc>
        <w:tc>
          <w:tcPr>
            <w:tcW w:w="32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(374,698)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liabilities and stockholders’ (deficit)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3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and expenses: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(excluding inventory provisions)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Inventory provisions (Note 4)</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and investment income</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7)</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Unrealized gains on marketable securities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Basic</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15,903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15,903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26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48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Income (Loss)</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375,763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(374,698)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6"/>
              </w:rPr>
              <w:t>Issuance of shares and warrants under private placement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40" w:type="dxa"/>
            <w:vAlign w:val="bottom"/>
            <w:gridSpan w:val="2"/>
          </w:tcPr>
          <w:p>
            <w:pPr>
              <w:spacing w:after="0"/>
              <w:rPr>
                <w:sz w:val="20"/>
                <w:szCs w:val="20"/>
                <w:color w:val="auto"/>
              </w:rPr>
            </w:pPr>
            <w:r>
              <w:rPr>
                <w:rFonts w:ascii="Arial" w:cs="Arial" w:eastAsia="Arial" w:hAnsi="Arial"/>
                <w:sz w:val="18"/>
                <w:szCs w:val="18"/>
                <w:color w:val="auto"/>
              </w:rPr>
              <w:t>stock unit award plan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380,145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(380,380)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(5,682)</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fixed asset impairment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Noncash share-based compensation</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(Gain) loss on disposals of property, plant and equipment</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accounts receivable, net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Collaboration revenue receivable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Royalty receivable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Accrued investment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receivable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returns liability</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(4,510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Proceeds from sales and maturities of marketable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transfer of equipment to licensee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Proceeds from transfer of inventory to licensee</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loan maturing December 1, 2018</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Issuance of common stock</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Interest on loan maturing December 1, 2018</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net of refunds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center"/>
        <w:ind w:left="2400" w:right="800"/>
        <w:spacing w:after="0" w:line="266" w:lineRule="auto"/>
        <w:rPr>
          <w:sz w:val="20"/>
          <w:szCs w:val="20"/>
          <w:color w:val="auto"/>
        </w:rPr>
      </w:pPr>
      <w:r>
        <w:rPr>
          <w:rFonts w:ascii="Arial" w:cs="Arial" w:eastAsia="Arial" w:hAnsi="Arial"/>
          <w:sz w:val="18"/>
          <w:szCs w:val="18"/>
          <w:b w:val="1"/>
          <w:bCs w:val="1"/>
          <w:color w:val="auto"/>
        </w:rPr>
        <w:t>ACURA PHARMACEUTICALS, INC. CONSOLIDATED STATEMENTS OF CASH FLOWS (CONTINUED) YEARS ENDED DECEMBER 31, 2017 and 2016</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noncash investing and financing activities (amounts presented are rounded to the nearest thousand):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2017</w:t>
      </w:r>
    </w:p>
    <w:p>
      <w:pPr>
        <w:spacing w:after="0" w:line="225" w:lineRule="exact"/>
        <w:rPr>
          <w:sz w:val="20"/>
          <w:szCs w:val="20"/>
          <w:color w:val="auto"/>
        </w:rPr>
      </w:pPr>
    </w:p>
    <w:p>
      <w:pPr>
        <w:ind w:right="6459" w:firstLine="8"/>
        <w:spacing w:after="0" w:line="501" w:lineRule="auto"/>
        <w:tabs>
          <w:tab w:leader="none" w:pos="3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There are no supplemental disclosure activities. </w:t>
      </w:r>
      <w:r>
        <w:rPr>
          <w:rFonts w:ascii="Arial" w:cs="Arial" w:eastAsia="Arial" w:hAnsi="Arial"/>
          <w:sz w:val="18"/>
          <w:szCs w:val="18"/>
          <w:u w:val="single" w:color="auto"/>
          <w:color w:val="auto"/>
        </w:rPr>
        <w:t>Year Ended December 31, 2016</w:t>
      </w: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supplemental disclosure activities.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or “Our”) is a specialty pharmaceutical company engaged in the research and development of technologies and products intended to address medication abuse and misuse. We have discovered and developed three proprietary platform technologies which can be used to develop multiple products. Our Limitx™ Technology is intended to address methods of product tampering associated with opioid abuse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into methamphetamine.</w:t>
      </w:r>
    </w:p>
    <w:p>
      <w:pPr>
        <w:spacing w:after="0" w:line="178"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Limitx Technology is in development with the immediate-release hydrocodone bitartrate and acetaminophen as a lead Limitx product candidate due to its larger market size than our prior lead product and its known prevalence of oral excessive tablet abuse.</w:t>
      </w:r>
    </w:p>
    <w:p>
      <w:pPr>
        <w:spacing w:after="0" w:line="170"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Aversion Technology has been licensed to Egalet Corporation for use in Oxaydo® Tablets (oxycodone HCl, CII), and is the first approved immediate-release oxycodone product in the United States with abuse deterrent labeling. Oxaydo is currently approved by the FDA for marketing in the United States in 5mg and 7.5mg strengths. Egalet launched Oxaydo in the United States late in the third quarter of 2015. (see Note 3).</w:t>
      </w:r>
    </w:p>
    <w:p>
      <w:pPr>
        <w:spacing w:after="0" w:line="146" w:lineRule="exact"/>
        <w:rPr>
          <w:rFonts w:ascii="Arial" w:cs="Arial" w:eastAsia="Arial" w:hAnsi="Arial"/>
          <w:sz w:val="16"/>
          <w:szCs w:val="16"/>
          <w:color w:val="auto"/>
        </w:rPr>
      </w:pPr>
    </w:p>
    <w:p>
      <w:pPr>
        <w:jc w:val="both"/>
        <w:ind w:left="660" w:hanging="328"/>
        <w:spacing w:after="0" w:line="30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Impede Technology is used in Nexafed® Tablets (30mg pseudoephedrine HCl) and Nexafed® Sinus Pressure + Pain Tablets (30/325mg pseudoephedrine HCl and acetaminophen). We have licensed to MainPointe Pharmaceuticals, LLC, or MainPointe, our Impede Technology in the United States and Canada to commercialize our Nexafed products (with options to acquire other Impede Technology Products and other territories), pursuant to a License, Commercialization and Option Agreement, or the MainPointe Agreement, entered into on March 16, 2017. (see Note 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Substantial Doubt in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December 31, 2017, we had cash and cash equivalents of $2.2 million, working capital deficit of $2.1 million and an accumulated deficit of $380.4 million. We had a loss from operations of $5.2 million and a net loss of $5.7 million for the year ended December 31, 2017. We have suffered recurring losses from operations and have not generated positive cash flows from operations. We anticipate operating losses to continue for the foreseeable future.</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 term loan with Oxford Finance LLC (“Oxford” or the “Lender”) and as of December 31, 2017 and May 14, 2018, the outstanding principal balance is $2.7 million and $1.8 million, respectively. A $795 thousand balloon interest payment is due to Oxford on December 1, 2018. Our term loan agreement with Oxford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or the Unqualified Audit Opinion Covenant. Per the term loan agreement an audit opinion with an explanatory paragraph noting substantial doubt about the Company’s ability to continue in business (the “going concern opinion”) is deemed to violate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both"/>
        <w:spacing w:after="0" w:line="276" w:lineRule="auto"/>
        <w:rPr>
          <w:sz w:val="20"/>
          <w:szCs w:val="20"/>
          <w:color w:val="auto"/>
        </w:rPr>
      </w:pPr>
      <w:r>
        <w:rPr>
          <w:rFonts w:ascii="Arial" w:cs="Arial" w:eastAsia="Arial" w:hAnsi="Arial"/>
          <w:sz w:val="17"/>
          <w:szCs w:val="17"/>
          <w:color w:val="auto"/>
        </w:rPr>
        <w:t>During the second quarter of 2018, we borrowed a a total of $1.0 million from John Schutte, a principal of MainPointe and our largest shareholder, and in conjunction with such loan, we entered into of a fourth amendment to our term loan agreement with Oxford, pursuant to which Oxford granted a similar waiver of compliance with the Unqualified Audit Opinion Covenant for our 2017 financial statements and extended the period in which we could deliver financial statements for 2017 to 160 days after year’s end (instead of 120 days). (see Notes 7 and 15). With the net proceeds of approximately $1.0 million to the Company resulting from the loan from Mr. Schutte, we expect our cash will only be sufficient to fund operations into late June 2018.</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among others, raise substantial doubt about the Company's ability to continue as a going concern. We must seek sources to raise additional financing and seek to enter into license or collaboration agreements with third parties relating to our technologies. The Company is exploring a variety of capital raising and other transactions to provide additional funding to continue operations. These include potential private offerings of common stock to accredited and/or institutional investors and licensing transactions with pharmaceutical company partners for our proprietary technologies, including Limitx. We are actively seeking a licensing partner for our Limitx technology, with the objective of receiving an upfront license fee, development milestone payments and royalties on the net sales of products utilizing the Limitx technology, similar to the Egalet Agreement. We are also exploring licensing or selling select assets and intellectual property in an effort to raise capital and reduce operating expenses. Finally, the Company continues to evaluate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within one year after the date these financial statements are issued,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financial statements include the accounts of our wholly-owned subsidiary, Acura Pharmaceutical Technologies Inc., after elimination of intercompany accounts and transactions. Amounts presented have been rounded to the nearest thousand, where indicated, except share and per share data.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amounts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and accounts receivable. The Company maintains deposits in federally insured financial institutions which are in excess of federally insured limits. However, management believes the Company is not exposed to significant credit risk due to the financial position of the depository institutions in which those deposits are held.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considers cash and cash equivalents to include cash in financial institutions and money market funds, and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long-term debt. The carrying amounts of these financial instruments are representative of their respective fair values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noncash and cash-portioned instruments issued comprised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0"/>
              </w:rPr>
              <w:t>Year Ended</w:t>
            </w: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Stock option awards</w:t>
            </w:r>
          </w:p>
        </w:tc>
        <w:tc>
          <w:tcPr>
            <w:tcW w:w="92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RSU awards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Selling, marketing, general and administrative expense: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awards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w:t>
            </w:r>
          </w:p>
        </w:tc>
        <w:tc>
          <w:tcPr>
            <w:tcW w:w="8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RSU awards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92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F-10</w:t>
            </w:r>
          </w:p>
        </w:tc>
        <w:tc>
          <w:tcPr>
            <w:tcW w:w="14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- 40 years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Land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- 40 years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Scientific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and Long-Lived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We recorded an impairment charge of $82 thousand in the fourth quarter of 2016 on equipment having a net book value of a like amount. We had no impairment charges during the year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signing the MainPointe Agreement in March 2017, MainPointe paid us an upfront licensing fee of $2.5 million. The payment was non-refundable and non-creditable when made and we had no further requirements to earn the payment. The amount was recognized as revenue when received. (see Note 3).</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2016, the Company entered into a worldwide License Agreement (the “KemPharm Agreement”) pursuant to which we licensed our Aversion® technology to KemPharm for its use in the development and commercialization of three products using two of KemPharm’s prodrug candidates. KemPharm has also been granted an option to extend the KemPharm Agreement to cover two additional prodrug candidates. KemPharm paid us $3.5 million upon signing the KemPharm Agreement. The payment was non-refundable and non-creditable when made and we had no further requirements to earn the payment. The amount was recognized as revenue when received. (see Note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such as under our agreement with Bayer, and are recognized when costs are incurred pursuant to the agreements. The ongoing research and development services being provided under the collaboration are priced at fair value based upon the reimbursement of expenses incurred pursuant to the collaboration agreements. We recognized $59 thousand and $392 thousand of collaboration revenue during the year 2017 and 2016,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recognize revenue from royalties based on our licensees' sales of our products or products using our technologies. Royalties are recognized as earned in accordance with the contract terms when royalties from licensees can be reasonably estimated and collectability is reasonably assured. If royalties cannot be reasonably estimated or collectability of a royalty amount is not reasonably assured, royalties are recognized as revenue when the cash is received.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Egalet’s first commercial sale of Oxaydo occurred in October 2015 and we have recorded royalties of $281 thousand and $149 thousand on net sales for the years 2017 and 2016, respectively. (see Note 3).</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MainPointe Agreement, which occurred on March 16,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$19 thousand for the year 2017.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Prior to entering into the MainPointe Agreement,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Prior to entering into the MainPointe Agreement, we recognized revenue from our Nexafed product line sales when the price was fixed and determinable at the date of sale, title and risk of ownership were transferred to the customer, and returns could be reasonably estimated, which generally occurred at the time of product shipment.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Shipping/Handling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records the cost of its advertising efforts in marketing expenses when services are performed or goods are delivered. We record shipping and handling costs in selling expenses. As of mid-March 2017 we no longer manufacture, distribute or sell the Nexafed product line as the Company granted MainPointe an exclusive license to our Impede technology to commercialize our Nexafed products in the U.S. and Canada. The amounts recorded as selling expenses from the shipments of the Nexafed product line during each of the years 2017 and 2016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 and Debt Discount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debt issuance costs include costs of debt financing undertaken by the Company, including legal fees, placement fees and other direct costs of the financing. Debt discount is the value attributable to warrants issued in conjunction with the financing. Debt issuance costs and debt discount are amortized into interest expense over the term of the related debt using the effective interest method. Deferred debt issuance costs and debt discount are presented on the balance sheets as a direct reduction against the debt.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prepaid CRO costs nor did we have prepaid clinical trial study expenses at either December 31, 2017 or 2016. We did not have any obligations under non-cancelable arrangements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2017 and 2016,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is computed by dividing net income or loss by the weighted average common shares outstanding during a period, including shares weighted related to vested Restricted Stock Units (“RSUs”). (see Note 12). Diluted net loss per share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2017 or 2016 as the Company reported a net loss for each year and including the effects of common stock equivalents in the diluted net loss per share calculation would have been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2017, we licensed our Nexafed product line to MainPointe Pharmaceuticals LLC. Until that time our accounts receivable arose from our sales of our Nexafed product line and represent amounts due from wholesalers in the health care and pharmaceuticals industries and from chain drug stores. The Company has performed a credit evaluation of its customers and we have not experienced any losses on uncollectable accounts in 2017 or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jc w:val="both"/>
        <w:spacing w:after="0" w:line="277" w:lineRule="auto"/>
        <w:rPr>
          <w:sz w:val="20"/>
          <w:szCs w:val="20"/>
          <w:color w:val="auto"/>
        </w:rPr>
      </w:pPr>
      <w:r>
        <w:rPr>
          <w:rFonts w:ascii="Arial" w:cs="Arial" w:eastAsia="Arial" w:hAnsi="Arial"/>
          <w:sz w:val="18"/>
          <w:szCs w:val="18"/>
          <w:color w:val="auto"/>
        </w:rPr>
        <w:t>Sales to certain of our customers during 2016 accounting for 10% or more of our annual product sales, whether the product shipment was recognized immediately as a sales or as a deferred sale, is presented below.</w:t>
      </w:r>
    </w:p>
    <w:p>
      <w:pPr>
        <w:spacing w:after="0" w:line="180"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Customer</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Cardinal Health, Inc.</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McKesson Corporation</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Trade accounts receivable from certain of our customers at December 31, 2016 accounting for 10% or more of our gross accounts receivable is presented below.</w:t>
      </w:r>
    </w:p>
    <w:p>
      <w:pPr>
        <w:spacing w:after="0" w:line="180"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Customer</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4"/>
              </w:rPr>
              <w:t>35%</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McKesson Corporation</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w w:val="94"/>
              </w:rPr>
              <w:t>24%</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Health, Inc.</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4"/>
              </w:rPr>
              <w:t>19%</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The Kroger Co.</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w w:val="94"/>
              </w:rPr>
              <w:t>18%</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Uncertainties about an Entity’s Ability to Continue as a 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Financial Accounting Standards Board (FASB) issued Accounting Standards Update (ASU) No. 2014-15 which explicitly requires management to evaluate, at each annual or interim reporting period, whether there are conditions or events that exist which raise substantial doubt about an entity’s ability to continue as a going concern and to provide related disclosures. The amendments in this update are effective for the first annual period ending after December 15, 2017, and for annual periods and interim periods thereafter. Early application is permitted. The Company early adopted the guidance for its financial statement disclosures in the fourth quarter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of Cash Flows - Restricted Cash</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2016, the FASB issued ASU 2016-18 which requires that at statement of cash flows explain the change during the period in the total of cash, cash equivalents, and amounts generally described as restricted cash or restricted cash equivalents. The new standard will be effective for annual and interim periods, within those fiscal years beginning after December 15, 2017 but early adoption is permitted. The Company early adopted the guidance in the first quarter of 2017 which did not have a material impact on the Company’s consolidated financial statements or related footnote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 Clarifying the Definition of a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2017, the FASB issued ASU No. 2017-01 which clarifies the definition of a business with the objective of adding guidance to assist entities with evaluating whether transactions should be accounted for as acquisitions (or disposals) of assets or businesses. The amendments in this update provide a screen to determine when an integrated set of assets and activities (collectively referred to as a “set”),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ASU 2017-01 is effective for annual periods beginning after December 15, 2017, but early application of the amendments in this update is allowed. The amendments in this update should be applied prospectively on or after the effective date. The Company early adopted this new standard on January 1, 2017 which did not have a material impact on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Simplication of Employee Share-Based Payment Accounting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2016, the FASB issued ASU 2016-09 which provides for simplification of certain aspects of employee share-based payment accounting including income taxes, classification of awards as either equity or liabilities, accounting for forfeitures and classification on the statement of cash flows. ASU 2016-09 is to be applied either prospectively, retrospectively or using a modified retrospective transition approach depending on the area covered in this update. The new standard was effective for annual and interim periods, within those fiscal years, beginning after December 15, 2016. The Company adopted the guidance in the first quarter of 2017 which did not have a material impact on the Company’s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No. 2015-11, which simplifies the measurement of inventory, applying to inventories for which cost is determined by methods other than last-in first-out (LIFO) and the retail inventory method (RIM), specifying that an entity should measure inventory at the lower of cost and net realizable value instead of at the lower of cost or market. The amendments in this ASU were effective for annual and interim periods, within those fiscal years, beginning after December 15, 2016. The Company adopted the guidance of the standard in the first quarter of 2017 which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not yet been adopted on or before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050505"/>
        </w:rPr>
        <w:t xml:space="preserve">In August 2015, the FASB issued ASU 2015-14, </w:t>
      </w:r>
      <w:r>
        <w:rPr>
          <w:rFonts w:ascii="Arial" w:cs="Arial" w:eastAsia="Arial" w:hAnsi="Arial"/>
          <w:sz w:val="17"/>
          <w:szCs w:val="17"/>
          <w:i w:val="1"/>
          <w:iCs w:val="1"/>
          <w:color w:val="050505"/>
        </w:rPr>
        <w:t>Revenue from Contracts with Customers (Topic 606): Deferral of the Effective Date,</w:t>
      </w:r>
      <w:r>
        <w:rPr>
          <w:rFonts w:ascii="Arial" w:cs="Arial" w:eastAsia="Arial" w:hAnsi="Arial"/>
          <w:sz w:val="17"/>
          <w:szCs w:val="17"/>
          <w:color w:val="050505"/>
        </w:rPr>
        <w:t xml:space="preserve"> which deferred the effective date of ASU 2014-09 for all entities by one year. This update is effective for public business entities for annual reporting periods beginning after December 15, 2017, including interim periods within those reporting periods. The ASU permits two methods of adoption: retrospectively to each prior reporting period presented (full retrospective method), or retrospectively with the cumulative effect of initially applying the guidance recognized at the date of initial application (the modified retrospective method). The ASU also requires expanded disclosures relating to the nature, amount, timing, and uncertainty of revenue and cash flows arising from contracts with customers. Additionally, qualitative and quantitative disclosures are required for customer contracts, significant judgments and changes in judgments, and assets recognized from the costs to obtain or fulfill a contract. We have completed the process of evaluating the effect of the adoption and determined there were no changes required to our reported revenues as a result of the adoption. The majority of our revenue arrangements generally consist of performance obligations related to license our drug technologies. Based on our evaluation process and review of our contracts with customers, the timing and amount of revenue recognized under the new standard is materially consistent with our revenue recognition policy under previous guidance. We adopted the new standard effective January 1, 2018, using the modified retrospective approach, and will expand our consolidated financial statement disclosures in order to comply with ASU 2014-09. We have determined the adoption of the new guidance will not have a material impact on our results of operations, cash flows,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Scope of Modification Accounting, Stock Based Compensation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which provides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has not adopted the standard and does not anticipate that the standard will have a material effect, if any, on our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 Classification of Certain Cash Receipts and Cash Payments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which clarifies existing guidance on how companies present and classify certain cash receipts and cash payments in the statement of cash flows by addressing specific cash flow issues in an effort to reduce diversity in practice, including guidance on debt prepayment or extinguishment costs and contingent consideration payments made after a business combination. This update is effective for annual reporting periods beginning after December 15, 2017, with early adoption permitted. The Company expects that the standard will not have an impact on the Company’s consolidated financial statements and related footnote disclosures.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2016-02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transition method existing at or entered into after the beginning of the earliest comparative period presented in the financial statements, but it does not require transition accounting for leases that expire prior to the date of initial application. Upon adoption, operating leases will be reported on the balance sheet as a gross-up of assets and liabilities. The Company is currently evaluating the impact that the standard will have on the consolidated financial statements and related footnote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 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$309 thousand for inventories and equipment being transferred to them.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Aversion Oxycodone, which was 9.7 years as of the date the agreement was terminated. We have recorded annual amortization expense of $208 thousand for each of the years 2017 and 2016. Annual amortization of the patent for the years 2018 through 2021 is expected to approximate $208 thousand each year.</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Egalet US, Inc. and Egalet Ltd., each a subsidiary of Egalet Corporation, or collectively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Bayer Agreement Covering Methamphetamine Resistant Pseudoephedrine-containing Product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In June 2017, we received Bayer’s notice of termination of the Bayer Agreement pursuant to its convenience termination right exercised prior to the Company’s completion of its product development obligations under the Bayer Agreement. We have received reimbursement of certain of our development costs under the Bayer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Bayer’s termination of the Bayer Agreement the Bayer License Product is now subject to MainPointe’s option rights under the MainPointe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have inventories at December 31, 2017 as all our inventories were transferred to MainPointe under the MainPointe Agreement in March 2017. (See Note 3). Inventories at December 31, 2016 are stated at the lower of cost (first-in, first-out method) or net realizable value. We write down inventories to net realizable value based on forecasted demand and market conditions, which may differ from actual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Inventories at December 31, 2016 are summarized as follows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22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2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and packaging materials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r>
      <w:tr>
        <w:trPr>
          <w:trHeight w:val="230"/>
        </w:trPr>
        <w:tc>
          <w:tcPr>
            <w:tcW w:w="220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0"/>
        </w:trPr>
        <w:tc>
          <w:tcPr>
            <w:tcW w:w="220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20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Less: reserve for finished goods</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220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inventories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 activity during the years ended December 31, 2017 and 2016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Reserve expense - finished goods</w:t>
            </w: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Inventory write-offs - finished goods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year</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26"/>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860" w:type="dxa"/>
            <w:vAlign w:val="bottom"/>
            <w:gridSpan w:val="3"/>
          </w:tcPr>
          <w:p>
            <w:pPr>
              <w:spacing w:after="0"/>
              <w:rPr>
                <w:sz w:val="20"/>
                <w:szCs w:val="20"/>
                <w:color w:val="auto"/>
              </w:rPr>
            </w:pPr>
            <w:r>
              <w:rPr>
                <w:rFonts w:ascii="Arial" w:cs="Arial" w:eastAsia="Arial" w:hAnsi="Arial"/>
                <w:sz w:val="18"/>
                <w:szCs w:val="18"/>
                <w:color w:val="auto"/>
              </w:rPr>
              <w:t>Property, plant and equipment is summarized as follows (in thousands):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7"/>
          </w:tcPr>
          <w:p>
            <w:pPr>
              <w:jc w:val="right"/>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2016</w:t>
            </w:r>
          </w:p>
        </w:tc>
        <w:tc>
          <w:tcPr>
            <w:tcW w:w="60" w:type="dxa"/>
            <w:vAlign w:val="bottom"/>
            <w:tcBorders>
              <w:bottom w:val="single" w:sz="8" w:color="CCEEFF"/>
            </w:tcBorders>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9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Scientific equipment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598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598</w:t>
            </w:r>
          </w:p>
        </w:tc>
      </w:tr>
      <w:tr>
        <w:trPr>
          <w:trHeight w:val="216"/>
        </w:trPr>
        <w:tc>
          <w:tcPr>
            <w:tcW w:w="17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107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17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275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17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162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17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personal property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2,807</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impairment reserve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7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(1,858)</w:t>
            </w:r>
          </w:p>
        </w:tc>
      </w:tr>
      <w:tr>
        <w:trPr>
          <w:trHeight w:val="210"/>
        </w:trPr>
        <w:tc>
          <w:tcPr>
            <w:tcW w:w="17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679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impairment reserve of $82 thousand at December 31, 2016 was for specific machinery and other equipment which was used in the production of our Nexafed product line and which was not conveyed to MainPointe under the MainPointe Agreement. During 2017, we applied the reserve against the disposal of these specific assets. 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$0.1 million for each of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NOTE 6 – ACCRUED EXPENSES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622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7"/>
        </w:trPr>
        <w:tc>
          <w:tcPr>
            <w:tcW w:w="2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Cost sharing expenses under license agreements</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328</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149</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Clinical, non-clinical and regulatory services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326</w:t>
            </w:r>
          </w:p>
        </w:tc>
        <w:tc>
          <w:tcPr>
            <w:tcW w:w="8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Marketing, advertising, and promotion</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Franchise taxes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939</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F-19</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due December 1, 2018</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2013, we entered into a Loan and Security Agreement (the “Loan Agreement”) with Oxford Finance LLC (“Oxford” or the “Lender”), for a term loan to the Company in the principal amount of $10.0 million (the “Term Loan”).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initial Loan Agreement (prior to the Third Amendment), the Company granted Lender a security interest in substantially all of its existing and after−acquired assets, exclusive of its intellectual property assets, which the Company was prohibited from pledging to others. Upon the execution of the Loan Agreement, we issued to the Lender warrants to purchase an aggregate of up to 60 thousand shares of our common stock at an exercise price equal to $7.98 per share (after adjustment for our one-for-five reverse stock split effectuated in 2015)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2016, we and Oxford entered into a second amendment to the Loan Agreement (the “Second Amendment”). Pursuant to the Second Amendment,</w:t>
      </w:r>
    </w:p>
    <w:p>
      <w:pPr>
        <w:spacing w:after="0" w:line="46" w:lineRule="exact"/>
        <w:rPr>
          <w:sz w:val="20"/>
          <w:szCs w:val="20"/>
          <w:color w:val="auto"/>
        </w:rPr>
      </w:pPr>
    </w:p>
    <w:p>
      <w:pPr>
        <w:jc w:val="both"/>
        <w:ind w:firstLine="8"/>
        <w:spacing w:after="0" w:line="268" w:lineRule="auto"/>
        <w:tabs>
          <w:tab w:leader="none" w:pos="23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requirement that we maintain a $2.5 million cash balance reserve until such time as $5.0 million in principal was repaid under the Term Loan was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 In July 2017, the Company completed a private placement of its equity units to an investor, each unit consisting of one share of common stock and a warrant to purchase one-fifth of a share of common stock. The net proceeds to the Company from the private offering was approximately $4.0 million. Giving effect to the $2.5 million upfront payment received from MainPointe pursuant to the MainPointe Agreement and the approximate $4.0 million in net proceeds from the July 2017 private offering, the Company has satisfied the condition in the Second Amendment to the Oxford Loan Agreement to waive the $2.5 million cash reserve requirement.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and Oxford entered into a third amendment to the Loan Agreement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Under the Loan Agreement, an audit opinion with an explanatory paragraph noting substantial doubt about the Company’s ability to continue in business is deemed to violate the Unqualified Audit Opinion Covenant.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second quarter of 2018, in connection with a $1.0 million loan extended by John Schutte, we and Oxford entered into a fourth amendment to the Loan Agreement. Pursuant to the fourth amendment, Oxford provided a waiver of compliance with the unqualified audit opinion covenant in connection with our receipt of our auditor’s opinion with a going concern explanatory paragraph for our 2017 financial statements and allowed us to deliver financial statements up to 160 days after year end, instead of 120 days after year end. See Note 15 for a discussion of this transaction.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December 31, 2017 and 2016, we have accumulated and accrued $700 thousand and $559 thousand, respectively, of this additional interest.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(including breach of the Unqualified Audit Opinion Covenant), a material adverse change in the Company, bankruptcy and insolvency defaults and material judgment defaults.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debt activity at December 31, 2017 is summarized below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Current Debt</w:t>
            </w:r>
          </w:p>
        </w:tc>
        <w:tc>
          <w:tcPr>
            <w:tcW w:w="24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Current</w:t>
            </w:r>
          </w:p>
        </w:tc>
        <w:tc>
          <w:tcPr>
            <w:tcW w:w="18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Long-term</w:t>
            </w:r>
          </w:p>
        </w:tc>
        <w:tc>
          <w:tcPr>
            <w:tcW w:w="300" w:type="dxa"/>
            <w:vAlign w:val="bottom"/>
          </w:tcPr>
          <w:p>
            <w:pPr>
              <w:spacing w:after="0"/>
              <w:rPr>
                <w:sz w:val="20"/>
                <w:szCs w:val="20"/>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ind w:left="160"/>
              <w:spacing w:after="0"/>
              <w:rPr>
                <w:sz w:val="20"/>
                <w:szCs w:val="20"/>
                <w:color w:val="auto"/>
              </w:rPr>
            </w:pPr>
            <w:r>
              <w:rPr>
                <w:rFonts w:ascii="Arial" w:cs="Arial" w:eastAsia="Arial" w:hAnsi="Arial"/>
                <w:sz w:val="18"/>
                <w:szCs w:val="18"/>
                <w:color w:val="auto"/>
              </w:rPr>
              <w:t>Principal payments</w:t>
            </w:r>
          </w:p>
        </w:tc>
        <w:tc>
          <w:tcPr>
            <w:tcW w:w="2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(2,760)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(2,760)</w:t>
            </w:r>
          </w:p>
        </w:tc>
      </w:tr>
      <w:tr>
        <w:trPr>
          <w:trHeight w:val="230"/>
        </w:trPr>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2,979</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(2,979)</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Balance at Dec. 31, 2017</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Debt Discount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Current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b w:val="1"/>
                <w:bCs w:val="1"/>
                <w:color w:val="auto"/>
              </w:rPr>
              <w:t>Long-term</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w:t>
            </w: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gridSpan w:val="2"/>
          </w:tcPr>
          <w:p>
            <w:pPr>
              <w:ind w:left="160"/>
              <w:spacing w:after="0"/>
              <w:rPr>
                <w:sz w:val="20"/>
                <w:szCs w:val="20"/>
                <w:color w:val="auto"/>
              </w:rPr>
            </w:pPr>
            <w:r>
              <w:rPr>
                <w:rFonts w:ascii="Arial" w:cs="Arial" w:eastAsia="Arial" w:hAnsi="Arial"/>
                <w:sz w:val="18"/>
                <w:szCs w:val="18"/>
                <w:color w:val="auto"/>
              </w:rPr>
              <w:t>Amortization expense</w:t>
            </w:r>
          </w:p>
        </w:tc>
        <w:tc>
          <w:tcPr>
            <w:tcW w:w="10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r>
      <w:tr>
        <w:trPr>
          <w:trHeight w:val="230"/>
        </w:trPr>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Balance at Dec. 31, 2017</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tcBorders>
          </w:tcPr>
          <w:p>
            <w:pPr>
              <w:jc w:val="right"/>
              <w:ind w:right="104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3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Deferred Debt Issuance Costs</w:t>
            </w:r>
          </w:p>
        </w:tc>
        <w:tc>
          <w:tcPr>
            <w:tcW w:w="300" w:type="dxa"/>
            <w:vAlign w:val="bottom"/>
          </w:tcPr>
          <w:p>
            <w:pPr>
              <w:spacing w:after="0"/>
              <w:rPr>
                <w:sz w:val="20"/>
                <w:szCs w:val="20"/>
                <w:color w:val="auto"/>
              </w:rPr>
            </w:pPr>
          </w:p>
        </w:tc>
        <w:tc>
          <w:tcPr>
            <w:tcW w:w="1180" w:type="dxa"/>
            <w:vAlign w:val="bottom"/>
            <w:gridSpan w:val="3"/>
          </w:tcPr>
          <w:p>
            <w:pPr>
              <w:jc w:val="right"/>
              <w:ind w:right="375"/>
              <w:spacing w:after="0"/>
              <w:rPr>
                <w:sz w:val="20"/>
                <w:szCs w:val="20"/>
                <w:color w:val="auto"/>
              </w:rPr>
            </w:pPr>
            <w:r>
              <w:rPr>
                <w:rFonts w:ascii="Arial" w:cs="Arial" w:eastAsia="Arial" w:hAnsi="Arial"/>
                <w:sz w:val="18"/>
                <w:szCs w:val="18"/>
                <w:b w:val="1"/>
                <w:bCs w:val="1"/>
                <w:color w:val="auto"/>
              </w:rPr>
              <w:t>Current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ind w:left="120"/>
              <w:spacing w:after="0"/>
              <w:rPr>
                <w:sz w:val="20"/>
                <w:szCs w:val="20"/>
                <w:color w:val="auto"/>
              </w:rPr>
            </w:pPr>
            <w:r>
              <w:rPr>
                <w:rFonts w:ascii="Arial" w:cs="Arial" w:eastAsia="Arial" w:hAnsi="Arial"/>
                <w:sz w:val="18"/>
                <w:szCs w:val="18"/>
                <w:b w:val="1"/>
                <w:bCs w:val="1"/>
                <w:color w:val="auto"/>
              </w:rPr>
              <w:t>Long-term</w:t>
            </w:r>
          </w:p>
        </w:tc>
        <w:tc>
          <w:tcPr>
            <w:tcW w:w="3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3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Jan. 1, 2017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3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Balance at Dec. 31, 2017</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Current Debt, net at Dec. 31, 2017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2,694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2,694</w:t>
            </w:r>
          </w:p>
        </w:tc>
        <w:tc>
          <w:tcPr>
            <w:tcW w:w="1440" w:type="dxa"/>
            <w:vAlign w:val="bottom"/>
          </w:tcPr>
          <w:p>
            <w:pPr>
              <w:spacing w:after="0"/>
              <w:rPr>
                <w:sz w:val="19"/>
                <w:szCs w:val="19"/>
                <w:color w:val="auto"/>
              </w:rPr>
            </w:pPr>
          </w:p>
        </w:tc>
      </w:tr>
      <w:tr>
        <w:trPr>
          <w:trHeight w:val="426"/>
        </w:trPr>
        <w:tc>
          <w:tcPr>
            <w:tcW w:w="5120" w:type="dxa"/>
            <w:vAlign w:val="bottom"/>
            <w:gridSpan w:val="4"/>
          </w:tcPr>
          <w:p>
            <w:pPr>
              <w:spacing w:after="0"/>
              <w:rPr>
                <w:sz w:val="20"/>
                <w:szCs w:val="20"/>
                <w:color w:val="auto"/>
              </w:rPr>
            </w:pPr>
            <w:r>
              <w:rPr>
                <w:rFonts w:ascii="Arial" w:cs="Arial" w:eastAsia="Arial" w:hAnsi="Arial"/>
                <w:sz w:val="18"/>
                <w:szCs w:val="18"/>
                <w:color w:val="auto"/>
              </w:rPr>
              <w:t>Our interest expense consisted of the following (in thousands):</w:t>
            </w: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1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w w:val="92"/>
              </w:rPr>
              <w:t>Year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1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0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8"/>
                <w:szCs w:val="18"/>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6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748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Debt issue costs</w:t>
            </w: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2"/>
              </w:rPr>
              <w:t>Total interest expense</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642"/>
        </w:trPr>
        <w:tc>
          <w:tcPr>
            <w:tcW w:w="1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8"/>
                <w:szCs w:val="18"/>
                <w:color w:val="auto"/>
              </w:rPr>
              <w:t>F-21</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John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Investor is a principal of MainPointe, a Kentucky limited liability company.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will receive a 7.5% royalty on sales of licensed products. MainPointe also has options to expand the territory and products covered for additional sums. Included in the reported revenue for the year 2017 is $13 thousand of royalty revenue from MainPointe. (See Note 3).</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closing of the Transaction, the Company,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Galen has not designated a director and lost that right in December 2017 when it disposed of its shares. Investor has not designated a director as of the date of filing of this Report.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2018, we borrowed a total of $1.0 million from John Schutte and issued a promissory note in that principal amount to him. See Note 15 for a discussion of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a matching contribution or a profit sharing contribution to the Plan during the years 2017 or 2016.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2017 and 2016 is shown below (in thousands except price data):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WAvg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WAvg</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Exercise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1,782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Modification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Dec. 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exercisable for 60 thousand shares of our common stock having an exercise price of $2.52 per share (after giving effect to our one-for-five reverse stock split) with an expiration date in December 2020. See Note 8 for a discussion of the reduction of the exercise price of these warrants to $2.52 per share. These warrants contain a cashless exercise feature.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part of our July 2017 private placement transaction with John Schutte, we issued warrants to purchase 1,782,531 shares of our common stock. The Warrants are immediately exercisable at a price of $0.528 per share and expire five years after issuance (see Note 8). We have assigned a relative fair value of $495 thousand to the warrants out of the total $4.0 million proceeds from the private placement transaction and have accounted these warrants as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2017 and 2016 and for the year then ended consisted of the following (in thousands except exercise price):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4"/>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Forfeited or expired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 31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Exercisable, Dec. 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unvested stock options outstanding at December 31, 2017 (in thousands except price data):</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60" w:type="dxa"/>
            <w:vAlign w:val="bottom"/>
            <w:gridSpan w:val="3"/>
          </w:tcPr>
          <w:p>
            <w:pPr>
              <w:jc w:val="center"/>
              <w:ind w:left="1530"/>
              <w:spacing w:after="0"/>
              <w:rPr>
                <w:sz w:val="20"/>
                <w:szCs w:val="20"/>
                <w:color w:val="auto"/>
              </w:rPr>
            </w:pPr>
            <w:r>
              <w:rPr>
                <w:rFonts w:ascii="Arial" w:cs="Arial" w:eastAsia="Arial" w:hAnsi="Arial"/>
                <w:sz w:val="18"/>
                <w:szCs w:val="18"/>
                <w:b w:val="1"/>
                <w:bCs w:val="1"/>
                <w:color w:val="auto"/>
                <w:w w:val="91"/>
              </w:rPr>
              <w:t>Options Not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 1, 2017</w:t>
            </w:r>
          </w:p>
        </w:tc>
        <w:tc>
          <w:tcPr>
            <w:tcW w:w="2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30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w:t>
            </w:r>
          </w:p>
        </w:tc>
        <w:tc>
          <w:tcPr>
            <w:tcW w:w="2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300"/>
              <w:spacing w:after="0"/>
              <w:rPr>
                <w:sz w:val="20"/>
                <w:szCs w:val="20"/>
                <w:color w:val="auto"/>
              </w:rPr>
            </w:pPr>
            <w:r>
              <w:rPr>
                <w:rFonts w:ascii="Arial" w:cs="Arial" w:eastAsia="Arial" w:hAnsi="Arial"/>
                <w:sz w:val="18"/>
                <w:szCs w:val="18"/>
                <w:color w:val="auto"/>
              </w:rPr>
              <w:t>Forfeited</w:t>
            </w:r>
          </w:p>
        </w:tc>
        <w:tc>
          <w:tcPr>
            <w:tcW w:w="296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2017</w:t>
            </w:r>
          </w:p>
        </w:tc>
        <w:tc>
          <w:tcPr>
            <w:tcW w:w="18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45"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The assumptions used in the Black-Scholes model to determine fair value for the 2017 and 2016 stock option grants were:</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48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term (years)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option awards which are vested and outstanding had an instrinsic value of $0 at December 31, 2017. The total remaining unrecognized compensation cost on unvested option awards outstanding at December 31, 2017 was approximately $100 thousand, and is expected to be recognized in the Company’s operating expense in varying amounts over the next eleven months remaining in the requisite service periods. There were 1 thousand option awards exercised during 2017 and there was no option award exercise activity during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balance sheet as they vest and being marked-to-market each reporting period until they are distributed. The liability was $41 thousand and $27 thousand at December 31, 2017 and 2016,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grants under the RSU Plans as of December 31, 2017 and 2016, and for the year then ended consisted of the following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Year Ended December 31,</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Vested</w:t>
            </w: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rPr>
              <w:t>of RSUs</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RSUs</w:t>
            </w: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RSUs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RSUs</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Distributed</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Dec. 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Restricted Stock Unit Award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2017 RSU Plan was approved by shareholders in November 2017 and permits the grant of up to 1.5 million shares of our common stock pursuant to awards under the 2017 RSU Plan. As of December 31, 2017, approximately 1.3 million shares are available for award under the 2017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2017 RSU Plan is as follows:</w:t>
      </w:r>
    </w:p>
    <w:p>
      <w:pPr>
        <w:spacing w:after="0" w:line="225" w:lineRule="exact"/>
        <w:rPr>
          <w:sz w:val="20"/>
          <w:szCs w:val="20"/>
          <w:color w:val="auto"/>
        </w:rPr>
      </w:pPr>
    </w:p>
    <w:p>
      <w:pPr>
        <w:jc w:val="center"/>
        <w:ind w:left="5560" w:right="1060" w:hanging="5228"/>
        <w:spacing w:after="0" w:line="778" w:lineRule="auto"/>
        <w:tabs>
          <w:tab w:leader="none" w:pos="6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December 2017, we awarded 200 thousand RSUs to our employees. Such RSU awards will vest 100% after one full year of service. 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jc w:val="both"/>
        <w:ind w:left="66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January 2018, we awarded approximately 67 thousand RSUs to each of our 4 non-employee directors which also allow for them to receive payment in cash, instead of stock, for up to 40% of each RSU award. Such awards vest 25% at the end of each calendar quarter in 2018. Distributions of stock under the January 2018 award will be distributed on the first business day of the year after vesting.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2014 RSU Plan was approved by shareholders in May 2014 and permits the grant of up to 400 thousand shares of our common stock pursuant to awards under the 2014 RSU Plan. As of December 31, 2017, approximately 3 thousand shares are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during 2016 and 2017 is as follows: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January 2016, we awarded approximately 22 thousand RSUs to each of our 4 non-employee directors which also allow for them to receive payment in cash, instead of stock, for up to 40% of each RSU award. Such awards vest 25% at the end of each calendar quarter in 2016. The portion of the RSU awards which are subject to cash settlement are also subject to marked-to market accounting and the liability recorded in the Company’s balance sheet as an estimate for such cash settlement was $27 thousand at December 31, 2016. Distributions of stock under this award are generally distributed on the first business day of the year after vesting, but such distribution can be deferred until a later date at the election of the non-employee director.</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January 2017, we awarded approximately 60 thousand RSUs to each of our 4 non-employee directors which also allow for them to receive payment in cash, instead of stock, for up to 40% of each RSU award. Such awards vest 25% at the end of each calendar quarter in 2017. Distributions of stock under this award will be distributed on the first business day of the year after vesting.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jc w:val="both"/>
        <w:ind w:left="660" w:right="2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January 2016, 1 thousand RSUs from the May 2014 award and 42 thousand RSUs from the January 2015 award were distributed. There are 2 thousand RSUs from the May 2014 award which remain deferred until a future distribution date. Of the 42 thousand RSUs distributed, 33 thousand RSUs were distributed in common stock and 9 thousand RSUs were settled in cash.</w:t>
      </w:r>
    </w:p>
    <w:p>
      <w:pPr>
        <w:jc w:val="both"/>
        <w:ind w:left="660" w:hanging="328"/>
        <w:spacing w:after="0" w:line="28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January 2017, 1 thousand RSUs from the May 2014 award and 66 thousand RSUs from the January 2016 award were distributed. There are 1 thousand RSUs from the May 1 2014 award and 22 thousand RSUs from the January 2016 award which remain deferred until a future distribution date. Of the 67 thousand RSUs distributed, 49 thousand RSUs were distributed in common stock and 18 thousand RSUs were settled in cash.</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January 2018, all outstanding RSUs from the 2014 RSU Plan were distributed. There are no outstanding awards which remain deferred until a future distribution date. Of the approximately 261 thousand RSUs distributed, 238 thousand RSUs were distributed in common stock and 24 thousand RSUs were settled in cash.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numerators and denominators of basic and diluted net loss per share consisted of the following (in thousands,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Year Ended December 31,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Numerator: net loss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(5,682)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 (weighted):</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 RSUs</w:t>
            </w:r>
          </w:p>
        </w:tc>
        <w:tc>
          <w:tcPr>
            <w:tcW w:w="30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3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8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EPS - basic</w:t>
            </w:r>
          </w:p>
        </w:tc>
        <w:tc>
          <w:tcPr>
            <w:tcW w:w="3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assuming dilution</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Numerator: net loss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(5,682)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 (weighted):</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 RSUs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warrants</w:t>
            </w:r>
          </w:p>
        </w:tc>
        <w:tc>
          <w:tcPr>
            <w:tcW w:w="30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3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80" w:type="dxa"/>
            <w:vAlign w:val="bottom"/>
            <w:tcBorders>
              <w:bottom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per share - diluted</w:t>
            </w:r>
          </w:p>
        </w:tc>
        <w:tc>
          <w:tcPr>
            <w:tcW w:w="3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Excluded dilutive securities: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Common stock issuable (non-weighted):</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Unvested RSUs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warrants</w:t>
            </w:r>
          </w:p>
        </w:tc>
        <w:tc>
          <w:tcPr>
            <w:tcW w:w="30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Total excluded potentially dilutive shares</w:t>
            </w:r>
          </w:p>
        </w:tc>
        <w:tc>
          <w:tcPr>
            <w:tcW w:w="3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2225"/>
              <w:spacing w:after="0"/>
              <w:rPr>
                <w:sz w:val="20"/>
                <w:szCs w:val="20"/>
                <w:color w:val="auto"/>
              </w:rPr>
            </w:pPr>
            <w:r>
              <w:rPr>
                <w:rFonts w:ascii="Arial" w:cs="Arial" w:eastAsia="Arial" w:hAnsi="Arial"/>
                <w:sz w:val="18"/>
                <w:szCs w:val="18"/>
                <w:color w:val="auto"/>
              </w:rPr>
              <w:t>F-25</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90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and requiring adjustment to 2017 deferred taxes. The Company has calculated its best estimate of the impact of the Act in its year-end income tax provision in accordance with its understanding of the Act and guidance available as of the date of this filing and as a result had no adjustment to record as an additional income tax expense in the fourth quarter of 2017, the period in which the legislation was enacted.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remeasured its deferred tax assets and liabilities and adjusted its deferred tax balances to reflect the lower enacted U.S. corporate tax rate resulted in an income tax expense of $26.6 million which is included as a discrete item in the 2017 income tax provision. Overall, there was no impact to the tax provision as a result of offsetting reduction of the valuation allowance. This deferred tax expense and valuation allowance were provisional amounts and reasonable estimates at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loss before taxes by the U.S. statutory tax rate is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Benefit at U.S. statutory 34% tax rate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tax credits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Federal research and development tax credits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Federal AMT tax credit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Tax Cuts and Jobs Act of 2017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$167.7 million gross Federal NOLs at December 31, 2017 however we believe the ability for us to use these NOLs to offset any future taxable income is severely limited as prescribed under Internal Revenue Code (“IRC”) Section 382. We have estimated and recorded an amount for the likely limitation to our deferred tax asset, thereby reducing the aggregate estimated benefit of the Federal NOLs available to us of approximately $1.0 million. We believe the gross Federal NOL benefit we can utilize to offset taxable income is less than $150 thousand annually. Any unused Federal NOL benefit from the annual limitation can be accumulated and carried forward to the subsequent year and will expire if not used in accordance with the NOL carried forward term of 20 years or 2037. Future common stock transactions may cause another qualifying event under IRC 382 which may further limit our utilization of our NOLs.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The components of our deferred tax assets are as follows (in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440" w:type="dxa"/>
            <w:vAlign w:val="bottom"/>
          </w:tcPr>
          <w:p>
            <w:pPr>
              <w:spacing w:after="0"/>
              <w:rPr>
                <w:sz w:val="20"/>
                <w:szCs w:val="20"/>
                <w:color w:val="auto"/>
              </w:rPr>
            </w:pPr>
          </w:p>
        </w:tc>
        <w:tc>
          <w:tcPr>
            <w:tcW w:w="6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Estimated future value of NOLs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Federal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47,192</w:t>
            </w:r>
          </w:p>
        </w:tc>
      </w:tr>
      <w:tr>
        <w:trPr>
          <w:trHeight w:val="216"/>
        </w:trPr>
        <w:tc>
          <w:tcPr>
            <w:tcW w:w="144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 State</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2,135</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tax credits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 Federal</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1,161</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State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Total deferred taxes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51,036</w:t>
            </w:r>
          </w:p>
        </w:tc>
        <w:tc>
          <w:tcPr>
            <w:tcW w:w="80" w:type="dxa"/>
            <w:vAlign w:val="bottom"/>
            <w:gridSpan w:val="2"/>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(51,036)</w:t>
            </w:r>
          </w:p>
        </w:tc>
      </w:tr>
      <w:tr>
        <w:trPr>
          <w:trHeight w:val="210"/>
        </w:trPr>
        <w:tc>
          <w:tcPr>
            <w:tcW w:w="144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We continue to maintain full valuation allowance against all of our deferred tax assets at December 31, 2017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consolidated financial statements as "more-likely-than-not" to be sustained by the taxing authorities. Our adoption of the standard did not result in establishing a contingent tax liability reserve or a corresponding charge to retained earnings. At each of December 31, 2017 and 2016,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2017, the Company’s tax years of 2014, 2015 and 2016 are subject to examination by the taxing authorities. With few exceptions, we believe the Company is no longer subject to U.S. Federal, State and local examinations by taxing authorities for years before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us. We discontinued manufacture and distribution of generic metoclopramide more than 20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us with prejudice.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Pennsylvania, the trial court proceedings were stayed on January 12, 2017. On June 15, 2017, the Court entered an Order approving a stipulation which dismisses nearly all of the individual cases against us based upon lack of product identification without prejudice and provides for these cases to be dismissed finally, with prejudice, on June 15, 2018, or at an earlier date in each individual case, if all parties are dismissed. Acura is in the process of seeking voluntary dismissal without prejudice of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number of remaining Pennsylvania cases pending against Acura on the basis of lack of product identification. We expect that these remaining few cases will be dismissed based on lack of product identification and the Court will finally dismiss the Pennsylvania-based litigation against us with prejudice in 2018. Legal fees related to this matter are currently covered by our insurance carrier.</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California, on May 24, 2016, the Court entered an Order approving a stipulation which stays the individual cases against us and provides for an agreed upon dismissal protocol for all cases where is a lack of product identification. On January 13, 2017, the Court also entered a general stay of this entire litigation. To date, none of these plaintiffs have confirmed they ingested any of the generic metoclopramide manufactured by us. Therefore, we expect that the lawsuits filed against us will be dismissed voluntarily with prejudice in 2018. Legal fees related to this matter are currently covered by our insurance carrier.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2017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 Litigation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April 12, 2018, an action was commenced against the Company and over twenty-five other pharmaceutical manufacturers in New York State Supreme Court, New York County, captioned </w:t>
      </w:r>
      <w:r>
        <w:rPr>
          <w:rFonts w:ascii="Arial" w:cs="Arial" w:eastAsia="Arial" w:hAnsi="Arial"/>
          <w:sz w:val="16"/>
          <w:szCs w:val="16"/>
          <w:i w:val="1"/>
          <w:iCs w:val="1"/>
          <w:color w:val="auto"/>
        </w:rPr>
        <w:t>Cotto et al. v. Abbott Laboratories, Inc., et al</w:t>
      </w:r>
      <w:r>
        <w:rPr>
          <w:rFonts w:ascii="Arial" w:cs="Arial" w:eastAsia="Arial" w:hAnsi="Arial"/>
          <w:sz w:val="16"/>
          <w:szCs w:val="16"/>
          <w:color w:val="auto"/>
        </w:rPr>
        <w:t xml:space="preserve"> (index 153339/2018). The Complaint contains seven causes of action, including negligence, strict liability, and breach of warranty, wrongful death, among others, in connection with the alleged exposure of the deceased plaintiff in utero to diethylstilbestrol (DES) in the 1950s as the result of the ingestion of the drug by her mother or grandmother. The plaintiffs are the personal representative of the deceased and her two daughters. The plaintiffs were unable to determine which of the defendants produced the DES used by the deceased, but regardless seeks to hold all defendants jointly and severally liable. The Complaint seeks $10.0 million in compensatory and $10.0 million in punitive damages on each of five counts and damages in an amount to be determined for wrongful death and additional punitive damages in an unstated amount. As any potential loss is neither probable nor estimable, we have not accrued for any potential loss related to these matters as of December 31, 2017. We are presently unable to determine if any potential loss would be covered by any of our current or former insurance carriers.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jc w:val="both"/>
        <w:spacing w:after="0" w:line="289" w:lineRule="auto"/>
        <w:rPr>
          <w:sz w:val="20"/>
          <w:szCs w:val="20"/>
          <w:color w:val="auto"/>
        </w:rPr>
      </w:pPr>
      <w:r>
        <w:rPr>
          <w:rFonts w:ascii="Arial" w:cs="Arial" w:eastAsia="Arial" w:hAnsi="Arial"/>
          <w:sz w:val="16"/>
          <w:szCs w:val="16"/>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December 31, 2017 and 2016, we have accrued approximately $328 thousand and $150 thousand, respectively, of these potential cost sharing reimbursable expenses under the Egalet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on a month to month basis at the rate of approximately 2 thousand per month.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Due January 2, 2020</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second quarter of 2018, we borrowed a total of $1.0 million from John Schutte and issue a promissory note (the Schutte Note), in that principal amount to him. The Schutte Note bears interest at prime plus 2.0%, and matures on January 2, 2020, at which time all principal and interest is due, and is unsecured until all obligations to Oxford are satisfied at which time we are required to grant a security interest to Mr. Schutte in all of our assets. Events of default under the Schutte Note are limited to bankruptcy defaults and failure to pay interest and principal when due on January 2, 2020. In addition, Mr. Schutte and Oxford entered into a subordination agreement, approved by us and our subsidiary, pursuant to which Mr. Schutte subordinated the Schutte Note to our obligations to Oxford under the Oxford Loan Agreement. The Schutte Note may be prepaid at any time in whole or in part, however while Oxford’s loan is outstanding such prepayment will require Oxford’s consent. Also, in connection with the loan, we and Oxford entered into a fourth amendment to the Oxford Loan Agreement. Pursuant to the fourth amendment, Oxford provided a waiver of compliance with the unqualified audit opinion covenant in connection with our receipt of our auditor’s opinion with a going concern explanatory paragraph for our 2017 financial statements and allowed us to deliver financial statements up to 160 days after year end, instead of up to 120 days after year 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 QUARTERLY RESULTS OF OPERATION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quarterly consolidated financial data is shown below (in thousands except per share amounts):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w w:val="95"/>
              </w:rPr>
              <w:t>For Three Month Periods Ended</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4"/>
              </w:rPr>
              <w:t>Sept. 30,</w:t>
            </w:r>
          </w:p>
        </w:tc>
        <w:tc>
          <w:tcPr>
            <w:tcW w:w="140" w:type="dxa"/>
            <w:vAlign w:val="bottom"/>
          </w:tcPr>
          <w:p>
            <w:pPr>
              <w:spacing w:after="0"/>
              <w:rPr>
                <w:sz w:val="16"/>
                <w:szCs w:val="16"/>
                <w:color w:val="auto"/>
              </w:rPr>
            </w:pPr>
          </w:p>
        </w:tc>
        <w:tc>
          <w:tcPr>
            <w:tcW w:w="9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Dec.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(2,062)</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w w:val="95"/>
              </w:rPr>
              <w:t>For Three Month Periods Ended</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4"/>
              </w:rPr>
              <w:t>Sept. 30,</w:t>
            </w:r>
          </w:p>
        </w:tc>
        <w:tc>
          <w:tcPr>
            <w:tcW w:w="140" w:type="dxa"/>
            <w:vAlign w:val="bottom"/>
          </w:tcPr>
          <w:p>
            <w:pPr>
              <w:spacing w:after="0"/>
              <w:rPr>
                <w:sz w:val="16"/>
                <w:szCs w:val="16"/>
                <w:color w:val="auto"/>
              </w:rPr>
            </w:pPr>
          </w:p>
        </w:tc>
        <w:tc>
          <w:tcPr>
            <w:tcW w:w="9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Dec.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3,336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(3,079)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(2,069)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 (loss) income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(0.19)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60" w:right="4880" w:hanging="4904"/>
        <w:spacing w:after="0" w:line="906" w:lineRule="auto"/>
        <w:tabs>
          <w:tab w:leader="none" w:pos="881" w:val="left"/>
        </w:tabs>
        <w:numPr>
          <w:ilvl w:val="0"/>
          <w:numId w:val="47"/>
        </w:numPr>
        <w:rPr>
          <w:rFonts w:ascii="Arial" w:cs="Arial" w:eastAsia="Arial" w:hAnsi="Arial"/>
          <w:sz w:val="16"/>
          <w:szCs w:val="16"/>
          <w:color w:val="auto"/>
        </w:rPr>
      </w:pPr>
      <w:r>
        <w:rPr>
          <w:rFonts w:ascii="Arial" w:cs="Arial" w:eastAsia="Arial" w:hAnsi="Arial"/>
          <w:sz w:val="16"/>
          <w:szCs w:val="16"/>
          <w:color w:val="auto"/>
        </w:rPr>
        <w:t>Year to date earnings per share may not equal sum of quarters due to rounding.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0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rPr>
              <w:t>ACURA PHARMACEUTICALS, INC.</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15"/>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r>
      <w:tr>
        <w:trPr>
          <w:trHeight w:val="432"/>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gridSpan w:val="7"/>
          </w:tcPr>
          <w:p>
            <w:pPr>
              <w:ind w:left="74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14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top w:val="single" w:sz="8" w:color="auto"/>
              <w:bottom w:val="single" w:sz="8" w:color="0000EE"/>
            </w:tcBorders>
            <w:gridSpan w:val="11"/>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Placement Agency Agreement dated June 30, 2015 between Roth Capital Partners LLC and the Registrant (incorporated by reference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Exhibit 1.1 to our Form 8-K filed July 1, 2015)</w:t>
              </w:r>
            </w:hyperlink>
          </w:p>
        </w:tc>
        <w:tc>
          <w:tcPr>
            <w:tcW w:w="6400" w:type="dxa"/>
            <w:vAlign w:val="bottom"/>
            <w:gridSpan w:val="7"/>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Restated Certificate of Incorporation of the Registrant (incorporated by reference to Exhibit 3.1 to the Registrant’s Form 8-K filed 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June 25, 2009).</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7"/>
              </w:rPr>
            </w:pPr>
            <w:hyperlink r:id="rId147">
              <w:r>
                <w:rPr>
                  <w:rFonts w:ascii="Arial" w:cs="Arial" w:eastAsia="Arial" w:hAnsi="Arial"/>
                  <w:sz w:val="18"/>
                  <w:szCs w:val="18"/>
                  <w:color w:val="0000EE"/>
                  <w:w w:val="97"/>
                </w:rPr>
                <w:t>Certificate of Amendment Reverse Splitting Common Stock and restating but not changing text of part of Article III of Restated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Certificate of Incorporation (incorporated by Reference to Exhibit 3.1 to the Form 8-K filed December 4, 2007).</w:t>
              </w:r>
            </w:hyperlink>
          </w:p>
        </w:tc>
        <w:tc>
          <w:tcPr>
            <w:tcW w:w="172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4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7"/>
              </w:rPr>
            </w:pPr>
            <w:hyperlink r:id="rId148">
              <w:r>
                <w:rPr>
                  <w:rFonts w:ascii="Arial" w:cs="Arial" w:eastAsia="Arial" w:hAnsi="Arial"/>
                  <w:sz w:val="18"/>
                  <w:szCs w:val="18"/>
                  <w:color w:val="0000EE"/>
                  <w:w w:val="97"/>
                </w:rPr>
                <w:t>Certificate of Amendment Reverse Splitting Common Stock and restating but not changing text of part of Article III of Restated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Certificate of Incorporation (incorporated by Reference to Exhibit 3.1 to the Form 8-K filed August 27,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4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0" w:type="dxa"/>
            <w:vAlign w:val="bottom"/>
            <w:tcBorders>
              <w:bottom w:val="single" w:sz="8" w:color="0000EE"/>
            </w:tcBorders>
            <w:gridSpan w:val="7"/>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Restated Bylaws of the Registrant (incorporated by reference to Exhibit 3.2 to the Form 8-K filed on May 14, 2018).</w:t>
              </w:r>
            </w:hyperlink>
          </w:p>
        </w:tc>
        <w:tc>
          <w:tcPr>
            <w:tcW w:w="1400" w:type="dxa"/>
            <w:vAlign w:val="bottom"/>
            <w:gridSpan w:val="4"/>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40" w:type="dxa"/>
            <w:vAlign w:val="bottom"/>
            <w:tcBorders>
              <w:bottom w:val="single" w:sz="8" w:color="0000EE"/>
            </w:tcBorders>
            <w:gridSpan w:val="8"/>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Form of Common Stock Certificate (incorporated by Reference to Exhibit 4.1 to the Form S-3 filed on March 9, 2016)</w:t>
              </w:r>
            </w:hyperlink>
          </w:p>
        </w:tc>
        <w:tc>
          <w:tcPr>
            <w:tcW w:w="1260" w:type="dxa"/>
            <w:vAlign w:val="bottom"/>
            <w:gridSpan w:val="3"/>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3"/>
              </w:rPr>
            </w:pPr>
            <w:hyperlink r:id="rId151">
              <w:r>
                <w:rPr>
                  <w:rFonts w:ascii="Arial" w:cs="Arial" w:eastAsia="Arial" w:hAnsi="Arial"/>
                  <w:sz w:val="18"/>
                  <w:szCs w:val="18"/>
                  <w:color w:val="0000EE"/>
                  <w:w w:val="93"/>
                </w:rPr>
                <w:t>Amended and Restated Warrant A-1 issued to Oxford Finance LLC on January 7, 2015 (incorporated by reference to Exhibit 10.9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our Form 10-K filed March 2,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Amended and Restated Warrant A-2 issued to Oxford Finance LLC on January 7, 2015 (incorporated by reference to Exhibit 10.10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our Form 10-K filed March 2, 2015).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1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Amended and Restated Warrant A-3 issued to Oxford Finance LLC on January 7, 2015 (incorporated by reference to Exhibit 10.11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our Form 10-K filed March 2, 2015).</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1"/>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Form of Common Stock Warrant issued to John Schutte on July 24, 2017 (incorporated by reference Exhibit 4.1 to our Form 8-K filed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July 28, 2017)</w:t>
              </w:r>
            </w:hyperlink>
          </w:p>
        </w:tc>
        <w:tc>
          <w:tcPr>
            <w:tcW w:w="8700" w:type="dxa"/>
            <w:vAlign w:val="bottom"/>
            <w:gridSpan w:val="10"/>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Manufacturing Services Agreement dated as of July 19, 2011 between the Registrant and Patheon Pharmaceuticals Inc. (incorporated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by reference to Exhibit 10.1 to our Form 8-K filed July 27, 2011) (confidential treatment has been granted for portions of this Exhibit).</w:t>
              </w:r>
            </w:hyperlink>
          </w:p>
        </w:tc>
        <w:tc>
          <w:tcPr>
            <w:tcW w:w="20" w:type="dxa"/>
            <w:vAlign w:val="bottom"/>
          </w:tcPr>
          <w:p>
            <w:pPr>
              <w:spacing w:after="0"/>
              <w:rPr>
                <w:sz w:val="17"/>
                <w:szCs w:val="17"/>
                <w:color w:val="auto"/>
              </w:rPr>
            </w:pPr>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5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3"/>
              </w:rPr>
            </w:pPr>
            <w:hyperlink r:id="rId156">
              <w:r>
                <w:rPr>
                  <w:rFonts w:ascii="Arial" w:cs="Arial" w:eastAsia="Arial" w:hAnsi="Arial"/>
                  <w:sz w:val="18"/>
                  <w:szCs w:val="18"/>
                  <w:color w:val="0000EE"/>
                  <w:w w:val="93"/>
                </w:rPr>
                <w:t>Securities Purchase Agreement dated as of August 20, 2007 (“PIPE SPA”) among the Registrant, Vivo Ventures Fund VI, L.P., Vivo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Ventures VI Affiliates Fund, L.P., GCE Holdings LLC, and certain other signatories thereto (incorporated by reference to Exhibit 10.1</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1"/>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to the Form 8-K filed on August 21, 2007).</w:t>
              </w:r>
            </w:hyperlink>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5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4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Subscription Agreement dated as of July 24, 2017 between the Registrant and John Schutte (incorporated by reference to Exhibit 10.1</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to our Form 8-K filed July 28, 2017)</w:t>
              </w:r>
            </w:hyperlink>
          </w:p>
        </w:tc>
      </w:tr>
      <w:tr>
        <w:trPr>
          <w:trHeight w:val="669"/>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7"/>
          </w:tcPr>
          <w:p>
            <w:pPr>
              <w:jc w:val="center"/>
              <w:ind w:right="4980"/>
              <w:spacing w:after="0"/>
              <w:rPr>
                <w:sz w:val="20"/>
                <w:szCs w:val="20"/>
                <w:color w:val="auto"/>
              </w:rPr>
            </w:pPr>
            <w:r>
              <w:rPr>
                <w:rFonts w:ascii="Arial" w:cs="Arial" w:eastAsia="Arial" w:hAnsi="Arial"/>
                <w:sz w:val="18"/>
                <w:szCs w:val="18"/>
                <w:color w:val="auto"/>
                <w:w w:val="92"/>
              </w:rPr>
              <w:t>E-1</w:t>
            </w:r>
          </w:p>
        </w:tc>
      </w:tr>
    </w:tbl>
    <w:p>
      <w:pPr>
        <w:sectPr>
          <w:pgSz w:w="11900" w:h="16838" w:orient="portrait"/>
          <w:cols w:equalWidth="0" w:num="1">
            <w:col w:w="11420"/>
          </w:cols>
          <w:pgMar w:left="240" w:top="931"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6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4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320" w:type="dxa"/>
            <w:vAlign w:val="bottom"/>
            <w:tcBorders>
              <w:top w:val="single" w:sz="8" w:color="auto"/>
              <w:bottom w:val="single" w:sz="8" w:color="0000EE"/>
            </w:tcBorders>
          </w:tcPr>
          <w:p>
            <w:pPr>
              <w:spacing w:after="0"/>
              <w:rPr>
                <w:rFonts w:ascii="Arial" w:cs="Arial" w:eastAsia="Arial" w:hAnsi="Arial"/>
                <w:sz w:val="18"/>
                <w:szCs w:val="18"/>
                <w:color w:val="0000EE"/>
                <w:w w:val="85"/>
              </w:rPr>
            </w:pPr>
            <w:hyperlink r:id="rId15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Loan and Security Agreement dated as of December 27, 2013 between Acura Pharmaceuticals, Inc. APT and Oxford Finance LLC</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(incorporated by reference to Exhibit 10.6 to the Form 10-K filed March 3, 2014).</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5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First Amendment to Loan and Security Agreement entered into as of January 7, 2015 between Oxford Finance LLC, the Registrant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APT (incorporated by reference to Exhibit 10.8 to our Form 10-K filed March 2, 2015).</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Second Amendment to Loan and Security Agreement entered into as of October 13, 2016 between Oxford Finance LLC, the Registrant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and APT (incorporated by reference to Exhibit 10.6 to the Registration Statement on Form S-1 filed February 3, 2017, File No. 333-</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60">
              <w:r>
                <w:rPr>
                  <w:rFonts w:ascii="Arial" w:cs="Arial" w:eastAsia="Arial" w:hAnsi="Arial"/>
                  <w:sz w:val="18"/>
                  <w:szCs w:val="18"/>
                  <w:color w:val="0000EE"/>
                  <w:w w:val="87"/>
                </w:rPr>
                <w:t>215885)</w:t>
              </w:r>
            </w:hyperlink>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tcBorders>
              <w:bottom w:val="single" w:sz="8" w:color="0000EE"/>
            </w:tcBorders>
            <w:gridSpan w:val="11"/>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Form of Mortgage dated December 27, 2013 (incorporated by reference to Exhibit 10.8 to the Form 10-K filed March 3, 2014).</w:t>
              </w:r>
            </w:hyperlink>
          </w:p>
        </w:tc>
        <w:tc>
          <w:tcPr>
            <w:tcW w:w="620" w:type="dxa"/>
            <w:vAlign w:val="bottom"/>
            <w:gridSpan w:val="2"/>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Collaboration and License Agreement entered into as of January 7, 2015 between the Registrant, Egalet US, Inc., Egalet Limited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62">
              <w:r>
                <w:rPr>
                  <w:rFonts w:ascii="Arial" w:cs="Arial" w:eastAsia="Arial" w:hAnsi="Arial"/>
                  <w:sz w:val="18"/>
                  <w:szCs w:val="18"/>
                  <w:color w:val="0000EE"/>
                  <w:w w:val="93"/>
                </w:rPr>
                <w:t>with respect to Section 17.21, Egalet Corporation (certain information has been omitted and filed separately with the Securities and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Exchange Commission and confidential treatment has been granted with respect to the omitted portion) (incorporated by reference to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Exhibit 10.13 to the Form 10-K for the year ending December 31, 2014, filed March 2, 2015).</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License and Development Agreement dated as of June 5, 2015 between the Registrant and Bayer HealthCare LLC (certain information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has been omitted and filed separately with the Securities and Exchange Commission and confidential treatment has been granted with</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respect to the omitted portion) (incorporated by reference to Exhibit 10.1 to our Form 10-Q/A filed February 16, 2016).</w:t>
              </w:r>
            </w:hyperlink>
          </w:p>
        </w:tc>
        <w:tc>
          <w:tcPr>
            <w:tcW w:w="120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16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Amended and Restated Voting Agreement dated as of February 6, 2004 among the Registrant, Care Capital Investments II, LP, Essex</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Woodlands Health Ventures V, L.P., Galen Partners III, L.P., and others (incorporated by reference to Exhibit 10.5 of the Form 8-K filed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on February 10, 2004 (the “February 2004 Form 8-K”)).</w:t>
              </w:r>
            </w:hyperlink>
          </w:p>
        </w:tc>
        <w:tc>
          <w:tcPr>
            <w:tcW w:w="5740" w:type="dxa"/>
            <w:vAlign w:val="bottom"/>
            <w:gridSpan w:val="9"/>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4"/>
              </w:rPr>
            </w:pPr>
            <w:hyperlink r:id="rId16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Joinder and Amendment to Amended and Restated Voting Agreement dated November 9, 2005 between the Registrant, GCE Holdings,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Essex Woodlands Health Ventures V, L.P., Care Capital Investments II, LP, Galen Partners III, L.P. and others (incorporated by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reference to Exhibit 10.1 to the Form 8-K filed November 10, 2005).</w:t>
              </w:r>
            </w:hyperlink>
          </w:p>
        </w:tc>
        <w:tc>
          <w:tcPr>
            <w:tcW w:w="4840" w:type="dxa"/>
            <w:vAlign w:val="bottom"/>
            <w:gridSpan w:val="8"/>
          </w:tcPr>
          <w:p>
            <w:pPr>
              <w:spacing w:after="0"/>
              <w:rPr>
                <w:sz w:val="17"/>
                <w:szCs w:val="17"/>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66">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Second Amendment to Amended and Restated Voting Agreement dated as of January 24, 2008 between the Registrant and GCE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Holdings, LLC (incorporated by reference to Exhibit 10.1 to the Form 8-K filed January 28, 2008).</w:t>
              </w:r>
            </w:hyperlink>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4"/>
              </w:rPr>
            </w:pPr>
            <w:hyperlink r:id="rId167">
              <w:r>
                <w:rPr>
                  <w:rFonts w:ascii="Arial" w:cs="Arial" w:eastAsia="Arial" w:hAnsi="Arial"/>
                  <w:sz w:val="18"/>
                  <w:szCs w:val="18"/>
                  <w:color w:val="0000EE"/>
                  <w:w w:val="94"/>
                </w:rPr>
                <w:t>Third Amendment to Amended and Restated Voting Agreement dated as of October 1, 2012 between the Registrant, Care Capital</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Investments II, LP, Essex Woodlands Health Ventures V, L.P., Galen Partners III, L.P., and others (incorporated by reference to Exhibit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Form 8-K filed on October 3, 2012).</w:t>
              </w:r>
            </w:hyperlink>
          </w:p>
        </w:tc>
      </w:tr>
      <w:tr>
        <w:trPr>
          <w:trHeight w:val="20"/>
        </w:trPr>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r:id="rId16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Second Amended and Restated Voting Agreement executed July 2017 and dated as of July 24, 2017 (incorporated by reference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Exhibit 10.1 to the 8-K dated filed August 1, 2017)</w:t>
              </w:r>
            </w:hyperlink>
          </w:p>
        </w:tc>
      </w:tr>
      <w:tr>
        <w:trPr>
          <w:trHeight w:val="669"/>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120" w:type="dxa"/>
            <w:vAlign w:val="bottom"/>
            <w:tcBorders>
              <w:bottom w:val="single" w:sz="8" w:color="auto"/>
            </w:tcBorders>
            <w:gridSpan w:val="10"/>
          </w:tcPr>
          <w:p>
            <w:pPr>
              <w:ind w:left="30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420"/>
          </w:cols>
          <w:pgMar w:left="240" w:top="904"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gridSpan w:val="10"/>
          </w:tcPr>
          <w:p>
            <w:pPr>
              <w:ind w:left="172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1620" w:type="dxa"/>
            <w:vAlign w:val="bottom"/>
            <w:gridSpan w:val="3"/>
          </w:tcPr>
          <w:p>
            <w:pPr>
              <w:spacing w:after="0"/>
              <w:rPr>
                <w:rFonts w:ascii="Arial" w:cs="Arial" w:eastAsia="Arial" w:hAnsi="Arial"/>
                <w:sz w:val="18"/>
                <w:szCs w:val="18"/>
                <w:color w:val="0000EE"/>
              </w:rPr>
            </w:pPr>
            <w:hyperlink r:id="rId169">
              <w:r>
                <w:rPr>
                  <w:rFonts w:ascii="Arial" w:cs="Arial" w:eastAsia="Arial" w:hAnsi="Arial"/>
                  <w:sz w:val="18"/>
                  <w:szCs w:val="18"/>
                  <w:color w:val="0000EE"/>
                </w:rPr>
                <w:t>†10.15</w:t>
              </w:r>
            </w:hyperlink>
          </w:p>
        </w:tc>
        <w:tc>
          <w:tcPr>
            <w:tcW w:w="9800" w:type="dxa"/>
            <w:vAlign w:val="bottom"/>
            <w:gridSpan w:val="15"/>
          </w:tcPr>
          <w:p>
            <w:pPr>
              <w:spacing w:after="0"/>
              <w:rPr>
                <w:rFonts w:ascii="Arial" w:cs="Arial" w:eastAsia="Arial" w:hAnsi="Arial"/>
                <w:sz w:val="18"/>
                <w:szCs w:val="18"/>
                <w:color w:val="0000EE"/>
                <w:w w:val="92"/>
              </w:rPr>
            </w:pPr>
            <w:hyperlink r:id="rId169">
              <w:r>
                <w:rPr>
                  <w:rFonts w:ascii="Arial" w:cs="Arial" w:eastAsia="Arial" w:hAnsi="Arial"/>
                  <w:sz w:val="18"/>
                  <w:szCs w:val="18"/>
                  <w:color w:val="0000EE"/>
                  <w:w w:val="92"/>
                </w:rPr>
                <w:t>Registrant’s 1998 Stock Option Plan, as amended (incorporated by reference to Appendix C to the Registrant’s Proxy Statement filed</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on May 12, 2009).</w:t>
              </w:r>
            </w:hyperlink>
          </w:p>
        </w:tc>
        <w:tc>
          <w:tcPr>
            <w:tcW w:w="8460" w:type="dxa"/>
            <w:vAlign w:val="bottom"/>
            <w:tcBorders>
              <w:top w:val="single" w:sz="8" w:color="0000EE"/>
            </w:tcBorders>
            <w:gridSpan w:val="13"/>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0">
              <w:r>
                <w:rPr>
                  <w:rFonts w:ascii="Arial" w:cs="Arial" w:eastAsia="Arial" w:hAnsi="Arial"/>
                  <w:sz w:val="18"/>
                  <w:szCs w:val="18"/>
                  <w:color w:val="0000EE"/>
                </w:rPr>
                <w:t>†10.16</w:t>
              </w:r>
            </w:hyperlink>
          </w:p>
        </w:tc>
        <w:tc>
          <w:tcPr>
            <w:tcW w:w="9800" w:type="dxa"/>
            <w:vAlign w:val="bottom"/>
            <w:gridSpan w:val="15"/>
          </w:tcPr>
          <w:p>
            <w:pPr>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Registrant’s 2005 Restricted Stock Unit Award Plan, as amended (incorporated by reference to Appendix B to the Registrant’s Proxy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Statement filed on April 2, 2008).</w:t>
              </w:r>
            </w:hyperlink>
          </w:p>
        </w:tc>
      </w:tr>
      <w:tr>
        <w:trPr>
          <w:trHeight w:val="20"/>
        </w:trPr>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1">
              <w:r>
                <w:rPr>
                  <w:rFonts w:ascii="Arial" w:cs="Arial" w:eastAsia="Arial" w:hAnsi="Arial"/>
                  <w:sz w:val="18"/>
                  <w:szCs w:val="18"/>
                  <w:color w:val="0000EE"/>
                </w:rPr>
                <w:t>†10.17</w:t>
              </w:r>
            </w:hyperlink>
          </w:p>
        </w:tc>
        <w:tc>
          <w:tcPr>
            <w:tcW w:w="9800" w:type="dxa"/>
            <w:vAlign w:val="bottom"/>
            <w:gridSpan w:val="15"/>
          </w:tcPr>
          <w:p>
            <w:pPr>
              <w:spacing w:after="0"/>
              <w:rPr>
                <w:rFonts w:ascii="Arial" w:cs="Arial" w:eastAsia="Arial" w:hAnsi="Arial"/>
                <w:sz w:val="18"/>
                <w:szCs w:val="18"/>
                <w:color w:val="0000EE"/>
                <w:w w:val="94"/>
              </w:rPr>
            </w:pPr>
            <w:hyperlink r:id="rId171">
              <w:r>
                <w:rPr>
                  <w:rFonts w:ascii="Arial" w:cs="Arial" w:eastAsia="Arial" w:hAnsi="Arial"/>
                  <w:sz w:val="18"/>
                  <w:szCs w:val="18"/>
                  <w:color w:val="0000EE"/>
                  <w:w w:val="94"/>
                </w:rPr>
                <w:t>Registrant’s 2014 Restricted Stock Unit Award Plan, (incorporated by reference to Appendix A to the Registrant’s Proxy Statement</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filed on March 12, 2014).</w:t>
              </w:r>
            </w:hyperlink>
          </w:p>
        </w:tc>
      </w:tr>
      <w:tr>
        <w:trPr>
          <w:trHeight w:val="20"/>
        </w:trPr>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2">
              <w:r>
                <w:rPr>
                  <w:rFonts w:ascii="Arial" w:cs="Arial" w:eastAsia="Arial" w:hAnsi="Arial"/>
                  <w:sz w:val="18"/>
                  <w:szCs w:val="18"/>
                  <w:color w:val="0000EE"/>
                </w:rPr>
                <w:t>†10.18</w:t>
              </w:r>
            </w:hyperlink>
          </w:p>
        </w:tc>
        <w:tc>
          <w:tcPr>
            <w:tcW w:w="9800" w:type="dxa"/>
            <w:vAlign w:val="bottom"/>
            <w:gridSpan w:val="15"/>
          </w:tcPr>
          <w:p>
            <w:pPr>
              <w:spacing w:after="0"/>
              <w:rPr>
                <w:rFonts w:ascii="Arial" w:cs="Arial" w:eastAsia="Arial" w:hAnsi="Arial"/>
                <w:sz w:val="18"/>
                <w:szCs w:val="18"/>
                <w:color w:val="0000EE"/>
                <w:w w:val="96"/>
              </w:rPr>
            </w:pPr>
            <w:hyperlink r:id="rId172">
              <w:r>
                <w:rPr>
                  <w:rFonts w:ascii="Arial" w:cs="Arial" w:eastAsia="Arial" w:hAnsi="Arial"/>
                  <w:sz w:val="18"/>
                  <w:szCs w:val="18"/>
                  <w:color w:val="0000EE"/>
                  <w:w w:val="96"/>
                </w:rPr>
                <w:t>Registrant’s 2017 Restricted Stock Unit Award Plan, (incorporated by reference to Exhibit 10.1 to the 8-K filed on November 14,</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2">
              <w:r>
                <w:rPr>
                  <w:rFonts w:ascii="Arial" w:cs="Arial" w:eastAsia="Arial" w:hAnsi="Arial"/>
                  <w:sz w:val="18"/>
                  <w:szCs w:val="18"/>
                  <w:color w:val="0000EE"/>
                  <w:w w:val="86"/>
                </w:rPr>
                <w:t>2017).</w:t>
              </w:r>
            </w:hyperlink>
          </w:p>
        </w:tc>
        <w:tc>
          <w:tcPr>
            <w:tcW w:w="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69">
              <w:r>
                <w:rPr>
                  <w:rFonts w:ascii="Arial" w:cs="Arial" w:eastAsia="Arial" w:hAnsi="Arial"/>
                  <w:sz w:val="18"/>
                  <w:szCs w:val="18"/>
                  <w:color w:val="0000EE"/>
                </w:rPr>
                <w:t>†10.19</w:t>
              </w:r>
            </w:hyperlink>
          </w:p>
        </w:tc>
        <w:tc>
          <w:tcPr>
            <w:tcW w:w="9800" w:type="dxa"/>
            <w:vAlign w:val="bottom"/>
            <w:gridSpan w:val="15"/>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Registrant’s 2008 Stock Option Plan, as amended on June 25, 2009 (incorporated by reference to Appendix B to our Proxy Statement</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filed on May 12, 2009).</w:t>
              </w:r>
            </w:hyperlink>
          </w:p>
        </w:tc>
      </w:tr>
      <w:tr>
        <w:trPr>
          <w:trHeight w:val="20"/>
        </w:trPr>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tcBorders>
              <w:bottom w:val="single" w:sz="8" w:color="0000EE"/>
            </w:tcBorders>
            <w:gridSpan w:val="3"/>
          </w:tcPr>
          <w:p>
            <w:pPr>
              <w:spacing w:after="0"/>
              <w:rPr>
                <w:rFonts w:ascii="Arial" w:cs="Arial" w:eastAsia="Arial" w:hAnsi="Arial"/>
                <w:sz w:val="18"/>
                <w:szCs w:val="18"/>
                <w:color w:val="0000EE"/>
              </w:rPr>
            </w:pPr>
            <w:hyperlink r:id="rId173">
              <w:r>
                <w:rPr>
                  <w:rFonts w:ascii="Arial" w:cs="Arial" w:eastAsia="Arial" w:hAnsi="Arial"/>
                  <w:sz w:val="18"/>
                  <w:szCs w:val="18"/>
                  <w:color w:val="0000EE"/>
                </w:rPr>
                <w:t>†10.20</w:t>
              </w:r>
            </w:hyperlink>
          </w:p>
        </w:tc>
        <w:tc>
          <w:tcPr>
            <w:tcW w:w="8740" w:type="dxa"/>
            <w:vAlign w:val="bottom"/>
            <w:tcBorders>
              <w:bottom w:val="single" w:sz="8" w:color="0000EE"/>
            </w:tcBorders>
            <w:gridSpan w:val="12"/>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Registrant’s 2016 Stock Option Plan (incorporated by reference to Exhibit 10.1 to our Form 8-K filed on April 28, 2016).</w:t>
              </w:r>
            </w:hyperlink>
          </w:p>
        </w:tc>
        <w:tc>
          <w:tcPr>
            <w:tcW w:w="1060" w:type="dxa"/>
            <w:vAlign w:val="bottom"/>
            <w:gridSpan w:val="3"/>
          </w:tcPr>
          <w:p>
            <w:pPr>
              <w:spacing w:after="0"/>
              <w:rPr>
                <w:sz w:val="24"/>
                <w:szCs w:val="24"/>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4">
              <w:r>
                <w:rPr>
                  <w:rFonts w:ascii="Arial" w:cs="Arial" w:eastAsia="Arial" w:hAnsi="Arial"/>
                  <w:sz w:val="18"/>
                  <w:szCs w:val="18"/>
                  <w:color w:val="0000EE"/>
                </w:rPr>
                <w:t>†10.21</w:t>
              </w:r>
            </w:hyperlink>
          </w:p>
        </w:tc>
        <w:tc>
          <w:tcPr>
            <w:tcW w:w="9800" w:type="dxa"/>
            <w:vAlign w:val="bottom"/>
            <w:gridSpan w:val="15"/>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Employment Agreement dated as of March 10, 1998 between the Registrant and Peter Clemens (“Clemens”) (incorporated by reference</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to Exhibit 10.44 to the Form 10-K for the period ending December 31, 2007, filed on April 15, 1998).</w:t>
              </w:r>
            </w:hyperlink>
          </w:p>
        </w:tc>
      </w:tr>
      <w:tr>
        <w:trPr>
          <w:trHeight w:val="20"/>
        </w:trPr>
        <w:tc>
          <w:tcPr>
            <w:tcW w:w="1620" w:type="dxa"/>
            <w:vAlign w:val="bottom"/>
            <w:gridSpan w:val="3"/>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5">
              <w:r>
                <w:rPr>
                  <w:rFonts w:ascii="Arial" w:cs="Arial" w:eastAsia="Arial" w:hAnsi="Arial"/>
                  <w:sz w:val="18"/>
                  <w:szCs w:val="18"/>
                  <w:color w:val="0000EE"/>
                </w:rPr>
                <w:t>†10.22</w:t>
              </w:r>
            </w:hyperlink>
          </w:p>
        </w:tc>
        <w:tc>
          <w:tcPr>
            <w:tcW w:w="9800" w:type="dxa"/>
            <w:vAlign w:val="bottom"/>
            <w:gridSpan w:val="15"/>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First Amendment to Employment Agreement made as of June 28, 2000 between the Registrant and Clemens (incorporated by reference</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to Exhibit 10.44A to the Registrant’s Form 10-K filed on February 21, 2006).</w:t>
              </w:r>
            </w:hyperlink>
          </w:p>
        </w:tc>
      </w:tr>
      <w:tr>
        <w:trPr>
          <w:trHeight w:val="20"/>
        </w:trPr>
        <w:tc>
          <w:tcPr>
            <w:tcW w:w="1620" w:type="dxa"/>
            <w:vAlign w:val="bottom"/>
            <w:gridSpan w:val="3"/>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6">
              <w:r>
                <w:rPr>
                  <w:rFonts w:ascii="Arial" w:cs="Arial" w:eastAsia="Arial" w:hAnsi="Arial"/>
                  <w:sz w:val="18"/>
                  <w:szCs w:val="18"/>
                  <w:color w:val="0000EE"/>
                </w:rPr>
                <w:t>†10.23</w:t>
              </w:r>
            </w:hyperlink>
          </w:p>
        </w:tc>
        <w:tc>
          <w:tcPr>
            <w:tcW w:w="9800" w:type="dxa"/>
            <w:vAlign w:val="bottom"/>
            <w:gridSpan w:val="15"/>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Second Amendment to Executive Employment Agreement between Registrant and Clemens, dated as of January 5, 2005 (incorporated</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by reference to Exhibit 99.1 to the Registrant's Form 8-K filed January 31, 2005).</w:t>
              </w:r>
            </w:hyperlink>
          </w:p>
        </w:tc>
      </w:tr>
      <w:tr>
        <w:trPr>
          <w:trHeight w:val="20"/>
        </w:trPr>
        <w:tc>
          <w:tcPr>
            <w:tcW w:w="1620" w:type="dxa"/>
            <w:vAlign w:val="bottom"/>
            <w:gridSpan w:val="3"/>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1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7">
              <w:r>
                <w:rPr>
                  <w:rFonts w:ascii="Arial" w:cs="Arial" w:eastAsia="Arial" w:hAnsi="Arial"/>
                  <w:sz w:val="18"/>
                  <w:szCs w:val="18"/>
                  <w:color w:val="0000EE"/>
                </w:rPr>
                <w:t>†10.24</w:t>
              </w:r>
            </w:hyperlink>
          </w:p>
        </w:tc>
        <w:tc>
          <w:tcPr>
            <w:tcW w:w="9800" w:type="dxa"/>
            <w:vAlign w:val="bottom"/>
            <w:gridSpan w:val="15"/>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Third Amendment to Executive Employment Agreement dated December 22, 2005 between Registrant and Clemens (incorporated by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reference to Exhibit 10.3 to the Registrant’s Form 8-K filed December 23, 2005).</w:t>
              </w:r>
            </w:hyperlink>
          </w:p>
        </w:tc>
        <w:tc>
          <w:tcPr>
            <w:tcW w:w="3940" w:type="dxa"/>
            <w:vAlign w:val="bottom"/>
            <w:tcBorders>
              <w:top w:val="single" w:sz="8" w:color="0000EE"/>
            </w:tcBorders>
            <w:gridSpan w:val="7"/>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8">
              <w:r>
                <w:rPr>
                  <w:rFonts w:ascii="Arial" w:cs="Arial" w:eastAsia="Arial" w:hAnsi="Arial"/>
                  <w:sz w:val="18"/>
                  <w:szCs w:val="18"/>
                  <w:color w:val="0000EE"/>
                </w:rPr>
                <w:t>†10.25</w:t>
              </w:r>
            </w:hyperlink>
          </w:p>
        </w:tc>
        <w:tc>
          <w:tcPr>
            <w:tcW w:w="9800" w:type="dxa"/>
            <w:vAlign w:val="bottom"/>
            <w:gridSpan w:val="15"/>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Fourth Amendment to Executive Employment Agreement dated December 16, 2007 between Registrant and Clemens (incorporated by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reference to Exhibit 10.28 to the Form 10-K for the year ending December 31, 2007, filed on March 5, 2008).</w:t>
              </w:r>
            </w:hyperlink>
          </w:p>
        </w:tc>
        <w:tc>
          <w:tcPr>
            <w:tcW w:w="1900" w:type="dxa"/>
            <w:vAlign w:val="bottom"/>
            <w:tcBorders>
              <w:top w:val="single" w:sz="8" w:color="0000EE"/>
            </w:tcBorders>
            <w:gridSpan w:val="4"/>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79">
              <w:r>
                <w:rPr>
                  <w:rFonts w:ascii="Arial" w:cs="Arial" w:eastAsia="Arial" w:hAnsi="Arial"/>
                  <w:sz w:val="18"/>
                  <w:szCs w:val="18"/>
                  <w:color w:val="0000EE"/>
                </w:rPr>
                <w:t>†10.26</w:t>
              </w:r>
            </w:hyperlink>
          </w:p>
        </w:tc>
        <w:tc>
          <w:tcPr>
            <w:tcW w:w="9800" w:type="dxa"/>
            <w:vAlign w:val="bottom"/>
            <w:gridSpan w:val="15"/>
          </w:tcPr>
          <w:p>
            <w:pPr>
              <w:spacing w:after="0"/>
              <w:rPr>
                <w:rFonts w:ascii="Arial" w:cs="Arial" w:eastAsia="Arial" w:hAnsi="Arial"/>
                <w:sz w:val="18"/>
                <w:szCs w:val="18"/>
                <w:color w:val="0000EE"/>
                <w:w w:val="95"/>
              </w:rPr>
            </w:pPr>
            <w:hyperlink r:id="rId179">
              <w:r>
                <w:rPr>
                  <w:rFonts w:ascii="Arial" w:cs="Arial" w:eastAsia="Arial" w:hAnsi="Arial"/>
                  <w:sz w:val="18"/>
                  <w:szCs w:val="18"/>
                  <w:color w:val="0000EE"/>
                  <w:w w:val="95"/>
                </w:rPr>
                <w:t>Fifth Amendment to Executive Employment Agreement executed July 9, 2008 between Registrant and Clemens (incorporated by</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reference to Exhibit 10.4 to our Form 8-K filed on July 10, 2008).</w:t>
              </w:r>
            </w:hyperlink>
          </w:p>
        </w:tc>
        <w:tc>
          <w:tcPr>
            <w:tcW w:w="5060" w:type="dxa"/>
            <w:vAlign w:val="bottom"/>
            <w:tcBorders>
              <w:top w:val="single" w:sz="8" w:color="0000EE"/>
            </w:tcBorders>
            <w:gridSpan w:val="9"/>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0">
              <w:r>
                <w:rPr>
                  <w:rFonts w:ascii="Arial" w:cs="Arial" w:eastAsia="Arial" w:hAnsi="Arial"/>
                  <w:sz w:val="18"/>
                  <w:szCs w:val="18"/>
                  <w:color w:val="0000EE"/>
                </w:rPr>
                <w:t>†10.27</w:t>
              </w:r>
            </w:hyperlink>
          </w:p>
        </w:tc>
        <w:tc>
          <w:tcPr>
            <w:tcW w:w="9800" w:type="dxa"/>
            <w:vAlign w:val="bottom"/>
            <w:gridSpan w:val="15"/>
          </w:tcPr>
          <w:p>
            <w:pPr>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Sixth Amendment to Executive Employment Agreement executed December 14, 2012 between the Registrant and Clemens</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(incorporated by reference to Exhibit 10.2 to our Form 8-K filed on December 17, 2012).</w:t>
              </w:r>
            </w:hyperlink>
          </w:p>
        </w:tc>
        <w:tc>
          <w:tcPr>
            <w:tcW w:w="33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620" w:type="dxa"/>
            <w:vAlign w:val="bottom"/>
            <w:gridSpan w:val="3"/>
          </w:tcPr>
          <w:p>
            <w:pPr>
              <w:spacing w:after="0"/>
              <w:rPr>
                <w:rFonts w:ascii="Arial" w:cs="Arial" w:eastAsia="Arial" w:hAnsi="Arial"/>
                <w:sz w:val="18"/>
                <w:szCs w:val="18"/>
                <w:color w:val="0000EE"/>
              </w:rPr>
            </w:pPr>
            <w:hyperlink r:id="rId181">
              <w:r>
                <w:rPr>
                  <w:rFonts w:ascii="Arial" w:cs="Arial" w:eastAsia="Arial" w:hAnsi="Arial"/>
                  <w:sz w:val="18"/>
                  <w:szCs w:val="18"/>
                  <w:color w:val="0000EE"/>
                </w:rPr>
                <w:t>†10.28</w:t>
              </w:r>
            </w:hyperlink>
          </w:p>
        </w:tc>
        <w:tc>
          <w:tcPr>
            <w:tcW w:w="9800" w:type="dxa"/>
            <w:vAlign w:val="bottom"/>
            <w:gridSpan w:val="15"/>
          </w:tcPr>
          <w:p>
            <w:pPr>
              <w:spacing w:after="0"/>
              <w:rPr>
                <w:rFonts w:ascii="Arial" w:cs="Arial" w:eastAsia="Arial" w:hAnsi="Arial"/>
                <w:sz w:val="18"/>
                <w:szCs w:val="18"/>
                <w:color w:val="0000EE"/>
                <w:w w:val="96"/>
              </w:rPr>
            </w:pPr>
            <w:hyperlink r:id="rId181">
              <w:r>
                <w:rPr>
                  <w:rFonts w:ascii="Arial" w:cs="Arial" w:eastAsia="Arial" w:hAnsi="Arial"/>
                  <w:sz w:val="18"/>
                  <w:szCs w:val="18"/>
                  <w:color w:val="0000EE"/>
                  <w:w w:val="96"/>
                </w:rPr>
                <w:t>Seventh Amendment to Executive Employment Agreement executed December 12, 2013 between the Registrant and Clemens</w:t>
              </w:r>
            </w:hyperlink>
          </w:p>
        </w:tc>
      </w:tr>
      <w:tr>
        <w:trPr>
          <w:trHeight w:val="196"/>
        </w:trPr>
        <w:tc>
          <w:tcPr>
            <w:tcW w:w="50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r:id="rId181">
              <w:r>
                <w:rPr>
                  <w:rFonts w:ascii="Arial" w:cs="Arial" w:eastAsia="Arial" w:hAnsi="Arial"/>
                  <w:sz w:val="18"/>
                  <w:szCs w:val="18"/>
                  <w:color w:val="0000EE"/>
                  <w:w w:val="98"/>
                </w:rPr>
                <w:t>(incorporated by reference to Exhibit 10.24 to the Form 10-K for the year ending December 31, 2013 filed on March 3, 2014).</w:t>
              </w:r>
            </w:hyperlink>
          </w:p>
        </w:tc>
      </w:tr>
      <w:tr>
        <w:trPr>
          <w:trHeight w:val="696"/>
        </w:trPr>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660" w:type="dxa"/>
            <w:vAlign w:val="bottom"/>
            <w:tcBorders>
              <w:top w:val="single" w:sz="8" w:color="0000EE"/>
              <w:bottom w:val="single" w:sz="8" w:color="auto"/>
            </w:tcBorders>
            <w:gridSpan w:val="8"/>
          </w:tcPr>
          <w:p>
            <w:pPr>
              <w:ind w:left="1560"/>
              <w:spacing w:after="0"/>
              <w:rPr>
                <w:sz w:val="20"/>
                <w:szCs w:val="20"/>
                <w:color w:val="auto"/>
              </w:rPr>
            </w:pPr>
            <w:r>
              <w:rPr>
                <w:rFonts w:ascii="Arial" w:cs="Arial" w:eastAsia="Arial" w:hAnsi="Arial"/>
                <w:sz w:val="18"/>
                <w:szCs w:val="18"/>
                <w:color w:val="auto"/>
              </w:rPr>
              <w:t>E-3</w:t>
            </w:r>
          </w:p>
        </w:tc>
        <w:tc>
          <w:tcPr>
            <w:tcW w:w="720" w:type="dxa"/>
            <w:vAlign w:val="bottom"/>
            <w:tcBorders>
              <w:bottom w:val="single" w:sz="8" w:color="auto"/>
            </w:tcBorders>
            <w:gridSpan w:val="2"/>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360" w:type="dxa"/>
            <w:vAlign w:val="bottom"/>
            <w:tcBorders>
              <w:bottom w:val="single" w:sz="8" w:color="auto"/>
            </w:tcBorders>
            <w:gridSpan w:val="8"/>
          </w:tcPr>
          <w:p>
            <w:pPr>
              <w:ind w:left="70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1620" w:type="dxa"/>
            <w:vAlign w:val="bottom"/>
            <w:gridSpan w:val="6"/>
          </w:tcPr>
          <w:p>
            <w:pPr>
              <w:spacing w:after="0"/>
              <w:rPr>
                <w:rFonts w:ascii="Arial" w:cs="Arial" w:eastAsia="Arial" w:hAnsi="Arial"/>
                <w:sz w:val="18"/>
                <w:szCs w:val="18"/>
                <w:color w:val="0000EE"/>
              </w:rPr>
            </w:pPr>
            <w:hyperlink r:id="rId182">
              <w:r>
                <w:rPr>
                  <w:rFonts w:ascii="Arial" w:cs="Arial" w:eastAsia="Arial" w:hAnsi="Arial"/>
                  <w:sz w:val="18"/>
                  <w:szCs w:val="18"/>
                  <w:color w:val="0000EE"/>
                </w:rPr>
                <w:t>†10.29</w:t>
              </w:r>
            </w:hyperlink>
          </w:p>
        </w:tc>
        <w:tc>
          <w:tcPr>
            <w:tcW w:w="9800" w:type="dxa"/>
            <w:vAlign w:val="bottom"/>
            <w:gridSpan w:val="13"/>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Employment Agreement dated as of March 18, 2008 between the Registrant and Robert B. Jones (incorporated by reference to Exhibit</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our Form 8-K filed on March 24, 2008).</w:t>
              </w:r>
            </w:hyperlink>
          </w:p>
        </w:tc>
        <w:tc>
          <w:tcPr>
            <w:tcW w:w="6360" w:type="dxa"/>
            <w:vAlign w:val="bottom"/>
            <w:tcBorders>
              <w:top w:val="single" w:sz="8" w:color="0000EE"/>
            </w:tcBorders>
            <w:gridSpan w:val="8"/>
          </w:tcPr>
          <w:p>
            <w:pPr>
              <w:spacing w:after="0"/>
              <w:rPr>
                <w:sz w:val="17"/>
                <w:szCs w:val="17"/>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r:id="rId183">
              <w:r>
                <w:rPr>
                  <w:rFonts w:ascii="Arial" w:cs="Arial" w:eastAsia="Arial" w:hAnsi="Arial"/>
                  <w:sz w:val="18"/>
                  <w:szCs w:val="18"/>
                  <w:color w:val="0000EE"/>
                </w:rPr>
                <w:t>†10.30</w:t>
              </w:r>
            </w:hyperlink>
          </w:p>
        </w:tc>
        <w:tc>
          <w:tcPr>
            <w:tcW w:w="9800" w:type="dxa"/>
            <w:vAlign w:val="bottom"/>
            <w:gridSpan w:val="13"/>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Amendment to Executive Employment Agreement dated as of April 28, 2011 between the Registrant and Robert B. Jones (incorporated</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by reference to Exhibit 10.1 to our Form 10-Q filed July 28, 2011).</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r:id="rId184">
              <w:r>
                <w:rPr>
                  <w:rFonts w:ascii="Arial" w:cs="Arial" w:eastAsia="Arial" w:hAnsi="Arial"/>
                  <w:sz w:val="18"/>
                  <w:szCs w:val="18"/>
                  <w:color w:val="0000EE"/>
                </w:rPr>
                <w:t>†10.31</w:t>
              </w:r>
            </w:hyperlink>
          </w:p>
        </w:tc>
        <w:tc>
          <w:tcPr>
            <w:tcW w:w="9800" w:type="dxa"/>
            <w:vAlign w:val="bottom"/>
            <w:gridSpan w:val="13"/>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Amendment to Executive Employment Agreement between Registrant and Robert B. Jones made as of July 7, 2011 (incorporated by</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reference to Exhibit 10.2 to our Form 10-Q filed July 28, 2011).</w:t>
              </w:r>
            </w:hyperlink>
          </w:p>
        </w:tc>
        <w:tc>
          <w:tcPr>
            <w:tcW w:w="5200" w:type="dxa"/>
            <w:vAlign w:val="bottom"/>
            <w:tcBorders>
              <w:top w:val="single" w:sz="8" w:color="0000EE"/>
            </w:tcBorders>
            <w:gridSpan w:val="6"/>
          </w:tcPr>
          <w:p>
            <w:pPr>
              <w:spacing w:after="0"/>
              <w:rPr>
                <w:sz w:val="17"/>
                <w:szCs w:val="17"/>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r:id="rId185">
              <w:r>
                <w:rPr>
                  <w:rFonts w:ascii="Arial" w:cs="Arial" w:eastAsia="Arial" w:hAnsi="Arial"/>
                  <w:sz w:val="18"/>
                  <w:szCs w:val="18"/>
                  <w:color w:val="0000EE"/>
                </w:rPr>
                <w:t>†10.32</w:t>
              </w:r>
            </w:hyperlink>
          </w:p>
        </w:tc>
        <w:tc>
          <w:tcPr>
            <w:tcW w:w="9800" w:type="dxa"/>
            <w:vAlign w:val="bottom"/>
            <w:gridSpan w:val="13"/>
          </w:tcPr>
          <w:p>
            <w:pPr>
              <w:spacing w:after="0"/>
              <w:rPr>
                <w:rFonts w:ascii="Arial" w:cs="Arial" w:eastAsia="Arial" w:hAnsi="Arial"/>
                <w:sz w:val="18"/>
                <w:szCs w:val="18"/>
                <w:color w:val="0000EE"/>
                <w:w w:val="94"/>
              </w:rPr>
            </w:pPr>
            <w:hyperlink r:id="rId185">
              <w:r>
                <w:rPr>
                  <w:rFonts w:ascii="Arial" w:cs="Arial" w:eastAsia="Arial" w:hAnsi="Arial"/>
                  <w:sz w:val="18"/>
                  <w:szCs w:val="18"/>
                  <w:color w:val="0000EE"/>
                  <w:w w:val="94"/>
                </w:rPr>
                <w:t>Second Amendment to Executive Employment Agreement between Registrant and Robert B. Jones executed December 14, 2012</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(incorporated by reference to Exhibit 10.1 to our Form 8-K filed December 17, 2012).</w:t>
              </w:r>
            </w:hyperlink>
          </w:p>
        </w:tc>
        <w:tc>
          <w:tcPr>
            <w:tcW w:w="3600" w:type="dxa"/>
            <w:vAlign w:val="bottom"/>
            <w:tcBorders>
              <w:top w:val="single" w:sz="8" w:color="0000EE"/>
            </w:tcBorders>
            <w:gridSpan w:val="3"/>
          </w:tcPr>
          <w:p>
            <w:pPr>
              <w:spacing w:after="0"/>
              <w:rPr>
                <w:sz w:val="17"/>
                <w:szCs w:val="17"/>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1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Securities Purchase Agreement entered into between the Registrant and institutional investors on June 30, 2015 (incorporated</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by reference to Exhibit 10.1 of our Form 8-K filed July 1, 2015).</w:t>
              </w:r>
            </w:hyperlink>
          </w:p>
        </w:tc>
        <w:tc>
          <w:tcPr>
            <w:tcW w:w="5140" w:type="dxa"/>
            <w:vAlign w:val="bottom"/>
            <w:gridSpan w:val="5"/>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License, Commercialization and Option Agreement is made and entered into as of March 16, 2017 by and between MainPointe</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Pharmaceuticals, LLC</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rPr>
            </w:pPr>
            <w:hyperlink r:id="rId187">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rPr>
            </w:pPr>
            <w:hyperlink r:id="rId187">
              <w:r>
                <w:rPr>
                  <w:rFonts w:ascii="Arial" w:cs="Arial" w:eastAsia="Arial" w:hAnsi="Arial"/>
                  <w:sz w:val="18"/>
                  <w:szCs w:val="18"/>
                  <w:color w:val="0000EE"/>
                </w:rPr>
                <w:t>Code of Ethics (incorporated by reference to Exhibit 14.1 of the Form 8-K filed on December 10, 2007).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r:id="rId188">
              <w:r>
                <w:rPr>
                  <w:rFonts w:ascii="Arial" w:cs="Arial" w:eastAsia="Arial" w:hAnsi="Arial"/>
                  <w:sz w:val="18"/>
                  <w:szCs w:val="18"/>
                  <w:color w:val="0000EE"/>
                  <w:w w:val="7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2"/>
              </w:rPr>
            </w:pPr>
            <w:hyperlink r:id="rId188">
              <w:r>
                <w:rPr>
                  <w:rFonts w:ascii="Arial" w:cs="Arial" w:eastAsia="Arial" w:hAnsi="Arial"/>
                  <w:sz w:val="18"/>
                  <w:szCs w:val="18"/>
                  <w:color w:val="0000EE"/>
                  <w:w w:val="92"/>
                </w:rPr>
                <w:t>Subsidiaries of the Registrant (incorporated by reference to Exhibit 21 to the Form 10-K for the fiscal year ended December 31, 2006</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13"/>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filed on March 15, 2007).</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80">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0">
              <w:r>
                <w:rPr>
                  <w:rFonts w:ascii="Arial" w:cs="Arial" w:eastAsia="Arial" w:hAnsi="Arial"/>
                  <w:sz w:val="18"/>
                  <w:szCs w:val="18"/>
                  <w:color w:val="0000EE"/>
                  <w:w w:val="90"/>
                </w:rPr>
                <w:t>Consent of Independent Registered Public Accounting Firm</w:t>
              </w:r>
            </w:hyperlink>
          </w:p>
        </w:tc>
        <w:tc>
          <w:tcPr>
            <w:tcW w:w="5480" w:type="dxa"/>
            <w:vAlign w:val="bottom"/>
            <w:gridSpan w:val="7"/>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8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81">
              <w:r>
                <w:rPr>
                  <w:rFonts w:ascii="Arial" w:cs="Arial" w:eastAsia="Arial" w:hAnsi="Arial"/>
                  <w:sz w:val="18"/>
                  <w:szCs w:val="18"/>
                  <w:color w:val="0000EE"/>
                  <w:w w:val="95"/>
                </w:rPr>
                <w:t>Certification of Periodic Report by Chief Executive Officer pursuant to Rule 13a-14 and 15d-14 of the Securities Exchange Act of</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81">
              <w:r>
                <w:rPr>
                  <w:rFonts w:ascii="Arial" w:cs="Arial" w:eastAsia="Arial" w:hAnsi="Arial"/>
                  <w:sz w:val="18"/>
                  <w:szCs w:val="18"/>
                  <w:color w:val="0000EE"/>
                  <w:w w:val="84"/>
                </w:rPr>
                <w:t>1934.</w:t>
              </w:r>
            </w:hyperlink>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3"/>
          </w:tcPr>
          <w:p>
            <w:pPr>
              <w:spacing w:after="0"/>
              <w:rPr>
                <w:rFonts w:ascii="Arial" w:cs="Arial" w:eastAsia="Arial" w:hAnsi="Arial"/>
                <w:sz w:val="18"/>
                <w:szCs w:val="18"/>
                <w:color w:val="0000EE"/>
                <w:w w:val="95"/>
              </w:rPr>
            </w:pPr>
            <w:hyperlink w:anchor="page182">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Certification of Periodic Report by Chief Financial Officer pursuant to Rule 13a-14 and 15d-14 of the Securities Exchange Act of 1934.</w:t>
              </w:r>
            </w:hyperlink>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69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32*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Certification of Chief Executive Officer and Chief Financial Officer pursuant to 18 U.S.C. Section 1350, as adopted pursuant to Section</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906 of the Sarbanes-Oxley Act of 2002.</w:t>
              </w:r>
            </w:hyperlink>
          </w:p>
        </w:tc>
      </w:tr>
      <w:tr>
        <w:trPr>
          <w:trHeight w:val="669"/>
        </w:trPr>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color w:val="auto"/>
              </w:rPr>
              <w:t>E-4</w:t>
            </w:r>
          </w:p>
        </w:tc>
      </w:tr>
    </w:tbl>
    <w:p>
      <w:pPr>
        <w:sectPr>
          <w:pgSz w:w="11900" w:h="16838" w:orient="portrait"/>
          <w:cols w:equalWidth="0" w:num="1">
            <w:col w:w="11420"/>
          </w:cols>
          <w:pgMar w:left="240" w:top="904" w:right="2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9800" w:type="dxa"/>
            <w:vAlign w:val="bottom"/>
            <w:tcBorders>
              <w:bottom w:val="single" w:sz="8" w:color="auto"/>
            </w:tcBorders>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62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98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00" w:type="dxa"/>
            <w:vAlign w:val="bottom"/>
          </w:tcPr>
          <w:p>
            <w:pPr>
              <w:spacing w:after="0"/>
              <w:rPr>
                <w:sz w:val="20"/>
                <w:szCs w:val="20"/>
                <w:color w:val="auto"/>
              </w:rPr>
            </w:pPr>
            <w:r>
              <w:rPr>
                <w:rFonts w:ascii="Arial" w:cs="Arial" w:eastAsia="Arial" w:hAnsi="Arial"/>
                <w:sz w:val="18"/>
                <w:szCs w:val="18"/>
                <w:color w:val="auto"/>
              </w:rPr>
              <w:t>XBRL Extension Calculation Linkbase</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9800" w:type="dxa"/>
            <w:vAlign w:val="bottom"/>
          </w:tcPr>
          <w:p>
            <w:pPr>
              <w:spacing w:after="0"/>
              <w:rPr>
                <w:sz w:val="20"/>
                <w:szCs w:val="20"/>
                <w:color w:val="auto"/>
              </w:rPr>
            </w:pPr>
            <w:r>
              <w:rPr>
                <w:rFonts w:ascii="Arial" w:cs="Arial" w:eastAsia="Arial" w:hAnsi="Arial"/>
                <w:sz w:val="18"/>
                <w:szCs w:val="18"/>
                <w:color w:val="auto"/>
              </w:rPr>
              <w:t>XBRL Extension Label Linkbase</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9800" w:type="dxa"/>
            <w:vAlign w:val="bottom"/>
          </w:tcPr>
          <w:p>
            <w:pPr>
              <w:spacing w:after="0"/>
              <w:rPr>
                <w:sz w:val="20"/>
                <w:szCs w:val="20"/>
                <w:color w:val="auto"/>
              </w:rPr>
            </w:pPr>
            <w:r>
              <w:rPr>
                <w:rFonts w:ascii="Arial" w:cs="Arial" w:eastAsia="Arial" w:hAnsi="Arial"/>
                <w:sz w:val="18"/>
                <w:szCs w:val="18"/>
                <w:color w:val="auto"/>
              </w:rPr>
              <w:t>XBRL Extension Presentation Linkbase</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COMMERCIALIZATION AND OPTION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License, Commercialization and Option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16,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MainPointe Pharmaceuticals, LLC, with offices at 333 East Main Street, Suite 220, Louisville, Kentucky 40202 (“</w:t>
      </w:r>
      <w:r>
        <w:rPr>
          <w:rFonts w:ascii="Arial" w:cs="Arial" w:eastAsia="Arial" w:hAnsi="Arial"/>
          <w:sz w:val="18"/>
          <w:szCs w:val="18"/>
          <w:b w:val="1"/>
          <w:bCs w:val="1"/>
          <w:color w:val="auto"/>
        </w:rPr>
        <w:t>MainPointe</w:t>
      </w:r>
      <w:r>
        <w:rPr>
          <w:rFonts w:ascii="Arial" w:cs="Arial" w:eastAsia="Arial" w:hAnsi="Arial"/>
          <w:sz w:val="18"/>
          <w:szCs w:val="18"/>
          <w:color w:val="auto"/>
        </w:rPr>
        <w:t>”), and Acura Pharmaceuticals, Inc., with offices at 616 N. North Court, Palatine IL 60067 (“</w:t>
      </w:r>
      <w:r>
        <w:rPr>
          <w:rFonts w:ascii="Arial" w:cs="Arial" w:eastAsia="Arial" w:hAnsi="Arial"/>
          <w:sz w:val="18"/>
          <w:szCs w:val="18"/>
          <w:b w:val="1"/>
          <w:bCs w:val="1"/>
          <w:color w:val="auto"/>
        </w:rPr>
        <w:t>Acura</w:t>
      </w:r>
      <w:r>
        <w:rPr>
          <w:rFonts w:ascii="Arial" w:cs="Arial" w:eastAsia="Arial" w:hAnsi="Arial"/>
          <w:sz w:val="18"/>
          <w:szCs w:val="18"/>
          <w:color w:val="auto"/>
        </w:rPr>
        <w:t>”). MainPointe and Acura each are referred to herein as a “Party” and collectively as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Acura has developed Impede® Technology intended to prevent extraction of pseudoephedrine from tablets and to disrupt the direct</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pseudoephedrine from tablets into methamphetamine;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MainPointe and its Affiliates have substantial expertise in the distribution, sales and marketing of healthcare products worldwide;</w:t>
      </w:r>
    </w:p>
    <w:p>
      <w:pPr>
        <w:spacing w:after="0" w:line="244" w:lineRule="exact"/>
        <w:rPr>
          <w:sz w:val="20"/>
          <w:szCs w:val="20"/>
          <w:color w:val="auto"/>
        </w:rPr>
      </w:pPr>
    </w:p>
    <w:p>
      <w:pPr>
        <w:jc w:val="both"/>
        <w:ind w:firstLine="648"/>
        <w:spacing w:after="0" w:line="19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Acura wishes to grant to MainPointe, and MainPointe wishes to obtain, the rights to the Impede</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to commercialize the</w:t>
      </w:r>
      <w:r>
        <w:rPr>
          <w:rFonts w:ascii="Arial" w:cs="Arial" w:eastAsia="Arial" w:hAnsi="Arial"/>
          <w:sz w:val="18"/>
          <w:szCs w:val="18"/>
          <w:b w:val="1"/>
          <w:bCs w:val="1"/>
          <w:color w:val="auto"/>
        </w:rPr>
        <w:t xml:space="preserve"> </w:t>
      </w:r>
      <w:r>
        <w:rPr>
          <w:rFonts w:ascii="Arial" w:cs="Arial" w:eastAsia="Arial" w:hAnsi="Arial"/>
          <w:sz w:val="18"/>
          <w:szCs w:val="18"/>
          <w:color w:val="auto"/>
        </w:rPr>
        <w:t>Nexafed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in the Territory (each as herein defined) and develop, obtain regulatory approval and commercialize the Option Products in the Territory (as herein defined) upon exercise as provided herein;</w:t>
      </w:r>
    </w:p>
    <w:p>
      <w:pPr>
        <w:spacing w:after="0" w:line="20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promises, covenants and conditions contained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DEFINITIONS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is defined in Section 3.1.</w:t>
      </w:r>
    </w:p>
    <w:p>
      <w:pPr>
        <w:spacing w:after="0" w:line="22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Acquisition Payment</w:t>
      </w:r>
      <w:r>
        <w:rPr>
          <w:rFonts w:ascii="Arial" w:cs="Arial" w:eastAsia="Arial" w:hAnsi="Arial"/>
          <w:sz w:val="16"/>
          <w:szCs w:val="16"/>
          <w:color w:val="auto"/>
        </w:rPr>
        <w:t>” means the payment by MainPointe to Acura on the Effective Date for the Acquired Assets, as set forth in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4.1.1(B).</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Additional Nexafed Products</w:t>
      </w:r>
      <w:r>
        <w:rPr>
          <w:rFonts w:ascii="Arial" w:cs="Arial" w:eastAsia="Arial" w:hAnsi="Arial"/>
          <w:sz w:val="18"/>
          <w:szCs w:val="18"/>
          <w:color w:val="auto"/>
        </w:rPr>
        <w:t>” means any product having the same active ingredients as a Currently Marketed Nexafed Product except that it contains a dosage of greater than 60mg of PSE.</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Advertising Materials</w:t>
      </w:r>
      <w:r>
        <w:rPr>
          <w:rFonts w:ascii="Arial" w:cs="Arial" w:eastAsia="Arial" w:hAnsi="Arial"/>
          <w:sz w:val="16"/>
          <w:szCs w:val="16"/>
          <w:color w:val="auto"/>
        </w:rPr>
        <w:t>” is defined in Section 3.2(d).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Affiliate</w:t>
      </w:r>
      <w:r>
        <w:rPr>
          <w:rFonts w:ascii="Arial" w:cs="Arial" w:eastAsia="Arial" w:hAnsi="Arial"/>
          <w:sz w:val="17"/>
          <w:szCs w:val="17"/>
          <w:color w:val="auto"/>
        </w:rPr>
        <w:t>” means any corporation or other entity, which directly or indirectly controls, is controlled by or is under common control with a Party. A corporation or other entity shall be regarded as in control of another corporation or entity if it owns or directly or indirectly controls more than Fifty Percent (50%) of the voting stock or other ownership interest of the other corporation or entity, or if it possesses, directly or indirectly, the power to direct or cause the direction of the management and policies of the corporation or other entity or the power to elect or appoint more than Fifty Percent (50%) of the members of the governing body of the corporation or other entity. Notwithstanding the foregoing, a private equity or venture capital firm with an ownership interest in an entity shall not be an Affiliate by reason of such ownership and portfolio companies of a private equity firm or a venture capital firm shall not be Affiliates or a Party by virtue of the private equity firm or venture capital firm being Affiliates of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3" w:name="page134"/>
    <w:bookmarkEnd w:id="133"/>
    <w:p>
      <w:pPr>
        <w:jc w:val="both"/>
        <w:ind w:firstLine="648"/>
        <w:spacing w:after="0" w:line="261"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domestic or foreign, federal, state or local statute, treaty, law, ordinance, rule, regulation, administrative interpretation, order, writ, injunction, judicial decision, decree or other requirement of any governmental authority, including any rules, regulations or other requirements of the Regulatory Authorities in the Territory, applicable to such Person or any of such Person’s respective properties, assets, officers, directors, employees, consultants or agents.</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APT</w:t>
      </w:r>
      <w:r>
        <w:rPr>
          <w:rFonts w:ascii="Arial" w:cs="Arial" w:eastAsia="Arial" w:hAnsi="Arial"/>
          <w:sz w:val="16"/>
          <w:szCs w:val="16"/>
          <w:color w:val="auto"/>
        </w:rPr>
        <w:t>” means Acura Pharmaceutical Technologies, Inc.</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Assignment of Contracts</w:t>
      </w:r>
      <w:r>
        <w:rPr>
          <w:rFonts w:ascii="Arial" w:cs="Arial" w:eastAsia="Arial" w:hAnsi="Arial"/>
          <w:sz w:val="16"/>
          <w:szCs w:val="16"/>
          <w:color w:val="auto"/>
        </w:rPr>
        <w:t xml:space="preserve">” means the assignment of contracts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Assumed Liabilities”</w:t>
      </w:r>
      <w:r>
        <w:rPr>
          <w:rFonts w:ascii="Arial" w:cs="Arial" w:eastAsia="Arial" w:hAnsi="Arial"/>
          <w:sz w:val="16"/>
          <w:szCs w:val="16"/>
          <w:color w:val="auto"/>
        </w:rPr>
        <w:t xml:space="preserve"> is defined in Section 3.3.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Assumption Agreement</w:t>
      </w:r>
      <w:r>
        <w:rPr>
          <w:rFonts w:ascii="Arial" w:cs="Arial" w:eastAsia="Arial" w:hAnsi="Arial"/>
          <w:sz w:val="18"/>
          <w:szCs w:val="18"/>
          <w:color w:val="auto"/>
        </w:rPr>
        <w:t xml:space="preserve">” means the assumption agreement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executed by MainPointe to evidence its assumption of the Assumed Liabilities.</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Bayer</w:t>
      </w:r>
      <w:r>
        <w:rPr>
          <w:rFonts w:ascii="Arial" w:cs="Arial" w:eastAsia="Arial" w:hAnsi="Arial"/>
          <w:sz w:val="16"/>
          <w:szCs w:val="16"/>
          <w:color w:val="auto"/>
        </w:rPr>
        <w:t>” means Bayer Healthcare LLC.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Bayer Agreement</w:t>
      </w:r>
      <w:r>
        <w:rPr>
          <w:rFonts w:ascii="Arial" w:cs="Arial" w:eastAsia="Arial" w:hAnsi="Arial"/>
          <w:sz w:val="18"/>
          <w:szCs w:val="18"/>
          <w:color w:val="auto"/>
        </w:rPr>
        <w:t>” means that certain License and Development Agreement dated as of June 5, 2015 between Acura and Bayer HealthCare LLC, as the same may be amended.</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Bill of Sale</w:t>
      </w:r>
      <w:r>
        <w:rPr>
          <w:rFonts w:ascii="Arial" w:cs="Arial" w:eastAsia="Arial" w:hAnsi="Arial"/>
          <w:sz w:val="16"/>
          <w:szCs w:val="16"/>
          <w:color w:val="auto"/>
        </w:rPr>
        <w:t xml:space="preserve">” means a bill of sale and assignment with respect to the Acquired Assets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is defined in Section 6.3.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is defined in Section 4.9.6.</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the efforts and resources which would be used (including the promptness in which such efforts and resources would be applied) by MainPointe consistent with its normal business practices and in compliance with Applicable Law and the exercise of prudent scientific and business judgment, which in no event shall be less than the level of efforts and resources standard in the pharmaceutical industry for a company similar in size and scope to MainPointe, with respect to a product or potential product at a similar stage in its development and with similar market potential or product life cycle taking into account efficacy, safety, commercial value, the competitiveness of alternative products of Third Parties that are in the marketplace, and the Patent Rights and other proprietary position of such product.</w:t>
      </w:r>
    </w:p>
    <w:p>
      <w:pPr>
        <w:spacing w:after="0" w:line="17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is defined in Section 5.1 below.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jc w:val="both"/>
        <w:ind w:firstLine="648"/>
        <w:spacing w:after="0" w:line="282"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Competing Product</w:t>
      </w:r>
      <w:r>
        <w:rPr>
          <w:rFonts w:ascii="Arial" w:cs="Arial" w:eastAsia="Arial" w:hAnsi="Arial"/>
          <w:sz w:val="18"/>
          <w:szCs w:val="18"/>
          <w:color w:val="auto"/>
        </w:rPr>
        <w:t>” means a prescription or over-the-counter (non-prescription) product that contains PSE and has some effectiveness in reducing the mean total recovery of methamphetamine from a pharmaceutical product, other than a Product.</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is defined in Section 3.2.1.</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Intellectual Property Rights, ownership or the possession of the ability by license or otherwise to assign or grant a license or sublicense to or disclose such Intellectual Property Rights without violating the terms of any agreement or other arrangement, express or implied, with any Third Party.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Currently Marketed Nexafed Products</w:t>
      </w:r>
      <w:r>
        <w:rPr>
          <w:rFonts w:ascii="Arial" w:cs="Arial" w:eastAsia="Arial" w:hAnsi="Arial"/>
          <w:sz w:val="18"/>
          <w:szCs w:val="18"/>
          <w:color w:val="auto"/>
        </w:rPr>
        <w:t>” means (i) Pseudoephedrine HCl 30 mg (currently marketed as Nexafed®) and (ii) Pseudoephedrine HCl 30 mg and Acetaminophen 325 mg (currently marketed as Nexafed® Sinus Pressure + Pain).</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above.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Liability</w:t>
      </w:r>
      <w:r>
        <w:rPr>
          <w:rFonts w:ascii="Arial" w:cs="Arial" w:eastAsia="Arial" w:hAnsi="Arial"/>
          <w:sz w:val="16"/>
          <w:szCs w:val="16"/>
          <w:color w:val="auto"/>
        </w:rPr>
        <w:t>” is defined in Section 3.4.</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Tax Liability</w:t>
      </w:r>
      <w:r>
        <w:rPr>
          <w:rFonts w:ascii="Arial" w:cs="Arial" w:eastAsia="Arial" w:hAnsi="Arial"/>
          <w:sz w:val="16"/>
          <w:szCs w:val="16"/>
          <w:color w:val="auto"/>
        </w:rPr>
        <w:t>” is defined in Section 3.4.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FD&amp;C Act</w:t>
      </w:r>
      <w:r>
        <w:rPr>
          <w:rFonts w:ascii="Arial" w:cs="Arial" w:eastAsia="Arial" w:hAnsi="Arial"/>
          <w:sz w:val="18"/>
          <w:szCs w:val="18"/>
          <w:color w:val="auto"/>
        </w:rPr>
        <w:t>” means that federal statute entitled the Federal Food, Drug, and Cosmetic Act and enacted in 1938 as Public Law 75-717, as such may have been amended, and which is contained in Title 21 of the C.F.R. Section 301 et seq.</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any successor thereto.</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over-the-counter (non-prescription) (“OTC”) and prescription (“Rx”) products.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effect in the United States from time to time applied on a consistent basis.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Gross Sales</w:t>
      </w:r>
      <w:r>
        <w:rPr>
          <w:rFonts w:ascii="Arial" w:cs="Arial" w:eastAsia="Arial" w:hAnsi="Arial"/>
          <w:sz w:val="17"/>
          <w:szCs w:val="17"/>
          <w:color w:val="auto"/>
        </w:rPr>
        <w:t>” means the U.S. Dollar value (with sales in foreign currency converted as per Section 4.7) of all consideration to which MainPointe, its Affiliates and licensees is entitled for the sale of Products. In the event MainPointe sells Products for less than fair market value, the fair market value of such Products (as if there had been a sale for fair market value to a Third Party) shall be included in Gross Sales.</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b w:val="1"/>
          <w:bCs w:val="1"/>
          <w:color w:val="auto"/>
        </w:rPr>
        <w:t>Impede® Patent Rights</w:t>
      </w:r>
      <w:r>
        <w:rPr>
          <w:rFonts w:ascii="Arial" w:cs="Arial" w:eastAsia="Arial" w:hAnsi="Arial"/>
          <w:sz w:val="17"/>
          <w:szCs w:val="17"/>
          <w:color w:val="auto"/>
        </w:rPr>
        <w:t xml:space="preserve">” means the Patent Rights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that disclose or claim Acura’s Impede® Technology and that are Controlled by Acura or its Affiliates during the Term, including issued patents resulting from such applications, and all divisions, continuations, continuations-in-part, substitutions, reissues, reexaminations, extensions, registrations, patent term extensions and renewals of the foregoing.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p>
      <w:pPr>
        <w:jc w:val="both"/>
        <w:ind w:firstLine="648"/>
        <w:spacing w:after="0" w:line="258"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Impede® Technology</w:t>
      </w:r>
      <w:r>
        <w:rPr>
          <w:rFonts w:ascii="Arial" w:cs="Arial" w:eastAsia="Arial" w:hAnsi="Arial"/>
          <w:sz w:val="18"/>
          <w:szCs w:val="18"/>
          <w:color w:val="auto"/>
        </w:rPr>
        <w:t>” means the technology for reducing the recovery of methamphetamine from a pharmaceutical product as reflected in the Impede Patent® Rights and any related Know-How that is Controlled by Acura as of the Effective Date or at any time during the Term, including (i) Impede 1.0 and Impede 2.0 (as such terms Impede 1.0 and Impede 2.0 are described in Acura’s filings with the Securities and Exchange Commission on or prior to the Effective Date) and (ii) technology for reducing the recovery of methamphetamine from a pharmaceutical product Controlled by Acura during the Term that would infringe the Impede® Patent Rights if utilized by a third party.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Infringing Competing Product</w:t>
      </w:r>
      <w:r>
        <w:rPr>
          <w:rFonts w:ascii="Arial" w:cs="Arial" w:eastAsia="Arial" w:hAnsi="Arial"/>
          <w:sz w:val="18"/>
          <w:szCs w:val="18"/>
          <w:color w:val="auto"/>
        </w:rPr>
        <w:t>” means a prescription or over-the-counter (non-prescription) product that contains loratadine (or desloratadine) in combination with PSE and infringes the Impede® Patent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Know-How, registered trademarks, trademark applications, unregistered trademarks, trade dress, copyrights, and Patent Rights.</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1.34 “</w:t>
      </w:r>
      <w:r>
        <w:rPr>
          <w:rFonts w:ascii="Arial" w:cs="Arial" w:eastAsia="Arial" w:hAnsi="Arial"/>
          <w:sz w:val="16"/>
          <w:szCs w:val="16"/>
          <w:b w:val="1"/>
          <w:bCs w:val="1"/>
          <w:color w:val="auto"/>
        </w:rPr>
        <w:t>Know-How</w:t>
      </w:r>
      <w:r>
        <w:rPr>
          <w:rFonts w:ascii="Arial" w:cs="Arial" w:eastAsia="Arial" w:hAnsi="Arial"/>
          <w:sz w:val="16"/>
          <w:szCs w:val="16"/>
          <w:color w:val="auto"/>
        </w:rPr>
        <w:t>” means information Controlled by Acura and related to minimizing the extraction and conversion of pseudoephedrine into methamphetamine and encompassing manufacturing techniques, process, quality information, batch records (un-redacted master and executed), formulation composition and excipient specifications, formation development reports; batch summaries, and analytical methods and development/validation.</w:t>
      </w:r>
    </w:p>
    <w:p>
      <w:pPr>
        <w:spacing w:after="0" w:line="14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is defined in Section 3.3.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is defined in Section 6.3.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NDC</w:t>
      </w:r>
      <w:r>
        <w:rPr>
          <w:rFonts w:ascii="Arial" w:cs="Arial" w:eastAsia="Arial" w:hAnsi="Arial"/>
          <w:sz w:val="17"/>
          <w:szCs w:val="17"/>
          <w:color w:val="auto"/>
        </w:rPr>
        <w:t>” is defined in Section 3.3(h).</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Sales” (as hereinafter defined), reduced by deductions, without duplication, for each of the following to the extent actually incurred, allowed or accrued, and without duplication (a) returns, (b) cash discounts, (c) coupons, (d) listing fees, (e) credits, (f) trade rebates,</w:t>
      </w:r>
    </w:p>
    <w:p>
      <w:pPr>
        <w:spacing w:after="0" w:line="1" w:lineRule="exact"/>
        <w:rPr>
          <w:sz w:val="20"/>
          <w:szCs w:val="20"/>
          <w:color w:val="auto"/>
        </w:rPr>
      </w:pPr>
    </w:p>
    <w:p>
      <w:pPr>
        <w:ind w:firstLine="8"/>
        <w:spacing w:after="0" w:line="290" w:lineRule="auto"/>
        <w:tabs>
          <w:tab w:leader="none" w:pos="2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shipping costs, (h) sales and excise taxes, other consumption taxes, and (i) other governmental charges. Net Sales, as set forth in this definition, shall be calculated applying, in accordance with GAAP, MainPointe's standard accounting practices for selling MainPointe's other products.</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Nexafed Products</w:t>
      </w:r>
      <w:r>
        <w:rPr>
          <w:rFonts w:ascii="Arial" w:cs="Arial" w:eastAsia="Arial" w:hAnsi="Arial"/>
          <w:sz w:val="18"/>
          <w:szCs w:val="18"/>
          <w:color w:val="auto"/>
        </w:rPr>
        <w:t>” means (i) Pseudoephedrine HCl 30 mg (currently marketed as Nexafed®) and (ii) Pseudoephedrine HCl 30 mg and Acetaminophen 325 mg (currently marketed as Nexafed® Sinus Pressure + Pain), and (iii) any products (other than Additional Nexafed Products) containing the same active ingredients as the Nexafed Products, and utilizing the Impede Technology, with 60 mg or less of PSE.</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1.40 “</w:t>
      </w:r>
      <w:r>
        <w:rPr>
          <w:rFonts w:ascii="Arial" w:cs="Arial" w:eastAsia="Arial" w:hAnsi="Arial"/>
          <w:sz w:val="17"/>
          <w:szCs w:val="17"/>
          <w:b w:val="1"/>
          <w:bCs w:val="1"/>
          <w:color w:val="auto"/>
        </w:rPr>
        <w:t>Option Product</w:t>
      </w:r>
      <w:r>
        <w:rPr>
          <w:rFonts w:ascii="Arial" w:cs="Arial" w:eastAsia="Arial" w:hAnsi="Arial"/>
          <w:sz w:val="17"/>
          <w:szCs w:val="17"/>
          <w:color w:val="auto"/>
        </w:rPr>
        <w:t>” means (a) the Additional Nexafed Products and (b) a prescription or over-the-counter tablet product containing PSE as an active pharmaceutical ingredient, alone or in combination with other active pharmaceutical ingredients and utilizing the Impede Technology, other than Nexafed Products, provided that an Option Product shall cease to be an Option Product if its status as such is terminated under Section 2.3.2. All strengths of an Option Product shall be considered the same Option Product. An Infringing Competing Product is not an Option Product.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ind w:left="660"/>
        <w:spacing w:after="0"/>
        <w:tabs>
          <w:tab w:leader="none" w:pos="13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Product Exercise Fee</w:t>
      </w:r>
      <w:r>
        <w:rPr>
          <w:rFonts w:ascii="Arial" w:cs="Arial" w:eastAsia="Arial" w:hAnsi="Arial"/>
          <w:sz w:val="16"/>
          <w:szCs w:val="16"/>
          <w:color w:val="auto"/>
        </w:rPr>
        <w:t>” is defined in Section 2.3.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Territory Exercise Fee</w:t>
      </w:r>
      <w:r>
        <w:rPr>
          <w:rFonts w:ascii="Arial" w:cs="Arial" w:eastAsia="Arial" w:hAnsi="Arial"/>
          <w:sz w:val="16"/>
          <w:szCs w:val="16"/>
          <w:color w:val="auto"/>
        </w:rPr>
        <w:t>” is defined in Section 2.2.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Transaction Documents</w:t>
      </w:r>
      <w:r>
        <w:rPr>
          <w:rFonts w:ascii="Arial" w:cs="Arial" w:eastAsia="Arial" w:hAnsi="Arial"/>
          <w:sz w:val="16"/>
          <w:szCs w:val="16"/>
          <w:color w:val="auto"/>
        </w:rPr>
        <w:t>” means the Assumption Agreement, Bill of Sale and the Assignment of Contracts.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Paragraph IV Certification</w:t>
      </w:r>
      <w:r>
        <w:rPr>
          <w:rFonts w:ascii="Arial" w:cs="Arial" w:eastAsia="Arial" w:hAnsi="Arial"/>
          <w:sz w:val="18"/>
          <w:szCs w:val="18"/>
          <w:color w:val="auto"/>
        </w:rPr>
        <w:t>” means a certification under and pursuant to 21 U.S.C. Section 355(j)(2)(A)(vii)(IV) of the FD&amp;C Act or pursuant to 21 U.S.C. Section 355(b)(2) (A)(iv) of the FD&amp;C Act.</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is defined in Section 10.3.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Patent Rights</w:t>
      </w:r>
      <w:r>
        <w:rPr>
          <w:rFonts w:ascii="Arial" w:cs="Arial" w:eastAsia="Arial" w:hAnsi="Arial"/>
          <w:sz w:val="18"/>
          <w:szCs w:val="18"/>
          <w:color w:val="auto"/>
        </w:rPr>
        <w:t>” means patents and patent applications, and all divisionals, continuations, continuations in part, reissues, extensions, supplementary protection certificates and foreign counterparts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general partnership, a limited partnership, a limited liability company, a limited liability partnership, an association, a trust or any other entity or organization.</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Pre-Closing Tax Period</w:t>
      </w:r>
      <w:r>
        <w:rPr>
          <w:rFonts w:ascii="Arial" w:cs="Arial" w:eastAsia="Arial" w:hAnsi="Arial"/>
          <w:sz w:val="16"/>
          <w:szCs w:val="16"/>
          <w:color w:val="auto"/>
        </w:rPr>
        <w:t>” is defined in Section 4.9.</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Post-Closing Tax Period</w:t>
      </w:r>
      <w:r>
        <w:rPr>
          <w:rFonts w:ascii="Arial" w:cs="Arial" w:eastAsia="Arial" w:hAnsi="Arial"/>
          <w:sz w:val="16"/>
          <w:szCs w:val="16"/>
          <w:color w:val="auto"/>
        </w:rPr>
        <w:t>” is defined in Section 4.9.</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Prior Confidentiality Agreement”</w:t>
      </w:r>
      <w:r>
        <w:rPr>
          <w:rFonts w:ascii="Arial" w:cs="Arial" w:eastAsia="Arial" w:hAnsi="Arial"/>
          <w:sz w:val="16"/>
          <w:szCs w:val="16"/>
          <w:color w:val="auto"/>
        </w:rPr>
        <w:t xml:space="preserve"> is defined in Section 5.4.</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 Nexafed Product or an Option Product for which MainPointe has exercised an option pursuant to Section 2.3.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PSE</w:t>
      </w:r>
      <w:r>
        <w:rPr>
          <w:rFonts w:ascii="Arial" w:cs="Arial" w:eastAsia="Arial" w:hAnsi="Arial"/>
          <w:sz w:val="16"/>
          <w:szCs w:val="16"/>
          <w:color w:val="auto"/>
        </w:rPr>
        <w:t>” means pseudoephedrine or a pharmaceutically acceptable salt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the license or final FDA, or equivalent foreign governmental authority, marketing approval necessary as a prerequisite for marketing a Product in a country in the Territory.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Regulatory Approval Application</w:t>
      </w:r>
      <w:r>
        <w:rPr>
          <w:rFonts w:ascii="Arial" w:cs="Arial" w:eastAsia="Arial" w:hAnsi="Arial"/>
          <w:sz w:val="18"/>
          <w:szCs w:val="18"/>
          <w:color w:val="auto"/>
        </w:rPr>
        <w:t>” means shall mean any filing(s) made with the Regulatory Authority in any country in the Territory for Regulatory Approval of the marketing, manufacture and sale (and pricing when applicable) of a Product in such country.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the FDA in the U.S., and any health regulatory authority(ies) in any other country in the Territory that is a counterpart to the FDA and has responsibility for granting regulatory approval for the marketing, manufacture, and sale of a Product in such country, including, but not limited to, pricing and reimbursement approvals, and any successor(s) thereto, as well as any state or local health regulatory authorities having jurisdiction over any activities contemplated by the Parties.</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Payment</w:t>
      </w:r>
      <w:r>
        <w:rPr>
          <w:rFonts w:ascii="Arial" w:cs="Arial" w:eastAsia="Arial" w:hAnsi="Arial"/>
          <w:sz w:val="16"/>
          <w:szCs w:val="16"/>
          <w:color w:val="auto"/>
        </w:rPr>
        <w:t>” is defined in Section 4.2.1.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ind w:left="660"/>
        <w:spacing w:after="0"/>
        <w:tabs>
          <w:tab w:leader="none" w:pos="13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Report</w:t>
      </w:r>
      <w:r>
        <w:rPr>
          <w:rFonts w:ascii="Arial" w:cs="Arial" w:eastAsia="Arial" w:hAnsi="Arial"/>
          <w:sz w:val="16"/>
          <w:szCs w:val="16"/>
          <w:color w:val="auto"/>
        </w:rPr>
        <w:t>” is defined in Section 4.3.</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Royalty Term</w:t>
      </w:r>
      <w:r>
        <w:rPr>
          <w:rFonts w:ascii="Arial" w:cs="Arial" w:eastAsia="Arial" w:hAnsi="Arial"/>
          <w:sz w:val="18"/>
          <w:szCs w:val="18"/>
          <w:color w:val="auto"/>
        </w:rPr>
        <w:t>” shall be on a Product-by-Product and country-by-country basis and, with respect to each country, will begin on the Effective Date and will expire on the later of the date that (i) the Impede® Patent Rights in such country are not Valid; or (ii) is the scheduled expiration of the Royalty Term for the United States for a country in which there are not any Impede® Patent Rights, provided that all Royalty Terms shall terminate upon termination of this Agreement pursuant to Section 10.2.</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Straddle Period</w:t>
      </w:r>
      <w:r>
        <w:rPr>
          <w:rFonts w:ascii="Arial" w:cs="Arial" w:eastAsia="Arial" w:hAnsi="Arial"/>
          <w:sz w:val="16"/>
          <w:szCs w:val="16"/>
          <w:color w:val="auto"/>
        </w:rPr>
        <w:t>” is defined in Section 4.9.5.</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is defined in Section 4.9.6.</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10.1.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color w:val="auto"/>
        </w:rPr>
        <w:t>Territory</w:t>
      </w:r>
      <w:r>
        <w:rPr>
          <w:rFonts w:ascii="Arial" w:cs="Arial" w:eastAsia="Arial" w:hAnsi="Arial"/>
          <w:sz w:val="18"/>
          <w:szCs w:val="18"/>
          <w:color w:val="auto"/>
        </w:rPr>
        <w:t>” means the United States and Canada, and with respect to each Product, on a Product by Product basis, such additional regions/countries as may be added pursuant to Section 2.2.</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entity other than Acura and its Affiliates and MainPointe and its Affiliates.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 Taxes</w:t>
      </w:r>
      <w:r>
        <w:rPr>
          <w:rFonts w:ascii="Arial" w:cs="Arial" w:eastAsia="Arial" w:hAnsi="Arial"/>
          <w:sz w:val="16"/>
          <w:szCs w:val="16"/>
          <w:color w:val="auto"/>
        </w:rPr>
        <w:t>” is defined in Section 3.3(g).</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Contracts</w:t>
      </w:r>
      <w:r>
        <w:rPr>
          <w:rFonts w:ascii="Arial" w:cs="Arial" w:eastAsia="Arial" w:hAnsi="Arial"/>
          <w:sz w:val="16"/>
          <w:szCs w:val="16"/>
          <w:color w:val="auto"/>
        </w:rPr>
        <w:t>” is defined in Section 3.2.1.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Advertising Materials</w:t>
      </w:r>
      <w:r>
        <w:rPr>
          <w:rFonts w:ascii="Arial" w:cs="Arial" w:eastAsia="Arial" w:hAnsi="Arial"/>
          <w:sz w:val="16"/>
          <w:szCs w:val="16"/>
          <w:color w:val="auto"/>
        </w:rPr>
        <w:t>” is defined in Section 3.2(d).</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Inventory</w:t>
      </w:r>
      <w:r>
        <w:rPr>
          <w:rFonts w:ascii="Arial" w:cs="Arial" w:eastAsia="Arial" w:hAnsi="Arial"/>
          <w:sz w:val="16"/>
          <w:szCs w:val="16"/>
          <w:color w:val="auto"/>
        </w:rPr>
        <w:t>” is defined in Section 3.2.1.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Transition Contracts</w:t>
      </w:r>
      <w:r>
        <w:rPr>
          <w:rFonts w:ascii="Arial" w:cs="Arial" w:eastAsia="Arial" w:hAnsi="Arial"/>
          <w:sz w:val="16"/>
          <w:szCs w:val="16"/>
          <w:color w:val="auto"/>
        </w:rPr>
        <w:t>” is defined in Section 4.13.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Transition Products</w:t>
      </w:r>
      <w:r>
        <w:rPr>
          <w:rFonts w:ascii="Arial" w:cs="Arial" w:eastAsia="Arial" w:hAnsi="Arial"/>
          <w:sz w:val="16"/>
          <w:szCs w:val="16"/>
          <w:color w:val="auto"/>
        </w:rPr>
        <w:t>” is defined in Section 4.13.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Upfront License Payment</w:t>
      </w:r>
      <w:r>
        <w:rPr>
          <w:rFonts w:ascii="Arial" w:cs="Arial" w:eastAsia="Arial" w:hAnsi="Arial"/>
          <w:sz w:val="16"/>
          <w:szCs w:val="16"/>
          <w:color w:val="auto"/>
        </w:rPr>
        <w:t>” is defined in Section 4.1.1.</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Valid</w:t>
      </w:r>
      <w:r>
        <w:rPr>
          <w:rFonts w:ascii="Arial" w:cs="Arial" w:eastAsia="Arial" w:hAnsi="Arial"/>
          <w:sz w:val="18"/>
          <w:szCs w:val="18"/>
          <w:color w:val="auto"/>
        </w:rPr>
        <w:t>” means, with respect to a Impede® Patent Rights in a particular country, such Impede® Patent Rights have not (A) expired or been cancelled, (B) been declared invalid or unenforceable by a decision of a court or other appropriate body of competent jurisdiction, from which no appeal is or can be taken, (C) been admitted to be invalid or unenforceable through reissue, disclaimer or otherwise, or (D) been abandoned or disclaimed either affirmatively or by operation of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LICENSE AND COMMERCIALIZATION</w:t>
      </w:r>
    </w:p>
    <w:p>
      <w:pPr>
        <w:spacing w:after="0" w:line="22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License</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2.1.1 Acura hereby grants MainPointe an exclusive (even as to Acura), sub-licensable (subject to Section 2.10), royalty-bearing right and license under the Impede® Technology and to the Nexafed® trademark to develop, manufacture, have manufactured, distribute, have distributed, sell, have sold, market, have marketed, commercialize and have commercialized the Product(s) in the Field in the Territory.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8" w:name="page139"/>
    <w:bookmarkEnd w:id="138"/>
    <w:p>
      <w:pPr>
        <w:jc w:val="both"/>
        <w:ind w:firstLine="1297"/>
        <w:spacing w:after="0" w:line="264" w:lineRule="auto"/>
        <w:rPr>
          <w:sz w:val="20"/>
          <w:szCs w:val="20"/>
          <w:color w:val="auto"/>
        </w:rPr>
      </w:pPr>
      <w:r>
        <w:rPr>
          <w:rFonts w:ascii="Arial" w:cs="Arial" w:eastAsia="Arial" w:hAnsi="Arial"/>
          <w:sz w:val="18"/>
          <w:szCs w:val="18"/>
          <w:color w:val="auto"/>
        </w:rPr>
        <w:t>2.1.2 Acura hereby licenses to MainPointe, on a non-exclusive basis the use of the mark Impede® in the Field and Territory solely for the commercialization of a Product, provided that such mark shall be exclusive in the Territory for all Products containing PSE as an active ingredient in dosage strengths of 60 mg or less, and utilizing the Impede Technology.</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licenses granted herein shall expire upon termination of this Agreement but shall survive expiration of this Agreement.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Option to Expand Definition of Territory</w:t>
      </w:r>
      <w:r>
        <w:rPr>
          <w:rFonts w:ascii="Arial" w:cs="Arial" w:eastAsia="Arial" w:hAnsi="Arial"/>
          <w:sz w:val="17"/>
          <w:szCs w:val="17"/>
          <w:color w:val="auto"/>
        </w:rPr>
        <w:t>.</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At any time during the Royalty Term for the United States, MainPointe, by written notice to Acura may expand the definition of Territory to include a region/country in the table below (one fee for all Nexafed Products) if such notice is accompanied by payment in immediately available funds of the sum of the (i) option/exercise fee opposite such region/country in the table below (“</w:t>
      </w:r>
      <w:r>
        <w:rPr>
          <w:rFonts w:ascii="Arial" w:cs="Arial" w:eastAsia="Arial" w:hAnsi="Arial"/>
          <w:sz w:val="18"/>
          <w:szCs w:val="18"/>
          <w:b w:val="1"/>
          <w:bCs w:val="1"/>
          <w:color w:val="auto"/>
        </w:rPr>
        <w:t>Option Territory Exercise Fee</w:t>
      </w:r>
      <w:r>
        <w:rPr>
          <w:rFonts w:ascii="Arial" w:cs="Arial" w:eastAsia="Arial" w:hAnsi="Arial"/>
          <w:sz w:val="18"/>
          <w:szCs w:val="18"/>
          <w:color w:val="auto"/>
        </w:rPr>
        <w:t>”) plus (ii) a $250,000 for each Product that was formerly an Option Product. The $250,000 payment is a one-time payment for each Product that was formerly an Option Product regardless of the region or country added to the Territory.</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Region/Country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Option Territory Exercise Fee</w:t>
            </w:r>
          </w:p>
        </w:tc>
      </w:t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European Union and United Kingdom</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3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Japan</w:t>
            </w:r>
          </w:p>
        </w:tc>
        <w:tc>
          <w:tcPr>
            <w:tcW w:w="7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324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Korea</w:t>
            </w:r>
          </w:p>
        </w:tc>
        <w:tc>
          <w:tcPr>
            <w:tcW w:w="7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3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r>
      <w:tr>
        <w:trPr>
          <w:trHeight w:val="432"/>
        </w:trPr>
        <w:tc>
          <w:tcPr>
            <w:tcW w:w="5320" w:type="dxa"/>
            <w:vAlign w:val="bottom"/>
            <w:gridSpan w:val="4"/>
          </w:tcPr>
          <w:p>
            <w:pPr>
              <w:spacing w:after="0"/>
              <w:rPr>
                <w:sz w:val="20"/>
                <w:szCs w:val="20"/>
                <w:color w:val="auto"/>
              </w:rPr>
            </w:pPr>
            <w:r>
              <w:rPr>
                <w:rFonts w:ascii="Arial" w:cs="Arial" w:eastAsia="Arial" w:hAnsi="Arial"/>
                <w:sz w:val="18"/>
                <w:szCs w:val="18"/>
                <w:color w:val="auto"/>
              </w:rPr>
              <w:t>All such fees are non-refundable and non-creditable.</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2.3</w:t>
            </w:r>
          </w:p>
        </w:tc>
        <w:tc>
          <w:tcPr>
            <w:tcW w:w="4700" w:type="dxa"/>
            <w:vAlign w:val="bottom"/>
            <w:gridSpan w:val="3"/>
          </w:tcPr>
          <w:p>
            <w:pPr>
              <w:spacing w:after="0"/>
              <w:rPr>
                <w:sz w:val="20"/>
                <w:szCs w:val="20"/>
                <w:color w:val="auto"/>
              </w:rPr>
            </w:pPr>
            <w:r>
              <w:rPr>
                <w:rFonts w:ascii="Arial" w:cs="Arial" w:eastAsia="Arial" w:hAnsi="Arial"/>
                <w:sz w:val="18"/>
                <w:szCs w:val="18"/>
                <w:color w:val="auto"/>
              </w:rPr>
              <w:t>Option to Expand Definition of Product.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2.3.1 At any time during the Royalty Term for the United States, if MainPointe desires to add an Option Product to this Agreement during the Royalty Term for the United States, MainPointe shall send written notice to Acura, provided MainPointe shall not have the right to add a product whose status as an Option Product was previously terminated under Section 2.3.2. Acura shall have thirty (30) days from receipt of such notice to reject the addition of such Option Product in accordance with the immediately preceding sentence if and only if rights to such Option Product have been granted by Acura to Bayer under the Bayer Agreement, as in effect on the date hereof or if adding the Option Product to this Agreement would be in violation of the Bayer Agreement, as in effect on the date hereof (as reasonably determined by Acura). Any rejection shall be accompanied by an explanation and indicate when, if ever, it may be possible to add the proposed Option Product. If not rejected by Acura within such thirty (30) day period, in accordance with the immediately preceding sentence, such Option Product shall be added to this Agreement as a Product provided MainPointe remits to Acura $500,000; provided, however, that if prior to Acura’s acceptance of such Option Product MainPointe had exercised its option right to expand the Territory and had not remitted to Acura the $250,000 payment provided in Section 2.2(ii), MainPointe’s payment to Acura shall be increased from $500,000 to $750,000. Such payment shall be in immediately available funds within five (5) days of or the conclusion of such thirty (30) day period (or, if earlier, the date of acceptance by Acura), provided further that if MainPointe does not remit payment within such time period, MainPointe must repeat the procedure of this Section 2.3.1 to add such Option Product as a Product under this Agreement. All such fees are non-refundable and non-creditable.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jc w:val="both"/>
        <w:ind w:firstLine="1297"/>
        <w:spacing w:after="0" w:line="253" w:lineRule="auto"/>
        <w:rPr>
          <w:sz w:val="20"/>
          <w:szCs w:val="20"/>
          <w:color w:val="auto"/>
        </w:rPr>
      </w:pPr>
      <w:r>
        <w:rPr>
          <w:rFonts w:ascii="Arial" w:cs="Arial" w:eastAsia="Arial" w:hAnsi="Arial"/>
          <w:sz w:val="18"/>
          <w:szCs w:val="18"/>
          <w:color w:val="auto"/>
        </w:rPr>
        <w:t>2.3.2 During the Royalty Term for the United States, if Acura receives a Third Party expression of interest to develop, license, collaborate or acquire an Option Product, and in each case Acura determines to license to, develop with or for, or collaborate with a Third Party with respect to or sell such Option Product, then it will send MainPointe written notice of same, before offering such Option Product to any Third Party. Acura’s notice shall contain such information as MainPointe shall reasonably require to evaluate such product (which shall be subject to the protections of Article V (confidentiality) hereof). If MainPointe wishes to add the Option Product as a Product hereunder, MainPointe shall send Acura a written notice exercising its option to add such Option Product as a Product hereunder, accompanied by the Option Product Exercise Fee within forty five (45) days of receipt of Acura’s notice and supporting information. If MainPointe does not exercise its option within such forty-five (45) day period then Acura and its Affiliates shall be free to negotiate with any Third Party and enter into an agreement relating to such Option Product and MainPointe shall have no rights thereto and such Option Product shall cease being an Option Product under this Agreement. For the avoidance of doubt, Acura shall not be required to provide any notice to MainPointe under this Section 2.3.2, except as required under Section 11.5, in connection with its undergoing or completing a change of control transaction, or a sale of all or substantially all of its line of business which includes an Option Product. This Section 2.3.2 shall not survive termination or expiration of this Agreement.</w:t>
      </w:r>
    </w:p>
    <w:p>
      <w:pPr>
        <w:spacing w:after="0" w:line="19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No Other Rights and Retained Rights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Agreement confers no right, license or interest by implication, estoppel, or otherwise under any Patent Rights, Confidential Information, Know-How or other Intellectual Property Rights (including but not limited to trade secrets, formulations, manufacturing processes, data) that was owned by a Party prior to signing the Agreement except as expressly set forth in this Article II. Each Party hereby expressly retains and reserves all rights and interests with respect to patents, Confidential Information, technology or other Intellectual Property Rights not expressly granted to the other Party hereunder.</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MainPointe to use CRE</w:t>
      </w:r>
      <w:r>
        <w:rPr>
          <w:rFonts w:ascii="Arial" w:cs="Arial" w:eastAsia="Arial" w:hAnsi="Arial"/>
          <w:sz w:val="16"/>
          <w:szCs w:val="16"/>
          <w:color w:val="auto"/>
        </w:rPr>
        <w:t>. MainPointe shall use Commercially Reasonable Efforts to market and sell the Currently Marketed Nexafed Products in the Territory and to develop, obtain any necessary Regulatory Approval for, and commercialize other Products in the Territory. MainPointe shall comply with all Applicable Laws in the development, commercialization (including, without limitation, packaging, sale, distribution, advertising, disposition and marketing of the Product and product packaging) and MainPointe shall use all legends, notices, and markings as required by Applicable Law.</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both"/>
        <w:ind w:firstLine="648"/>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MainPointe Responsibility for All Costs and Expenses</w:t>
      </w:r>
      <w:r>
        <w:rPr>
          <w:rFonts w:ascii="Arial" w:cs="Arial" w:eastAsia="Arial" w:hAnsi="Arial"/>
          <w:sz w:val="16"/>
          <w:szCs w:val="16"/>
          <w:color w:val="auto"/>
        </w:rPr>
        <w:t>. During the Term, MainPointe shall have the sole obligation and responsibility, and at its sole cost and expense, for all aspects of development, regulatory activities, manufacturing and commercializing, including without limitation, testing packaging and labelling Product, and any costs associated with storage, release and Third Party logistics. As part of such responsibilities, MainPointe shall have the sole responsibility to obtain or to coordinate with and provide to its contract manufacturer such information and materials as shall be reasonably necessary to obtain sufficient quota for active pharmaceutical ingredients from the Drug Enforcement Administration, and similar foreign agencies.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Regulatory Approvals and Fees</w:t>
      </w:r>
      <w:r>
        <w:rPr>
          <w:rFonts w:ascii="Arial" w:cs="Arial" w:eastAsia="Arial" w:hAnsi="Arial"/>
          <w:sz w:val="17"/>
          <w:szCs w:val="17"/>
          <w:color w:val="auto"/>
        </w:rPr>
        <w:t>. MainPointe shall be the sole owner of the Product Regulatory Approvals, registration materials, clinical documentation, and any and all country specific dossiers for Products in the Territory other than Currently Marketed Nexafed Products for the United States. Acura shall be sole owner of the Currently Marketed Nexafed Product Regulatory Approvals, registration materials, clinical documentation, and any and all country specific dossiers for Currently Marketed Nexafed Products. MainPointe shall be responsible for maintaining Product Regulatory Approvals and pay any and all fees and expenses in connection therewith including, without limitation, any filing fees, establishment fees, annual product fees, active pharmaceutical supplier fees, and any fees associated with the amendment of a Regulatory Approval, any costs and expenses associated with regulatory changes requested by a Regulatory Authority relating to a Product, or the Product Regulatory Approvals.</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Right of Reference</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2.8.1 Acura grants MainPointe a right of reference to preclinical and clinical data and reports, and any adverse event reports regarding the Products and all other necessary data, reports and information, in each case Controlled by Acura for the purpose of obtaining, and/or maintaining Regulatory Approval of, or commercializing or manufacturing a Product, without any additional compensation.</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2.8.2 MainPointe grants Acura a perpetual right of reference to preclinical and clinical data and reports, any adverse event reports regarding the Products and such other data, reports and information, in each case Controlled by MainPointe for the purpose of obtaining and/or maintaining Regulatory Approval of products utilizing the Impede Technology, without any additional compensation.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Non-Compete</w:t>
      </w:r>
      <w:r>
        <w:rPr>
          <w:rFonts w:ascii="Arial" w:cs="Arial" w:eastAsia="Arial" w:hAnsi="Arial"/>
          <w:sz w:val="18"/>
          <w:szCs w:val="18"/>
          <w:color w:val="auto"/>
        </w:rPr>
        <w:t>. MainPointe will not develop, file a Regulatory Approval Application or seek Regulatory Approval of or launch, market or sell or assist a Third Party in the development of, launch, market or sale of an Infringing Competing Product or a Competing Product in a country in the Territory during the Royalty Term for such country.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Sublicenses</w:t>
      </w:r>
      <w:r>
        <w:rPr>
          <w:rFonts w:ascii="Arial" w:cs="Arial" w:eastAsia="Arial" w:hAnsi="Arial"/>
          <w:sz w:val="18"/>
          <w:szCs w:val="18"/>
          <w:color w:val="auto"/>
        </w:rPr>
        <w:t>. MainPointe may grant sublicenses through multiple tiers, under any or all of the rights granted in Section 2.1, to its Affiliates and to Third Parties. Each agreement in which MainPointe grants a sublicense under Section 2.1 shall be consistent with the relevant terms and conditions of this Agreement. MainPointe shall provide notice to Acura of the proposed sublicense prior to execution thereof which notice shall state the subject of the sublicense (including the portion of the Territory and products being sublicensed) and MainPointe shall provide Acura a copy of such sublicense, with suitable redaction of confidential information contained therein, within thirty (30) days after execution thereof. MainPointe shall be and remain fully responsible for the compliance by sublicensees with the terms and conditions of this Agreement, including without limitation and non-compete provisions of Section 2.9.</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right="2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Technology Transfer</w:t>
      </w:r>
      <w:r>
        <w:rPr>
          <w:rFonts w:ascii="Arial" w:cs="Arial" w:eastAsia="Arial" w:hAnsi="Arial"/>
          <w:sz w:val="18"/>
          <w:szCs w:val="18"/>
          <w:color w:val="auto"/>
        </w:rPr>
        <w:t>. Promptly after the Effective Date, Acura shall provide MainPointe with a technology transfer which shall consist of the manufacturing Know-How encompassed in the Impede Technology relating to the Currently Marketed Nexafed Products.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Records</w:t>
      </w:r>
      <w:r>
        <w:rPr>
          <w:rFonts w:ascii="Arial" w:cs="Arial" w:eastAsia="Arial" w:hAnsi="Arial"/>
          <w:sz w:val="17"/>
          <w:szCs w:val="17"/>
          <w:color w:val="auto"/>
        </w:rPr>
        <w:t>. MainPointe shall have the right to copies of all customers’ and suppliers’ lists, other distribution lists of Acura and APT that relate exclusively to the Currently Marketed Nexafed Products, in each case in existence on the Effective Date and within the possession and control of Acura.</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Complaints; Recalls</w:t>
      </w:r>
      <w:r>
        <w:rPr>
          <w:rFonts w:ascii="Arial" w:cs="Arial" w:eastAsia="Arial" w:hAnsi="Arial"/>
          <w:sz w:val="16"/>
          <w:szCs w:val="16"/>
          <w:color w:val="auto"/>
        </w:rPr>
        <w:t>. Each of MainPointe and Acura shall inform the other Party as promptly as practicable of any Product complaints, including Product returns for which the other Party bears financial or regulatory responsibility. All communications relating to the performance or condition of a Product, and all communications relating to adverse experiences in association with, but not necessarily due to, a Product which are received by Acura or MainPointe shall be forwarded to the other Party. In the event of any recall of or field notification after the Effective Date with respect to any Product, each of MainPointe and Acura shall make available to the other Party during normal business hours and upon reasonable advance notice such records and other information as reasonably requested by such other Party in connection with any recall of the Products after the Effective Date. MainPointe shall be solely responsible at its cost and expense for any recalls or withdrawals of Product sold by it or Transferred Inventory and Acura shall be solely responsible at its cost and expense for any recalls or withdrawals of Product sold by it. MainPointe shall be responsible for all required regulatory activities in the Territory.</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Trademarks; Logos.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2.14.1 MainPointe shall assume full responsibility, at its sole cost and expense, for prosecuting or litigating any infringement of the Nexafed trademark and shall be entitled to retain all recoveries in connection therewith except it shall remit to Acura 7.5% of such recoveries after deduction from such recoveries of fees and expenses in enforcing such trademark rights.</w:t>
      </w:r>
    </w:p>
    <w:p>
      <w:pPr>
        <w:spacing w:after="0" w:line="18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2.14.2 MainPointe hereby acknowledges the exclusive ownership of Acura of the Nexafed trademark furnished by Acura for use in connection with the Nexafed Products and Impede trademarks furnished by Acura (or its Affiliates) for use in connection with the Products. MainPointe shall not, during the Term or thereafter, register, use, or attempt to obtain any right in and to the Nexafed trademark or Impede trademark or in and to any name, logo or trademark confusingly similar thereto, including (i) any mark that begins with the prefix AC or AK and ends with the suffix FED or PHED, (ii) SUDAFED; and (iii) any mark that begins with the prefix SU or CU and ends with the suffix FED or PHED.</w:t>
      </w:r>
    </w:p>
    <w:p>
      <w:pPr>
        <w:spacing w:after="0" w:line="173"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2.14.3 Acura shall have the right to exercise quality control over MainPointe's use of the Impede and Nexafed trademarks, as applicable, to a degree reasonably necessary to maintain the validity of those trademarks, as applicable, and to protect the goodwill associated therewith.</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firstLine="1297"/>
        <w:spacing w:after="0" w:line="264" w:lineRule="auto"/>
        <w:rPr>
          <w:sz w:val="20"/>
          <w:szCs w:val="20"/>
          <w:color w:val="auto"/>
        </w:rPr>
      </w:pPr>
      <w:r>
        <w:rPr>
          <w:rFonts w:ascii="Arial" w:cs="Arial" w:eastAsia="Arial" w:hAnsi="Arial"/>
          <w:sz w:val="18"/>
          <w:szCs w:val="18"/>
          <w:color w:val="auto"/>
        </w:rPr>
        <w:t>2.14.4 MainPointe shall, in its packaging, sale, marketing, advertising, disposition and distribution of any Product and product packaging adhere to a level of quality regarding the maintenance of the validity of the Impede and Nexafed trademarks, as applicable, and the protection of the goodwill associated therewith consistent with the reasonable standards of quality otherwise set by Acura.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ASSET CONVEYANCE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3.1 Upon the terms and subject to the conditions set forth in this Agreement, on the Effective Date, Acura shall, and shall cause APT to, sell, assign, transfer, convey and deliver to MainPointe, and MainPointe shall purchase from Acura and APT all the right, title and interest of Acura and APT in, to and under the Acquired Assets and MainPointe shall assume the Assumed Liabilities (each as defined below). On the Effective Date each Party shall execute the Other Transaction Documents which calls for its signature. The purchase and sale of the Acquired Assets and the assumption of the Assumed Liabilities are referred to in this Agreement collectively as the “</w:t>
      </w:r>
      <w:r>
        <w:rPr>
          <w:rFonts w:ascii="Arial" w:cs="Arial" w:eastAsia="Arial" w:hAnsi="Arial"/>
          <w:sz w:val="18"/>
          <w:szCs w:val="18"/>
          <w:b w:val="1"/>
          <w:bCs w:val="1"/>
          <w:color w:val="auto"/>
        </w:rPr>
        <w:t>Acquisition</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Transfer of Assets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The term “Acquired Assets” means all of Acura’s and APT’s right, title and interest in, to and under those certain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identified below:</w:t>
      </w:r>
    </w:p>
    <w:p>
      <w:pPr>
        <w:spacing w:after="0" w:line="211" w:lineRule="exact"/>
        <w:rPr>
          <w:sz w:val="20"/>
          <w:szCs w:val="20"/>
          <w:color w:val="auto"/>
        </w:rPr>
      </w:pPr>
    </w:p>
    <w:p>
      <w:pPr>
        <w:jc w:val="both"/>
        <w:ind w:left="1960" w:hanging="655"/>
        <w:spacing w:after="0" w:line="257" w:lineRule="auto"/>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finished goods, raw materials (including all bulk active pharmaceutical ingredients for each of the Nexafed Products), work-in-progress, components, packaging and labeling material, supplies and other inventories (including items in transit, on consignment, or covered by open purchase orders or in the possession of any Third Party) of the Nexafed Products of Acura and APT on the Effective Date that relate exclusively to the Nexafed Products, in each case listed on Schedule 3.2.1(a) (collectively, the “</w:t>
      </w:r>
      <w:r>
        <w:rPr>
          <w:rFonts w:ascii="Arial" w:cs="Arial" w:eastAsia="Arial" w:hAnsi="Arial"/>
          <w:sz w:val="18"/>
          <w:szCs w:val="18"/>
          <w:b w:val="1"/>
          <w:bCs w:val="1"/>
          <w:color w:val="auto"/>
        </w:rPr>
        <w:t>Transferred Inventory</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equipment identified on Schedule 3.2.1(b);</w:t>
      </w:r>
    </w:p>
    <w:p>
      <w:pPr>
        <w:spacing w:after="0" w:line="221" w:lineRule="exact"/>
        <w:rPr>
          <w:rFonts w:ascii="Arial" w:cs="Arial" w:eastAsia="Arial" w:hAnsi="Arial"/>
          <w:sz w:val="18"/>
          <w:szCs w:val="18"/>
          <w:color w:val="auto"/>
        </w:rPr>
      </w:pPr>
    </w:p>
    <w:p>
      <w:pPr>
        <w:jc w:val="both"/>
        <w:ind w:left="1960" w:hanging="655"/>
        <w:spacing w:after="0" w:line="281" w:lineRule="auto"/>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written contracts, indentures, licenses, agreements, commitments and all other legally binding arrangements, (“</w:t>
      </w:r>
      <w:r>
        <w:rPr>
          <w:rFonts w:ascii="Arial" w:cs="Arial" w:eastAsia="Arial" w:hAnsi="Arial"/>
          <w:sz w:val="17"/>
          <w:szCs w:val="17"/>
          <w:b w:val="1"/>
          <w:bCs w:val="1"/>
          <w:color w:val="auto"/>
        </w:rPr>
        <w:t>Contracts</w:t>
      </w:r>
      <w:r>
        <w:rPr>
          <w:rFonts w:ascii="Arial" w:cs="Arial" w:eastAsia="Arial" w:hAnsi="Arial"/>
          <w:sz w:val="17"/>
          <w:szCs w:val="17"/>
          <w:color w:val="auto"/>
        </w:rPr>
        <w:t>”) identified on Schedule 3.2.1(c) and (B) the binding purchase orders to which Acura or APT is a party that relate exclusively to the Nexafed Products identified on Schedule 3.2.1(c), (collectively, the “</w:t>
      </w:r>
      <w:r>
        <w:rPr>
          <w:rFonts w:ascii="Arial" w:cs="Arial" w:eastAsia="Arial" w:hAnsi="Arial"/>
          <w:sz w:val="17"/>
          <w:szCs w:val="17"/>
          <w:b w:val="1"/>
          <w:bCs w:val="1"/>
          <w:color w:val="auto"/>
        </w:rPr>
        <w:t>Transferred Contracts</w:t>
      </w:r>
      <w:r>
        <w:rPr>
          <w:rFonts w:ascii="Arial" w:cs="Arial" w:eastAsia="Arial" w:hAnsi="Arial"/>
          <w:sz w:val="17"/>
          <w:szCs w:val="17"/>
          <w:color w:val="auto"/>
        </w:rPr>
        <w:t>”); provided, however, that Transferred Contracts shall not include any contract except those expressly set forth on schedule 3.2.1(c); and</w:t>
      </w:r>
    </w:p>
    <w:p>
      <w:pPr>
        <w:spacing w:after="0" w:line="168" w:lineRule="exact"/>
        <w:rPr>
          <w:rFonts w:ascii="Arial" w:cs="Arial" w:eastAsia="Arial" w:hAnsi="Arial"/>
          <w:sz w:val="17"/>
          <w:szCs w:val="17"/>
          <w:color w:val="auto"/>
        </w:rPr>
      </w:pPr>
    </w:p>
    <w:p>
      <w:pPr>
        <w:jc w:val="both"/>
        <w:ind w:left="1960" w:hanging="655"/>
        <w:spacing w:after="0" w:line="279" w:lineRule="auto"/>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domain names, brochures, promotional and printed materials, tradeshow materials (including displays), videos, advertising materials, marketing materials, package inserts and packaging materials (in all cases, in any form or medium) (“</w:t>
      </w:r>
      <w:r>
        <w:rPr>
          <w:rFonts w:ascii="Arial" w:cs="Arial" w:eastAsia="Arial" w:hAnsi="Arial"/>
          <w:sz w:val="17"/>
          <w:szCs w:val="17"/>
          <w:b w:val="1"/>
          <w:bCs w:val="1"/>
          <w:color w:val="auto"/>
        </w:rPr>
        <w:t>Advertising</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if any, owned by Acura or APT and related exclusively to the commercialization of the Nexafed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Transferred Advertising Materials</w:t>
      </w:r>
      <w:r>
        <w:rPr>
          <w:rFonts w:ascii="Arial" w:cs="Arial" w:eastAsia="Arial" w:hAnsi="Arial"/>
          <w:sz w:val="17"/>
          <w:szCs w:val="17"/>
          <w:color w:val="auto"/>
        </w:rPr>
        <w:t>”), provided Acura’s name shall be deleted therefrom, as provide in Section 9.5.</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both"/>
        <w:ind w:firstLine="648"/>
        <w:spacing w:after="0" w:line="31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Assumed Liabilities</w:t>
      </w:r>
      <w:r>
        <w:rPr>
          <w:rFonts w:ascii="Arial" w:cs="Arial" w:eastAsia="Arial" w:hAnsi="Arial"/>
          <w:sz w:val="16"/>
          <w:szCs w:val="16"/>
          <w:color w:val="auto"/>
        </w:rPr>
        <w:t>. Upon the terms and subject to the conditions of this Agreement, MainPointe shall assume, effective as of 12:00:01 a.m. on the Effective Date, and from and after the Effective Date, MainPointe shall pay, perform and discharge when due, the following liabilities, obligations and commitments (“</w:t>
      </w:r>
      <w:r>
        <w:rPr>
          <w:rFonts w:ascii="Arial" w:cs="Arial" w:eastAsia="Arial" w:hAnsi="Arial"/>
          <w:sz w:val="16"/>
          <w:szCs w:val="16"/>
          <w:b w:val="1"/>
          <w:bCs w:val="1"/>
          <w:color w:val="auto"/>
        </w:rPr>
        <w:t>Liabilities</w:t>
      </w:r>
      <w:r>
        <w:rPr>
          <w:rFonts w:ascii="Arial" w:cs="Arial" w:eastAsia="Arial" w:hAnsi="Arial"/>
          <w:sz w:val="16"/>
          <w:szCs w:val="16"/>
          <w:color w:val="auto"/>
        </w:rPr>
        <w:t>”) of Acura and APT, other than such Liabilities that constitute an Excluded Liability (the “</w:t>
      </w:r>
      <w:r>
        <w:rPr>
          <w:rFonts w:ascii="Arial" w:cs="Arial" w:eastAsia="Arial" w:hAnsi="Arial"/>
          <w:sz w:val="16"/>
          <w:szCs w:val="16"/>
          <w:b w:val="1"/>
          <w:bCs w:val="1"/>
          <w:color w:val="auto"/>
        </w:rPr>
        <w:t>Assumed Liabilities</w:t>
      </w:r>
      <w:r>
        <w:rPr>
          <w:rFonts w:ascii="Arial" w:cs="Arial" w:eastAsia="Arial" w:hAnsi="Arial"/>
          <w:sz w:val="16"/>
          <w:szCs w:val="16"/>
          <w:color w:val="auto"/>
        </w:rPr>
        <w:t>”):</w:t>
      </w:r>
    </w:p>
    <w:p>
      <w:pPr>
        <w:spacing w:after="0" w:line="147" w:lineRule="exact"/>
        <w:rPr>
          <w:sz w:val="20"/>
          <w:szCs w:val="20"/>
          <w:color w:val="auto"/>
        </w:rPr>
      </w:pPr>
    </w:p>
    <w:p>
      <w:pPr>
        <w:jc w:val="both"/>
        <w:ind w:left="1960" w:hanging="655"/>
        <w:spacing w:after="0" w:line="257"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Liabilities of Acura and APT under or otherwise arising out of or relating to the Transferred Contracts (including all Liabilities arising out of or relating to any termination by or at the request of MainPointe or announcement or notification by or at the request of MainPointe of an intent to terminate any such contract), to the extent the event, circumstance, condition, action or inaction giving rise thereto occurs (i) on or after the Effective Date or (ii) relates to the Transferred Inventory or any Product sold by or manufactured for MainPointe;</w:t>
      </w:r>
    </w:p>
    <w:p>
      <w:pPr>
        <w:spacing w:after="0" w:line="188"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accounts payable, accrued expenses and other current liabilities relating to the Acquired Assets or the Products to the extent arising on or after the Effective Date;</w:t>
      </w:r>
    </w:p>
    <w:p>
      <w:pPr>
        <w:spacing w:after="0" w:line="170" w:lineRule="exact"/>
        <w:rPr>
          <w:rFonts w:ascii="Arial" w:cs="Arial" w:eastAsia="Arial" w:hAnsi="Arial"/>
          <w:sz w:val="18"/>
          <w:szCs w:val="18"/>
          <w:color w:val="auto"/>
        </w:rPr>
      </w:pPr>
    </w:p>
    <w:p>
      <w:pPr>
        <w:jc w:val="both"/>
        <w:ind w:left="1960" w:hanging="655"/>
        <w:spacing w:after="0" w:line="272" w:lineRule="auto"/>
        <w:tabs>
          <w:tab w:leader="none" w:pos="1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Liabilities arising out of or relating to any lawsuits, claims, actions or proceedings relating to the manufacture, production, marketing, commercialization, distribution or sale of the Products or the ownership, sale, lease or use of any of the Acquired Assets to the extent the same relates to the Transferred Inventory or any Product sold by or manufactured for MainPointe on or after the Effective Date or MainPointe's actions or inactions after the Effective Date; provided, however, that in the case any such Liability relates to Transferred Inventory, subject to Section 2.13, only to the extent such Liability does not arise out of or is otherwise attributable to Acura’s or APTs, or their respective agent’s manufacture or direct or indirect handling, storage, alteration, treatment or other use or possession of such Transferred Inventory prior to the Effective Date;</w:t>
      </w:r>
    </w:p>
    <w:p>
      <w:pPr>
        <w:spacing w:after="0" w:line="177" w:lineRule="exact"/>
        <w:rPr>
          <w:rFonts w:ascii="Arial" w:cs="Arial" w:eastAsia="Arial" w:hAnsi="Arial"/>
          <w:sz w:val="17"/>
          <w:szCs w:val="17"/>
          <w:color w:val="auto"/>
        </w:rPr>
      </w:pPr>
    </w:p>
    <w:p>
      <w:pPr>
        <w:jc w:val="both"/>
        <w:ind w:left="1960" w:hanging="655"/>
        <w:spacing w:after="0" w:line="273" w:lineRule="auto"/>
        <w:tabs>
          <w:tab w:leader="none" w:pos="1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Liabilities for warranty claims and product liability or similar claims, including all suits, actions or proceedings relating to any such Liabilities, relating to the Transferred Inventory or any Products sold or marketed on or after the Effective Date or MainPointe's actions or inactions after the Effective Date; provided, however, that in the case any such Liability relates to Transferred Inventory, subject to Section 2.13, only to the extent such Liability does not arise out of or is otherwise attributable to Acura’s or APTs, or their respective agent’s manufacture or direct or indirect handling, storage, alteration, treatment or other use or possession of such Transferred Inventory prior to the Effective Date;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ind w:left="1960" w:hanging="655"/>
        <w:spacing w:after="0" w:line="308"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otherwise contemplated by Section 4.10, all Liabilities arising out of or relating to the return of, or refund, adjustment, allowance or exchange in respect of, the Products, whether arising before, or on or after the Effective Date;</w:t>
      </w:r>
    </w:p>
    <w:p>
      <w:pPr>
        <w:spacing w:after="0" w:line="146" w:lineRule="exact"/>
        <w:rPr>
          <w:rFonts w:ascii="Arial" w:cs="Arial" w:eastAsia="Arial" w:hAnsi="Arial"/>
          <w:sz w:val="17"/>
          <w:szCs w:val="17"/>
          <w:color w:val="auto"/>
        </w:rPr>
      </w:pPr>
    </w:p>
    <w:p>
      <w:pPr>
        <w:ind w:left="1960" w:hanging="655"/>
        <w:spacing w:after="0" w:line="277" w:lineRule="auto"/>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Liabilities for Taxes arising out of or relating to or in respect of the Products or any Acquired Asset for any Post-Closing Tax Period, other than any Excluded Tax Liabilities;</w:t>
      </w:r>
    </w:p>
    <w:p>
      <w:pPr>
        <w:spacing w:after="0" w:line="170"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Liabilities for transfer, documentary, sales, use, registration, value-added and other similar Taxes and related amounts (including any penalties, interest and additions to Tax) incurred in connection with this Agreement, any of the Other Transaction Documents, the Acquisition and the other transactions contemplated hereby and thereby (“</w:t>
      </w:r>
      <w:r>
        <w:rPr>
          <w:rFonts w:ascii="Arial" w:cs="Arial" w:eastAsia="Arial" w:hAnsi="Arial"/>
          <w:sz w:val="17"/>
          <w:szCs w:val="17"/>
          <w:b w:val="1"/>
          <w:bCs w:val="1"/>
          <w:color w:val="auto"/>
        </w:rPr>
        <w:t>Transfer Taxes</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ind w:left="1960" w:hanging="655"/>
        <w:spacing w:after="0" w:line="308"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otherwise contemplated by Section 4.10, all Liabilities arising from the sale from and after the Effective Date of the Nexafed Products in each case as a result of such Products bearing Acura’s National Drug Code (“</w:t>
      </w:r>
      <w:r>
        <w:rPr>
          <w:rFonts w:ascii="Arial" w:cs="Arial" w:eastAsia="Arial" w:hAnsi="Arial"/>
          <w:sz w:val="17"/>
          <w:szCs w:val="17"/>
          <w:b w:val="1"/>
          <w:bCs w:val="1"/>
          <w:color w:val="auto"/>
        </w:rPr>
        <w:t>NDC</w:t>
      </w:r>
      <w:r>
        <w:rPr>
          <w:rFonts w:ascii="Arial" w:cs="Arial" w:eastAsia="Arial" w:hAnsi="Arial"/>
          <w:sz w:val="17"/>
          <w:szCs w:val="17"/>
          <w:color w:val="auto"/>
        </w:rPr>
        <w:t>”) number.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of MainPointe's and Acura’s obligations under this Section 3.3 will not be subject to offset or reduction by reason of any actual or alleged breach of any representation, warranty, covenant or agreement contained in this Agreement or any Other Transaction Document or any right or alleged right to indemnification hereunder.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Notwithstanding any other provision of this Agreement, MainPointe shall not assume any Excluded Liability, each of which shall be retained and paid, performed and discharged when due by Acura and APT. The term “</w:t>
      </w:r>
      <w:r>
        <w:rPr>
          <w:rFonts w:ascii="Arial" w:cs="Arial" w:eastAsia="Arial" w:hAnsi="Arial"/>
          <w:sz w:val="18"/>
          <w:szCs w:val="18"/>
          <w:b w:val="1"/>
          <w:bCs w:val="1"/>
          <w:color w:val="auto"/>
        </w:rPr>
        <w:t>Excluded Liability</w:t>
      </w:r>
      <w:r>
        <w:rPr>
          <w:rFonts w:ascii="Arial" w:cs="Arial" w:eastAsia="Arial" w:hAnsi="Arial"/>
          <w:sz w:val="18"/>
          <w:szCs w:val="18"/>
          <w:color w:val="auto"/>
        </w:rPr>
        <w:t>” shall mean all Liabilities other than Assumed Liabilities and shall include:</w:t>
      </w:r>
    </w:p>
    <w:p>
      <w:pPr>
        <w:spacing w:after="0" w:line="181" w:lineRule="exact"/>
        <w:rPr>
          <w:sz w:val="20"/>
          <w:szCs w:val="20"/>
          <w:color w:val="auto"/>
        </w:rPr>
      </w:pPr>
    </w:p>
    <w:p>
      <w:pPr>
        <w:jc w:val="both"/>
        <w:ind w:left="1960" w:hanging="655"/>
        <w:spacing w:after="0" w:line="264" w:lineRule="auto"/>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Tax payable with respect to any business, asset, property or operation of Acura or its Affiliates (including any Taxes relating to or arising out of the Acquired Assets) for any Pre-Closing Tax Period, other than any Tax for which MainPointe is responsible pursuant to Section 4.9 (“</w:t>
      </w:r>
      <w:r>
        <w:rPr>
          <w:rFonts w:ascii="Arial" w:cs="Arial" w:eastAsia="Arial" w:hAnsi="Arial"/>
          <w:sz w:val="18"/>
          <w:szCs w:val="18"/>
          <w:b w:val="1"/>
          <w:bCs w:val="1"/>
          <w:color w:val="auto"/>
        </w:rPr>
        <w:t>Excluded Tax Liability</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60" w:right="20" w:hanging="655"/>
        <w:spacing w:after="0" w:line="308" w:lineRule="auto"/>
        <w:tabs>
          <w:tab w:leader="none" w:pos="1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accounts payable, accrued expenses and other current liabilities relating to the Acquired Assets or the Nexafed Products to the extent arising before the Effective Date, except to the extent assumed under the Transferred Contracts; and</w:t>
      </w:r>
    </w:p>
    <w:p>
      <w:pPr>
        <w:spacing w:after="0" w:line="146" w:lineRule="exact"/>
        <w:rPr>
          <w:rFonts w:ascii="Arial" w:cs="Arial" w:eastAsia="Arial" w:hAnsi="Arial"/>
          <w:sz w:val="17"/>
          <w:szCs w:val="17"/>
          <w:color w:val="auto"/>
        </w:rPr>
      </w:pPr>
    </w:p>
    <w:p>
      <w:pPr>
        <w:jc w:val="both"/>
        <w:ind w:left="1960" w:hanging="655"/>
        <w:spacing w:after="0" w:line="273" w:lineRule="auto"/>
        <w:tabs>
          <w:tab w:leader="none" w:pos="1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Liabilities arising out of or relating to any lawsuits, claims, actions or proceedings relating to the manufacture, production, marketing, commercialization, distribution or sale of the Products or the ownership, sale, lease or use of any of the Acquired Assets to the extent the event, circumstance, condition, action or inaction giving rise thereto occurs prior to the Effective Date, provided that lawsuits, claims, actions or proceedings related to infringement of Third Party intellectual property with respect to Product manufactured by or for MainPointe or marketed, commercialized, distributed, sold or leased by MainPointe shall not be an Excluded Liability and shall be an Assumed Liability;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jc w:val="both"/>
        <w:ind w:firstLine="648"/>
        <w:spacing w:after="0" w:line="264" w:lineRule="auto"/>
        <w:rPr>
          <w:sz w:val="20"/>
          <w:szCs w:val="20"/>
          <w:color w:val="auto"/>
        </w:rPr>
      </w:pPr>
      <w:r>
        <w:rPr>
          <w:rFonts w:ascii="Arial" w:cs="Arial" w:eastAsia="Arial" w:hAnsi="Arial"/>
          <w:sz w:val="18"/>
          <w:szCs w:val="18"/>
          <w:color w:val="auto"/>
        </w:rPr>
        <w:t>Each of MainPointe's and Acura’s obligations under this Section 3.4 will not be subject to offset or reduction by reason of any actual or alleged breach of any representation, warranty, covenant or agreement contained in this Agreement or any Other Transaction Document or any right or alleged right to indemnification 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PAYMENTS AND ROYALTIES</w:t>
      </w:r>
    </w:p>
    <w:p>
      <w:pPr>
        <w:spacing w:after="0" w:line="22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MainPointe shall make the following non-refundable, non-creditable payments and provide the following notices, to Acura:</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4.1.1 On the Effective Date, MainPointe shall pay Acura the sum of (A) Two Million Five Hundred Thousand Dollars ($2,500,000) (the “</w:t>
      </w:r>
      <w:r>
        <w:rPr>
          <w:rFonts w:ascii="Arial" w:cs="Arial" w:eastAsia="Arial" w:hAnsi="Arial"/>
          <w:sz w:val="18"/>
          <w:szCs w:val="18"/>
          <w:b w:val="1"/>
          <w:bCs w:val="1"/>
          <w:color w:val="auto"/>
        </w:rPr>
        <w:t>Upfront License Payment</w:t>
      </w:r>
      <w:r>
        <w:rPr>
          <w:rFonts w:ascii="Arial" w:cs="Arial" w:eastAsia="Arial" w:hAnsi="Arial"/>
          <w:sz w:val="18"/>
          <w:szCs w:val="18"/>
          <w:color w:val="auto"/>
        </w:rPr>
        <w:t>”) and (B) $425,020, representing the sum of (i) the cost of the Transferred Inventory, plus (ii) Acura’s advance payment to Mikart, Inc. relating to Purchase Order 1050 being assumed by MainPointe as a Transferred Contract, plus (iii) the book value of equipment being transferred (the “</w:t>
      </w:r>
      <w:r>
        <w:rPr>
          <w:rFonts w:ascii="Arial" w:cs="Arial" w:eastAsia="Arial" w:hAnsi="Arial"/>
          <w:sz w:val="18"/>
          <w:szCs w:val="18"/>
          <w:b w:val="1"/>
          <w:bCs w:val="1"/>
          <w:color w:val="auto"/>
        </w:rPr>
        <w:t>Acquisition Payment</w:t>
      </w:r>
      <w:r>
        <w:rPr>
          <w:rFonts w:ascii="Arial" w:cs="Arial" w:eastAsia="Arial" w:hAnsi="Arial"/>
          <w:sz w:val="18"/>
          <w:szCs w:val="18"/>
          <w:color w:val="auto"/>
        </w:rPr>
        <w:t>”).</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MainPointe shall make the Option Territory Exercise Fee payments as specified in Section 2.2.</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MainPointe shall make the Option Product Exercise Fee payments as specified in Section 2.3.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Royalties</w:t>
      </w:r>
      <w:r>
        <w:rPr>
          <w:rFonts w:ascii="Arial" w:cs="Arial" w:eastAsia="Arial" w:hAnsi="Arial"/>
          <w:sz w:val="18"/>
          <w:szCs w:val="18"/>
          <w:color w:val="auto"/>
        </w:rPr>
        <w:t>. The following payments shall be payable by MainPointe to Acura for sales made during each calendar quarter and payment will be remitted within forty-five (45) days after the end of the quarter to which it relates.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Royalty Payment</w:t>
      </w:r>
      <w:r>
        <w:rPr>
          <w:rFonts w:ascii="Arial" w:cs="Arial" w:eastAsia="Arial" w:hAnsi="Arial"/>
          <w:sz w:val="18"/>
          <w:szCs w:val="18"/>
          <w:color w:val="auto"/>
        </w:rPr>
        <w:t>. For each Product and for each country in the Territory during the Royalty Term for such country, MainPointe shall pay to Acura a royalty of Seven and One-Half Percent (7.5%) on all Net Sales of Products in such country. Such royalty shall be payable for sales made during each calendar quarter and payment will be remitted within forty-five (45) days after the end of the quarter to which it relates. The royalty payment under this section 4.2.1 is referred to as the “</w:t>
      </w:r>
      <w:r>
        <w:rPr>
          <w:rFonts w:ascii="Arial" w:cs="Arial" w:eastAsia="Arial" w:hAnsi="Arial"/>
          <w:sz w:val="18"/>
          <w:szCs w:val="18"/>
          <w:b w:val="1"/>
          <w:bCs w:val="1"/>
          <w:color w:val="auto"/>
        </w:rPr>
        <w:t>Royalty Payment</w:t>
      </w:r>
      <w:r>
        <w:rPr>
          <w:rFonts w:ascii="Arial" w:cs="Arial" w:eastAsia="Arial" w:hAnsi="Arial"/>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Reports</w:t>
      </w:r>
      <w:r>
        <w:rPr>
          <w:rFonts w:ascii="Arial" w:cs="Arial" w:eastAsia="Arial" w:hAnsi="Arial"/>
          <w:sz w:val="18"/>
          <w:szCs w:val="18"/>
          <w:color w:val="auto"/>
        </w:rPr>
        <w:t>. MainPointe shall prepare in respect of each calendar quarter a report (“</w:t>
      </w:r>
      <w:r>
        <w:rPr>
          <w:rFonts w:ascii="Arial" w:cs="Arial" w:eastAsia="Arial" w:hAnsi="Arial"/>
          <w:sz w:val="18"/>
          <w:szCs w:val="18"/>
          <w:b w:val="1"/>
          <w:bCs w:val="1"/>
          <w:color w:val="auto"/>
        </w:rPr>
        <w:t>Royalty Report</w:t>
      </w:r>
      <w:r>
        <w:rPr>
          <w:rFonts w:ascii="Arial" w:cs="Arial" w:eastAsia="Arial" w:hAnsi="Arial"/>
          <w:sz w:val="18"/>
          <w:szCs w:val="18"/>
          <w:color w:val="auto"/>
        </w:rPr>
        <w:t xml:space="preserve">”) that shows for that calendar quarter the Net Sales of Product by country and detailing the calculation of Gross Sales and deductions from Gross Sales in arriving at Net Sales. MainPointe shall submit such statement to Acura within forty-five (45) days of the end of the calendar quarter to which it relates, together with its remittance for Royalty Payments in respect of that quarter. The Royalty Report shall be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jc w:val="both"/>
        <w:ind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Records</w:t>
      </w:r>
      <w:r>
        <w:rPr>
          <w:rFonts w:ascii="Arial" w:cs="Arial" w:eastAsia="Arial" w:hAnsi="Arial"/>
          <w:sz w:val="18"/>
          <w:szCs w:val="18"/>
          <w:color w:val="auto"/>
        </w:rPr>
        <w:t>. During the Term and for two (2) years thereafter, each Party shall keep all usual and proper records and books of account and all usual and proper entries relating to the Products. MainPointe shall maintain (electronically or otherwise) such records and books of account containing all necessary data for the calculation of Royalty Payments due under this Agreement.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Audits</w:t>
      </w:r>
      <w:r>
        <w:rPr>
          <w:rFonts w:ascii="Arial" w:cs="Arial" w:eastAsia="Arial" w:hAnsi="Arial"/>
          <w:sz w:val="16"/>
          <w:szCs w:val="16"/>
          <w:color w:val="auto"/>
        </w:rPr>
        <w:t>. MainPointe and its Affiliates and Sublicensees shall maintain complete and accurate records in reasonably sufficient detail to permit Acura to confirm the accuracy of the calculation of royalty payments. Upon reasonable prior notice, such records shall be available during regular business hours for a period of three (3) years from the end of the calendar year to which they pertain for examination, not more often than once each calendar year, by an independent certified public accountant selected by Acura and reasonably acceptable to MainPointe, for the sole purpose of verifying the accuracy of the financial reports furnished by MainPointe pursuant to this Agreement. Any such auditor shall enter into a confidentiality agreement with MainPointe and shall not disclose MainPointe's Confidential Information, except to the extent such disclosure is necessary to verify the accuracy of the financial reports furnished by MainPointe or the amount of payments due from MainPointe to Acura under this Agreement. Any amounts shown to be owed but unpaid shall be paid, and any amounts showed to be overpaid will be refunded, within forty-five (45) days from the accountant's report. Acura shall bear the full cost of such audit unless such audit discloses an underpayment to Acura of more than $10,000, in which case MainPointe shall bear the full cost of such audit. Amounts shall be deemed due on the original due date (e.g., when Royalty Payment was originally due) and interest shall be applied as set forth in Section 4.8.</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Pricing</w:t>
      </w:r>
      <w:r>
        <w:rPr>
          <w:rFonts w:ascii="Arial" w:cs="Arial" w:eastAsia="Arial" w:hAnsi="Arial"/>
          <w:sz w:val="18"/>
          <w:szCs w:val="18"/>
          <w:color w:val="auto"/>
        </w:rPr>
        <w:t>. MainPointe shall have sole discretion to determine the price, terms and conditions of sales of Product(s) to MainPointe's customers. MainPointe shall not price the Product in any country for any transaction as part of a bundle that provides greater discounts for the Product as compared to any other product in the bundle or otherwise disadvantage the selling price of the Product in favor of its products. MainPointe will not allow any Product to serve as a loss leader to induce the sale of other products.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required under this Agreement shall be made in U.S. dollars, regardless of the country(ies) in which sales are made or expenses are incurred, via wire transfer of immediately available funds to an account designated in writing by Acura. Whenever, for the purpose of calculating any sums due under this Agreement, conversion from any foreign currency shall be required, such conversion shall be made as follows: the amounts shall be converted into United States dollars using the average rate of exchange for such currencies for the relevant period, such exchange rate shall be the exchange rate taken from The Wall Street Journal as published on the last day of the relevant period for which payments are due, or such other publication as may be agreed between the Parties from time to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Late Payments</w:t>
      </w:r>
      <w:r>
        <w:rPr>
          <w:rFonts w:ascii="Arial" w:cs="Arial" w:eastAsia="Arial" w:hAnsi="Arial"/>
          <w:sz w:val="18"/>
          <w:szCs w:val="18"/>
          <w:color w:val="auto"/>
        </w:rPr>
        <w:t>. All amounts payable under this Agreement and not paid within thirty (30) days of when due in accordance with the provisions hereof shall bear interest from the due date until paid at the rate equal to the lower of (i) three percent (3%) over the prime rate of interest reported in the East Coast Addition of The Wall Street Journal for the date such amount was due, per annum and (ii) the maximum rate allowed by law. Unless otherwise stated all dollar amounts in this Agreement are in United States dollars.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ind w:left="660"/>
        <w:spacing w:after="0"/>
        <w:tabs>
          <w:tab w:leader="none" w:pos="12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4.9.1 In the event that a Party is mandated under the laws of a country to withhold any tax to the tax or revenue authorities in such country in connection with any payment to the other Party, such amount shall be deducted from the payment to be made by such withholding Party, provided, however, that the withholding Party shall take reasonable and lawful actions, at the other Party’s sole cost, to avoid and minimize such withholding and promptly notify the other Party so that the other Party may take lawful actions to avoid and minimize such withholding. The withholding Party shall promptly furnish the other Party with copies of any tax certificate or other documentation evidencing such withholding as necessary to satisfy the requirements of the United States Internal Revenue Service related to any application by such other Party for foreign tax credit for such payment. Each Party agrees to cooperate with the other Party in claiming exemptions from such deductions or withholdings under any agreement or treaty from time to time in effect.</w:t>
      </w:r>
    </w:p>
    <w:p>
      <w:pPr>
        <w:spacing w:after="0" w:line="16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4.9.2 All Transfer Taxes and any filing or recording fees applicable to the Acquisition shall be paid by MainPointe. Each Party shall use reasonable efforts to avail itself of any available exemptions from any such Taxes or fees and to cooperate with the other Party in providing any information and documentation that may be necessary to obtain such exemptions.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4.9.3 The Acquisition Payment shall be allocated among the Acquired Assets in accordance with </w:t>
      </w:r>
      <w:r>
        <w:rPr>
          <w:rFonts w:ascii="Arial" w:cs="Arial" w:eastAsia="Arial" w:hAnsi="Arial"/>
          <w:sz w:val="18"/>
          <w:szCs w:val="18"/>
          <w:u w:val="single" w:color="auto"/>
          <w:color w:val="auto"/>
        </w:rPr>
        <w:t>Exhibit F</w:t>
      </w:r>
      <w:r>
        <w:rPr>
          <w:rFonts w:ascii="Arial" w:cs="Arial" w:eastAsia="Arial" w:hAnsi="Arial"/>
          <w:sz w:val="18"/>
          <w:szCs w:val="18"/>
          <w:color w:val="auto"/>
        </w:rPr>
        <w:t>. Such allocation is intended to comply with the requirements of Section 1060 of the Code. Each of Acura and MainPointe agrees that it shall (i) report the sale and purchase of the Acquired Assets for United States Tax purposes in accordance with such allocations and (ii) not take any position inconsistent with such allocations on any of their respective United States Tax returns.</w:t>
      </w:r>
    </w:p>
    <w:p>
      <w:pPr>
        <w:spacing w:after="0" w:line="187"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4.9.4 Acura shall be entitled to any refunds or credits of Taxes relating to any Excluded Tax Liability. MainPointe shall be entitled to any refunds or credits of Taxes relating to the Acquired Assets, other than any such refunds or credits of Taxes relating to any Excluded Tax Liability.</w:t>
      </w:r>
    </w:p>
    <w:p>
      <w:pPr>
        <w:spacing w:after="0" w:line="14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4.9.5 Any value-added, goods and services, stamp duties, ad valorem and similar Taxes shall be allocated between portions of a tax period that includes (but does not end on) the Effective Date (a “</w:t>
      </w:r>
      <w:r>
        <w:rPr>
          <w:rFonts w:ascii="Arial" w:cs="Arial" w:eastAsia="Arial" w:hAnsi="Arial"/>
          <w:sz w:val="17"/>
          <w:szCs w:val="17"/>
          <w:b w:val="1"/>
          <w:bCs w:val="1"/>
          <w:color w:val="auto"/>
        </w:rPr>
        <w:t>Straddle Period</w:t>
      </w:r>
      <w:r>
        <w:rPr>
          <w:rFonts w:ascii="Arial" w:cs="Arial" w:eastAsia="Arial" w:hAnsi="Arial"/>
          <w:sz w:val="17"/>
          <w:szCs w:val="17"/>
          <w:color w:val="auto"/>
        </w:rPr>
        <w:t>”) in the following manner: (i) in the case of a Tax imposed in respect of property and that applies ratably to a Straddle Period, the amount of Tax allocable to a portion of the Straddle Period shall be the total amount of such Tax for the period in question multiplied by a fraction, the numerator of which is the total number of days in such portion of such Straddle Period and the denominator of which is the total number of days in such Straddle Period, and (ii) in the case of sales, value added and similar transaction-based Taxes (other than Transfer Taxes), such Taxes shall be allocated to the portion of the Straddle Period in which the relevant transaction occurred.</w:t>
      </w:r>
    </w:p>
    <w:p>
      <w:pPr>
        <w:spacing w:after="0" w:line="17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4.9.6 For purposes of this Agreement, (i)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shall mean all United States federal, state, local and foreign taxes and similar assessments (other than Transfer Taxes), including all interest, penalties and additions imposed with respect to such amounts; (ii) “</w:t>
      </w:r>
      <w:r>
        <w:rPr>
          <w:rFonts w:ascii="Arial" w:cs="Arial" w:eastAsia="Arial" w:hAnsi="Arial"/>
          <w:sz w:val="18"/>
          <w:szCs w:val="18"/>
          <w:b w:val="1"/>
          <w:bCs w:val="1"/>
          <w:color w:val="auto"/>
        </w:rPr>
        <w:t>Pre-Closing Tax</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shall mean all taxable periods ending on or before the Effective Date and the portion ending on the Effective Date of any taxable period that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(but does not end on) the Effective Date; (iii) “</w:t>
      </w:r>
      <w:r>
        <w:rPr>
          <w:rFonts w:ascii="Arial" w:cs="Arial" w:eastAsia="Arial" w:hAnsi="Arial"/>
          <w:sz w:val="18"/>
          <w:szCs w:val="18"/>
          <w:b w:val="1"/>
          <w:bCs w:val="1"/>
          <w:color w:val="auto"/>
        </w:rPr>
        <w:t>Post-Closing Tax Period</w:t>
      </w:r>
      <w:r>
        <w:rPr>
          <w:rFonts w:ascii="Arial" w:cs="Arial" w:eastAsia="Arial" w:hAnsi="Arial"/>
          <w:sz w:val="18"/>
          <w:szCs w:val="18"/>
          <w:color w:val="auto"/>
        </w:rPr>
        <w:t>” shall mean all taxable periods beginning and ending after the Effective Date and the portion beginning on the day after the Effective Date of any Straddle Period; and (iv) “</w:t>
      </w:r>
      <w:r>
        <w:rPr>
          <w:rFonts w:ascii="Arial" w:cs="Arial" w:eastAsia="Arial" w:hAnsi="Arial"/>
          <w:sz w:val="18"/>
          <w:szCs w:val="18"/>
          <w:b w:val="1"/>
          <w:bCs w:val="1"/>
          <w:color w:val="auto"/>
        </w:rPr>
        <w:t>Code</w:t>
      </w:r>
      <w:r>
        <w:rPr>
          <w:rFonts w:ascii="Arial" w:cs="Arial" w:eastAsia="Arial" w:hAnsi="Arial"/>
          <w:sz w:val="18"/>
          <w:szCs w:val="18"/>
          <w:color w:val="auto"/>
        </w:rPr>
        <w:t>” shall mean the U.S. Internal Revenue Code of 1986, as amended.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jc w:val="both"/>
        <w:ind w:firstLine="648"/>
        <w:spacing w:after="0" w:line="28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Nexafed Product Returns</w:t>
      </w:r>
      <w:r>
        <w:rPr>
          <w:rFonts w:ascii="Arial" w:cs="Arial" w:eastAsia="Arial" w:hAnsi="Arial"/>
          <w:sz w:val="16"/>
          <w:szCs w:val="16"/>
          <w:color w:val="auto"/>
        </w:rPr>
        <w:t xml:space="preserve">. Subject to this Section 4.10, MainPointe shall be solely responsible for processing and handling all Product returns occurring on or after the Effective Date. MainPointe will be responsible for the credit liability associated with all returns of Product sold on or after the Effective Date in the United States, and Acura will be responsible for the credit liability for all returns of Product sold before the Effective Date. Lot numbers of Product sold by Acura before the Effective Date are listed on </w:t>
      </w:r>
      <w:r>
        <w:rPr>
          <w:rFonts w:ascii="Arial" w:cs="Arial" w:eastAsia="Arial" w:hAnsi="Arial"/>
          <w:sz w:val="16"/>
          <w:szCs w:val="16"/>
          <w:u w:val="single" w:color="auto"/>
          <w:color w:val="auto"/>
        </w:rPr>
        <w:t>Schedule 4.10</w:t>
      </w:r>
      <w:r>
        <w:rPr>
          <w:rFonts w:ascii="Arial" w:cs="Arial" w:eastAsia="Arial" w:hAnsi="Arial"/>
          <w:sz w:val="16"/>
          <w:szCs w:val="16"/>
          <w:color w:val="auto"/>
        </w:rPr>
        <w:t xml:space="preserve">. Notwithstanding the foregoing, in the event Transferred Inventory includes Products from lots that was sold by Acura prior to the Effective Date (each referred to herein as a “Partial Lot”), MainPointe and Acura will each be responsible for fifty percent (50%) of the credit liability associated with returns of Product included in such Partial Lot (regardless of who sold such Product). The issuance and determination of all credits and payments for any returns for which Acura may have a credit liability hereunder (including with respect to Partial Lots) shall be made in accordance with Acura’s returns policy applicable to the Products as set forth in </w:t>
      </w:r>
      <w:r>
        <w:rPr>
          <w:rFonts w:ascii="Arial" w:cs="Arial" w:eastAsia="Arial" w:hAnsi="Arial"/>
          <w:sz w:val="16"/>
          <w:szCs w:val="16"/>
          <w:u w:val="single" w:color="auto"/>
          <w:color w:val="auto"/>
        </w:rPr>
        <w:t>Schedule 4.10A</w:t>
      </w:r>
      <w:r>
        <w:rPr>
          <w:rFonts w:ascii="Arial" w:cs="Arial" w:eastAsia="Arial" w:hAnsi="Arial"/>
          <w:sz w:val="16"/>
          <w:szCs w:val="16"/>
          <w:color w:val="auto"/>
        </w:rPr>
        <w:t>, and the issuance and determination of all credits and payments for any returns for which MainPointe may have a credit liability hereunder shall be made in accordance with MainPointe's returns policy applicable to the Products as provided to Acura in writing as of the date hereof. If Acura receives returns it shall deliver to MainPointe for processing as set forth above. MainPointe will destroy returned Product in accordance with Applicable Laws. A Party may invoice the other Party for the actual expenses incurred as a result of destroying Product for which the other Party is responsible, including without limitation, fees paid to Third Parties for receiving and processing such returned Product in accordance with Applicable Laws. MainPointe will pay such invoice within thirty (30) days after the date of the invoice for which it is responsible and with respect to a payment for which Acura is responsible, MainPointe shall, as its sole method of recovery on such invoice, deduct such amount from current and future Royalty Payments due Acura for such invoiced amounts for which Acura is responsible. MainPointe will issue a credit to the applicable Third Party in accordance with the returns policy of the Party responsible for the credit liability and, if the credit is issued by MainPointe for product for which Acura is responsible for the credit liability with respect to such returned Product, MainPointe shall invoice Acura for the amount of such credit and as its sole method of payment on such invoice, deduct from current and future Royalty Payments due Acura for such invoiced amounts for which Acura is responsible. The parties shall reconcile and true up their accounting under this provision at the end of each calendar quarter after the Effective Date until both Parties agree that such need no longer exists. Each of MainPointe and Acura shall have the right during normal business hours and on reasonable advance notice to review the other Party’s books and records and consult with the other Party’s responsible employees in respect of performance of this Section 4.10. MainPointe agrees that it will not induce customers to accelerate, and it will not otherwise engage in any activity (including through the granting of financial incentives or otherwise) the effect of which would be the acceleration of, the return of Products sold by Acura or any of its Affiliates to customers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ind w:firstLine="648"/>
        <w:spacing w:after="0" w:line="25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Change of NDC</w:t>
      </w:r>
      <w:r>
        <w:rPr>
          <w:rFonts w:ascii="Arial" w:cs="Arial" w:eastAsia="Arial" w:hAnsi="Arial"/>
          <w:sz w:val="18"/>
          <w:szCs w:val="18"/>
          <w:color w:val="auto"/>
        </w:rPr>
        <w:t>. MainPointe shall take any and all action necessary, as expeditiously as possible (but in no event later than four (4) months after the Effective Date), to change the NDC number for each Nexafed Product and to apply such new NDC number to each Nexafed Product sold by MainPointe, provided, that the foregoing shall not apply to the Transferred Inventory, as provided in Section 9.5. For the avoidance of doubt, such actions shall include MainPointe obtaining a new NDC number, if it does not already have one. MainPointe shall communicate to the Centers for Medicare and Medicaid Services (“</w:t>
      </w:r>
      <w:r>
        <w:rPr>
          <w:rFonts w:ascii="Arial" w:cs="Arial" w:eastAsia="Arial" w:hAnsi="Arial"/>
          <w:sz w:val="18"/>
          <w:szCs w:val="18"/>
          <w:b w:val="1"/>
          <w:bCs w:val="1"/>
          <w:color w:val="auto"/>
        </w:rPr>
        <w:t>CMS</w:t>
      </w:r>
      <w:r>
        <w:rPr>
          <w:rFonts w:ascii="Arial" w:cs="Arial" w:eastAsia="Arial" w:hAnsi="Arial"/>
          <w:sz w:val="18"/>
          <w:szCs w:val="18"/>
          <w:color w:val="auto"/>
        </w:rPr>
        <w:t>”), with a copy to Acura, the expiration dates for the last manufactured lots (“</w:t>
      </w:r>
      <w:r>
        <w:rPr>
          <w:rFonts w:ascii="Arial" w:cs="Arial" w:eastAsia="Arial" w:hAnsi="Arial"/>
          <w:sz w:val="18"/>
          <w:szCs w:val="18"/>
          <w:b w:val="1"/>
          <w:bCs w:val="1"/>
          <w:color w:val="auto"/>
        </w:rPr>
        <w:t>Last Lot Expiration Dates</w:t>
      </w:r>
      <w:r>
        <w:rPr>
          <w:rFonts w:ascii="Arial" w:cs="Arial" w:eastAsia="Arial" w:hAnsi="Arial"/>
          <w:sz w:val="18"/>
          <w:szCs w:val="18"/>
          <w:color w:val="auto"/>
        </w:rPr>
        <w:t>”) of each of the Nexafed Products manufactured by or on behalf of MainPointe that bears Acura’s NDC as soon as each such Last Lot Expiration Date is available. Acura shall maintain with the FDA Acura’s NDC Number for each Product as required for the manufacture and distribution of the Products until the latest expiry of lots of Products included in the Transferred Inventory.</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Retroactive Impact</w:t>
      </w:r>
      <w:r>
        <w:rPr>
          <w:rFonts w:ascii="Arial" w:cs="Arial" w:eastAsia="Arial" w:hAnsi="Arial"/>
          <w:sz w:val="17"/>
          <w:szCs w:val="17"/>
          <w:color w:val="auto"/>
        </w:rPr>
        <w:t>. In the event that any pricing change made by MainPointe after the Effective Date has the effect of increasing any liability or payment obligation owed by Acura to any Third Party to an amount greater than the amount such liability or payment obligation would have been in the absence of such pricing change, MainPointe shall reimburse Acura for such increase in liability or payment obligation incurred by Acura.</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Transition Services.</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4.13.1 For the contracts listed on Schedule 4.13 (“</w:t>
      </w:r>
      <w:r>
        <w:rPr>
          <w:rFonts w:ascii="Arial" w:cs="Arial" w:eastAsia="Arial" w:hAnsi="Arial"/>
          <w:sz w:val="18"/>
          <w:szCs w:val="18"/>
          <w:b w:val="1"/>
          <w:bCs w:val="1"/>
          <w:color w:val="auto"/>
        </w:rPr>
        <w:t>Transition Contracts</w:t>
      </w:r>
      <w:r>
        <w:rPr>
          <w:rFonts w:ascii="Arial" w:cs="Arial" w:eastAsia="Arial" w:hAnsi="Arial"/>
          <w:sz w:val="18"/>
          <w:szCs w:val="18"/>
          <w:color w:val="auto"/>
        </w:rPr>
        <w:t>”), which are not being assigned to MainPointe, Acura will forward purchase orders to MainPointe and MainPointe will supply the Nexafed Products (“</w:t>
      </w:r>
      <w:r>
        <w:rPr>
          <w:rFonts w:ascii="Arial" w:cs="Arial" w:eastAsia="Arial" w:hAnsi="Arial"/>
          <w:sz w:val="18"/>
          <w:szCs w:val="18"/>
          <w:b w:val="1"/>
          <w:bCs w:val="1"/>
          <w:color w:val="auto"/>
        </w:rPr>
        <w:t>Transition Products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at the prices called for in such agreements and otherwise abide by the terms of such agreements. Acura will forward to MainPointe payments received on account of such sales and MainPointe will be solely responsible for all returns (including any payments arising from such returns).</w:t>
      </w:r>
    </w:p>
    <w:p>
      <w:pPr>
        <w:spacing w:after="0" w:line="18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4.13.2 MainPointe will also be responsible for any payments to the counterparty (e.g., fees to wholesalers) arising from such sales. MainPointe will indemnify and hold Acura harmless (including attorneys’ fees) for any actions or inactions relating to such Products as if MainPointe was a party to such non-assigned agreements, including without limitation, cover damages and damages for late and non-delivery. Acura and MainPointe will coordinate the termination of such agreements such that MainPointe can enter into agreements directly with such customers without interrupting supply.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CONFIDENTIALITY AND LIMITATIONS ON USE</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Party agrees that, during the Term and for a period of ten (10) years thereafter it shall 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information that the disclosing Party considers confidential and discloses to the receiving Party for the purpose of this Agreement. Confidential Information must be marked or otherwise identified as confidential or proprietary or, under the circumstances surrounding the disclosure, ought in good faith to be treated as confidential or proprietary. Confidential Information may be conveyed in written, graphical, physical or oral form. Confidential Information may include, without limitation, information concerning the study, discovery, design, research, development, manufacture, formulation, extraction, compounding, mixing, processing, testing, control, preservation, storage, finishing, packing, packaging, use, administration, distribution, sale, reimbursement and/or marketing of pharmaceutical products or compounds and potential products or compounds, data from and methodology of pre-clinical and clinical studies, the contents of any submissions to the U.S. Food and Drug Administration (together with any successor agency), marketing plans or computer hardware and software systems and designs and plans for same. Confidential Information may include confidential or proprietary information of a third party that is in the possession of a disclosing Party. The foregoing confidentiality and non-use obligations shall not apply to any portion of the other Party’s Confidential Information that the receiving Party can demonstrate by competent written proof: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ind w:left="1960" w:hanging="655"/>
        <w:spacing w:after="0" w:line="277"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 other than under an obligation of confidentiality, at the time of disclosure by the other Party;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6" w:lineRule="exact"/>
        <w:rPr>
          <w:rFonts w:ascii="Arial" w:cs="Arial" w:eastAsia="Arial" w:hAnsi="Arial"/>
          <w:sz w:val="17"/>
          <w:szCs w:val="17"/>
          <w:color w:val="auto"/>
        </w:rPr>
      </w:pPr>
    </w:p>
    <w:p>
      <w:pPr>
        <w:ind w:left="1960" w:hanging="655"/>
        <w:spacing w:after="0" w:line="277"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disclosed to the receiving Party or its Affiliate by a Third Party who has a legal right to make such disclosure and who did not obtain such information directly or indirectly from the other Party; or</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without access to or aid, application or use of the other Party’s Confidential Information, as evidenced by a contemporaneous writing.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 xml:space="preserve"> Notwithstanding the obligations set forth in Section 5.1, a Party may disclose the other Party’s Confidential Information and the terms of this Agreement to the extent:</w:t>
      </w:r>
    </w:p>
    <w:p>
      <w:pPr>
        <w:spacing w:after="0" w:line="170" w:lineRule="exact"/>
        <w:rPr>
          <w:sz w:val="20"/>
          <w:szCs w:val="20"/>
          <w:color w:val="auto"/>
        </w:rPr>
      </w:pPr>
    </w:p>
    <w:p>
      <w:pPr>
        <w:jc w:val="both"/>
        <w:ind w:left="1960" w:hanging="655"/>
        <w:spacing w:after="0" w:line="259"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 or</w:t>
      </w:r>
    </w:p>
    <w:p>
      <w:pPr>
        <w:spacing w:after="0" w:line="186" w:lineRule="exact"/>
        <w:rPr>
          <w:rFonts w:ascii="Arial" w:cs="Arial" w:eastAsia="Arial" w:hAnsi="Arial"/>
          <w:sz w:val="18"/>
          <w:szCs w:val="18"/>
          <w:color w:val="auto"/>
        </w:rPr>
      </w:pPr>
    </w:p>
    <w:p>
      <w:pPr>
        <w:jc w:val="both"/>
        <w:ind w:left="1960" w:hanging="655"/>
        <w:spacing w:after="0" w:line="302" w:lineRule="auto"/>
        <w:tabs>
          <w:tab w:leader="none" w:pos="1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disclosure is reasonably necessary to comply with Applicable Laws, including regulations promulgated by the U.S. Securities and Exchange Commission, applicable security exchanges, court order, administrative subpoena or order; provided that the Party subject to such Applicable Laws shall promptly notify the other Party of such required disclosure and shall use reasonable efforts to obtain, or to assist the other Party in obtaining, a protective order preventing or limiting the required disclosure.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1" w:name="page152"/>
    <w:bookmarkEnd w:id="151"/>
    <w:p>
      <w:pPr>
        <w:spacing w:after="0"/>
        <w:tabs>
          <w:tab w:leader="none" w:pos="6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Publicity</w:t>
      </w:r>
    </w:p>
    <w:p>
      <w:pPr>
        <w:spacing w:after="0" w:line="225" w:lineRule="exact"/>
        <w:rPr>
          <w:sz w:val="20"/>
          <w:szCs w:val="20"/>
          <w:color w:val="auto"/>
        </w:rPr>
      </w:pPr>
    </w:p>
    <w:p>
      <w:pPr>
        <w:jc w:val="both"/>
        <w:ind w:left="1300" w:hanging="655"/>
        <w:spacing w:after="0" w:line="255"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Parties agree that the material terms of this Agreement are the Confidential Information of both Parties, subject to the special authorized disclosure provisions set forth in this Section 5.3 or Section 5.2. In addition, a Party may disclose such terms to the extent reasonably necessary to be disclosed to any bona fide potential or actual investor, lender, acquiror, or merger partner for the sole purpose of evaluating an actual or potential investment, acquisition or merger; provided that in connection with such disclosure, such Party shall inform each disclosee of the confidential nature of such Confidential Information and ensure that each such disclosee is contractually obligated to treat such Confidential Information as confidential on terms at least as restrictive as those contained in this Article 5.</w:t>
      </w:r>
    </w:p>
    <w:p>
      <w:pPr>
        <w:spacing w:after="0" w:line="189" w:lineRule="exact"/>
        <w:rPr>
          <w:rFonts w:ascii="Arial" w:cs="Arial" w:eastAsia="Arial" w:hAnsi="Arial"/>
          <w:sz w:val="18"/>
          <w:szCs w:val="18"/>
          <w:color w:val="auto"/>
        </w:rPr>
      </w:pPr>
    </w:p>
    <w:p>
      <w:pPr>
        <w:ind w:left="1300" w:hanging="655"/>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Parties shall make a joint public announcement of the execution of this Agreement in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which shall be issued at a mutually agreed time after the Effective Date.</w:t>
      </w:r>
    </w:p>
    <w:p>
      <w:pPr>
        <w:spacing w:after="0" w:line="170" w:lineRule="exact"/>
        <w:rPr>
          <w:rFonts w:ascii="Arial" w:cs="Arial" w:eastAsia="Arial" w:hAnsi="Arial"/>
          <w:sz w:val="18"/>
          <w:szCs w:val="18"/>
          <w:color w:val="auto"/>
        </w:rPr>
      </w:pPr>
    </w:p>
    <w:p>
      <w:pPr>
        <w:jc w:val="both"/>
        <w:ind w:left="1300" w:hanging="655"/>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After release of such press release, if either Party desires to make a public announcement concerning the material terms of this Agreement or any activities hereunder, such Party shall give reasonable prior advance notice of the proposed text of such announcement to the other Party for its prior review.</w:t>
      </w:r>
    </w:p>
    <w:p>
      <w:pPr>
        <w:spacing w:after="0" w:line="181" w:lineRule="exact"/>
        <w:rPr>
          <w:rFonts w:ascii="Arial" w:cs="Arial" w:eastAsia="Arial" w:hAnsi="Arial"/>
          <w:sz w:val="18"/>
          <w:szCs w:val="18"/>
          <w:color w:val="auto"/>
        </w:rPr>
      </w:pPr>
    </w:p>
    <w:p>
      <w:pPr>
        <w:jc w:val="both"/>
        <w:ind w:left="1300" w:hanging="655"/>
        <w:spacing w:after="0" w:line="25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Parties acknowledge that either or both Parties may be obligated to file under Applicable Laws a copy of this Agreement with the U.S. Securities and Exchange Commission or other governmental authorities. Each Party may make such a required filing, provided that it requests confidential treatment of the commercial terms and sensitive technical terms hereof and thereof to the extent such confidential treatment is reasonably available to such Party. In the event of any such filing, each Party will provide the other Party with a copy of this Agreement marked to show provisions for which such Party intends to seek confidential treatment and shall reasonably consider and incorporate the other Party’s reasonable comments thereon to the extent consistent with the legal requirements, with respect to the filing Party, governing disclosure of material agreements and material information that must be publicly filed.</w:t>
      </w: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52" w:name="page153"/>
    <w:bookmarkEnd w:id="152"/>
    <w:p>
      <w:pPr>
        <w:jc w:val="both"/>
        <w:ind w:firstLine="648"/>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Prior Confidentiality Agreement</w:t>
      </w:r>
      <w:r>
        <w:rPr>
          <w:rFonts w:ascii="Arial" w:cs="Arial" w:eastAsia="Arial" w:hAnsi="Arial"/>
          <w:sz w:val="17"/>
          <w:szCs w:val="17"/>
          <w:color w:val="auto"/>
        </w:rPr>
        <w:t>. Nothing herein shall relieve any Party of any breach of that certain Confidentiality Agreement, dated as of November 11, 2016 (the “</w:t>
      </w:r>
      <w:r>
        <w:rPr>
          <w:rFonts w:ascii="Arial" w:cs="Arial" w:eastAsia="Arial" w:hAnsi="Arial"/>
          <w:sz w:val="17"/>
          <w:szCs w:val="17"/>
          <w:b w:val="1"/>
          <w:bCs w:val="1"/>
          <w:color w:val="auto"/>
        </w:rPr>
        <w:t>Prior Confidentiality Agreement</w:t>
      </w:r>
      <w:r>
        <w:rPr>
          <w:rFonts w:ascii="Arial" w:cs="Arial" w:eastAsia="Arial" w:hAnsi="Arial"/>
          <w:sz w:val="17"/>
          <w:szCs w:val="17"/>
          <w:color w:val="auto"/>
        </w:rPr>
        <w:t>”), by and between the Parties with respect to the information disclosed between the Parties prior to the date hereof, provided any information disclosed under such agreement shall also be deemed disclosed under this Agreement and such agreement shall not apply to any information disclosed after the date hereof, which disclosure shall be governed by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Maximum Liability</w:t>
      </w:r>
      <w:r>
        <w:rPr>
          <w:rFonts w:ascii="Arial" w:cs="Arial" w:eastAsia="Arial" w:hAnsi="Arial"/>
          <w:sz w:val="18"/>
          <w:szCs w:val="18"/>
          <w:color w:val="auto"/>
        </w:rPr>
        <w:t>. Other than a Party’s indemnification obligations, breach of the confidentiality provisions and non-compete provisions of Section 2.9, each Party’s maximum liability to the other Party for any claim arising from this Agreement for any reason whatsoever (excluding monetary consideration for this Agreement, such as Upfront Payments, Option territory Exercise Fees, Option Product Exercise Fees, Royalty Payments, and out-of-pocket costs and expenses) will not exceed the following payments made by MainPointe to Acura during the twelve (12) month period preceding the date upon which the applicable claim arose: the Upfront License Payment, Royalty Payments, Option Product Exercise Fees and the Option Territory Exercise Fees.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Indemnification by Acura</w:t>
      </w:r>
      <w:r>
        <w:rPr>
          <w:rFonts w:ascii="Arial" w:cs="Arial" w:eastAsia="Arial" w:hAnsi="Arial"/>
          <w:sz w:val="18"/>
          <w:szCs w:val="18"/>
          <w:color w:val="auto"/>
        </w:rPr>
        <w:t>. Acura shall defend, indemnify, and hold MainPointe and its Affiliates and their respective officers, directors and employees (the “</w:t>
      </w:r>
      <w:r>
        <w:rPr>
          <w:rFonts w:ascii="Arial" w:cs="Arial" w:eastAsia="Arial" w:hAnsi="Arial"/>
          <w:sz w:val="18"/>
          <w:szCs w:val="18"/>
          <w:b w:val="1"/>
          <w:bCs w:val="1"/>
          <w:color w:val="auto"/>
        </w:rPr>
        <w:t>MainPointe Indemnitees</w:t>
      </w:r>
      <w:r>
        <w:rPr>
          <w:rFonts w:ascii="Arial" w:cs="Arial" w:eastAsia="Arial" w:hAnsi="Arial"/>
          <w:sz w:val="18"/>
          <w:szCs w:val="18"/>
          <w:color w:val="auto"/>
        </w:rPr>
        <w:t>”) harmless from and against any and all damages, losses, liabilities costs or expenses (including reasonable attorneys’ fees) (“</w:t>
      </w:r>
      <w:r>
        <w:rPr>
          <w:rFonts w:ascii="Arial" w:cs="Arial" w:eastAsia="Arial" w:hAnsi="Arial"/>
          <w:sz w:val="18"/>
          <w:szCs w:val="18"/>
          <w:b w:val="1"/>
          <w:bCs w:val="1"/>
          <w:color w:val="auto"/>
        </w:rPr>
        <w:t>Losses</w:t>
      </w:r>
      <w:r>
        <w:rPr>
          <w:rFonts w:ascii="Arial" w:cs="Arial" w:eastAsia="Arial" w:hAnsi="Arial"/>
          <w:sz w:val="18"/>
          <w:szCs w:val="18"/>
          <w:color w:val="auto"/>
        </w:rPr>
        <w:t>”) incurred or sustained by such MainPointe Indemnitees resulting from any claims, suits, proceedings or causes of action brought by a Third Party (collectively, “</w:t>
      </w:r>
      <w:r>
        <w:rPr>
          <w:rFonts w:ascii="Arial" w:cs="Arial" w:eastAsia="Arial" w:hAnsi="Arial"/>
          <w:sz w:val="18"/>
          <w:szCs w:val="18"/>
          <w:b w:val="1"/>
          <w:bCs w:val="1"/>
          <w:color w:val="auto"/>
        </w:rPr>
        <w:t>Claims</w:t>
      </w:r>
      <w:r>
        <w:rPr>
          <w:rFonts w:ascii="Arial" w:cs="Arial" w:eastAsia="Arial" w:hAnsi="Arial"/>
          <w:sz w:val="18"/>
          <w:szCs w:val="18"/>
          <w:color w:val="auto"/>
        </w:rPr>
        <w:t>”) against such MainPointe Indemnitee to the extent arising from or based on or arising from (a) Acura’s sales of Nexafed Products prior to the date hereof (other than as provided in Section 8.7(b)); (b) Acura’s breach of any of its obligations under this Agreement; (c) the gross negligence or intentional misconduct of Acura; or (d) Acura’s breach of any representation or warranty made or given in this Agreement, in each case except for any Claim which arises from or is based on any activity set forth in Section 6.3 for which MainPointe is obligated to indemnify the Acura Indemnitees under Section 6.3.</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Indemnification by MainPointe</w:t>
      </w:r>
      <w:r>
        <w:rPr>
          <w:rFonts w:ascii="Arial" w:cs="Arial" w:eastAsia="Arial" w:hAnsi="Arial"/>
          <w:sz w:val="16"/>
          <w:szCs w:val="16"/>
          <w:color w:val="auto"/>
        </w:rPr>
        <w:t>. MainPointe shall defend, indemnify, and hold Acura and its Affiliates and their respective officers, directors and employees (the “Acura Indemnitees”) harmless from and against any and all Losses incurred or sustained by such Acura Indemnitees resulting from any Claims against such Acura Indemnitee brought by a Third Party to the extent arising from or based on or arising from (a) MainPointe's breach of any of its obligations under this Agreement; (b) any claims arising out of the manufacturing or commercialization of Products (including, without limitation, Transition Products) on or after the Effective Date; (c) the gross negligence or intentional misconduct of MainPointe; (d) MainPointe's breach of any representation or warranty made or given by MainPointe in this Agreement; (e) as provided in Article 8; or (f) any actual or alleged infringement of any Third Party copyright, trademark or trade dress rights arising from materials, labeling, marketing or advertising of the Products, in each case except to the extent any Claim arises from or is based on any activity set forth in Section 6.2 for which Acura is obligated to indemnify the MainPointe Indemnitees under Section 6.2.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spacing w:after="0"/>
        <w:tabs>
          <w:tab w:leader="none" w:pos="6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1" w:lineRule="exact"/>
        <w:rPr>
          <w:sz w:val="20"/>
          <w:szCs w:val="20"/>
          <w:color w:val="auto"/>
        </w:rPr>
      </w:pPr>
    </w:p>
    <w:p>
      <w:pPr>
        <w:jc w:val="both"/>
        <w:ind w:left="1300" w:hanging="655"/>
        <w:spacing w:after="0" w:line="285"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Party claiming indemnity under this Article VI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give written notice to the Party from whom indemnity is being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promptly after learning of such Claim. The failure to give such prompt written notice shall not, however, relieve the Indemnifying Party of its indemnification obligations, except and only to the extent that the Indemnifying Party forfeits rights or defenses by reason of such failure. The Indemnifying Party shall have the right to participate in, or by giving written notice to the Indemnified Party within 30 days of receipt of written notice of the Claim, to assume the defense of any Claim at the Indemnifying Party’s expense and by the Indemnifying Party’s own counsel, and the Indemnified Party shall cooperate in good faith in such defense; provided, however, that the Indemnifying Party’s right to assume the defense of any Claim shall be subject to the Indemnifying Party acknowledging in writing to the Indemnified Party that the Indemnifying Party is liable under this Article 6 to provide indemnification. In the event that the Indemnifying Party assumes the defense of any Claim, subject to Section 6.4(b), it shall have the right to take such action as it deems necessary to avoid, dispute, defend, appeal or make counterclaims pertaining to any such Claim in the name and on behalf of the Indemnified Party; provided, that the Indemnified Party shall have the right, at its own cost and expense, to participate in the defense of any such Claim with counsel selected by it subject to the Indemnifying Party’s right to control the defense thereof. If the Indemnifying Party elects not to compromise or defend such Claim or fails to notify the Indemnified Party in writing of its election to defend as provided in this Agreement, the Indemnified Party may, subject to Section 6.4(b), pay, compromise, defend such Claim and seek indemnification for any and all Losses based upon, arising from or relating to such Claim. Acura and MainPointe shall cooperate with each other in all reasonable respects in connection with the defense of any Claim for which indemnification is sought under this Article 6, including making available (subject to the provisions of Article 5) records relating to such Claim and furnishing, without expense (other than reimbursement of actual out-of-pocket expenses) to the defending Party, management employees of the non-defending Party as may be reasonably necessary for the preparation of the defense of such Claim.</w:t>
      </w:r>
    </w:p>
    <w:p>
      <w:pPr>
        <w:spacing w:after="0" w:line="38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54" w:name="page155"/>
    <w:bookmarkEnd w:id="154"/>
    <w:p>
      <w:pPr>
        <w:jc w:val="both"/>
        <w:ind w:left="1960" w:hanging="655"/>
        <w:spacing w:after="0" w:line="268" w:lineRule="auto"/>
        <w:tabs>
          <w:tab w:leader="none" w:pos="1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Indemnifying Party shall not enter into settlement of any Claim without the prior written consent of the Indemnified Party (which consent shall not be unreasonably withheld or delayed), except as provided in this 6.4(b). If a firm offer is made to settle a Claim without leading to liability or the creation of a financial or other non-financial obligation on the part of the Indemnified Party and provides, in customary form, for the unconditional release of each Indemnified Party from all liabilities and obligations in connection with such Claim (a “</w:t>
      </w:r>
      <w:r>
        <w:rPr>
          <w:rFonts w:ascii="Arial" w:cs="Arial" w:eastAsia="Arial" w:hAnsi="Arial"/>
          <w:sz w:val="17"/>
          <w:szCs w:val="17"/>
          <w:b w:val="1"/>
          <w:bCs w:val="1"/>
          <w:color w:val="auto"/>
        </w:rPr>
        <w:t>Qualified Settlement Offer</w:t>
      </w:r>
      <w:r>
        <w:rPr>
          <w:rFonts w:ascii="Arial" w:cs="Arial" w:eastAsia="Arial" w:hAnsi="Arial"/>
          <w:sz w:val="17"/>
          <w:szCs w:val="17"/>
          <w:color w:val="auto"/>
        </w:rPr>
        <w:t>”) and the Indemnifying Party desires to accept and agree to such Qualified Settlement Offer, the Indemnifying Party shall give written notice to that effect to the Indemnified Party. If the Indemnified Party fails to consent to such Qualified Settlement Offer within ten days after its receipt of such notice, the Indemnified Party may continue to contest or defend such Claim and in such event, the maximum liability of the Indemnifying Party as to such Claim shall not exceed the amount of such settlement Qualified Settlement Offer. If the Indemnified Party fails to consent to such Qualified Settlement Offer and also fails to assume defense of such Claim, the Indemnifying Party may settle the Claim upon the terms set forth in such Qualified Settlement Offer to settle such Claim. If the Indemnified Party has assumed the defense pursuant to Section 6.4(b), it shall not agree to any settlement without the written consent of the Indemnifying Party (which consent shall not be unreasonably withheld or delayed).</w:t>
      </w:r>
    </w:p>
    <w:p>
      <w:pPr>
        <w:spacing w:after="0" w:line="187" w:lineRule="exact"/>
        <w:rPr>
          <w:rFonts w:ascii="Arial" w:cs="Arial" w:eastAsia="Arial" w:hAnsi="Arial"/>
          <w:sz w:val="17"/>
          <w:szCs w:val="17"/>
          <w:color w:val="auto"/>
        </w:rPr>
      </w:pPr>
    </w:p>
    <w:p>
      <w:pPr>
        <w:ind w:left="1960" w:hanging="655"/>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procedures set forth in Section 8 shall supersede the provisions of this Section 6.4, with respect to matters addressed therein.</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Except for breaches of the confidentiality provisions, and breach of the non-compete provision of Section 2.9, under no circumstances whatsoever will either Party be liable to the other in contract, tort, negligence, breach of statutory duty, or otherwise for (i) any (direct or indirect) loss of profits, of production, of anticipated savings, of business, or goodwill or (ii) for any other liability, damage, costs, or expense of any kind incurred by the other Party of an indirect or consequential nature, regardless of any notice of the possibility of these damages.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NOTICES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request to be given or furnished under this Agreement by any Party to the other shall be in writing and shall be delivered personally or registered or certified mail, postage prepaid, or by overnight delivery service to the following:</w:t>
      </w:r>
    </w:p>
    <w:p>
      <w:pPr>
        <w:sectPr>
          <w:pgSz w:w="11900" w:h="16838" w:orient="portrait"/>
          <w:cols w:equalWidth="0" w:num="1">
            <w:col w:w="11420"/>
          </w:cols>
          <w:pgMar w:left="240" w:top="909"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 ACURA: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616 N. North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 60067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Robert B. Jones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847-705-7709</w:t>
      </w:r>
    </w:p>
    <w:p>
      <w:pPr>
        <w:spacing w:after="0" w:line="200" w:lineRule="exact"/>
        <w:rPr>
          <w:sz w:val="20"/>
          <w:szCs w:val="20"/>
          <w:color w:val="auto"/>
        </w:rPr>
      </w:pPr>
    </w:p>
    <w:p>
      <w:pPr>
        <w:sectPr>
          <w:pgSz w:w="11900" w:h="16838" w:orient="portrait"/>
          <w:cols w:equalWidth="0" w:num="2">
            <w:col w:w="1580" w:space="720"/>
            <w:col w:w="9120"/>
          </w:cols>
          <w:pgMar w:left="240" w:top="909"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1037 Raymond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P. Reilly, Esq.</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973-491-3354</w:t>
      </w:r>
    </w:p>
    <w:p>
      <w:pPr>
        <w:spacing w:after="0" w:line="200" w:lineRule="exact"/>
        <w:rPr>
          <w:sz w:val="20"/>
          <w:szCs w:val="20"/>
          <w:color w:val="auto"/>
        </w:rPr>
      </w:pPr>
    </w:p>
    <w:p>
      <w:pPr>
        <w:sectPr>
          <w:pgSz w:w="11900" w:h="16838" w:orient="portrait"/>
          <w:cols w:equalWidth="0" w:num="2">
            <w:col w:w="1580" w:space="720"/>
            <w:col w:w="9120"/>
          </w:cols>
          <w:pgMar w:left="240" w:top="909" w:right="239" w:bottom="1440" w:gutter="0" w:footer="0" w:header="0"/>
          <w:type w:val="continuous"/>
        </w:sect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6"/>
          <w:szCs w:val="16"/>
          <w:color w:val="auto"/>
        </w:rPr>
        <w:t>TO MainPointe: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MainPointe Pharmaceuticals,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 East Main St., 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L. Schutte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502-548-6276</w:t>
      </w:r>
    </w:p>
    <w:p>
      <w:pPr>
        <w:spacing w:after="0" w:line="200" w:lineRule="exact"/>
        <w:rPr>
          <w:sz w:val="20"/>
          <w:szCs w:val="20"/>
          <w:color w:val="auto"/>
        </w:rPr>
      </w:pPr>
    </w:p>
    <w:p>
      <w:pPr>
        <w:sectPr>
          <w:pgSz w:w="11900" w:h="16838" w:orient="portrait"/>
          <w:cols w:equalWidth="0" w:num="2">
            <w:col w:w="1580" w:space="720"/>
            <w:col w:w="9120"/>
          </w:cols>
          <w:pgMar w:left="240" w:top="908"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Frost Brown Todd Attorneys,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400 West Market St., 3200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William G. Strench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502-589-5400</w:t>
      </w:r>
    </w:p>
    <w:p>
      <w:pPr>
        <w:spacing w:after="0" w:line="200" w:lineRule="exact"/>
        <w:rPr>
          <w:sz w:val="20"/>
          <w:szCs w:val="20"/>
          <w:color w:val="auto"/>
        </w:rPr>
      </w:pPr>
    </w:p>
    <w:p>
      <w:pPr>
        <w:sectPr>
          <w:pgSz w:w="11900" w:h="16838" w:orient="portrait"/>
          <w:cols w:equalWidth="0" w:num="2">
            <w:col w:w="1580" w:space="720"/>
            <w:col w:w="9120"/>
          </w:cols>
          <w:pgMar w:left="240" w:top="908" w:right="239" w:bottom="1440" w:gutter="0" w:footer="0" w:header="0"/>
          <w:type w:val="continuous"/>
        </w:sectPr>
      </w:pPr>
    </w:p>
    <w:p>
      <w:pPr>
        <w:spacing w:after="0" w:line="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Receipt of Notice</w:t>
      </w:r>
      <w:r>
        <w:rPr>
          <w:rFonts w:ascii="Arial" w:cs="Arial" w:eastAsia="Arial" w:hAnsi="Arial"/>
          <w:sz w:val="17"/>
          <w:szCs w:val="17"/>
          <w:color w:val="auto"/>
        </w:rPr>
        <w:t>. All notices and other communications given to any Party in accordance with the provisions of this Agreement shall be deemed to have been given on the date of receipt if delivered by hand or overnight courier services or sent by telecopy, or on the date five (5) business days after dispatch by certified or registered mail (postage prepaid) if mailed, in each case delivered, sent or mailed (properly addressed) to such Party as provided in this Article VII, or in accordance with the latest unrevoked direction from such Party given in accordance with this Article VII.</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Customer Notification</w:t>
      </w:r>
      <w:r>
        <w:rPr>
          <w:rFonts w:ascii="Arial" w:cs="Arial" w:eastAsia="Arial" w:hAnsi="Arial"/>
          <w:sz w:val="16"/>
          <w:szCs w:val="16"/>
          <w:color w:val="auto"/>
        </w:rPr>
        <w:t>. Promptly after the Effective Date, MainPointe and Acura shall jointly prepare a written notice to Acura’s customers for the Nexafed Products advising such customers (a) of the purchase by MainPointe of the Nexafed Products and the Acquired Assets, (b) that all purchase orders for Nexafed Products received by Acura prior to the Effective Date but not filled as of such date have been transferred to MainPointe and (c) that all subsequent purchase orders for Products should be sent to MainPointe or its designee, at the following address: 333 East Main Street, Suite 220, Louisville, Kentucky 40202. Acura shall provide such notice to customers for the Nexafed Products promptly following its completion by the Parties.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 PATENT PROSECUTION, INFRINGEMENT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Ownership of Intellectual Property Rights</w:t>
      </w:r>
      <w:r>
        <w:rPr>
          <w:rFonts w:ascii="Arial" w:cs="Arial" w:eastAsia="Arial" w:hAnsi="Arial"/>
          <w:sz w:val="17"/>
          <w:szCs w:val="17"/>
          <w:color w:val="auto"/>
        </w:rPr>
        <w:t>. Acura shall own all Intellectual Property Rights (including all Know-How and Patent Rights) in the Impede® Technology, provided that if MainPointe makes any improvements to the Impede Technology, then MainPointe shall own such improvements provided that it shall inform Acura of such improvements, and hereby grants Acura a royalty-free, perpetual, sublicensable, non-exclusive license to such improvements to develop, manufacture and commercialize products other than the Products. MainPointe owns all trademarks and goodwill associated with the marketing and commercialization of the Nexafed Products in the Territory, with the exception of any mark incorporating Acura’s corporate name, Impede® and Nexafed®, or any marks incorporating Impede® and Nexafed®, which shall be owned by Acura.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6" w:name="page157"/>
    <w:bookmarkEnd w:id="156"/>
    <w:p>
      <w:pPr>
        <w:jc w:val="both"/>
        <w:ind w:firstLine="648"/>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 Acura is responsible for the prosecution and maintenance of the Impede® Patent Rights in its sole discretion and at its own cost and expense, provided that any fees and expenses for maintenance or prosecution and maintenance outside the United States shall be at MainPointe's expense. Acura shall provide MainPointe a reasonable opportunity to review and comment on such prosecution and maintenance efforts regarding Impede® Patent Rights in the Territory that may claim the Products, or the making or the use thereof. Acura shall provide MainPointe with a copy of material communications from any patent authority in the Territory regarding such Impede® Patent Rights within a reasonable time after receipt of such communications and shall provide drafts of any material filings or responses to be made to such patent authorities in a reasonable amount of time in advance of submitting such filings or responses for MainPointe's review and comment. Acura shall reasonably consider such comments by MainPointe in connection with the prosecution and maintenance of the Impede® Patent Rights. If Acura decides to cease the prosecution or maintenance of any Impede® Patent Rights that claim the Product(s), after it has commenced prosecution of such Impede Patent Rights in the Territory, and Bayer has not exercised such rights under the Bayer Agreement, Acura shall notify MainPointe in writing so that MainPointe may, at its discretion, assume the responsibility for the prosecution or maintenance of such Impede® Patent Rights in the Territory, provided Acura shall own all such resulting patents.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Infringement of Impede® Patent Rights</w:t>
      </w:r>
      <w:r>
        <w:rPr>
          <w:rFonts w:ascii="Arial" w:cs="Arial" w:eastAsia="Arial" w:hAnsi="Arial"/>
          <w:sz w:val="17"/>
          <w:szCs w:val="17"/>
          <w:color w:val="auto"/>
        </w:rPr>
        <w:t>. Each of MainPointe and Acura will notify the other Party within five (5) days upon learning of any possible infringement by a Third Party of the Impede® Patent Rights, which infringement may reasonably be expected to affect the commercialization of a Product. MainPointe has the exclusive right (after consultation with Acura), but not the obligation, at MainPointe's own cost, to take all steps, including legal action, it deems necessary or advisable to eliminate or minimize the effect on the development, manufacture and commercialization of the Products of such possible infringement. Acura agrees to cooperate, upon reasonable request of MainPointe and at MainPointe's cost, in such steps or legal proceeding. All proceeds realized upon any judgement or settlement in MainPointe's favor regarding such steps or legal action, net of direct out-of-pocket expenses of the Parties relating thereto, shall be for the benefit of MainPointe provided MainPointe shall pay Acura the same royalty on the excess as it is required to pay on Net Sales. Notwithstanding the foregoing, Acura’s consent (which shall not be unreasonably withheld, delayed or conditioned) shall be required for any settlement that entails any license or covenant not to sue, relating to the Impede® Patent Rights, or dedication to the public, admission of invalidity or unenforceability, or abandonment of any Impede® Patent Rights.</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Notice by MainPointe of Intent to Assert; Acura’s Right to Assert.</w:t>
      </w:r>
    </w:p>
    <w:p>
      <w:pPr>
        <w:spacing w:after="0" w:line="225" w:lineRule="exact"/>
        <w:rPr>
          <w:sz w:val="20"/>
          <w:szCs w:val="20"/>
          <w:color w:val="auto"/>
        </w:rPr>
      </w:pPr>
    </w:p>
    <w:p>
      <w:pPr>
        <w:jc w:val="both"/>
        <w:ind w:left="1960" w:hanging="655"/>
        <w:spacing w:after="0" w:line="286" w:lineRule="auto"/>
        <w:tabs>
          <w:tab w:leader="none" w:pos="1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later than five (5) business days after learning or being notified of any possible infringement by a Third Party of the Impede® Patent Rights, which infringement may reasonably be expected to affect the commercialization of a Product, MainPointe shall provide written notice to Acura as to whether MainPointe will exercise its rights conferred in Section 8.3.</w:t>
      </w:r>
    </w:p>
    <w:p>
      <w:pPr>
        <w:spacing w:after="0" w:line="165"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MainPointe does not provide Acura with such written notice within twenty (20) business days or within such time provides notice to Acura electing not to exercise its rights conferred in Section 8.3, then at any time Acura may, but shall not be obligated, to provide MainPointe written notice as to whether Acura will take steps to eliminate or minimize the consequences of such possible infringement to the commercialization of the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jc w:val="both"/>
        <w:ind w:left="1960" w:hanging="655"/>
        <w:spacing w:after="0" w:line="255" w:lineRule="auto"/>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Acura elects, pursuant to Section 8.4(b), to take steps to eliminate or minimize the consequences of such possible infringement to the commercialization of a Product, the following shall apply: Acura shall have the exclusive right, at Acura’s own cost and expense, to take such steps as it shall determine, including legal action, to eliminate or minimize the consequences of such possible infringement to the commercialization of the Product. Acura shall be entitled to any judgement or settlement relating to such action. MainPointe agrees to join as a named party and cooperate, upon reasonable request of Acura and at Acura’s cost and expense, in any such steps or legal proceeding.</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Third Party Challenges to Impede® Patent Rights</w:t>
      </w:r>
      <w:r>
        <w:rPr>
          <w:rFonts w:ascii="Arial" w:cs="Arial" w:eastAsia="Arial" w:hAnsi="Arial"/>
          <w:sz w:val="16"/>
          <w:szCs w:val="16"/>
          <w:color w:val="auto"/>
        </w:rPr>
        <w:t>. Notwithstanding Section 8.3, each of MainPointe and Acura shall notify the other Party no later than five (5) business days after receiving a Paragraph IV Certification, an Inter Parties or Post Grant review petition, or any other challenge that an Impede® Patent Right is invalid or unenforceable, if such Impede® Patent Right claims the Product, or the manufacture, or use thereof. MainPointe has the right (after consultation with Acura), but not the obligation, at MainPointe's own cost, to exclusively pursue any negotiations with such Third Party and exclusively control the enforcement or defense of any legal proceeding regarding such challenge. Acura agrees to cooperate, upon reasonable request of MainPointe and at MainPointe's cost, in such negotiations or legal proceeding. All proceeds realized upon any judgement or settlement in MainPointe's favor regarding such negotiations or legal proceeding, net of direct out-of-pocket expenses of the Parties relating thereto, shall be for the benefit of MainPointe, provided MainPointe shall pay Acura the same royalty on the excess as it is required to pay on Net Sales. Notwithstanding the foregoing, Acura’s consent (which shall not be unreasonably withheld, delayed or conditioned) shall be required for any settlement that entails any license or covenant not to sue, relating to the Impede® Patent Rights, or dedication to the public, admission of invalidity or unenforceability, or abandonment of the Impede® Patent Rights.</w:t>
      </w:r>
    </w:p>
    <w:p>
      <w:pPr>
        <w:spacing w:after="0" w:line="16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Notice by MainPointe to Defend; Acura’s Right to Defend</w:t>
      </w:r>
      <w:r>
        <w:rPr>
          <w:rFonts w:ascii="Arial" w:cs="Arial" w:eastAsia="Arial" w:hAnsi="Arial"/>
          <w:sz w:val="16"/>
          <w:szCs w:val="16"/>
          <w:color w:val="auto"/>
        </w:rPr>
        <w:t>.</w:t>
      </w:r>
    </w:p>
    <w:p>
      <w:pPr>
        <w:spacing w:after="0" w:line="225" w:lineRule="exact"/>
        <w:rPr>
          <w:sz w:val="20"/>
          <w:szCs w:val="20"/>
          <w:color w:val="auto"/>
        </w:rPr>
      </w:pPr>
    </w:p>
    <w:p>
      <w:pPr>
        <w:jc w:val="both"/>
        <w:ind w:left="1960" w:hanging="655"/>
        <w:spacing w:after="0" w:line="279" w:lineRule="auto"/>
        <w:tabs>
          <w:tab w:leader="none" w:pos="1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Notwithstanding Section 8.4, no later than five (5) business days after MainPointe learns of a Paragraph IV Certification, an Inter Parties or Post Grant review petition, or any other challenge that an Impede® Patent Right is invalid or unenforceable, which Impede® Patent Right claims a Product, or the manufacture, or use thereof, MainPointe shall provide written notice to Acura as to whether MainPointe will exercise its rights conferred in Section 8.5.</w:t>
      </w:r>
    </w:p>
    <w:p>
      <w:pPr>
        <w:spacing w:after="0" w:line="171"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MainPointe does not provide Acura with such written notice within its ten (10) business day period of Section 8.6(a) or within such time provided notice to Acura electing not to exercise its rights conferred in Section 8.5, then Acura may at its option, but shall not be obligated to, notify MainPointe in writing at any time thereafter whether Acura will undertake the enforcement or defense of any legal proceeding.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jc w:val="both"/>
        <w:ind w:left="1300" w:hanging="655"/>
        <w:spacing w:after="0" w:line="272"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Acura undertakes such defense or enforcement pursuant to Section 8.6(b), the following paragraph shall apply: Acura shall be entitled, at Acura’s own cost and expense, to exclusively pursue any negotiations with such Third Party and exclusively control the enforcement or defense of any legal proceeding regarding such challenge. If Acura undertakes the defense or enforcement, Acura shall be entitled to any judgement or settlement relating to such action. MainPointe agrees to join as a named party and cooperate, upon reasonable request of Acura and at MainPointe's cost and expense, in any such steps or legal proceeding. Notwithstanding the foregoing, MainPointe's consent (which shall not be unreasonably withheld, delayed or conditioned) shall be required for any settlement that would limit or restrict MainPointe's rights conferred by this Agreement.</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Allegations of Infringement by Third Parties</w:t>
      </w:r>
      <w:r>
        <w:rPr>
          <w:rFonts w:ascii="Arial" w:cs="Arial" w:eastAsia="Arial" w:hAnsi="Arial"/>
          <w:sz w:val="16"/>
          <w:szCs w:val="16"/>
          <w:color w:val="auto"/>
        </w:rPr>
        <w:t>.</w:t>
      </w:r>
    </w:p>
    <w:p>
      <w:pPr>
        <w:spacing w:after="0" w:line="225" w:lineRule="exact"/>
        <w:rPr>
          <w:sz w:val="20"/>
          <w:szCs w:val="20"/>
          <w:color w:val="auto"/>
        </w:rPr>
      </w:pPr>
    </w:p>
    <w:p>
      <w:pPr>
        <w:jc w:val="both"/>
        <w:ind w:left="1300" w:hanging="655"/>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MainPointe and Acura will forthwith notify the other Party upon learning of any allegation by a Third Party that (i) a Product may infringe Third Party intellectual property rights, or (ii) any product that includes the Impede® Technology other than a Product (a “Related Impede® Technology Product”) may infringe Third Party intellectual property rights and the Parties shall in that event consult with each other, including a possible defense strategy.</w:t>
      </w:r>
    </w:p>
    <w:p>
      <w:pPr>
        <w:spacing w:after="0" w:line="186" w:lineRule="exact"/>
        <w:rPr>
          <w:rFonts w:ascii="Arial" w:cs="Arial" w:eastAsia="Arial" w:hAnsi="Arial"/>
          <w:sz w:val="18"/>
          <w:szCs w:val="18"/>
          <w:color w:val="auto"/>
        </w:rPr>
      </w:pPr>
    </w:p>
    <w:p>
      <w:pPr>
        <w:jc w:val="both"/>
        <w:ind w:left="1300" w:hanging="655"/>
        <w:spacing w:after="0" w:line="255"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infringement allegation against a Product is due to the Impede® Technology, MainPointe has the obligation to pursue any negotiations with the claimant and to control the defense of any legal proceeding regarding such infringement allegation against the Product at its own cost and expense (including the cost of defense, judgments, damages and settlements) and shall indemnify and hold Acura harmless from same. Acura shall, at MainPointe's expense, reasonably collaborate with MainPointe and render any reasonable assistance to MainPointe in MainPointe's negotiations with the claimant and defense of any such legal proceeding regarding such allegation of infringement.</w:t>
      </w:r>
    </w:p>
    <w:p>
      <w:pPr>
        <w:spacing w:after="0" w:line="193" w:lineRule="exact"/>
        <w:rPr>
          <w:rFonts w:ascii="Arial" w:cs="Arial" w:eastAsia="Arial" w:hAnsi="Arial"/>
          <w:sz w:val="18"/>
          <w:szCs w:val="18"/>
          <w:color w:val="auto"/>
        </w:rPr>
      </w:pPr>
    </w:p>
    <w:p>
      <w:pPr>
        <w:jc w:val="both"/>
        <w:ind w:left="1300" w:hanging="655"/>
        <w:spacing w:after="0" w:line="271"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infringement allegation is against a Related Impede® Technology Product, Acura reserves the limited right to negotiate with the claimant solely in its own name and on its own behalf relating to the Related Impede® Technology Product and defend only itself in any legal proceeding regarding such allegation of infringement as it may relate to the Related Impede® Technology Product at its own cost and expense (including the cost of defense, judgments, damages, and settlements). MainPointe shall, at MainPointe's expense, reasonably collaborate with Acura and render any reasonable assistance to Acura in Acura’s negotiations with the claimant and Acura’s defense of any legal proceeding regarding such allegation of infringement as it may relate to the Related Impede® Technology Product. If Acura elects to undertake negotiation or defense pursuant to this section, Acura is neither authorized nor obligated to negotiate on behalf of or defend MainPointe.</w:t>
      </w:r>
    </w:p>
    <w:p>
      <w:pPr>
        <w:spacing w:after="0" w:line="39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125" w:right="239" w:bottom="1440" w:gutter="0" w:footer="0" w:header="0"/>
        </w:sectPr>
      </w:pPr>
    </w:p>
    <w:bookmarkStart w:id="159" w:name="page160"/>
    <w:bookmarkEnd w:id="159"/>
    <w:p>
      <w:pPr>
        <w:jc w:val="both"/>
        <w:ind w:firstLine="648"/>
        <w:spacing w:after="0" w:line="269"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Settlement of Allegations of Infringement</w:t>
      </w:r>
      <w:r>
        <w:rPr>
          <w:rFonts w:ascii="Arial" w:cs="Arial" w:eastAsia="Arial" w:hAnsi="Arial"/>
          <w:sz w:val="17"/>
          <w:szCs w:val="17"/>
          <w:color w:val="auto"/>
        </w:rPr>
        <w:t>. For purposes of Sections 8.7 and 8.8, the Party negotiating with the claimant or defending the legal proceeding is referred to as the “Defending Party” and the other Party is referred to as the “non-Defending Party.” The Defending Party shall have the right to exclusively control and manage such claim of infringement (including without limitation, control over the settlement of such action), provided, however, that any such settlement shall also release the non-Defending Party from the claims relating to the claim of infringement (provided that the non-Defending Party executes a mutual release in favor of the party releasing the non-Defending Party). The written consent of the non-Defending Party to the settlement is required if the settlement obligates the non-Defending Party to take or forgo any action (which consent shall not be unreasonably withheld, delayed or conditioned). Without limiting the foregoing, Acura’s consent (which shall not be unreasonably withheld, delayed or conditioned) shall be required for any settlement that entails any license, covenant not to sue relating to, dedication to the public, admission of noninfringement, invalidity or unenforceability or abandonment of Acura’s Intellectual Property Rights, including without limitation the Impede® Technology, and MainPointe's consent (which shall not be unreasonably withheld, delayed or conditioned) shall be required for any settlement that that would limit or restrict the ability of MainPointe to have made, use, offer for sale, sell or otherwise commercialize Product(s) in the Field in the Territory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REPRESENTATIONS, WARRANTIES AND COVENANTS</w:t>
      </w:r>
    </w:p>
    <w:p>
      <w:pPr>
        <w:spacing w:after="0" w:line="22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Cooperation.</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9.1.1 MainPointe and Acura shall cooperate with each other, and shall cause their respective officers, employees, agents, auditors and representatives to cooperate with each other, for a period of one hundred twenty (120) days after the Effective Date to ensure the orderly transition of the Products and the Acquired Assets from Acura to MainPointe and to minimize any disruption to the respective businesses of Acura, APT and MainPointe that might result from the transactions contemplated hereby. After the Effective Date, upon reasonable written notice, MainPointe and Acura shall furnish or cause to be furnished to each other and their employees, counsel, auditors and representatives reasonable access, during normal business hours, to such information and assistance relating to the Products and the Acquired Assets as is reasonably necessary for financial reporting and accounting matters, the preparation and filing of any Tax returns, reports or forms or the defense of any Tax claim or assessment. The obligation to cooperate pursuant to the preceding sentence insofar as it concerns Taxes shall terminate at the time the relevant applicable statute of limitations expires (giving effect to any extension thereof). Each party shall reimburse the other for reasonable out-of-pocket costs and expenses incurred in assisting the other pursuant to this Section 9.1. Neither party shall be required by this Section 9.1 to take any action that would unreasonably interfere with the conduct of its business or unreasonably disrupt its normal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p>
      <w:pPr>
        <w:jc w:val="both"/>
        <w:ind w:firstLine="1297"/>
        <w:spacing w:after="0" w:line="264" w:lineRule="auto"/>
        <w:rPr>
          <w:sz w:val="20"/>
          <w:szCs w:val="20"/>
          <w:color w:val="auto"/>
        </w:rPr>
      </w:pPr>
      <w:r>
        <w:rPr>
          <w:rFonts w:ascii="Arial" w:cs="Arial" w:eastAsia="Arial" w:hAnsi="Arial"/>
          <w:sz w:val="18"/>
          <w:szCs w:val="18"/>
          <w:color w:val="auto"/>
        </w:rPr>
        <w:t>9.1.2 From time to time, as and when requested by either party hereto, the other party shall execute and deliver, or cause to be executed and delivered, all such documents and instruments and shall take, or cause to be taken, all such further or other actions, as such other Party may reasonably deem necessary or desirable to consummate the transactions contemplated by this Agreement.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Mutual Representations, Warranties and covenants</w:t>
      </w:r>
      <w:r>
        <w:rPr>
          <w:rFonts w:ascii="Arial" w:cs="Arial" w:eastAsia="Arial" w:hAnsi="Arial"/>
          <w:sz w:val="15"/>
          <w:szCs w:val="15"/>
          <w:color w:val="auto"/>
        </w:rPr>
        <w:t>. Each Party represents and warrants that</w:t>
      </w:r>
    </w:p>
    <w:p>
      <w:pPr>
        <w:spacing w:after="0" w:line="225"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has the full right, power and authority to enter into this Agreement;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entering into and performing its obligations set forth in this Agreement does not conflict with any other agreement to which it is a party;</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at the Effective Date, there are no claims, judgments, litigations, suits, actions, disputes, arbitration, judicial or legal, administrative or other proceedings or governmental investigations pending or, to such Party’s knowledge, threatened against such Party or any of its Affiliates, and neither such Party nor its Affiliates is a party to any settlement agreement, which would be reasonably expected to materially affect or restrict the ability of such Party to consummate the transactions contemplated under this Agreement and to perform its obligations under this Agreement; and</w:t>
      </w:r>
    </w:p>
    <w:p>
      <w:pPr>
        <w:spacing w:after="0" w:line="188"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neither Party has used or shall use any employee or consultant who has been debarred by any Regulatory Authority or, to such Party’s knowledge, is or has been the subject of debarment proceedings by a Regulatory Authority. Each Party shall notify the other Party promptly upon becoming aware that any of its employees or consultants has been debarred or is the subject of debarment proceedings by any Regulatory Authority.</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Acura Representations, Warranties</w:t>
      </w:r>
      <w:r>
        <w:rPr>
          <w:rFonts w:ascii="Arial" w:cs="Arial" w:eastAsia="Arial" w:hAnsi="Arial"/>
          <w:sz w:val="16"/>
          <w:szCs w:val="16"/>
          <w:color w:val="auto"/>
        </w:rPr>
        <w:t xml:space="preserve">. Acura represents and warrants that: (i) it has all rights necessary to validly grant the licenses set forth in Section 2; (ii) the Patent Rights included in the Impede® Technology and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have not expired and any maintenance fees have been paid when due or within any permitted extension; (iii) it is not subject to any court proceedings, judgment or order related to the subject matter of this Agreement;</w:t>
      </w:r>
    </w:p>
    <w:p>
      <w:pPr>
        <w:jc w:val="both"/>
        <w:ind w:firstLine="8"/>
        <w:spacing w:after="0" w:line="269" w:lineRule="auto"/>
        <w:tabs>
          <w:tab w:leader="none" w:pos="30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it has not received any written claim or allegation of infringement from a Third Party for the infringement of Third Party intellectual property rights based on the making, using, or selling of the Currently Marketed Nexafed Products (other than for a claim related to the use of the Nexafed trademark that has been resolved); (v) it has not assigned and/or granted licenses, nor shall it assign and/or grant licenses, to the Impede® Technology to any Third Party that would restrict or impair the rights granted hereunder, and it has not granted to anyone any rights that cover Nexafed Products in the Territory; (vi) the Impede Patent Rights are the only Patents Right Controlled by Acura relating to the Nexafed Products and any products referred to as Nexafed 2.0 which have been developed by Acura; and (vii) to its actual knowledge the Impede® Technology (a) does not infringe any valid claim in a granted patent known to Acura as of the Effective Date owned by a Third Party and (b) has not been misappropriated from a Third Party.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jc w:val="both"/>
        <w:ind w:firstLine="648"/>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MainPointe’s Representations Warranties and Covenants</w:t>
      </w:r>
      <w:r>
        <w:rPr>
          <w:rFonts w:ascii="Arial" w:cs="Arial" w:eastAsia="Arial" w:hAnsi="Arial"/>
          <w:sz w:val="18"/>
          <w:szCs w:val="18"/>
          <w:color w:val="auto"/>
        </w:rPr>
        <w:t>. MainPointe represents, warrants and covenants that (i) it shall develop, manufacture and commercialize the Products in accordance with Applicable Law and (ii) neither MainPointe nor its Affiliates shall engage in a Patent Challenge, or knowingly assist any Third Party to engage in a Patent Challenge with respect to any of the Impede® Patent Rights or intentionally or willfully infringe the Impede Patent Rights.</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 xml:space="preserve">No Use of Certain Names; Transitional License. MainPointe </w:t>
      </w:r>
      <w:r>
        <w:rPr>
          <w:rFonts w:ascii="Arial" w:cs="Arial" w:eastAsia="Arial" w:hAnsi="Arial"/>
          <w:sz w:val="16"/>
          <w:szCs w:val="16"/>
          <w:color w:val="auto"/>
        </w:rPr>
        <w:t>shall promptly, and in any event within ninety (90) days after Effective Date,</w:t>
      </w:r>
    </w:p>
    <w:p>
      <w:pPr>
        <w:spacing w:after="0" w:line="23" w:lineRule="exact"/>
        <w:rPr>
          <w:sz w:val="20"/>
          <w:szCs w:val="20"/>
          <w:color w:val="auto"/>
        </w:rPr>
      </w:pPr>
    </w:p>
    <w:p>
      <w:pPr>
        <w:jc w:val="both"/>
        <w:ind w:firstLine="8"/>
        <w:spacing w:after="0" w:line="284" w:lineRule="auto"/>
        <w:tabs>
          <w:tab w:leader="none" w:pos="2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revise any and all product literature and labeling and Transferred Advertising Material to delete all references to the Acura Names and (b) delete all references to Acura or APT’s customer service address or telephone number;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a period of one hundred eighty (180) days from the Effective Date MainPointe may continue to distribute such product literature and Transferred Advertising Material that uses any Acura Names, addresses or telephone numbers to the extent that such product literature and Transferred Advertising Material exists on the date hereof, and, only to the extent necessary to allow MainPointe to distribute such product literature and Transferred Advertising Material during such one hundred eighty (180) day period, Acura hereby grants to MainPointe the limited right, on a royalty-free basis, to use the Acura Name and Acura’s trade dress, copyrights and other intellectual property owned by Acura and appearing in such product literature and Transferred Advertising Material on the date hereof. In no event shall MainPointe use any Acura Names or Acura’s addresses, telephone numbers, trade dress, copyrights or other intellectual property after the Effective Date in any manner or for any purpose different from the use of such Acura Name or Acura’s addresses, telephone numbers, trade dress, copyrights or other intellectual property by Acura or APT with respect to the Nexafed Products prior to the Effective Date. With respect to the Transferred Inventory, MainPointe shall be entitled to continue to use the Acura Name and Acura’s NDC Number for each of the Nexafed Products until such time as the Transferred Inventory is exhausted, provided, however, that notwithstanding the foregoing, in the event MainPointe encounters difficulties in obtaining a new NDC Number for a Product or in obtaining FDA approval for changes to the labeling for a Nexafed Product which deletes all references to the Acura Name, Acura shall provide MainPointe with such reasonable extensions to the time period in which MainPointe may use the Acura Name and Acura’s NDC Number as may be requested by MainPointe to Acura in writing. “</w:t>
      </w:r>
      <w:r>
        <w:rPr>
          <w:rFonts w:ascii="Arial" w:cs="Arial" w:eastAsia="Arial" w:hAnsi="Arial"/>
          <w:sz w:val="16"/>
          <w:szCs w:val="16"/>
          <w:u w:val="single" w:color="auto"/>
          <w:color w:val="auto"/>
        </w:rPr>
        <w:t>Acura Name</w:t>
      </w:r>
      <w:r>
        <w:rPr>
          <w:rFonts w:ascii="Arial" w:cs="Arial" w:eastAsia="Arial" w:hAnsi="Arial"/>
          <w:sz w:val="16"/>
          <w:szCs w:val="16"/>
          <w:color w:val="auto"/>
        </w:rPr>
        <w:t>” means (i) “Acura”, “Acura Pharmaceuticals”, “Acura Pharmaceuticals, Inc,”, “Acura Pharmaceutical Technologies”, and “Acura Pharmaceutical technologies, Inc.”, any variations and derivatives thereof.</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Disclaimers</w:t>
      </w:r>
      <w:r>
        <w:rPr>
          <w:rFonts w:ascii="Arial" w:cs="Arial" w:eastAsia="Arial" w:hAnsi="Arial"/>
          <w:sz w:val="18"/>
          <w:szCs w:val="18"/>
          <w:color w:val="auto"/>
        </w:rPr>
        <w:t>. EXCEPT AS EXPRESSLY STATED IN THIS AGREEMENT, NO REPRESENTATIONS OR 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ARTICLE X – TERM AND TERMINATION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 and Expiration</w:t>
      </w:r>
      <w:r>
        <w:rPr>
          <w:rFonts w:ascii="Arial" w:cs="Arial" w:eastAsia="Arial" w:hAnsi="Arial"/>
          <w:sz w:val="18"/>
          <w:szCs w:val="18"/>
          <w:color w:val="auto"/>
        </w:rPr>
        <w:t>. The “</w:t>
      </w:r>
      <w:r>
        <w:rPr>
          <w:rFonts w:ascii="Arial" w:cs="Arial" w:eastAsia="Arial" w:hAnsi="Arial"/>
          <w:sz w:val="18"/>
          <w:szCs w:val="18"/>
          <w:b w:val="1"/>
          <w:bCs w:val="1"/>
          <w:color w:val="auto"/>
        </w:rPr>
        <w:t>Term</w:t>
      </w:r>
      <w:r>
        <w:rPr>
          <w:rFonts w:ascii="Arial" w:cs="Arial" w:eastAsia="Arial" w:hAnsi="Arial"/>
          <w:sz w:val="18"/>
          <w:szCs w:val="18"/>
          <w:color w:val="auto"/>
        </w:rPr>
        <w:t>” of this Agreement shall be from the Effective Date until the earlier of (i) termination of this Agreement pursuant to Section 10.2 or 10.3 or (ii) the last to expire Royalty Term.</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Termination for Breach</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Either Party may terminate the Agreement in its entirety by giving written notice of termination at any time, if the other Party fails to fulfill or breaches any material term or condition of this Agreement, and does not remedy the failure or breach within thirty (30) days of receipt of written notice specifying such failure or breach given by the other Party.</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Termination for Patent Challenge.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Acura will be permitted to terminate this Agreement by written notice effective upon receipt if MainPointe or its Affiliates, directly or indirectly through assistance granted to a Third Party, commence any interference or opposition proceeding, challenge in a legal or administrative proceeding the validity or enforceability of, or oppose in a legal or administrative proceeding any extension of or the grant of a supplementary protection certificate with respect to (i) any Patent Rights licensed hereunder (except as a defense against a patent infringement action initiated by Acura or its Affiliates or licensees against MainPointe or its Affiliates) (each such action, a </w:t>
      </w:r>
      <w:r>
        <w:rPr>
          <w:rFonts w:ascii="Arial" w:cs="Arial" w:eastAsia="Arial" w:hAnsi="Arial"/>
          <w:sz w:val="18"/>
          <w:szCs w:val="18"/>
          <w:b w:val="1"/>
          <w:bCs w:val="1"/>
          <w:color w:val="auto"/>
        </w:rPr>
        <w:t>“Patent Challenge”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MainPointe will include provisions in all agreements granting sublicenses of MainPointe's rights hereunder (other than agreements with manufacturers, services providers, distributors and other agents) providing that if the sublicensee or its Affiliates undertake a Patent Challenge with respect to any Patent Rights licensed hereunder under which the sublicensee is sublicensed, MainPointe will be permitted to terminate such sublicense agreement. If a sublicensee of MainPointe (or an Affiliate of such sublicensee) undertakes a Patent Challenge of any such Patent Right under which such sublicensee is sublicensed (other than sublicensees that are manufacturers, services providers, distributors and other agents), then MainPointe upon receipt of notice from Acura of such Patent Challenge will terminate the applicable sublicense agreement. If MainPointe fails to so terminate such sublicense agreement, Acura may terminate MainPointe's right to sublicense in the country(ies) covered by such sublicense agreement and any sublicenses previously granted in such country(ies) shall automatically terminate. In connection with such sublicense termination, MainPointe shall cooperate with Acura’s reasonable requests to cause such a terminated sublicensee to discontinue activities with respect to a Product in such country(ies).</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Consequences of Expiration and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10.4.1 Upon expiration of this Agreement with respect to a country, MainPointe shall retain a non-exclusive, perpetual, irrevocable, fully paid-up and royalty-free license to, develop, have made, sell, promote, or otherwise exploit the Product in such country.</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10.4.2 Upon termination of this Agreement: (i) all of MainPointe's licenses with respect to Acura’s trademarks and the Impede® Technology shall terminate; (ii) MainPointe's non-compete contained in Section 2.9 shall terminate immediately; and (iii) at Acura’s request MainPointe and Acura shall use commercially reasonable efforts to transition the commercialization of Nexafed Products back to Acura so that, among other things, sales of Nexafed Products are not interrupted and which may include, by way of example, assignment of Product manufacturing and supply agreements to Acura or its designee.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jc w:val="both"/>
        <w:spacing w:after="0" w:line="264" w:lineRule="auto"/>
        <w:rPr>
          <w:sz w:val="20"/>
          <w:szCs w:val="20"/>
          <w:color w:val="auto"/>
        </w:rPr>
      </w:pPr>
      <w:r>
        <w:rPr>
          <w:rFonts w:ascii="Arial" w:cs="Arial" w:eastAsia="Arial" w:hAnsi="Arial"/>
          <w:sz w:val="18"/>
          <w:szCs w:val="18"/>
          <w:color w:val="auto"/>
        </w:rPr>
        <w:t>Termination, relinquishment or expiration of this Agreement for any reason shall be without prejudice to any rights that shall have accrued to the benefit of either Party prior to such termination, relinquishment or expiration. Such termination, relinquishment or expiration shall not relieve either Party from obligations that are expressly indicated to survive termination or expiration of this Agreement.</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10.4.3 All of the Parties’ rights and obligations under Sections 2.6, 2.7, 2.8.2, 2.10, 2.13, 3.3, 3.4, 4.2, 4.4, 4.5, 4.7, 4.8, 4.9, 4.10, 4.11, 4.12, 4.13.2 and Articles 5, 6, 7, 8, 10 and 11, shall survive termination or expiration of this Agreement (unless such Section specifically states that it shall only survive expiration but not termination, in which case it shall survive as set forth therein), and all other provisions reasonably construed to survive shall also survive termination or expiration. Where a provision specifies a survival period, such provision shall survive only during such survival period.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 MISCELLANEOUS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MainPointe and Acura agree to use good faith efforts to resolve any and all disputes arising out of or relating to this Agreement. If after forty five (45) days following receipt of notice by one Party from the other of a dispute under this Agreement, the Parties are unable to resolve the dispute, then the matter shall by fully and finally resolved by arbitration. A Party that desires to arbitrate a dispute shall serve a written notice upon another requesting arbitration of a dispute pursuant to this Section 11.1. Any such arbitration shall be submitted to final and binding arbitration under the then current commercial arbitration rules of the American Arbitration Association (the “AAA”) in accordance with this Section 11.1. The place of arbitration of any dispute shall be New York, New York. Such arbitration shall be conducted by one (1) arbitrator mutually agreed by the Parties but if such agreement cannot be reached within ten (10) days of the commencement of the arbitration, then an arbitrator appointed by the AAA. The arbitrator shall be a person with relevant experience in the pharmaceutical industry. The arbitration proceeding shall be held as soon as practicable but in any event within ninety (90) days of appointment of the arbitrator. Any award rendered by the arbitrators shall be final and binding upon the Parties. Judgment upon any award rendered may be entered in any court having jurisdiction, or application may be made to such court for a judicial acceptance of the award and an order of enforcement, as the case may be. The arbitrator shall render a formal, binding, non-appealable resolution and award as expeditiously as possible, but not more than forty-five (45) days after the hearing. Each Party shall pay its own expenses of arbitration, and the expenses of the arbitrator shall be equally shared between the Parties unless the arbitrators assess as part of their award all or any part of the arbitration expenses of a Party (including reasonable attorneys’ fees) against the other Party. A Party may make application to the Arbitrator for the award and recovery of its fees and expenses (including reasonable attorneys’ fees). This Section 10.1 shall not prohibit a Party from seeking injunctive relief from a court of competent jurisdiction in the event of a breach or prospective breach of this Agreement by any other Party which would cause irreparable harm to the first Party.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Rights in Bankruptcy.</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11.2.1 All rights and licenses granted under or pursuant to this Agreement by one Party to the other are, for all purposes of Title 11 of the United States Code (“</w:t>
      </w:r>
      <w:r>
        <w:rPr>
          <w:rFonts w:ascii="Arial" w:cs="Arial" w:eastAsia="Arial" w:hAnsi="Arial"/>
          <w:sz w:val="17"/>
          <w:szCs w:val="17"/>
          <w:b w:val="1"/>
          <w:bCs w:val="1"/>
          <w:color w:val="auto"/>
        </w:rPr>
        <w:t>Title 11</w:t>
      </w:r>
      <w:r>
        <w:rPr>
          <w:rFonts w:ascii="Arial" w:cs="Arial" w:eastAsia="Arial" w:hAnsi="Arial"/>
          <w:sz w:val="17"/>
          <w:szCs w:val="17"/>
          <w:color w:val="auto"/>
        </w:rPr>
        <w:t>”), licenses of rights to “intellectual property” as defined in Title 11, and, in the event that a case under Title 11 is commenced by or against either Party (the “</w:t>
      </w:r>
      <w:r>
        <w:rPr>
          <w:rFonts w:ascii="Arial" w:cs="Arial" w:eastAsia="Arial" w:hAnsi="Arial"/>
          <w:sz w:val="17"/>
          <w:szCs w:val="17"/>
          <w:b w:val="1"/>
          <w:bCs w:val="1"/>
          <w:color w:val="auto"/>
        </w:rPr>
        <w:t>Bankrupt Party</w:t>
      </w:r>
      <w:r>
        <w:rPr>
          <w:rFonts w:ascii="Arial" w:cs="Arial" w:eastAsia="Arial" w:hAnsi="Arial"/>
          <w:sz w:val="17"/>
          <w:szCs w:val="17"/>
          <w:color w:val="auto"/>
        </w:rPr>
        <w:t>”), the other Party shall have all of the rights set forth in Section 365(n) of Title 11 to the maximum extent permitted thereby. During the Term, each Party shall create and maintain current copies to the extent practicable of all such intellectual property. Without limiting the Parties’ rights under Section 365(n) of Title 11, if a case under Title 11 is commenced by or against the Bankrupt Party, the other Party shall be entitled to a copy of any and all such intellectual property and all embodiments of such intellectual property, and the same, if not in the possession of such other Party, shall be promptly delivered to it (i) before this Agreement is rejected by or on behalf of the Bankrupt Party, within thirty (30) days after the other Party’s written request, unless the Bankrupt Party, or its trustee or receiver, elects within thirty (30) days to continue to perform all of its obligations under this Agreement, or (ii) after any rejection of this Agreement by or on behalf of the Bankrupt Party, if not previously delivered as provided under clause (i) above. All rights of the Parties under this Section 11.2 and under Section 365(n) of Title 11 are in addition to and not in substitution of any and all other rights, powers, and remedies that each party may have under this Agreement, Title 11, and any other Applicable Laws. The non-Bankrupt Party may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188" w:lineRule="exact"/>
        <w:rPr>
          <w:sz w:val="20"/>
          <w:szCs w:val="20"/>
          <w:color w:val="auto"/>
        </w:rPr>
      </w:pPr>
    </w:p>
    <w:p>
      <w:pPr>
        <w:jc w:val="both"/>
        <w:ind w:firstLine="656"/>
        <w:spacing w:after="0" w:line="276" w:lineRule="auto"/>
        <w:tabs>
          <w:tab w:leader="none" w:pos="136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Parties agree that they intend the foregoing non-Bankrupt Party rights to extend to the maximum extent permitted by law and any provisions of applicable contracts with Third Parties, including for purposes of Title 11, (i) the right of access to any intellectual property (including all embodiments thereof) of the Bankrupt Party or any Third Party with whom the Bankrupt Party contracts to perform an obligation of the Bankrupt Party under this Agreement, and, in the case of the Third Party, which is necessary for the development, Regulatory Approval and manufacture of Products and (ii) the right to contract directly with any Third Party described in (i) in this sentence to complete the contracted work.</w:t>
      </w:r>
    </w:p>
    <w:p>
      <w:pPr>
        <w:spacing w:after="0" w:line="172" w:lineRule="exact"/>
        <w:rPr>
          <w:rFonts w:ascii="Arial" w:cs="Arial" w:eastAsia="Arial" w:hAnsi="Arial"/>
          <w:sz w:val="17"/>
          <w:szCs w:val="17"/>
          <w:color w:val="auto"/>
        </w:rPr>
      </w:pPr>
    </w:p>
    <w:p>
      <w:pPr>
        <w:ind w:firstLine="656"/>
        <w:spacing w:after="0" w:line="277" w:lineRule="auto"/>
        <w:tabs>
          <w:tab w:leader="none" w:pos="12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intellectual property provided pursuant to the provisions of this Section 11.2 shall be subject to the licenses set forth elsewhere in this Agreement and the payment obligations of this Agreement, which shall be deemed to be royalties for purposes of Title 11.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No Set-off.</w:t>
      </w:r>
      <w:r>
        <w:rPr>
          <w:rFonts w:ascii="Arial" w:cs="Arial" w:eastAsia="Arial" w:hAnsi="Arial"/>
          <w:sz w:val="18"/>
          <w:szCs w:val="18"/>
          <w:color w:val="auto"/>
        </w:rPr>
        <w:t xml:space="preserve"> Except as expressly set forth in this Agreement, neither Party may set-off or recoup against a payment owed to the other Party, without the consent of the other Party.</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Waivers; Amendment</w:t>
      </w:r>
      <w:r>
        <w:rPr>
          <w:rFonts w:ascii="Arial" w:cs="Arial" w:eastAsia="Arial" w:hAnsi="Arial"/>
          <w:sz w:val="16"/>
          <w:szCs w:val="16"/>
          <w:color w:val="auto"/>
        </w:rPr>
        <w:t>. The failure of either Party to insist, in any one or more instances, upon the performance of any of the terms, covenants or conditions of this Agreement or to exercise any right hereunder, shall not be construed as a waiver or relinquishment of the future performance of any such term, covenant or conditions or the future exercise of such right, and the obligation of the other Party with respect to such future performance shall continue in full force and effect. No item or provision of this Agreement may be altered, amended or waived except by a writing signed by both Parties.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jc w:val="both"/>
        <w:ind w:firstLine="648"/>
        <w:spacing w:after="0" w:line="297"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any of its rights or obligations under this Agreement, in whole or in part to any person, firm, partnership, or other entity, except to an Affiliate, without the prior written consent of the other Party, which consent shall not be unreasonably withheld, delayed or conditioned. Notwithstanding the foregoing, a Party may assign this Agreement in connection with (i) the transfer of all or substantially all of its assets or its Impede Technology assets (by merger, sale of assets or otherwise) to the transferee thereof or (ii) the sale of its line of business to which this Agreement relates; provided in each instance the transferee agrees to be bound by all obligations of the transferring Party to the other Party hereunder.</w:t>
      </w:r>
    </w:p>
    <w:p>
      <w:pPr>
        <w:spacing w:after="0" w:line="15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Covenant of Further Assurances</w:t>
      </w:r>
      <w:r>
        <w:rPr>
          <w:rFonts w:ascii="Arial" w:cs="Arial" w:eastAsia="Arial" w:hAnsi="Arial"/>
          <w:sz w:val="18"/>
          <w:szCs w:val="18"/>
          <w:color w:val="auto"/>
        </w:rPr>
        <w:t>. MainPointe and Acura covenant and agree that subsequent to the execution and delivery of this Agreement and without any additional consideration, each of MainPointe and Acura shall execute and deliver any further legal instruments and perform such acts which are or may become necessary to effectuate the purposes of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 of the Articles and Sections used in this Agreement are included for convenience only and are not to be used in construing or interpreting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Governing Law</w:t>
      </w:r>
      <w:r>
        <w:rPr>
          <w:rFonts w:ascii="Arial" w:cs="Arial" w:eastAsia="Arial" w:hAnsi="Arial"/>
          <w:sz w:val="18"/>
          <w:szCs w:val="18"/>
          <w:color w:val="auto"/>
        </w:rPr>
        <w:t>. Unless any competent governmental entity or any other applicable laws and regulations require otherwise, this Agreement shall be governed by and construed under the laws of the State of New York as applied to agreements executed and performed solely in New York, without regard to choice-of-law principles thereof.</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deemed separate. Accordingly, the invalidity or unenforceability of any particular provision of this Agreement shall not affect the other provisions, and this Agreement shall be construed in all respects as if such invalid or unenforceable provision were omitted, except in cases where such unenforceable provision is a basic prerequisite of any Party or both Parties to enter into this Agreement. The Parties shall in such an instance use their best efforts to replace the unenforceable provision(s) with valid, legal and enforceable provision(s) which, insofar as practical, implement the purposes of this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Exhibits and Schedules attached hereto constitutes the entire Agreement between MainPointe and Acura with respect to the subject matter addressed herein and this Agreement supersedes all prior understandings and agreements, whether oral or written, between the MainPointe and Acura with respect thereto, except the Prior Confidentiality Agreement to the extent set forth in Section 5.4. Any amendment to any provisions set forth in the Agreement must be in writing, signed by both MainPointe and Acura and specifically state that it is an amendment.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multiple counterparts, each of which shall be deemed to be an original and of equal force and effect, but all of which taken together shall constitute one and the same instrument. A facsimile, digital, PDF, e-mail or other electronic copy hereof shall suffice as an original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Waiver of Rule of Construction</w:t>
      </w:r>
      <w:r>
        <w:rPr>
          <w:rFonts w:ascii="Arial" w:cs="Arial" w:eastAsia="Arial" w:hAnsi="Arial"/>
          <w:sz w:val="18"/>
          <w:szCs w:val="18"/>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MainPointe and Acura have caused this Agreement to be executed by their duly authorized officers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ACURA PHARMACEUTICALS, INC.</w:t>
            </w:r>
          </w:p>
        </w:tc>
        <w:tc>
          <w:tcPr>
            <w:tcW w:w="6040" w:type="dxa"/>
            <w:vAlign w:val="bottom"/>
            <w:gridSpan w:val="2"/>
          </w:tcPr>
          <w:p>
            <w:pPr>
              <w:ind w:left="800"/>
              <w:spacing w:after="0"/>
              <w:rPr>
                <w:sz w:val="20"/>
                <w:szCs w:val="20"/>
                <w:color w:val="auto"/>
              </w:rPr>
            </w:pPr>
            <w:r>
              <w:rPr>
                <w:rFonts w:ascii="Arial" w:cs="Arial" w:eastAsia="Arial" w:hAnsi="Arial"/>
                <w:sz w:val="18"/>
                <w:szCs w:val="18"/>
                <w:b w:val="1"/>
                <w:bCs w:val="1"/>
                <w:color w:val="auto"/>
              </w:rPr>
              <w:t>MAINPOINTE PHARMACEUTICALS, LLC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1820" w:type="dxa"/>
            <w:vAlign w:val="bottom"/>
          </w:tcPr>
          <w:p>
            <w:pPr>
              <w:ind w:left="8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Morris</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1820" w:type="dxa"/>
            <w:vAlign w:val="bottom"/>
          </w:tcPr>
          <w:p>
            <w:pPr>
              <w:ind w:left="800"/>
              <w:spacing w:after="0"/>
              <w:rPr>
                <w:sz w:val="20"/>
                <w:szCs w:val="20"/>
                <w:color w:val="auto"/>
              </w:rPr>
            </w:pPr>
            <w:r>
              <w:rPr>
                <w:rFonts w:ascii="Arial" w:cs="Arial" w:eastAsia="Arial" w:hAnsi="Arial"/>
                <w:sz w:val="18"/>
                <w:szCs w:val="18"/>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E. Morris</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B. Jones</w:t>
            </w:r>
          </w:p>
        </w:tc>
        <w:tc>
          <w:tcPr>
            <w:tcW w:w="1820" w:type="dxa"/>
            <w:vAlign w:val="bottom"/>
          </w:tcPr>
          <w:p>
            <w:pPr>
              <w:ind w:left="800"/>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Secretary/Treasurer</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 March 2017</w:t>
            </w:r>
          </w:p>
        </w:tc>
        <w:tc>
          <w:tcPr>
            <w:tcW w:w="1820" w:type="dxa"/>
            <w:vAlign w:val="bottom"/>
          </w:tcPr>
          <w:p>
            <w:pPr>
              <w:ind w:left="800"/>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3/16/17</w:t>
            </w:r>
          </w:p>
        </w:tc>
      </w:tr>
      <w:tr>
        <w:trPr>
          <w:trHeight w:val="642"/>
        </w:trPr>
        <w:tc>
          <w:tcPr>
            <w:tcW w:w="9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35</w:t>
            </w: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Contracts (General)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CONTRACT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good and valuable consideration, the receipt and adequacy of which are hereby acknowledged, Acura Pharmaceuticals, Inc., with offices at 616 N. North Court, Palatine IL 60067 (“</w:t>
      </w:r>
      <w:r>
        <w:rPr>
          <w:rFonts w:ascii="Arial" w:cs="Arial" w:eastAsia="Arial" w:hAnsi="Arial"/>
          <w:sz w:val="18"/>
          <w:szCs w:val="18"/>
          <w:b w:val="1"/>
          <w:bCs w:val="1"/>
          <w:color w:val="auto"/>
        </w:rPr>
        <w:t>Seller</w:t>
      </w:r>
      <w:r>
        <w:rPr>
          <w:rFonts w:ascii="Arial" w:cs="Arial" w:eastAsia="Arial" w:hAnsi="Arial"/>
          <w:sz w:val="18"/>
          <w:szCs w:val="18"/>
          <w:color w:val="auto"/>
        </w:rPr>
        <w:t>”), does hereby assign, grant, bargain, transfer, sell, convey and deliver to Mainpointe Pharmaceuticals, LLC, a Kentucky limited liability company, with offices at 333 East Main Street, Suite 220, Louisville, Kentucky 40202 (“</w:t>
      </w:r>
      <w:r>
        <w:rPr>
          <w:rFonts w:ascii="Arial" w:cs="Arial" w:eastAsia="Arial" w:hAnsi="Arial"/>
          <w:sz w:val="18"/>
          <w:szCs w:val="18"/>
          <w:b w:val="1"/>
          <w:bCs w:val="1"/>
          <w:color w:val="auto"/>
        </w:rPr>
        <w:t>Buyer</w:t>
      </w:r>
      <w:r>
        <w:rPr>
          <w:rFonts w:ascii="Arial" w:cs="Arial" w:eastAsia="Arial" w:hAnsi="Arial"/>
          <w:sz w:val="18"/>
          <w:szCs w:val="18"/>
          <w:color w:val="auto"/>
        </w:rPr>
        <w:t>”), Seller’s rights under the Transferred Contracts, as such term is defined in the License, Commercialization and Option Agreement by and among Buyer and Seller (the “</w:t>
      </w:r>
      <w:r>
        <w:rPr>
          <w:rFonts w:ascii="Arial" w:cs="Arial" w:eastAsia="Arial" w:hAnsi="Arial"/>
          <w:sz w:val="18"/>
          <w:szCs w:val="18"/>
          <w:b w:val="1"/>
          <w:bCs w:val="1"/>
          <w:color w:val="auto"/>
        </w:rPr>
        <w:t>Agreement</w:t>
      </w:r>
      <w:r>
        <w:rPr>
          <w:rFonts w:ascii="Arial" w:cs="Arial" w:eastAsia="Arial" w:hAnsi="Arial"/>
          <w:sz w:val="18"/>
          <w:szCs w:val="18"/>
          <w:color w:val="auto"/>
        </w:rPr>
        <w:t>”), to the extent set forth in the Agreement. Seller for itself, its successors and assigns hereby covenants and agrees that, at any time and from time to time forthwith upon the written request of Buyer, Seller will do, execute, acknowledge and deliver or cause to be done, executed, acknowledged and delivered, each and all of such further acts, deeds, assignments, transfers, conveyances, powers of attorney and assurances as may reasonably be required by Buyer in order to assign, transfer, set over, convey, assure and confirm unto and vest in Buyer, its successors and assigns, all of the rights of Seller under the Transferred Contracts.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Buyer’s assumption of liabilities under the Transferred Contracts is governed by a separate instrument entitled “Assumption of Liabilities,” and is subject to all of the qualifications and conditions stated in such instrument and in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his Assignment of Contract Rights is being executed and delivered by Seller as of the date set forth below pursuant to the terms of the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this ____ day of March,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Mainpointe Pharmaceuticals,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Assumption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ASSUMPTION OF LIABILITIES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Pursuant to that certain License, Commercialization and Option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by and among by and between Mainpointe Pharmaceuticals, LLC, a Kentucky limited liability company, with offices at 333 East Main Street, Suite 220, Louisville, Kentucky 40202 (“</w:t>
      </w:r>
      <w:r>
        <w:rPr>
          <w:rFonts w:ascii="Arial" w:cs="Arial" w:eastAsia="Arial" w:hAnsi="Arial"/>
          <w:sz w:val="17"/>
          <w:szCs w:val="17"/>
          <w:b w:val="1"/>
          <w:bCs w:val="1"/>
          <w:color w:val="auto"/>
        </w:rPr>
        <w:t>Buyer</w:t>
      </w:r>
      <w:r>
        <w:rPr>
          <w:rFonts w:ascii="Arial" w:cs="Arial" w:eastAsia="Arial" w:hAnsi="Arial"/>
          <w:sz w:val="17"/>
          <w:szCs w:val="17"/>
          <w:color w:val="auto"/>
        </w:rPr>
        <w:t>”), and Acura Pharmaceuticals, Inc., with offices at 616 N. North Court, Palatine IL 60067 (“</w:t>
      </w:r>
      <w:r>
        <w:rPr>
          <w:rFonts w:ascii="Arial" w:cs="Arial" w:eastAsia="Arial" w:hAnsi="Arial"/>
          <w:sz w:val="17"/>
          <w:szCs w:val="17"/>
          <w:b w:val="1"/>
          <w:bCs w:val="1"/>
          <w:color w:val="auto"/>
        </w:rPr>
        <w:t>Seller</w:t>
      </w:r>
      <w:r>
        <w:rPr>
          <w:rFonts w:ascii="Arial" w:cs="Arial" w:eastAsia="Arial" w:hAnsi="Arial"/>
          <w:sz w:val="17"/>
          <w:szCs w:val="17"/>
          <w:color w:val="auto"/>
        </w:rPr>
        <w:t>”), for good and valuable consideration, the receipt and adequacy of which are hereby acknowledged, Buyer hereby does assume the Assumed Liabilities (including all liabilities of Acura under or otherwise relating to the assigned contracts to the extent the event, circumstance, condition, action or inaction giving thereto occurs on or after the date hereof) as such term is defined in the Agreement by and subject to the terms and conditions of the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this ____ day of March,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MAINPOINTE PHARMACEUTICALS,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9" w:name="page170"/>
    <w:bookmarkEnd w:id="169"/>
    <w:p>
      <w:pPr>
        <w:ind w:left="534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Bill of Sale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good and valuable consideration, the receipt and adequacy of which are hereby acknowledged, Acura Pharmaceuticals, Inc., with offices at 616 N. North Court, Palatine IL 60067 (“</w:t>
      </w:r>
      <w:r>
        <w:rPr>
          <w:rFonts w:ascii="Arial" w:cs="Arial" w:eastAsia="Arial" w:hAnsi="Arial"/>
          <w:sz w:val="17"/>
          <w:szCs w:val="17"/>
          <w:b w:val="1"/>
          <w:bCs w:val="1"/>
          <w:color w:val="auto"/>
        </w:rPr>
        <w:t>Seller</w:t>
      </w:r>
      <w:r>
        <w:rPr>
          <w:rFonts w:ascii="Arial" w:cs="Arial" w:eastAsia="Arial" w:hAnsi="Arial"/>
          <w:sz w:val="17"/>
          <w:szCs w:val="17"/>
          <w:color w:val="auto"/>
        </w:rPr>
        <w:t>”), does hereby assign, grant, bargain, transfer, sell, convey and deliver to Mainpointe Pharmaceuticals, LLC, a Kentucky limited liability company, with offices at 333 East Main Street, Suite 220, Louisville, Kentucky 40202 (“</w:t>
      </w:r>
      <w:r>
        <w:rPr>
          <w:rFonts w:ascii="Arial" w:cs="Arial" w:eastAsia="Arial" w:hAnsi="Arial"/>
          <w:sz w:val="17"/>
          <w:szCs w:val="17"/>
          <w:b w:val="1"/>
          <w:bCs w:val="1"/>
          <w:color w:val="auto"/>
        </w:rPr>
        <w:t>Buyer</w:t>
      </w:r>
      <w:r>
        <w:rPr>
          <w:rFonts w:ascii="Arial" w:cs="Arial" w:eastAsia="Arial" w:hAnsi="Arial"/>
          <w:sz w:val="17"/>
          <w:szCs w:val="17"/>
          <w:color w:val="auto"/>
        </w:rPr>
        <w:t>”), all right, title and interest in and to the Acquired Assets as such term is defined in the License, Commercialization and Option Agreement dated as of the date hereof by and among Buyer and Seller (the “</w:t>
      </w:r>
      <w:r>
        <w:rPr>
          <w:rFonts w:ascii="Arial" w:cs="Arial" w:eastAsia="Arial" w:hAnsi="Arial"/>
          <w:sz w:val="17"/>
          <w:szCs w:val="17"/>
          <w:b w:val="1"/>
          <w:bCs w:val="1"/>
          <w:color w:val="auto"/>
        </w:rPr>
        <w:t>Agreement</w:t>
      </w:r>
      <w:r>
        <w:rPr>
          <w:rFonts w:ascii="Arial" w:cs="Arial" w:eastAsia="Arial" w:hAnsi="Arial"/>
          <w:sz w:val="17"/>
          <w:szCs w:val="17"/>
          <w:color w:val="auto"/>
        </w:rPr>
        <w:t>”). Buyer hereby acknowledges that Seller is making no representation or warranty with respect to the assets conveyed hereby except as specifically set forth in the Agreement. Seller for itself, its successors and assigns hereby covenants and agrees that, at any time and from time to time forthwith upon the written request of Buyer, Seller will do, execute, acknowledge and deliver or cause to be done, executed, acknowledged and delivered, such further acts, deeds, assignments, transfers, conveyances, powers of attorney and assurances as may reasonably be required by Buyer in order to assign, transfer, set over, convey, assure and confirm unto and vest in Buyer, its successors and assigns, title to the Acquired Assets sold, conveyed, transferred and delivered by this Bill of Sale.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Bill of Sale is being executed and delivered by Seller as of the date set forth below pursuant to the terms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this ____ day of March,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ACURA PHARMACEUTICALS, INC.</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Patent Summary</w:t>
      </w:r>
    </w:p>
    <w:p>
      <w:pPr>
        <w:spacing w:after="0" w:line="200" w:lineRule="exact"/>
        <w:rPr>
          <w:sz w:val="20"/>
          <w:szCs w:val="20"/>
          <w:color w:val="auto"/>
        </w:rPr>
      </w:pPr>
    </w:p>
    <w:p>
      <w:pPr>
        <w:spacing w:after="0" w:line="2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jc w:val="center"/>
              <w:ind w:right="1960"/>
              <w:spacing w:after="0"/>
              <w:rPr>
                <w:sz w:val="20"/>
                <w:szCs w:val="20"/>
                <w:color w:val="auto"/>
              </w:rPr>
            </w:pPr>
            <w:r>
              <w:rPr>
                <w:rFonts w:ascii="Arial" w:cs="Arial" w:eastAsia="Arial" w:hAnsi="Arial"/>
                <w:sz w:val="18"/>
                <w:szCs w:val="18"/>
                <w:color w:val="auto"/>
                <w:w w:val="98"/>
              </w:rPr>
              <w:t>ACURA PHARMACEUTICALS, INC.</w:t>
            </w: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2"/>
          </w:tcPr>
          <w:p>
            <w:pPr>
              <w:jc w:val="center"/>
              <w:ind w:right="1980"/>
              <w:spacing w:after="0"/>
              <w:rPr>
                <w:sz w:val="20"/>
                <w:szCs w:val="20"/>
                <w:color w:val="auto"/>
              </w:rPr>
            </w:pPr>
            <w:r>
              <w:rPr>
                <w:rFonts w:ascii="Arial" w:cs="Arial" w:eastAsia="Arial" w:hAnsi="Arial"/>
                <w:sz w:val="18"/>
                <w:szCs w:val="18"/>
                <w:color w:val="auto"/>
                <w:w w:val="89"/>
              </w:rPr>
              <w:t>Patent Summary as of 2/8/2017</w:t>
            </w:r>
          </w:p>
        </w:tc>
      </w:tr>
      <w:tr>
        <w:trPr>
          <w:trHeight w:val="432"/>
        </w:trPr>
        <w:tc>
          <w:tcPr>
            <w:tcW w:w="362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ISSUED OR NOTICE OF ALLOWANCE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Patent</w:t>
            </w:r>
          </w:p>
        </w:tc>
        <w:tc>
          <w:tcPr>
            <w:tcW w:w="10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File/Issue/Expire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2"/>
          </w:tcPr>
          <w:p>
            <w:pPr>
              <w:ind w:left="2080"/>
              <w:spacing w:after="0"/>
              <w:rPr>
                <w:sz w:val="20"/>
                <w:szCs w:val="20"/>
                <w:color w:val="auto"/>
              </w:rPr>
            </w:pPr>
            <w:r>
              <w:rPr>
                <w:rFonts w:ascii="Arial" w:cs="Arial" w:eastAsia="Arial" w:hAnsi="Arial"/>
                <w:sz w:val="18"/>
                <w:szCs w:val="18"/>
                <w:b w:val="1"/>
                <w:bCs w:val="1"/>
                <w:color w:val="auto"/>
              </w:rPr>
              <w:t>Primary Claim(s)</w:t>
            </w:r>
          </w:p>
        </w:tc>
      </w:tr>
      <w:tr>
        <w:trPr>
          <w:trHeight w:val="202"/>
        </w:trPr>
        <w:tc>
          <w:tcPr>
            <w:tcW w:w="2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5014-00</w:t>
            </w: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 8,901,113</w:t>
            </w:r>
          </w:p>
        </w:tc>
        <w:tc>
          <w:tcPr>
            <w:tcW w:w="100" w:type="dxa"/>
            <w:vAlign w:val="bottom"/>
          </w:tcPr>
          <w:p>
            <w:pPr>
              <w:spacing w:after="0"/>
              <w:rPr>
                <w:sz w:val="17"/>
                <w:szCs w:val="17"/>
                <w:color w:val="auto"/>
              </w:rPr>
            </w:pPr>
          </w:p>
        </w:tc>
        <w:tc>
          <w:tcPr>
            <w:tcW w:w="13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F-9/29/2010</w:t>
            </w:r>
          </w:p>
        </w:tc>
        <w:tc>
          <w:tcPr>
            <w:tcW w:w="120" w:type="dxa"/>
            <w:vAlign w:val="bottom"/>
          </w:tcPr>
          <w:p>
            <w:pPr>
              <w:spacing w:after="0"/>
              <w:rPr>
                <w:sz w:val="17"/>
                <w:szCs w:val="17"/>
                <w:color w:val="auto"/>
              </w:rPr>
            </w:pPr>
          </w:p>
        </w:tc>
        <w:tc>
          <w:tcPr>
            <w:tcW w:w="578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Drug+PEO+HPC+Disintegrant (incl ethylcellulose)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I-12/2/2014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E-2/27/2032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gridSpan w:val="3"/>
          </w:tcPr>
          <w:p>
            <w:pPr>
              <w:spacing w:after="0"/>
              <w:rPr>
                <w:sz w:val="20"/>
                <w:szCs w:val="20"/>
                <w:color w:val="auto"/>
              </w:rPr>
            </w:pPr>
            <w:r>
              <w:rPr>
                <w:rFonts w:ascii="Arial" w:cs="Arial" w:eastAsia="Arial" w:hAnsi="Arial"/>
                <w:sz w:val="18"/>
                <w:szCs w:val="18"/>
                <w:color w:val="auto"/>
              </w:rPr>
              <w:t>5014-01US</w:t>
            </w:r>
          </w:p>
        </w:tc>
        <w:tc>
          <w:tcPr>
            <w:tcW w:w="1220" w:type="dxa"/>
            <w:vAlign w:val="bottom"/>
          </w:tcPr>
          <w:p>
            <w:pPr>
              <w:spacing w:after="0"/>
              <w:rPr>
                <w:sz w:val="20"/>
                <w:szCs w:val="20"/>
                <w:color w:val="auto"/>
              </w:rPr>
            </w:pPr>
            <w:r>
              <w:rPr>
                <w:rFonts w:ascii="Arial" w:cs="Arial" w:eastAsia="Arial" w:hAnsi="Arial"/>
                <w:sz w:val="18"/>
                <w:szCs w:val="18"/>
                <w:color w:val="auto"/>
              </w:rPr>
              <w:t>14/552,067</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F-11/24/2014</w:t>
            </w:r>
          </w:p>
        </w:tc>
        <w:tc>
          <w:tcPr>
            <w:tcW w:w="5900" w:type="dxa"/>
            <w:vAlign w:val="bottom"/>
            <w:gridSpan w:val="5"/>
          </w:tcPr>
          <w:p>
            <w:pPr>
              <w:ind w:left="120"/>
              <w:spacing w:after="0"/>
              <w:rPr>
                <w:sz w:val="20"/>
                <w:szCs w:val="20"/>
                <w:color w:val="auto"/>
              </w:rPr>
            </w:pPr>
            <w:r>
              <w:rPr>
                <w:rFonts w:ascii="Arial" w:cs="Arial" w:eastAsia="Arial" w:hAnsi="Arial"/>
                <w:sz w:val="18"/>
                <w:szCs w:val="18"/>
                <w:color w:val="auto"/>
              </w:rPr>
              <w:t>Drug+PEO+HPC+Disintegrant (incl ethylcellulose)</w:t>
            </w:r>
          </w:p>
        </w:tc>
      </w:tr>
      <w:tr>
        <w:trPr>
          <w:trHeight w:val="634"/>
        </w:trPr>
        <w:tc>
          <w:tcPr>
            <w:tcW w:w="940" w:type="dxa"/>
            <w:vAlign w:val="bottom"/>
            <w:gridSpan w:val="3"/>
          </w:tcPr>
          <w:p>
            <w:pPr>
              <w:spacing w:after="0"/>
              <w:rPr>
                <w:sz w:val="20"/>
                <w:szCs w:val="20"/>
                <w:color w:val="auto"/>
              </w:rPr>
            </w:pPr>
            <w:r>
              <w:rPr>
                <w:rFonts w:ascii="Arial" w:cs="Arial" w:eastAsia="Arial" w:hAnsi="Arial"/>
                <w:sz w:val="18"/>
                <w:szCs w:val="18"/>
                <w:color w:val="auto"/>
              </w:rPr>
              <w:t>5014-AU</w:t>
            </w:r>
          </w:p>
        </w:tc>
        <w:tc>
          <w:tcPr>
            <w:tcW w:w="1220" w:type="dxa"/>
            <w:vAlign w:val="bottom"/>
          </w:tcPr>
          <w:p>
            <w:pPr>
              <w:spacing w:after="0"/>
              <w:rPr>
                <w:sz w:val="20"/>
                <w:szCs w:val="20"/>
                <w:color w:val="auto"/>
              </w:rPr>
            </w:pPr>
            <w:r>
              <w:rPr>
                <w:rFonts w:ascii="Arial" w:cs="Arial" w:eastAsia="Arial" w:hAnsi="Arial"/>
                <w:sz w:val="18"/>
                <w:szCs w:val="18"/>
                <w:color w:val="auto"/>
                <w:w w:val="92"/>
              </w:rPr>
              <w:t>AU 2010300641</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F-9/29/2010</w:t>
            </w:r>
          </w:p>
        </w:tc>
        <w:tc>
          <w:tcPr>
            <w:tcW w:w="5900" w:type="dxa"/>
            <w:vAlign w:val="bottom"/>
            <w:gridSpan w:val="5"/>
          </w:tcPr>
          <w:p>
            <w:pPr>
              <w:ind w:left="120"/>
              <w:spacing w:after="0"/>
              <w:rPr>
                <w:sz w:val="20"/>
                <w:szCs w:val="20"/>
                <w:color w:val="auto"/>
              </w:rPr>
            </w:pPr>
            <w:r>
              <w:rPr>
                <w:rFonts w:ascii="Arial" w:cs="Arial" w:eastAsia="Arial" w:hAnsi="Arial"/>
                <w:sz w:val="18"/>
                <w:szCs w:val="18"/>
                <w:color w:val="auto"/>
              </w:rPr>
              <w:t>Drug+PEO+HPC+Disintegrant (incl ethylcellulose)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I-6/3/2016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E-9/29/2030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5014-CA</w:t>
            </w:r>
          </w:p>
        </w:tc>
        <w:tc>
          <w:tcPr>
            <w:tcW w:w="1220" w:type="dxa"/>
            <w:vAlign w:val="bottom"/>
          </w:tcPr>
          <w:p>
            <w:pPr>
              <w:spacing w:after="0"/>
              <w:rPr>
                <w:sz w:val="20"/>
                <w:szCs w:val="20"/>
                <w:color w:val="auto"/>
              </w:rPr>
            </w:pPr>
            <w:r>
              <w:rPr>
                <w:rFonts w:ascii="Arial" w:cs="Arial" w:eastAsia="Arial" w:hAnsi="Arial"/>
                <w:sz w:val="18"/>
                <w:szCs w:val="18"/>
                <w:color w:val="auto"/>
              </w:rPr>
              <w:t>CA 2,775,890</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F-9/29/2010</w:t>
            </w:r>
          </w:p>
        </w:tc>
        <w:tc>
          <w:tcPr>
            <w:tcW w:w="5900" w:type="dxa"/>
            <w:vAlign w:val="bottom"/>
            <w:gridSpan w:val="5"/>
          </w:tcPr>
          <w:p>
            <w:pPr>
              <w:ind w:left="120"/>
              <w:spacing w:after="0"/>
              <w:rPr>
                <w:sz w:val="20"/>
                <w:szCs w:val="20"/>
                <w:color w:val="auto"/>
              </w:rPr>
            </w:pPr>
            <w:r>
              <w:rPr>
                <w:rFonts w:ascii="Arial" w:cs="Arial" w:eastAsia="Arial" w:hAnsi="Arial"/>
                <w:sz w:val="18"/>
                <w:szCs w:val="18"/>
                <w:color w:val="auto"/>
              </w:rPr>
              <w:t>Drug+PEO+HPC+Disintegrant (incl ethylcellulose)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I-6/21/2016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E-9/29/2030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5014-EP</w:t>
            </w:r>
          </w:p>
        </w:tc>
        <w:tc>
          <w:tcPr>
            <w:tcW w:w="1220" w:type="dxa"/>
            <w:vAlign w:val="bottom"/>
          </w:tcPr>
          <w:p>
            <w:pPr>
              <w:spacing w:after="0"/>
              <w:rPr>
                <w:sz w:val="20"/>
                <w:szCs w:val="20"/>
                <w:color w:val="auto"/>
              </w:rPr>
            </w:pPr>
            <w:r>
              <w:rPr>
                <w:rFonts w:ascii="Arial" w:cs="Arial" w:eastAsia="Arial" w:hAnsi="Arial"/>
                <w:sz w:val="18"/>
                <w:szCs w:val="18"/>
                <w:color w:val="auto"/>
              </w:rPr>
              <w:t>EP 2,488,029</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F-9/29/2010</w:t>
            </w:r>
          </w:p>
        </w:tc>
        <w:tc>
          <w:tcPr>
            <w:tcW w:w="5900" w:type="dxa"/>
            <w:vAlign w:val="bottom"/>
            <w:gridSpan w:val="5"/>
          </w:tcPr>
          <w:p>
            <w:pPr>
              <w:ind w:left="120"/>
              <w:spacing w:after="0"/>
              <w:rPr>
                <w:sz w:val="20"/>
                <w:szCs w:val="20"/>
                <w:color w:val="auto"/>
              </w:rPr>
            </w:pPr>
            <w:r>
              <w:rPr>
                <w:rFonts w:ascii="Arial" w:cs="Arial" w:eastAsia="Arial" w:hAnsi="Arial"/>
                <w:sz w:val="18"/>
                <w:szCs w:val="18"/>
                <w:color w:val="auto"/>
              </w:rPr>
              <w:t>Drug+PEO+HPC+Disintegrant (incl ethylcellulose)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I-3/23/2016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E-9/29/2030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940" w:type="dxa"/>
            <w:vAlign w:val="bottom"/>
            <w:gridSpan w:val="3"/>
          </w:tcPr>
          <w:p>
            <w:pPr>
              <w:spacing w:after="0"/>
              <w:rPr>
                <w:sz w:val="20"/>
                <w:szCs w:val="20"/>
                <w:color w:val="auto"/>
              </w:rPr>
            </w:pPr>
            <w:r>
              <w:rPr>
                <w:rFonts w:ascii="Arial" w:cs="Arial" w:eastAsia="Arial" w:hAnsi="Arial"/>
                <w:sz w:val="18"/>
                <w:szCs w:val="18"/>
                <w:color w:val="auto"/>
              </w:rPr>
              <w:t>5014-HK</w:t>
            </w:r>
          </w:p>
        </w:tc>
        <w:tc>
          <w:tcPr>
            <w:tcW w:w="1220" w:type="dxa"/>
            <w:vAlign w:val="bottom"/>
          </w:tcPr>
          <w:p>
            <w:pPr>
              <w:spacing w:after="0"/>
              <w:rPr>
                <w:sz w:val="20"/>
                <w:szCs w:val="20"/>
                <w:color w:val="auto"/>
              </w:rPr>
            </w:pPr>
            <w:r>
              <w:rPr>
                <w:rFonts w:ascii="Arial" w:cs="Arial" w:eastAsia="Arial" w:hAnsi="Arial"/>
                <w:sz w:val="18"/>
                <w:szCs w:val="18"/>
                <w:color w:val="auto"/>
              </w:rPr>
              <w:t>13102020.5</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F-9/29/2010</w:t>
            </w:r>
          </w:p>
        </w:tc>
        <w:tc>
          <w:tcPr>
            <w:tcW w:w="5900" w:type="dxa"/>
            <w:vAlign w:val="bottom"/>
            <w:gridSpan w:val="5"/>
          </w:tcPr>
          <w:p>
            <w:pPr>
              <w:ind w:left="120"/>
              <w:spacing w:after="0"/>
              <w:rPr>
                <w:sz w:val="20"/>
                <w:szCs w:val="20"/>
                <w:color w:val="auto"/>
              </w:rPr>
            </w:pPr>
            <w:r>
              <w:rPr>
                <w:rFonts w:ascii="Arial" w:cs="Arial" w:eastAsia="Arial" w:hAnsi="Arial"/>
                <w:sz w:val="18"/>
                <w:szCs w:val="18"/>
                <w:color w:val="auto"/>
              </w:rPr>
              <w:t>Drug+PEO+HPC+Disintegrant (incl ethylcellulose)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I-10/14/2016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E-9/29/2030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5014-IL</w:t>
            </w:r>
          </w:p>
        </w:tc>
        <w:tc>
          <w:tcPr>
            <w:tcW w:w="1220" w:type="dxa"/>
            <w:vAlign w:val="bottom"/>
          </w:tcPr>
          <w:p>
            <w:pPr>
              <w:spacing w:after="0"/>
              <w:rPr>
                <w:sz w:val="20"/>
                <w:szCs w:val="20"/>
                <w:color w:val="auto"/>
              </w:rPr>
            </w:pPr>
            <w:r>
              <w:rPr>
                <w:rFonts w:ascii="Arial" w:cs="Arial" w:eastAsia="Arial" w:hAnsi="Arial"/>
                <w:sz w:val="18"/>
                <w:szCs w:val="18"/>
                <w:color w:val="auto"/>
              </w:rPr>
              <w:t>IL 218533</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F-9/29/2010</w:t>
            </w:r>
          </w:p>
        </w:tc>
        <w:tc>
          <w:tcPr>
            <w:tcW w:w="5900" w:type="dxa"/>
            <w:vAlign w:val="bottom"/>
            <w:gridSpan w:val="5"/>
          </w:tcPr>
          <w:p>
            <w:pPr>
              <w:ind w:left="120"/>
              <w:spacing w:after="0"/>
              <w:rPr>
                <w:sz w:val="20"/>
                <w:szCs w:val="20"/>
                <w:color w:val="auto"/>
              </w:rPr>
            </w:pPr>
            <w:r>
              <w:rPr>
                <w:rFonts w:ascii="Arial" w:cs="Arial" w:eastAsia="Arial" w:hAnsi="Arial"/>
                <w:sz w:val="18"/>
                <w:szCs w:val="18"/>
                <w:color w:val="auto"/>
              </w:rPr>
              <w:t>Drug+PEO+HPC+Disintegrant (incl ethylcellulose)</w:t>
            </w: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E-9/29/2030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1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US APPLICATIONS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w w:val="94"/>
              </w:rPr>
              <w:t>App Number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480"/>
              <w:spacing w:after="0"/>
              <w:rPr>
                <w:sz w:val="20"/>
                <w:szCs w:val="20"/>
                <w:color w:val="auto"/>
              </w:rPr>
            </w:pPr>
            <w:r>
              <w:rPr>
                <w:rFonts w:ascii="Arial" w:cs="Arial" w:eastAsia="Arial" w:hAnsi="Arial"/>
                <w:sz w:val="18"/>
                <w:szCs w:val="18"/>
                <w:b w:val="1"/>
                <w:bCs w:val="1"/>
                <w:color w:val="auto"/>
              </w:rPr>
              <w:t>Filed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2"/>
          </w:tcPr>
          <w:p>
            <w:pPr>
              <w:ind w:left="2120"/>
              <w:spacing w:after="0"/>
              <w:rPr>
                <w:sz w:val="20"/>
                <w:szCs w:val="20"/>
                <w:color w:val="auto"/>
              </w:rPr>
            </w:pPr>
            <w:r>
              <w:rPr>
                <w:rFonts w:ascii="Arial" w:cs="Arial" w:eastAsia="Arial" w:hAnsi="Arial"/>
                <w:sz w:val="18"/>
                <w:szCs w:val="18"/>
                <w:b w:val="1"/>
                <w:bCs w:val="1"/>
                <w:color w:val="auto"/>
              </w:rPr>
              <w:t>Primary Claim(s)</w:t>
            </w:r>
          </w:p>
        </w:tc>
      </w:tr>
      <w:tr>
        <w:trPr>
          <w:trHeight w:val="202"/>
        </w:trPr>
        <w:tc>
          <w:tcPr>
            <w:tcW w:w="2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5014-PR</w:t>
            </w: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61/247,225</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F-9/30/2009</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Drug+PEO+HPC+Disintegrant (incl ethylcellulose)</w:t>
            </w:r>
          </w:p>
        </w:tc>
        <w:tc>
          <w:tcPr>
            <w:tcW w:w="20" w:type="dxa"/>
            <w:vAlign w:val="bottom"/>
          </w:tcPr>
          <w:p>
            <w:pPr>
              <w:spacing w:after="0"/>
              <w:rPr>
                <w:sz w:val="17"/>
                <w:szCs w:val="17"/>
                <w:color w:val="auto"/>
              </w:rPr>
            </w:pP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5014-PR2</w:t>
            </w:r>
          </w:p>
        </w:tc>
        <w:tc>
          <w:tcPr>
            <w:tcW w:w="1220" w:type="dxa"/>
            <w:vAlign w:val="bottom"/>
          </w:tcPr>
          <w:p>
            <w:pPr>
              <w:spacing w:after="0"/>
              <w:rPr>
                <w:sz w:val="20"/>
                <w:szCs w:val="20"/>
                <w:color w:val="auto"/>
              </w:rPr>
            </w:pPr>
            <w:r>
              <w:rPr>
                <w:rFonts w:ascii="Arial" w:cs="Arial" w:eastAsia="Arial" w:hAnsi="Arial"/>
                <w:sz w:val="18"/>
                <w:szCs w:val="18"/>
                <w:color w:val="auto"/>
              </w:rPr>
              <w:t>61/304,108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F-2/12/2010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Drug+PEO+HPC+Disintegrant (incl ethylcellulose)</w:t>
            </w: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5014-02US</w:t>
            </w:r>
          </w:p>
        </w:tc>
        <w:tc>
          <w:tcPr>
            <w:tcW w:w="1220" w:type="dxa"/>
            <w:vAlign w:val="bottom"/>
          </w:tcPr>
          <w:p>
            <w:pPr>
              <w:spacing w:after="0"/>
              <w:rPr>
                <w:sz w:val="20"/>
                <w:szCs w:val="20"/>
                <w:color w:val="auto"/>
              </w:rPr>
            </w:pPr>
            <w:r>
              <w:rPr>
                <w:rFonts w:ascii="Arial" w:cs="Arial" w:eastAsia="Arial" w:hAnsi="Arial"/>
                <w:sz w:val="18"/>
                <w:szCs w:val="18"/>
                <w:color w:val="auto"/>
              </w:rPr>
              <w:t>15/426,296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F-2/7/2017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Drug+PEO+HPC+Disintegrant (incl ethylcellulose)</w:t>
            </w: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5019-PR</w:t>
            </w:r>
          </w:p>
        </w:tc>
        <w:tc>
          <w:tcPr>
            <w:tcW w:w="1220" w:type="dxa"/>
            <w:vAlign w:val="bottom"/>
          </w:tcPr>
          <w:p>
            <w:pPr>
              <w:spacing w:after="0"/>
              <w:rPr>
                <w:sz w:val="20"/>
                <w:szCs w:val="20"/>
                <w:color w:val="auto"/>
              </w:rPr>
            </w:pPr>
            <w:r>
              <w:rPr>
                <w:rFonts w:ascii="Arial" w:cs="Arial" w:eastAsia="Arial" w:hAnsi="Arial"/>
                <w:sz w:val="18"/>
                <w:szCs w:val="18"/>
                <w:color w:val="auto"/>
              </w:rPr>
              <w:t>61/842,424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F-7/2/2014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Meth precursor+gel polymer+emulsifier+disintegrant+surfactant</w:t>
            </w: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5019-US</w:t>
            </w:r>
          </w:p>
        </w:tc>
        <w:tc>
          <w:tcPr>
            <w:tcW w:w="1220" w:type="dxa"/>
            <w:vAlign w:val="bottom"/>
          </w:tcPr>
          <w:p>
            <w:pPr>
              <w:spacing w:after="0"/>
              <w:rPr>
                <w:sz w:val="20"/>
                <w:szCs w:val="20"/>
                <w:color w:val="auto"/>
              </w:rPr>
            </w:pPr>
            <w:r>
              <w:rPr>
                <w:rFonts w:ascii="Arial" w:cs="Arial" w:eastAsia="Arial" w:hAnsi="Arial"/>
                <w:sz w:val="18"/>
                <w:szCs w:val="18"/>
                <w:color w:val="auto"/>
              </w:rPr>
              <w:t>14/322,596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F-7/2/2014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w w:val="95"/>
              </w:rPr>
              <w:t>Meth precursor+gel polymer+ glycerol monostearate+disintegrant+sodium</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lauryl sulfate</w:t>
            </w:r>
          </w:p>
        </w:tc>
      </w:tr>
      <w:tr>
        <w:trPr>
          <w:trHeight w:val="216"/>
        </w:trPr>
        <w:tc>
          <w:tcPr>
            <w:tcW w:w="940" w:type="dxa"/>
            <w:vAlign w:val="bottom"/>
            <w:gridSpan w:val="3"/>
          </w:tcPr>
          <w:p>
            <w:pPr>
              <w:spacing w:after="0"/>
              <w:rPr>
                <w:sz w:val="20"/>
                <w:szCs w:val="20"/>
                <w:color w:val="auto"/>
              </w:rPr>
            </w:pPr>
            <w:r>
              <w:rPr>
                <w:rFonts w:ascii="Arial" w:cs="Arial" w:eastAsia="Arial" w:hAnsi="Arial"/>
                <w:sz w:val="18"/>
                <w:szCs w:val="18"/>
                <w:color w:val="auto"/>
              </w:rPr>
              <w:t>5020-PR</w:t>
            </w:r>
          </w:p>
        </w:tc>
        <w:tc>
          <w:tcPr>
            <w:tcW w:w="1220" w:type="dxa"/>
            <w:vAlign w:val="bottom"/>
          </w:tcPr>
          <w:p>
            <w:pPr>
              <w:spacing w:after="0"/>
              <w:rPr>
                <w:sz w:val="20"/>
                <w:szCs w:val="20"/>
                <w:color w:val="auto"/>
              </w:rPr>
            </w:pPr>
            <w:r>
              <w:rPr>
                <w:rFonts w:ascii="Arial" w:cs="Arial" w:eastAsia="Arial" w:hAnsi="Arial"/>
                <w:sz w:val="18"/>
                <w:szCs w:val="18"/>
                <w:color w:val="auto"/>
              </w:rPr>
              <w:t>62/009,600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F-6/9/2014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PSE+Triglyceride+HPC+PEO+Disintegrant</w:t>
            </w:r>
          </w:p>
        </w:tc>
      </w:tr>
      <w:tr>
        <w:trPr>
          <w:trHeight w:val="230"/>
        </w:trPr>
        <w:tc>
          <w:tcPr>
            <w:tcW w:w="940" w:type="dxa"/>
            <w:vAlign w:val="bottom"/>
            <w:gridSpan w:val="3"/>
          </w:tcPr>
          <w:p>
            <w:pPr>
              <w:spacing w:after="0"/>
              <w:rPr>
                <w:sz w:val="20"/>
                <w:szCs w:val="20"/>
                <w:color w:val="auto"/>
              </w:rPr>
            </w:pPr>
            <w:r>
              <w:rPr>
                <w:rFonts w:ascii="Arial" w:cs="Arial" w:eastAsia="Arial" w:hAnsi="Arial"/>
                <w:sz w:val="18"/>
                <w:szCs w:val="18"/>
                <w:color w:val="auto"/>
              </w:rPr>
              <w:t>5020-US</w:t>
            </w:r>
          </w:p>
        </w:tc>
        <w:tc>
          <w:tcPr>
            <w:tcW w:w="1220" w:type="dxa"/>
            <w:vAlign w:val="bottom"/>
          </w:tcPr>
          <w:p>
            <w:pPr>
              <w:spacing w:after="0"/>
              <w:rPr>
                <w:sz w:val="20"/>
                <w:szCs w:val="20"/>
                <w:color w:val="auto"/>
              </w:rPr>
            </w:pPr>
            <w:r>
              <w:rPr>
                <w:rFonts w:ascii="Arial" w:cs="Arial" w:eastAsia="Arial" w:hAnsi="Arial"/>
                <w:sz w:val="18"/>
                <w:szCs w:val="18"/>
                <w:color w:val="auto"/>
              </w:rPr>
              <w:t>14/734,364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F-6/9/2015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PSE+Triglyceride+HPC+PEO+Disintegrant</w:t>
            </w:r>
          </w:p>
        </w:tc>
      </w:tr>
      <w:tr>
        <w:trPr>
          <w:trHeight w:val="64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80" w:type="dxa"/>
            <w:vAlign w:val="bottom"/>
            <w:gridSpan w:val="4"/>
          </w:tcPr>
          <w:p>
            <w:pPr>
              <w:jc w:val="center"/>
              <w:ind w:right="1570"/>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Status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-130175</wp:posOffset>
            </wp:positionV>
            <wp:extent cx="11322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right="260"/>
        <w:spacing w:after="0" w:line="342" w:lineRule="auto"/>
        <w:rPr>
          <w:sz w:val="20"/>
          <w:szCs w:val="20"/>
          <w:color w:val="auto"/>
        </w:rPr>
      </w:pPr>
      <w:r>
        <w:rPr>
          <w:rFonts w:ascii="Arial" w:cs="Arial" w:eastAsia="Arial" w:hAnsi="Arial"/>
          <w:sz w:val="16"/>
          <w:szCs w:val="16"/>
          <w:color w:val="auto"/>
        </w:rPr>
        <w:t>Allowed – Re-exam requested to fix typo.</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and validated in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Germany (60 2010 031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496.0), Spain, France,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UK, Italy,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Status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1493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Published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Published</w:t>
      </w:r>
    </w:p>
    <w:p>
      <w:pPr>
        <w:sectPr>
          <w:pgSz w:w="11900" w:h="16838" w:orient="portrait"/>
          <w:cols w:equalWidth="0" w:num="2">
            <w:col w:w="9520" w:space="100"/>
            <w:col w:w="1800"/>
          </w:cols>
          <w:pgMar w:left="240" w:top="908"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2"/>
        </w:trPr>
        <w:tc>
          <w:tcPr>
            <w:tcW w:w="220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WO APPLICATIONS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1"/>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App 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b w:val="1"/>
                <w:bCs w:val="1"/>
                <w:color w:val="auto"/>
              </w:rPr>
              <w:t>Filed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2100"/>
              <w:spacing w:after="0"/>
              <w:rPr>
                <w:sz w:val="20"/>
                <w:szCs w:val="20"/>
                <w:color w:val="auto"/>
              </w:rPr>
            </w:pPr>
            <w:r>
              <w:rPr>
                <w:rFonts w:ascii="Arial" w:cs="Arial" w:eastAsia="Arial" w:hAnsi="Arial"/>
                <w:sz w:val="18"/>
                <w:szCs w:val="18"/>
                <w:b w:val="1"/>
                <w:bCs w:val="1"/>
                <w:color w:val="auto"/>
              </w:rPr>
              <w:t>Primary Claim(s)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ind w:left="64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7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5014-WO</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top w:val="single" w:sz="8" w:color="auto"/>
            </w:tcBorders>
            <w:gridSpan w:val="5"/>
          </w:tcPr>
          <w:p>
            <w:pPr>
              <w:jc w:val="right"/>
              <w:spacing w:after="0" w:line="201" w:lineRule="exact"/>
              <w:rPr>
                <w:sz w:val="20"/>
                <w:szCs w:val="20"/>
                <w:color w:val="auto"/>
              </w:rPr>
            </w:pPr>
            <w:r>
              <w:rPr>
                <w:rFonts w:ascii="Arial" w:cs="Arial" w:eastAsia="Arial" w:hAnsi="Arial"/>
                <w:sz w:val="18"/>
                <w:szCs w:val="18"/>
                <w:color w:val="auto"/>
                <w:w w:val="89"/>
              </w:rPr>
              <w:t>PCT/US2010/050723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F-9/29/2010</w:t>
            </w: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Drug+PEO+HPC+Disintegrant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Expired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E-3/30/2012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w w:val="93"/>
              </w:rPr>
              <w:t>5019-WO</w:t>
            </w:r>
          </w:p>
        </w:tc>
        <w:tc>
          <w:tcPr>
            <w:tcW w:w="80" w:type="dxa"/>
            <w:vAlign w:val="bottom"/>
          </w:tcPr>
          <w:p>
            <w:pPr>
              <w:spacing w:after="0"/>
              <w:rPr>
                <w:sz w:val="18"/>
                <w:szCs w:val="18"/>
                <w:color w:val="auto"/>
              </w:rPr>
            </w:pPr>
          </w:p>
        </w:tc>
        <w:tc>
          <w:tcPr>
            <w:tcW w:w="1580" w:type="dxa"/>
            <w:vAlign w:val="bottom"/>
            <w:gridSpan w:val="6"/>
          </w:tcPr>
          <w:p>
            <w:pPr>
              <w:jc w:val="right"/>
              <w:spacing w:after="0"/>
              <w:rPr>
                <w:sz w:val="20"/>
                <w:szCs w:val="20"/>
                <w:color w:val="auto"/>
              </w:rPr>
            </w:pPr>
            <w:r>
              <w:rPr>
                <w:rFonts w:ascii="Arial" w:cs="Arial" w:eastAsia="Arial" w:hAnsi="Arial"/>
                <w:sz w:val="18"/>
                <w:szCs w:val="18"/>
                <w:color w:val="auto"/>
                <w:w w:val="91"/>
              </w:rPr>
              <w:t>PCT/US2014/045256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F-7/2/2014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Meth precursor+gel polymer+emulsifier+disintegrant+surfactant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Expired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E-2/3/2016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780" w:type="dxa"/>
            <w:vAlign w:val="bottom"/>
            <w:gridSpan w:val="14"/>
          </w:tcPr>
          <w:p>
            <w:pPr>
              <w:spacing w:after="0"/>
              <w:rPr>
                <w:sz w:val="20"/>
                <w:szCs w:val="20"/>
                <w:color w:val="auto"/>
              </w:rPr>
            </w:pPr>
            <w:r>
              <w:rPr>
                <w:rFonts w:ascii="Arial" w:cs="Arial" w:eastAsia="Arial" w:hAnsi="Arial"/>
                <w:sz w:val="18"/>
                <w:szCs w:val="18"/>
                <w:color w:val="auto"/>
              </w:rPr>
              <w:t>5020-WO PCT/US2015/034786 F-6/9/2015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PSE+Triglyceride+HPC+PEO+Disintegrant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Expired</w:t>
            </w:r>
          </w:p>
        </w:tc>
      </w:tr>
      <w:tr>
        <w:trPr>
          <w:trHeight w:val="414"/>
        </w:trPr>
        <w:tc>
          <w:tcPr>
            <w:tcW w:w="220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AU APPLICATIONS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1"/>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App 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b w:val="1"/>
                <w:bCs w:val="1"/>
                <w:color w:val="auto"/>
              </w:rPr>
              <w:t>Filed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2060"/>
              <w:spacing w:after="0"/>
              <w:rPr>
                <w:sz w:val="20"/>
                <w:szCs w:val="20"/>
                <w:color w:val="auto"/>
              </w:rPr>
            </w:pPr>
            <w:r>
              <w:rPr>
                <w:rFonts w:ascii="Arial" w:cs="Arial" w:eastAsia="Arial" w:hAnsi="Arial"/>
                <w:sz w:val="18"/>
                <w:szCs w:val="18"/>
                <w:b w:val="1"/>
                <w:bCs w:val="1"/>
                <w:color w:val="auto"/>
              </w:rPr>
              <w:t>Primary Claim(s)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ind w:left="62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860" w:type="dxa"/>
            <w:vAlign w:val="bottom"/>
            <w:tcBorders>
              <w:top w:val="single" w:sz="8" w:color="auto"/>
            </w:tcBorders>
            <w:gridSpan w:val="5"/>
          </w:tcPr>
          <w:p>
            <w:pPr>
              <w:spacing w:after="0" w:line="201" w:lineRule="exact"/>
              <w:rPr>
                <w:sz w:val="20"/>
                <w:szCs w:val="20"/>
                <w:color w:val="auto"/>
              </w:rPr>
            </w:pPr>
            <w:r>
              <w:rPr>
                <w:rFonts w:ascii="Arial" w:cs="Arial" w:eastAsia="Arial" w:hAnsi="Arial"/>
                <w:sz w:val="18"/>
                <w:szCs w:val="18"/>
                <w:color w:val="auto"/>
                <w:w w:val="92"/>
              </w:rPr>
              <w:t>5014-01AU</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w w:val="87"/>
              </w:rPr>
              <w:t>2016204065</w:t>
            </w: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F-9/29/2010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Drug+PEO+HPC+Disintegrant (incl ethylcellulose)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Pending</w:t>
            </w: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rPr>
              <w:t>5019AU</w:t>
            </w:r>
          </w:p>
        </w:tc>
        <w:tc>
          <w:tcPr>
            <w:tcW w:w="1460" w:type="dxa"/>
            <w:vAlign w:val="bottom"/>
            <w:gridSpan w:val="5"/>
          </w:tcPr>
          <w:p>
            <w:pPr>
              <w:jc w:val="right"/>
              <w:ind w:right="250"/>
              <w:spacing w:after="0"/>
              <w:rPr>
                <w:sz w:val="20"/>
                <w:szCs w:val="20"/>
                <w:color w:val="auto"/>
              </w:rPr>
            </w:pPr>
            <w:r>
              <w:rPr>
                <w:rFonts w:ascii="Arial" w:cs="Arial" w:eastAsia="Arial" w:hAnsi="Arial"/>
                <w:sz w:val="18"/>
                <w:szCs w:val="18"/>
                <w:color w:val="auto"/>
              </w:rPr>
              <w:t>2014284333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color w:val="auto"/>
              </w:rPr>
              <w:t>F-7/2/2014</w:t>
            </w:r>
          </w:p>
        </w:tc>
        <w:tc>
          <w:tcPr>
            <w:tcW w:w="60" w:type="dxa"/>
            <w:vAlign w:val="bottom"/>
          </w:tcPr>
          <w:p>
            <w:pPr>
              <w:spacing w:after="0"/>
              <w:rPr>
                <w:sz w:val="18"/>
                <w:szCs w:val="18"/>
                <w:color w:val="auto"/>
              </w:rPr>
            </w:pPr>
          </w:p>
        </w:tc>
        <w:tc>
          <w:tcPr>
            <w:tcW w:w="5700" w:type="dxa"/>
            <w:vAlign w:val="bottom"/>
            <w:gridSpan w:val="5"/>
          </w:tcPr>
          <w:p>
            <w:pPr>
              <w:ind w:left="40"/>
              <w:spacing w:after="0"/>
              <w:rPr>
                <w:sz w:val="20"/>
                <w:szCs w:val="20"/>
                <w:color w:val="auto"/>
              </w:rPr>
            </w:pPr>
            <w:r>
              <w:rPr>
                <w:rFonts w:ascii="Arial" w:cs="Arial" w:eastAsia="Arial" w:hAnsi="Arial"/>
                <w:sz w:val="18"/>
                <w:szCs w:val="18"/>
                <w:color w:val="auto"/>
              </w:rPr>
              <w:t>Meth precursor+gel polymer+emulsifier+disintegrant+surfactant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Pending</w:t>
            </w:r>
          </w:p>
        </w:tc>
      </w:tr>
      <w:tr>
        <w:trPr>
          <w:trHeight w:val="230"/>
        </w:trPr>
        <w:tc>
          <w:tcPr>
            <w:tcW w:w="740" w:type="dxa"/>
            <w:vAlign w:val="bottom"/>
            <w:gridSpan w:val="3"/>
          </w:tcPr>
          <w:p>
            <w:pPr>
              <w:spacing w:after="0"/>
              <w:rPr>
                <w:sz w:val="20"/>
                <w:szCs w:val="20"/>
                <w:color w:val="auto"/>
              </w:rPr>
            </w:pPr>
            <w:r>
              <w:rPr>
                <w:rFonts w:ascii="Arial" w:cs="Arial" w:eastAsia="Arial" w:hAnsi="Arial"/>
                <w:sz w:val="18"/>
                <w:szCs w:val="18"/>
                <w:color w:val="auto"/>
              </w:rPr>
              <w:t>5020AU</w:t>
            </w:r>
          </w:p>
        </w:tc>
        <w:tc>
          <w:tcPr>
            <w:tcW w:w="1460" w:type="dxa"/>
            <w:vAlign w:val="bottom"/>
            <w:gridSpan w:val="5"/>
          </w:tcPr>
          <w:p>
            <w:pPr>
              <w:jc w:val="right"/>
              <w:ind w:right="250"/>
              <w:spacing w:after="0"/>
              <w:rPr>
                <w:sz w:val="20"/>
                <w:szCs w:val="20"/>
                <w:color w:val="auto"/>
              </w:rPr>
            </w:pPr>
            <w:r>
              <w:rPr>
                <w:rFonts w:ascii="Arial" w:cs="Arial" w:eastAsia="Arial" w:hAnsi="Arial"/>
                <w:sz w:val="18"/>
                <w:szCs w:val="18"/>
                <w:color w:val="auto"/>
              </w:rPr>
              <w:t>2015274936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color w:val="auto"/>
              </w:rPr>
              <w:t>F-6/9/2015</w:t>
            </w:r>
          </w:p>
        </w:tc>
        <w:tc>
          <w:tcPr>
            <w:tcW w:w="60" w:type="dxa"/>
            <w:vAlign w:val="bottom"/>
          </w:tcPr>
          <w:p>
            <w:pPr>
              <w:spacing w:after="0"/>
              <w:rPr>
                <w:sz w:val="20"/>
                <w:szCs w:val="20"/>
                <w:color w:val="auto"/>
              </w:rPr>
            </w:pPr>
          </w:p>
        </w:tc>
        <w:tc>
          <w:tcPr>
            <w:tcW w:w="5700" w:type="dxa"/>
            <w:vAlign w:val="bottom"/>
            <w:gridSpan w:val="5"/>
          </w:tcPr>
          <w:p>
            <w:pPr>
              <w:ind w:left="40"/>
              <w:spacing w:after="0"/>
              <w:rPr>
                <w:sz w:val="20"/>
                <w:szCs w:val="20"/>
                <w:color w:val="auto"/>
              </w:rPr>
            </w:pPr>
            <w:r>
              <w:rPr>
                <w:rFonts w:ascii="Arial" w:cs="Arial" w:eastAsia="Arial" w:hAnsi="Arial"/>
                <w:sz w:val="18"/>
                <w:szCs w:val="18"/>
                <w:color w:val="auto"/>
              </w:rPr>
              <w:t>PSE+Triglyceride+HPC+PEO+Disintegrant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Pending</w:t>
            </w:r>
          </w:p>
        </w:tc>
      </w:tr>
      <w:tr>
        <w:trPr>
          <w:trHeight w:val="414"/>
        </w:trPr>
        <w:tc>
          <w:tcPr>
            <w:tcW w:w="220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CA APPLICATIONS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1"/>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App 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Filed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2000"/>
              <w:spacing w:after="0"/>
              <w:rPr>
                <w:sz w:val="20"/>
                <w:szCs w:val="20"/>
                <w:color w:val="auto"/>
              </w:rPr>
            </w:pPr>
            <w:r>
              <w:rPr>
                <w:rFonts w:ascii="Arial" w:cs="Arial" w:eastAsia="Arial" w:hAnsi="Arial"/>
                <w:sz w:val="18"/>
                <w:szCs w:val="18"/>
                <w:b w:val="1"/>
                <w:bCs w:val="1"/>
                <w:color w:val="auto"/>
              </w:rPr>
              <w:t>Primary Claim(s)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ind w:left="60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5019CA</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2,916,973</w:t>
            </w:r>
          </w:p>
        </w:tc>
        <w:tc>
          <w:tcPr>
            <w:tcW w:w="120" w:type="dxa"/>
            <w:vAlign w:val="bottom"/>
          </w:tcPr>
          <w:p>
            <w:pPr>
              <w:spacing w:after="0"/>
              <w:rPr>
                <w:sz w:val="17"/>
                <w:szCs w:val="17"/>
                <w:color w:val="auto"/>
              </w:rPr>
            </w:pPr>
          </w:p>
        </w:tc>
        <w:tc>
          <w:tcPr>
            <w:tcW w:w="136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F-7/2/2014</w:t>
            </w:r>
          </w:p>
        </w:tc>
        <w:tc>
          <w:tcPr>
            <w:tcW w:w="100" w:type="dxa"/>
            <w:vAlign w:val="bottom"/>
          </w:tcPr>
          <w:p>
            <w:pPr>
              <w:spacing w:after="0"/>
              <w:rPr>
                <w:sz w:val="17"/>
                <w:szCs w:val="17"/>
                <w:color w:val="auto"/>
              </w:rPr>
            </w:pPr>
          </w:p>
        </w:tc>
        <w:tc>
          <w:tcPr>
            <w:tcW w:w="570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Meth precursor+gel polymer+emulsifier+disintegrant+surfactant</w:t>
            </w: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Pending</w:t>
            </w:r>
          </w:p>
        </w:tc>
      </w:tr>
      <w:tr>
        <w:trPr>
          <w:trHeight w:val="230"/>
        </w:trPr>
        <w:tc>
          <w:tcPr>
            <w:tcW w:w="740" w:type="dxa"/>
            <w:vAlign w:val="bottom"/>
            <w:gridSpan w:val="3"/>
          </w:tcPr>
          <w:p>
            <w:pPr>
              <w:spacing w:after="0"/>
              <w:rPr>
                <w:sz w:val="20"/>
                <w:szCs w:val="20"/>
                <w:color w:val="auto"/>
              </w:rPr>
            </w:pPr>
            <w:r>
              <w:rPr>
                <w:rFonts w:ascii="Arial" w:cs="Arial" w:eastAsia="Arial" w:hAnsi="Arial"/>
                <w:sz w:val="18"/>
                <w:szCs w:val="18"/>
                <w:color w:val="auto"/>
              </w:rPr>
              <w:t>5020CA</w:t>
            </w:r>
          </w:p>
        </w:tc>
        <w:tc>
          <w:tcPr>
            <w:tcW w:w="1460" w:type="dxa"/>
            <w:vAlign w:val="bottom"/>
            <w:gridSpan w:val="5"/>
          </w:tcPr>
          <w:p>
            <w:pPr>
              <w:ind w:left="80"/>
              <w:spacing w:after="0"/>
              <w:rPr>
                <w:sz w:val="20"/>
                <w:szCs w:val="20"/>
                <w:color w:val="auto"/>
              </w:rPr>
            </w:pPr>
            <w:r>
              <w:rPr>
                <w:rFonts w:ascii="Arial" w:cs="Arial" w:eastAsia="Arial" w:hAnsi="Arial"/>
                <w:sz w:val="18"/>
                <w:szCs w:val="18"/>
                <w:color w:val="auto"/>
              </w:rPr>
              <w:t>2,951,563</w:t>
            </w:r>
          </w:p>
        </w:tc>
        <w:tc>
          <w:tcPr>
            <w:tcW w:w="1580" w:type="dxa"/>
            <w:vAlign w:val="bottom"/>
            <w:gridSpan w:val="6"/>
          </w:tcPr>
          <w:p>
            <w:pPr>
              <w:ind w:left="120"/>
              <w:spacing w:after="0"/>
              <w:rPr>
                <w:sz w:val="20"/>
                <w:szCs w:val="20"/>
                <w:color w:val="auto"/>
              </w:rPr>
            </w:pPr>
            <w:r>
              <w:rPr>
                <w:rFonts w:ascii="Arial" w:cs="Arial" w:eastAsia="Arial" w:hAnsi="Arial"/>
                <w:sz w:val="18"/>
                <w:szCs w:val="18"/>
                <w:color w:val="auto"/>
              </w:rPr>
              <w:t>F-6/9/2015</w:t>
            </w:r>
          </w:p>
        </w:tc>
        <w:tc>
          <w:tcPr>
            <w:tcW w:w="5760" w:type="dxa"/>
            <w:vAlign w:val="bottom"/>
            <w:gridSpan w:val="6"/>
          </w:tcPr>
          <w:p>
            <w:pPr>
              <w:spacing w:after="0"/>
              <w:rPr>
                <w:sz w:val="20"/>
                <w:szCs w:val="20"/>
                <w:color w:val="auto"/>
              </w:rPr>
            </w:pPr>
            <w:r>
              <w:rPr>
                <w:rFonts w:ascii="Arial" w:cs="Arial" w:eastAsia="Arial" w:hAnsi="Arial"/>
                <w:sz w:val="18"/>
                <w:szCs w:val="18"/>
                <w:color w:val="auto"/>
              </w:rPr>
              <w:t>PSE+Triglyceride+HPC+PEO+Disintegrant</w:t>
            </w:r>
          </w:p>
        </w:tc>
        <w:tc>
          <w:tcPr>
            <w:tcW w:w="6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Pending</w:t>
            </w:r>
          </w:p>
        </w:tc>
      </w:tr>
      <w:tr>
        <w:trPr>
          <w:trHeight w:val="414"/>
        </w:trPr>
        <w:tc>
          <w:tcPr>
            <w:tcW w:w="2200" w:type="dxa"/>
            <w:vAlign w:val="bottom"/>
            <w:gridSpan w:val="8"/>
          </w:tcPr>
          <w:p>
            <w:pPr>
              <w:spacing w:after="0"/>
              <w:rPr>
                <w:sz w:val="20"/>
                <w:szCs w:val="20"/>
                <w:color w:val="auto"/>
              </w:rPr>
            </w:pPr>
            <w:r>
              <w:rPr>
                <w:rFonts w:ascii="Arial" w:cs="Arial" w:eastAsia="Arial" w:hAnsi="Arial"/>
                <w:sz w:val="18"/>
                <w:szCs w:val="18"/>
                <w:b w:val="1"/>
                <w:bCs w:val="1"/>
                <w:i w:val="1"/>
                <w:iCs w:val="1"/>
                <w:color w:val="auto"/>
              </w:rPr>
              <w:t>CN APPLICATIONS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1"/>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App 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Filed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gridSpan w:val="3"/>
          </w:tcPr>
          <w:p>
            <w:pPr>
              <w:ind w:left="2000"/>
              <w:spacing w:after="0"/>
              <w:rPr>
                <w:sz w:val="20"/>
                <w:szCs w:val="20"/>
                <w:color w:val="auto"/>
              </w:rPr>
            </w:pPr>
            <w:r>
              <w:rPr>
                <w:rFonts w:ascii="Arial" w:cs="Arial" w:eastAsia="Arial" w:hAnsi="Arial"/>
                <w:sz w:val="18"/>
                <w:szCs w:val="18"/>
                <w:b w:val="1"/>
                <w:bCs w:val="1"/>
                <w:color w:val="auto"/>
              </w:rPr>
              <w:t>Primary Claim(s)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tcPr>
          <w:p>
            <w:pPr>
              <w:ind w:left="60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5019CN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201480037082.5</w:t>
            </w:r>
          </w:p>
        </w:tc>
        <w:tc>
          <w:tcPr>
            <w:tcW w:w="120" w:type="dxa"/>
            <w:vAlign w:val="bottom"/>
          </w:tcPr>
          <w:p>
            <w:pPr>
              <w:spacing w:after="0"/>
              <w:rPr>
                <w:sz w:val="17"/>
                <w:szCs w:val="17"/>
                <w:color w:val="auto"/>
              </w:rPr>
            </w:pPr>
          </w:p>
        </w:tc>
        <w:tc>
          <w:tcPr>
            <w:tcW w:w="136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rPr>
              <w:t>F-7/2/2014</w:t>
            </w:r>
          </w:p>
        </w:tc>
        <w:tc>
          <w:tcPr>
            <w:tcW w:w="100" w:type="dxa"/>
            <w:vAlign w:val="bottom"/>
          </w:tcPr>
          <w:p>
            <w:pPr>
              <w:spacing w:after="0"/>
              <w:rPr>
                <w:sz w:val="17"/>
                <w:szCs w:val="17"/>
                <w:color w:val="auto"/>
              </w:rPr>
            </w:pPr>
          </w:p>
        </w:tc>
        <w:tc>
          <w:tcPr>
            <w:tcW w:w="570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w w:val="96"/>
              </w:rPr>
              <w:t>Meth precursor+gel polymer+ glycerol monostearate+disintegrant+sodium</w:t>
            </w: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Published</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gridSpan w:val="6"/>
          </w:tcPr>
          <w:p>
            <w:pPr>
              <w:spacing w:after="0"/>
              <w:rPr>
                <w:sz w:val="20"/>
                <w:szCs w:val="20"/>
                <w:color w:val="auto"/>
              </w:rPr>
            </w:pPr>
            <w:r>
              <w:rPr>
                <w:rFonts w:ascii="Arial" w:cs="Arial" w:eastAsia="Arial" w:hAnsi="Arial"/>
                <w:sz w:val="18"/>
                <w:szCs w:val="18"/>
                <w:color w:val="auto"/>
              </w:rPr>
              <w:t>lauryl sulfate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740" w:type="dxa"/>
            <w:vAlign w:val="bottom"/>
            <w:gridSpan w:val="3"/>
          </w:tcPr>
          <w:p>
            <w:pPr>
              <w:spacing w:after="0"/>
              <w:rPr>
                <w:sz w:val="20"/>
                <w:szCs w:val="20"/>
                <w:color w:val="auto"/>
              </w:rPr>
            </w:pPr>
            <w:r>
              <w:rPr>
                <w:rFonts w:ascii="Arial" w:cs="Arial" w:eastAsia="Arial" w:hAnsi="Arial"/>
                <w:sz w:val="18"/>
                <w:szCs w:val="18"/>
                <w:color w:val="auto"/>
              </w:rPr>
              <w:t>5020CN</w:t>
            </w:r>
          </w:p>
        </w:tc>
        <w:tc>
          <w:tcPr>
            <w:tcW w:w="1460" w:type="dxa"/>
            <w:vAlign w:val="bottom"/>
            <w:gridSpan w:val="5"/>
          </w:tcPr>
          <w:p>
            <w:pPr>
              <w:ind w:left="80"/>
              <w:spacing w:after="0"/>
              <w:rPr>
                <w:sz w:val="20"/>
                <w:szCs w:val="20"/>
                <w:color w:val="auto"/>
              </w:rPr>
            </w:pPr>
            <w:r>
              <w:rPr>
                <w:rFonts w:ascii="Arial" w:cs="Arial" w:eastAsia="Arial" w:hAnsi="Arial"/>
                <w:sz w:val="18"/>
                <w:szCs w:val="18"/>
                <w:color w:val="auto"/>
              </w:rPr>
              <w:t>201580030318.7</w:t>
            </w:r>
          </w:p>
        </w:tc>
        <w:tc>
          <w:tcPr>
            <w:tcW w:w="1580" w:type="dxa"/>
            <w:vAlign w:val="bottom"/>
            <w:gridSpan w:val="6"/>
          </w:tcPr>
          <w:p>
            <w:pPr>
              <w:ind w:left="120"/>
              <w:spacing w:after="0"/>
              <w:rPr>
                <w:sz w:val="20"/>
                <w:szCs w:val="20"/>
                <w:color w:val="auto"/>
              </w:rPr>
            </w:pPr>
            <w:r>
              <w:rPr>
                <w:rFonts w:ascii="Arial" w:cs="Arial" w:eastAsia="Arial" w:hAnsi="Arial"/>
                <w:sz w:val="18"/>
                <w:szCs w:val="18"/>
                <w:color w:val="auto"/>
              </w:rPr>
              <w:t>F-6/9/2015</w:t>
            </w:r>
          </w:p>
        </w:tc>
        <w:tc>
          <w:tcPr>
            <w:tcW w:w="5760" w:type="dxa"/>
            <w:vAlign w:val="bottom"/>
            <w:gridSpan w:val="6"/>
          </w:tcPr>
          <w:p>
            <w:pPr>
              <w:spacing w:after="0"/>
              <w:rPr>
                <w:sz w:val="20"/>
                <w:szCs w:val="20"/>
                <w:color w:val="auto"/>
              </w:rPr>
            </w:pPr>
            <w:r>
              <w:rPr>
                <w:rFonts w:ascii="Arial" w:cs="Arial" w:eastAsia="Arial" w:hAnsi="Arial"/>
                <w:sz w:val="18"/>
                <w:szCs w:val="18"/>
                <w:color w:val="auto"/>
              </w:rPr>
              <w:t>PSE+Triglyceride+HPC+PEO+Disintegrant</w:t>
            </w:r>
          </w:p>
        </w:tc>
        <w:tc>
          <w:tcPr>
            <w:tcW w:w="6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Pending</w:t>
            </w:r>
          </w:p>
        </w:tc>
      </w:tr>
      <w:tr>
        <w:trPr>
          <w:trHeight w:val="648"/>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4"/>
          </w:tcPr>
          <w:p>
            <w:pPr>
              <w:ind w:left="1860"/>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EU APPLICATIONS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4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Case</w:t>
            </w:r>
          </w:p>
        </w:tc>
        <w:tc>
          <w:tcPr>
            <w:tcW w:w="10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App Number</w:t>
            </w:r>
          </w:p>
        </w:tc>
        <w:tc>
          <w:tcPr>
            <w:tcW w:w="1460" w:type="dxa"/>
            <w:vAlign w:val="bottom"/>
            <w:gridSpan w:val="2"/>
          </w:tcPr>
          <w:p>
            <w:pPr>
              <w:ind w:left="480"/>
              <w:spacing w:after="0"/>
              <w:rPr>
                <w:sz w:val="20"/>
                <w:szCs w:val="20"/>
                <w:color w:val="auto"/>
              </w:rPr>
            </w:pPr>
            <w:r>
              <w:rPr>
                <w:rFonts w:ascii="Arial" w:cs="Arial" w:eastAsia="Arial" w:hAnsi="Arial"/>
                <w:sz w:val="18"/>
                <w:szCs w:val="18"/>
                <w:b w:val="1"/>
                <w:bCs w:val="1"/>
                <w:color w:val="auto"/>
              </w:rPr>
              <w:t>Filed</w:t>
            </w:r>
          </w:p>
        </w:tc>
        <w:tc>
          <w:tcPr>
            <w:tcW w:w="5660" w:type="dxa"/>
            <w:vAlign w:val="bottom"/>
          </w:tcPr>
          <w:p>
            <w:pPr>
              <w:ind w:left="2160"/>
              <w:spacing w:after="0"/>
              <w:rPr>
                <w:sz w:val="20"/>
                <w:szCs w:val="20"/>
                <w:color w:val="auto"/>
              </w:rPr>
            </w:pPr>
            <w:r>
              <w:rPr>
                <w:rFonts w:ascii="Arial" w:cs="Arial" w:eastAsia="Arial" w:hAnsi="Arial"/>
                <w:sz w:val="18"/>
                <w:szCs w:val="18"/>
                <w:b w:val="1"/>
                <w:bCs w:val="1"/>
                <w:color w:val="auto"/>
              </w:rPr>
              <w:t>Primary Claim(s)</w:t>
            </w:r>
          </w:p>
        </w:tc>
        <w:tc>
          <w:tcPr>
            <w:tcW w:w="120" w:type="dxa"/>
            <w:vAlign w:val="bottom"/>
          </w:tcPr>
          <w:p>
            <w:pPr>
              <w:spacing w:after="0"/>
              <w:rPr>
                <w:sz w:val="20"/>
                <w:szCs w:val="20"/>
                <w:color w:val="auto"/>
              </w:rPr>
            </w:pPr>
          </w:p>
        </w:tc>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6"/>
              </w:rPr>
              <w:t>5014-01EP</w:t>
            </w: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ind w:right="430"/>
              <w:spacing w:after="0" w:line="201" w:lineRule="exact"/>
              <w:rPr>
                <w:sz w:val="20"/>
                <w:szCs w:val="20"/>
                <w:color w:val="auto"/>
              </w:rPr>
            </w:pPr>
            <w:r>
              <w:rPr>
                <w:rFonts w:ascii="Arial" w:cs="Arial" w:eastAsia="Arial" w:hAnsi="Arial"/>
                <w:sz w:val="18"/>
                <w:szCs w:val="18"/>
                <w:color w:val="auto"/>
                <w:w w:val="86"/>
              </w:rPr>
              <w:t>16161681.8</w:t>
            </w: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F-9/29/2010</w:t>
            </w:r>
          </w:p>
        </w:tc>
        <w:tc>
          <w:tcPr>
            <w:tcW w:w="100" w:type="dxa"/>
            <w:vAlign w:val="bottom"/>
          </w:tcPr>
          <w:p>
            <w:pPr>
              <w:spacing w:after="0"/>
              <w:rPr>
                <w:sz w:val="17"/>
                <w:szCs w:val="17"/>
                <w:color w:val="auto"/>
              </w:rPr>
            </w:pPr>
          </w:p>
        </w:tc>
        <w:tc>
          <w:tcPr>
            <w:tcW w:w="5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Drug+PEO+HPC+Disintegrant (incl ethylcellulose)</w:t>
            </w:r>
          </w:p>
        </w:tc>
        <w:tc>
          <w:tcPr>
            <w:tcW w:w="120" w:type="dxa"/>
            <w:vAlign w:val="bottom"/>
          </w:tcPr>
          <w:p>
            <w:pPr>
              <w:spacing w:after="0"/>
              <w:rPr>
                <w:sz w:val="17"/>
                <w:szCs w:val="17"/>
                <w:color w:val="auto"/>
              </w:rPr>
            </w:pPr>
          </w:p>
        </w:tc>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Published</w:t>
            </w: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5019EP</w:t>
            </w:r>
          </w:p>
        </w:tc>
        <w:tc>
          <w:tcPr>
            <w:tcW w:w="1460" w:type="dxa"/>
            <w:vAlign w:val="bottom"/>
            <w:gridSpan w:val="2"/>
          </w:tcPr>
          <w:p>
            <w:pPr>
              <w:jc w:val="right"/>
              <w:ind w:right="430"/>
              <w:spacing w:after="0"/>
              <w:rPr>
                <w:sz w:val="20"/>
                <w:szCs w:val="20"/>
                <w:color w:val="auto"/>
              </w:rPr>
            </w:pPr>
            <w:r>
              <w:rPr>
                <w:rFonts w:ascii="Arial" w:cs="Arial" w:eastAsia="Arial" w:hAnsi="Arial"/>
                <w:sz w:val="18"/>
                <w:szCs w:val="18"/>
                <w:color w:val="auto"/>
                <w:w w:val="96"/>
              </w:rPr>
              <w:t>14820721.0</w:t>
            </w: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F-7/2/2014</w:t>
            </w:r>
          </w:p>
        </w:tc>
        <w:tc>
          <w:tcPr>
            <w:tcW w:w="5660" w:type="dxa"/>
            <w:vAlign w:val="bottom"/>
          </w:tcPr>
          <w:p>
            <w:pPr>
              <w:spacing w:after="0"/>
              <w:rPr>
                <w:sz w:val="20"/>
                <w:szCs w:val="20"/>
                <w:color w:val="auto"/>
              </w:rPr>
            </w:pPr>
            <w:r>
              <w:rPr>
                <w:rFonts w:ascii="Arial" w:cs="Arial" w:eastAsia="Arial" w:hAnsi="Arial"/>
                <w:sz w:val="18"/>
                <w:szCs w:val="18"/>
                <w:color w:val="auto"/>
              </w:rPr>
              <w:t>Meth precursor+gel polymer+emulsifier+disintegrant+surfactant</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Published</w:t>
            </w:r>
          </w:p>
        </w:tc>
      </w:t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5020EP</w:t>
            </w:r>
          </w:p>
        </w:tc>
        <w:tc>
          <w:tcPr>
            <w:tcW w:w="1460" w:type="dxa"/>
            <w:vAlign w:val="bottom"/>
            <w:gridSpan w:val="2"/>
          </w:tcPr>
          <w:p>
            <w:pPr>
              <w:jc w:val="right"/>
              <w:ind w:right="430"/>
              <w:spacing w:after="0"/>
              <w:rPr>
                <w:sz w:val="20"/>
                <w:szCs w:val="20"/>
                <w:color w:val="auto"/>
              </w:rPr>
            </w:pPr>
            <w:r>
              <w:rPr>
                <w:rFonts w:ascii="Arial" w:cs="Arial" w:eastAsia="Arial" w:hAnsi="Arial"/>
                <w:sz w:val="18"/>
                <w:szCs w:val="18"/>
                <w:color w:val="auto"/>
                <w:w w:val="96"/>
              </w:rPr>
              <w:t>15807096.1</w:t>
            </w: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F-6/9/2015</w:t>
            </w:r>
          </w:p>
        </w:tc>
        <w:tc>
          <w:tcPr>
            <w:tcW w:w="5660" w:type="dxa"/>
            <w:vAlign w:val="bottom"/>
          </w:tcPr>
          <w:p>
            <w:pPr>
              <w:spacing w:after="0"/>
              <w:rPr>
                <w:sz w:val="20"/>
                <w:szCs w:val="20"/>
                <w:color w:val="auto"/>
              </w:rPr>
            </w:pPr>
            <w:r>
              <w:rPr>
                <w:rFonts w:ascii="Arial" w:cs="Arial" w:eastAsia="Arial" w:hAnsi="Arial"/>
                <w:sz w:val="18"/>
                <w:szCs w:val="18"/>
                <w:color w:val="auto"/>
              </w:rPr>
              <w:t>PSE+Triglyceride+HPC+PEO+Disintegrant</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Pending</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IL APPLICATIONS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41"/>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App Number</w:t>
            </w:r>
          </w:p>
        </w:tc>
        <w:tc>
          <w:tcPr>
            <w:tcW w:w="120" w:type="dxa"/>
            <w:vAlign w:val="bottom"/>
          </w:tcPr>
          <w:p>
            <w:pPr>
              <w:spacing w:after="0"/>
              <w:rPr>
                <w:sz w:val="20"/>
                <w:szCs w:val="20"/>
                <w:color w:val="auto"/>
              </w:rPr>
            </w:pPr>
          </w:p>
        </w:tc>
        <w:tc>
          <w:tcPr>
            <w:tcW w:w="1460" w:type="dxa"/>
            <w:vAlign w:val="bottom"/>
            <w:gridSpan w:val="2"/>
          </w:tcPr>
          <w:p>
            <w:pPr>
              <w:ind w:left="480"/>
              <w:spacing w:after="0"/>
              <w:rPr>
                <w:sz w:val="20"/>
                <w:szCs w:val="20"/>
                <w:color w:val="auto"/>
              </w:rPr>
            </w:pPr>
            <w:r>
              <w:rPr>
                <w:rFonts w:ascii="Arial" w:cs="Arial" w:eastAsia="Arial" w:hAnsi="Arial"/>
                <w:sz w:val="18"/>
                <w:szCs w:val="18"/>
                <w:b w:val="1"/>
                <w:bCs w:val="1"/>
                <w:color w:val="auto"/>
              </w:rPr>
              <w:t>Filed</w:t>
            </w:r>
          </w:p>
        </w:tc>
        <w:tc>
          <w:tcPr>
            <w:tcW w:w="5820" w:type="dxa"/>
            <w:vAlign w:val="bottom"/>
            <w:gridSpan w:val="2"/>
          </w:tcPr>
          <w:p>
            <w:pPr>
              <w:ind w:left="2180"/>
              <w:spacing w:after="0"/>
              <w:rPr>
                <w:sz w:val="20"/>
                <w:szCs w:val="20"/>
                <w:color w:val="auto"/>
              </w:rPr>
            </w:pPr>
            <w:r>
              <w:rPr>
                <w:rFonts w:ascii="Arial" w:cs="Arial" w:eastAsia="Arial" w:hAnsi="Arial"/>
                <w:sz w:val="18"/>
                <w:szCs w:val="18"/>
                <w:b w:val="1"/>
                <w:bCs w:val="1"/>
                <w:color w:val="auto"/>
              </w:rPr>
              <w:t>Primary Claim(s)</w:t>
            </w:r>
          </w:p>
        </w:tc>
        <w:tc>
          <w:tcPr>
            <w:tcW w:w="1820" w:type="dxa"/>
            <w:vAlign w:val="bottom"/>
          </w:tcPr>
          <w:p>
            <w:pPr>
              <w:ind w:left="66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5014-IL</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ind w:right="750"/>
              <w:spacing w:after="0" w:line="201" w:lineRule="exact"/>
              <w:rPr>
                <w:sz w:val="20"/>
                <w:szCs w:val="20"/>
                <w:color w:val="auto"/>
              </w:rPr>
            </w:pPr>
            <w:r>
              <w:rPr>
                <w:rFonts w:ascii="Arial" w:cs="Arial" w:eastAsia="Arial" w:hAnsi="Arial"/>
                <w:sz w:val="18"/>
                <w:szCs w:val="18"/>
                <w:color w:val="auto"/>
                <w:w w:val="86"/>
              </w:rPr>
              <w:t>245734</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F-9/29/2010</w:t>
            </w:r>
          </w:p>
        </w:tc>
        <w:tc>
          <w:tcPr>
            <w:tcW w:w="100" w:type="dxa"/>
            <w:vAlign w:val="bottom"/>
          </w:tcPr>
          <w:p>
            <w:pPr>
              <w:spacing w:after="0"/>
              <w:rPr>
                <w:sz w:val="17"/>
                <w:szCs w:val="17"/>
                <w:color w:val="auto"/>
              </w:rPr>
            </w:pPr>
          </w:p>
        </w:tc>
        <w:tc>
          <w:tcPr>
            <w:tcW w:w="5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Drug+PEO+HPC+Disintegrant (incl ethylcellulose)</w:t>
            </w: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Pending</w:t>
            </w:r>
          </w:p>
        </w:tc>
      </w:tr>
      <w:tr>
        <w:trPr>
          <w:trHeight w:val="230"/>
        </w:trPr>
        <w:tc>
          <w:tcPr>
            <w:tcW w:w="820" w:type="dxa"/>
            <w:vAlign w:val="bottom"/>
            <w:gridSpan w:val="3"/>
          </w:tcPr>
          <w:p>
            <w:pPr>
              <w:spacing w:after="0"/>
              <w:rPr>
                <w:sz w:val="20"/>
                <w:szCs w:val="20"/>
                <w:color w:val="auto"/>
              </w:rPr>
            </w:pPr>
            <w:r>
              <w:rPr>
                <w:rFonts w:ascii="Arial" w:cs="Arial" w:eastAsia="Arial" w:hAnsi="Arial"/>
                <w:sz w:val="18"/>
                <w:szCs w:val="18"/>
                <w:color w:val="auto"/>
              </w:rPr>
              <w:t>5019IL</w:t>
            </w:r>
          </w:p>
        </w:tc>
        <w:tc>
          <w:tcPr>
            <w:tcW w:w="1380" w:type="dxa"/>
            <w:vAlign w:val="bottom"/>
          </w:tcPr>
          <w:p>
            <w:pPr>
              <w:jc w:val="right"/>
              <w:ind w:right="750"/>
              <w:spacing w:after="0"/>
              <w:rPr>
                <w:sz w:val="20"/>
                <w:szCs w:val="20"/>
                <w:color w:val="auto"/>
              </w:rPr>
            </w:pPr>
            <w:r>
              <w:rPr>
                <w:rFonts w:ascii="Arial" w:cs="Arial" w:eastAsia="Arial" w:hAnsi="Arial"/>
                <w:sz w:val="18"/>
                <w:szCs w:val="18"/>
                <w:color w:val="auto"/>
                <w:w w:val="86"/>
              </w:rPr>
              <w:t>242880</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F-7/2/2014</w:t>
            </w:r>
          </w:p>
        </w:tc>
        <w:tc>
          <w:tcPr>
            <w:tcW w:w="5820" w:type="dxa"/>
            <w:vAlign w:val="bottom"/>
            <w:gridSpan w:val="2"/>
          </w:tcPr>
          <w:p>
            <w:pPr>
              <w:spacing w:after="0"/>
              <w:rPr>
                <w:sz w:val="20"/>
                <w:szCs w:val="20"/>
                <w:color w:val="auto"/>
              </w:rPr>
            </w:pPr>
            <w:r>
              <w:rPr>
                <w:rFonts w:ascii="Arial" w:cs="Arial" w:eastAsia="Arial" w:hAnsi="Arial"/>
                <w:sz w:val="18"/>
                <w:szCs w:val="18"/>
                <w:color w:val="auto"/>
              </w:rPr>
              <w:t>Meth precursor+gel polymer+emulsifier+disintegrant+surfactant</w:t>
            </w:r>
          </w:p>
        </w:tc>
        <w:tc>
          <w:tcPr>
            <w:tcW w:w="1820" w:type="dxa"/>
            <w:vAlign w:val="bottom"/>
          </w:tcPr>
          <w:p>
            <w:pPr>
              <w:spacing w:after="0"/>
              <w:rPr>
                <w:sz w:val="20"/>
                <w:szCs w:val="20"/>
                <w:color w:val="auto"/>
              </w:rPr>
            </w:pPr>
            <w:r>
              <w:rPr>
                <w:rFonts w:ascii="Arial" w:cs="Arial" w:eastAsia="Arial" w:hAnsi="Arial"/>
                <w:sz w:val="18"/>
                <w:szCs w:val="18"/>
                <w:color w:val="auto"/>
              </w:rPr>
              <w:t>Pending</w:t>
            </w:r>
          </w:p>
        </w:tc>
      </w:tr>
      <w:tr>
        <w:trPr>
          <w:trHeight w:val="414"/>
        </w:trPr>
        <w:tc>
          <w:tcPr>
            <w:tcW w:w="2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NZ APPLICATIONS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41"/>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App Number</w:t>
            </w:r>
          </w:p>
        </w:tc>
        <w:tc>
          <w:tcPr>
            <w:tcW w:w="120" w:type="dxa"/>
            <w:vAlign w:val="bottom"/>
          </w:tcPr>
          <w:p>
            <w:pPr>
              <w:spacing w:after="0"/>
              <w:rPr>
                <w:sz w:val="20"/>
                <w:szCs w:val="20"/>
                <w:color w:val="auto"/>
              </w:rPr>
            </w:pPr>
          </w:p>
        </w:tc>
        <w:tc>
          <w:tcPr>
            <w:tcW w:w="1460" w:type="dxa"/>
            <w:vAlign w:val="bottom"/>
            <w:gridSpan w:val="2"/>
          </w:tcPr>
          <w:p>
            <w:pPr>
              <w:ind w:left="480"/>
              <w:spacing w:after="0"/>
              <w:rPr>
                <w:sz w:val="20"/>
                <w:szCs w:val="20"/>
                <w:color w:val="auto"/>
              </w:rPr>
            </w:pPr>
            <w:r>
              <w:rPr>
                <w:rFonts w:ascii="Arial" w:cs="Arial" w:eastAsia="Arial" w:hAnsi="Arial"/>
                <w:sz w:val="18"/>
                <w:szCs w:val="18"/>
                <w:b w:val="1"/>
                <w:bCs w:val="1"/>
                <w:color w:val="auto"/>
              </w:rPr>
              <w:t>Filed</w:t>
            </w:r>
          </w:p>
        </w:tc>
        <w:tc>
          <w:tcPr>
            <w:tcW w:w="5820" w:type="dxa"/>
            <w:vAlign w:val="bottom"/>
            <w:gridSpan w:val="2"/>
          </w:tcPr>
          <w:p>
            <w:pPr>
              <w:ind w:left="2180"/>
              <w:spacing w:after="0"/>
              <w:rPr>
                <w:sz w:val="20"/>
                <w:szCs w:val="20"/>
                <w:color w:val="auto"/>
              </w:rPr>
            </w:pPr>
            <w:r>
              <w:rPr>
                <w:rFonts w:ascii="Arial" w:cs="Arial" w:eastAsia="Arial" w:hAnsi="Arial"/>
                <w:sz w:val="18"/>
                <w:szCs w:val="18"/>
                <w:b w:val="1"/>
                <w:bCs w:val="1"/>
                <w:color w:val="auto"/>
              </w:rPr>
              <w:t>Primary Claim(s)</w:t>
            </w:r>
          </w:p>
        </w:tc>
        <w:tc>
          <w:tcPr>
            <w:tcW w:w="1820" w:type="dxa"/>
            <w:vAlign w:val="bottom"/>
          </w:tcPr>
          <w:p>
            <w:pPr>
              <w:ind w:left="660"/>
              <w:spacing w:after="0"/>
              <w:rPr>
                <w:sz w:val="20"/>
                <w:szCs w:val="20"/>
                <w:color w:val="auto"/>
              </w:rPr>
            </w:pPr>
            <w:r>
              <w:rPr>
                <w:rFonts w:ascii="Arial" w:cs="Arial" w:eastAsia="Arial" w:hAnsi="Arial"/>
                <w:sz w:val="18"/>
                <w:szCs w:val="18"/>
                <w:b w:val="1"/>
                <w:bCs w:val="1"/>
                <w:color w:val="auto"/>
              </w:rPr>
              <w:t>Status</w:t>
            </w: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5019NZ</w:t>
            </w:r>
          </w:p>
        </w:tc>
        <w:tc>
          <w:tcPr>
            <w:tcW w:w="120" w:type="dxa"/>
            <w:vAlign w:val="bottom"/>
          </w:tcPr>
          <w:p>
            <w:pPr>
              <w:spacing w:after="0"/>
              <w:rPr>
                <w:sz w:val="17"/>
                <w:szCs w:val="17"/>
                <w:color w:val="auto"/>
              </w:rPr>
            </w:pPr>
          </w:p>
        </w:tc>
        <w:tc>
          <w:tcPr>
            <w:tcW w:w="1380" w:type="dxa"/>
            <w:vAlign w:val="bottom"/>
            <w:tcBorders>
              <w:top w:val="single" w:sz="8" w:color="auto"/>
            </w:tcBorders>
          </w:tcPr>
          <w:p>
            <w:pPr>
              <w:jc w:val="right"/>
              <w:ind w:right="750"/>
              <w:spacing w:after="0" w:line="201" w:lineRule="exact"/>
              <w:rPr>
                <w:sz w:val="20"/>
                <w:szCs w:val="20"/>
                <w:color w:val="auto"/>
              </w:rPr>
            </w:pPr>
            <w:r>
              <w:rPr>
                <w:rFonts w:ascii="Arial" w:cs="Arial" w:eastAsia="Arial" w:hAnsi="Arial"/>
                <w:sz w:val="18"/>
                <w:szCs w:val="18"/>
                <w:color w:val="auto"/>
                <w:w w:val="86"/>
              </w:rPr>
              <w:t>716482</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F-7/2/2014</w:t>
            </w:r>
          </w:p>
        </w:tc>
        <w:tc>
          <w:tcPr>
            <w:tcW w:w="100" w:type="dxa"/>
            <w:vAlign w:val="bottom"/>
          </w:tcPr>
          <w:p>
            <w:pPr>
              <w:spacing w:after="0"/>
              <w:rPr>
                <w:sz w:val="17"/>
                <w:szCs w:val="17"/>
                <w:color w:val="auto"/>
              </w:rPr>
            </w:pPr>
          </w:p>
        </w:tc>
        <w:tc>
          <w:tcPr>
            <w:tcW w:w="5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Meth precursor+gel polymer+ glycerol monostearate+disintegrant+sodium</w:t>
            </w: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Pending</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lauryl sulfate</w:t>
            </w:r>
          </w:p>
        </w:tc>
        <w:tc>
          <w:tcPr>
            <w:tcW w:w="1820" w:type="dxa"/>
            <w:vAlign w:val="bottom"/>
          </w:tcPr>
          <w:p>
            <w:pPr>
              <w:spacing w:after="0"/>
              <w:rPr>
                <w:sz w:val="20"/>
                <w:szCs w:val="20"/>
                <w:color w:val="auto"/>
              </w:rPr>
            </w:pPr>
          </w:p>
        </w:tc>
      </w:tr>
      <w:tr>
        <w:trPr>
          <w:trHeight w:val="414"/>
        </w:trPr>
        <w:tc>
          <w:tcPr>
            <w:tcW w:w="2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ISR APPLICATIONS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41"/>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Case</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App Number</w:t>
            </w:r>
          </w:p>
        </w:tc>
        <w:tc>
          <w:tcPr>
            <w:tcW w:w="120" w:type="dxa"/>
            <w:vAlign w:val="bottom"/>
          </w:tcPr>
          <w:p>
            <w:pPr>
              <w:spacing w:after="0"/>
              <w:rPr>
                <w:sz w:val="20"/>
                <w:szCs w:val="20"/>
                <w:color w:val="auto"/>
              </w:rPr>
            </w:pPr>
          </w:p>
        </w:tc>
        <w:tc>
          <w:tcPr>
            <w:tcW w:w="1460" w:type="dxa"/>
            <w:vAlign w:val="bottom"/>
            <w:gridSpan w:val="2"/>
          </w:tcPr>
          <w:p>
            <w:pPr>
              <w:ind w:left="480"/>
              <w:spacing w:after="0"/>
              <w:rPr>
                <w:sz w:val="20"/>
                <w:szCs w:val="20"/>
                <w:color w:val="auto"/>
              </w:rPr>
            </w:pPr>
            <w:r>
              <w:rPr>
                <w:rFonts w:ascii="Arial" w:cs="Arial" w:eastAsia="Arial" w:hAnsi="Arial"/>
                <w:sz w:val="18"/>
                <w:szCs w:val="18"/>
                <w:b w:val="1"/>
                <w:bCs w:val="1"/>
                <w:color w:val="auto"/>
              </w:rPr>
              <w:t>Filed</w:t>
            </w:r>
          </w:p>
        </w:tc>
        <w:tc>
          <w:tcPr>
            <w:tcW w:w="5820" w:type="dxa"/>
            <w:vAlign w:val="bottom"/>
            <w:gridSpan w:val="2"/>
          </w:tcPr>
          <w:p>
            <w:pPr>
              <w:ind w:left="2180"/>
              <w:spacing w:after="0"/>
              <w:rPr>
                <w:sz w:val="20"/>
                <w:szCs w:val="20"/>
                <w:color w:val="auto"/>
              </w:rPr>
            </w:pPr>
            <w:r>
              <w:rPr>
                <w:rFonts w:ascii="Arial" w:cs="Arial" w:eastAsia="Arial" w:hAnsi="Arial"/>
                <w:sz w:val="18"/>
                <w:szCs w:val="18"/>
                <w:b w:val="1"/>
                <w:bCs w:val="1"/>
                <w:color w:val="auto"/>
              </w:rPr>
              <w:t>Primary Claim(s)</w:t>
            </w:r>
          </w:p>
        </w:tc>
        <w:tc>
          <w:tcPr>
            <w:tcW w:w="1820" w:type="dxa"/>
            <w:vAlign w:val="bottom"/>
          </w:tcPr>
          <w:p>
            <w:pPr>
              <w:ind w:left="660"/>
              <w:spacing w:after="0"/>
              <w:rPr>
                <w:sz w:val="20"/>
                <w:szCs w:val="20"/>
                <w:color w:val="auto"/>
              </w:rPr>
            </w:pPr>
            <w:r>
              <w:rPr>
                <w:rFonts w:ascii="Arial" w:cs="Arial" w:eastAsia="Arial" w:hAnsi="Arial"/>
                <w:sz w:val="18"/>
                <w:szCs w:val="18"/>
                <w:b w:val="1"/>
                <w:bCs w:val="1"/>
                <w:color w:val="auto"/>
              </w:rPr>
              <w:t>Status</w:t>
            </w:r>
          </w:p>
        </w:tc>
      </w:tr>
      <w:tr>
        <w:trPr>
          <w:trHeight w:val="864"/>
        </w:trPr>
        <w:tc>
          <w:tcPr>
            <w:tcW w:w="20" w:type="dxa"/>
            <w:vAlign w:val="bottom"/>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00" w:type="dxa"/>
            <w:vAlign w:val="bottom"/>
            <w:tcBorders>
              <w:top w:val="single" w:sz="8" w:color="auto"/>
              <w:bottom w:val="single" w:sz="8" w:color="auto"/>
            </w:tcBorders>
          </w:tcPr>
          <w:p>
            <w:pPr>
              <w:ind w:left="186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74" w:name="page175"/>
    <w:bookmarkEnd w:id="174"/>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Royalty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ROYALTY REPORT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Quarter Reported 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Licensee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Territory: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5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9"/>
              </w:rPr>
              <w:t>CURRENT QUARTER</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780" w:type="dxa"/>
            <w:vAlign w:val="bottom"/>
            <w:vMerge w:val="restart"/>
          </w:tcPr>
          <w:p>
            <w:pPr>
              <w:jc w:val="center"/>
              <w:ind w:right="1030"/>
              <w:spacing w:after="0"/>
              <w:rPr>
                <w:sz w:val="20"/>
                <w:szCs w:val="20"/>
                <w:color w:val="auto"/>
              </w:rPr>
            </w:pPr>
            <w:r>
              <w:rPr>
                <w:rFonts w:ascii="Arial" w:cs="Arial" w:eastAsia="Arial" w:hAnsi="Arial"/>
                <w:sz w:val="18"/>
                <w:szCs w:val="18"/>
                <w:b w:val="1"/>
                <w:bCs w:val="1"/>
                <w:color w:val="auto"/>
                <w:w w:val="94"/>
              </w:rPr>
              <w:t>Territory</w:t>
            </w:r>
          </w:p>
        </w:tc>
        <w:tc>
          <w:tcPr>
            <w:tcW w:w="126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Less: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27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7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9"/>
              </w:rPr>
              <w:t>or</w:t>
            </w: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Gross</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Deductions/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Royalty</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7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Territories</w:t>
            </w: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Sales</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Returns*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Discounts</w:t>
            </w:r>
          </w:p>
        </w:tc>
        <w:tc>
          <w:tcPr>
            <w:tcW w:w="5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w w:val="91"/>
              </w:rPr>
              <w:t>Net Sales</w:t>
            </w: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Rate %</w:t>
            </w: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Royalty</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2260" w:type="dxa"/>
            <w:vAlign w:val="bottom"/>
            <w:gridSpan w:val="2"/>
          </w:tcPr>
          <w:p>
            <w:pPr>
              <w:jc w:val="right"/>
              <w:ind w:right="830"/>
              <w:spacing w:after="0"/>
              <w:rPr>
                <w:sz w:val="20"/>
                <w:szCs w:val="20"/>
                <w:color w:val="auto"/>
              </w:rPr>
            </w:pPr>
            <w:r>
              <w:rPr>
                <w:rFonts w:ascii="Arial" w:cs="Arial" w:eastAsia="Arial" w:hAnsi="Arial"/>
                <w:sz w:val="18"/>
                <w:szCs w:val="18"/>
                <w:color w:val="auto"/>
              </w:rPr>
              <w:t>-   $</w:t>
            </w:r>
          </w:p>
        </w:tc>
        <w:tc>
          <w:tcPr>
            <w:tcW w:w="500" w:type="dxa"/>
            <w:vAlign w:val="bottom"/>
          </w:tcPr>
          <w:p>
            <w:pPr>
              <w:jc w:val="right"/>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4"/>
        </w:trPr>
        <w:tc>
          <w:tcPr>
            <w:tcW w:w="7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75" w:name="page176"/>
    <w:bookmarkEnd w:id="175"/>
    <w:p>
      <w:pPr>
        <w:jc w:val="center"/>
        <w:ind w:right="40"/>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ALLOCATION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Item</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1"/>
              </w:rPr>
              <w:t>Quantity (if applicable)</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720" w:type="dxa"/>
            <w:vAlign w:val="bottom"/>
          </w:tcPr>
          <w:p>
            <w:pPr>
              <w:ind w:left="980"/>
              <w:spacing w:after="0"/>
              <w:rPr>
                <w:sz w:val="20"/>
                <w:szCs w:val="20"/>
                <w:color w:val="auto"/>
              </w:rPr>
            </w:pPr>
            <w:r>
              <w:rPr>
                <w:rFonts w:ascii="Arial" w:cs="Arial" w:eastAsia="Arial" w:hAnsi="Arial"/>
                <w:sz w:val="18"/>
                <w:szCs w:val="18"/>
                <w:b w:val="1"/>
                <w:bCs w:val="1"/>
                <w:color w:val="auto"/>
              </w:rPr>
              <w:t>Comment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Assignment of Contracts</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Transferred Advertising Materials</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Equipment – See Schedule 3.2.1(b) for breakdown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Amount from NBV Columns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102,743</w:t>
            </w: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Schedule 3.2.1(b)</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Raw Materials Inventory – See Schedule 3.2.1(a) for breakdown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Consists of Raw Materials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97,475</w:t>
            </w: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Schedule 3.2.1(a)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Finished Materials Inventory - See Schedule 3.2.1(a) for</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ind w:left="100"/>
              <w:spacing w:after="0" w:line="198" w:lineRule="exact"/>
              <w:rPr>
                <w:sz w:val="20"/>
                <w:szCs w:val="20"/>
                <w:color w:val="auto"/>
              </w:rPr>
            </w:pPr>
            <w:r>
              <w:rPr>
                <w:rFonts w:ascii="Arial" w:cs="Arial" w:eastAsia="Arial" w:hAnsi="Arial"/>
                <w:sz w:val="18"/>
                <w:szCs w:val="18"/>
                <w:color w:val="auto"/>
              </w:rPr>
              <w:t>Consists of Finished Goods from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breakdown</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109,159</w:t>
            </w: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Schedule 3.2.1(a)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Prepaid Inventory (Half of Mikart PO 1050)</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115,643</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425,020</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76" w:name="page177"/>
    <w:bookmarkEnd w:id="176"/>
    <w:p>
      <w:pPr>
        <w:jc w:val="center"/>
        <w:ind w:right="40"/>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PRESS RELEASE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Acura Pharmaceuticals and MainPointe Pharmaceuticals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 Deal for Nexafed®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Expands Commercialization of Acura’s Methamphetamine-Resistant Pseudoephedrine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PALATINE, IL, March XX, 2017: Acura Pharmaceuticals, Inc. (OTCQB: ACUR) and MainPointe Pharmaceuticals, LLC today announced that they have entered into a License Agreement (the "Agreement") to have MainPointe exclusively market NEXAFED and NEXAFED Sinus in the US and Canada. The pseudoephedrine-containing NEXAFED brand products utilize Acura’s IMPEDE® Technology which disrupts the extraction and conversion of the pseudoephedrine into the illicit drug, methamphetamine. MainPointe will assume all manufacturing and commercialization activities from Acura.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“MainPointe is an emerging OTC pharmaceutical company that brings added leverage to our NEXAFED business”, commented Bob Jones, Acura’s President and CEO. “With additional products in distribution and new customer contacts, MainPointe is well positioned to expand on the over 15,000 US pharmacy distribution achieved by Acura over the past several years”.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“Conversion of pseudoephedrine products into methamphetamine remains an acute problem in many communities”, said John Schutte, MainPointe’s President. “The NEXAFED products have proven to be a success in curbing this costly problem and we look forward to driving this business forward”.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 provided for an upfront cash payment of $2.5 million to Acura. Acura is eligible to receive a royalty 7.5% based on commercial sales by MainPointe.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Acura Pharmaceuticals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Acura Pharmaceuticals is a specialty pharmaceutical company engaged in the research, development and commercialization of product candidates intended to address medication abuse and misuse, utilizing its proprietary LIMITX™, AVERSION® and IMPEDE® Technologies. LIMITX contains ingredients that are intended to reduce or limit the rate or extent of opioid release when multiple tablets are ingested. AVERSION contains polymers that cause the drug to gel when dissolved; it also contains compounds that irritate the nasal passages if the product is snorted. IMPEDE is designed to disrupt the processing of pseudoephedrine from tablets into methamphetamine.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OXAYDO® (oxycodone HCl immediate-release tablets) which incorporates the AVERSION Technology, is FDA approved and marketed in the U.S. by our partner Egalet 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NEXAFED® and NEXAFED® Sinus, which are pseudoephedrine containing products, utilize the IMPEDE Technology.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 this press release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90" w:lineRule="exact"/>
        <w:rPr>
          <w:sz w:val="20"/>
          <w:szCs w:val="20"/>
          <w:color w:val="auto"/>
        </w:rPr>
      </w:pP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LTX-04 or any successor product candidate, the date by which such study results will be available and whether LTX-04 or any successor product candidate will ultimately receive FDA approval;</w:t>
      </w: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we will be able to reformulate LTX-04 or any successor product candidate to provide an efficacious level of drug when one or two tablets are taken;</w:t>
      </w: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we will be able to reformulate LTX-04 or any successor product candidate to improve its abuse deterrent performance;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labelling describing abuse deterrent features;</w:t>
      </w: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jc w:val="both"/>
        <w:ind w:left="50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8" w:name="page179"/>
    <w:bookmarkEnd w:id="178"/>
    <w:p>
      <w:pPr>
        <w:ind w:left="500" w:hanging="168"/>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500" w:right="20" w:hanging="168"/>
        <w:spacing w:after="0" w:line="261"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cases, you can identify forward- looking statements by terms such as "may," “will”, "should," "could," "would," "expects," "plans," "anticipates," "believes," "estimates," “indicates”,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filings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Acura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investors@acurapharm.com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847-705-7709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333-221645, 333-213017, 333-195612, 333-151653, 333-151620, 333-133172, 333-123615, 333-63288, and 33-98396), and on Form S-3 (Nos. 333-210039 and 333-146416) of Acura Pharmaceuticals, Inc. of our report dated June 7, 2018, relating to the consolidated financial statements, which appear in this Form 10-K. Our report contains an explanatory paragraph regarding the Company’s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53"/>
        <w:spacing w:after="0" w:line="277" w:lineRule="auto"/>
        <w:tabs>
          <w:tab w:leader="none" w:pos="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right="2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2017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June 7, 2018</w:t>
            </w:r>
          </w:p>
        </w:tc>
        <w:tc>
          <w:tcPr>
            <w:tcW w:w="2960" w:type="dxa"/>
            <w:vAlign w:val="bottom"/>
          </w:tcPr>
          <w:p>
            <w:pPr>
              <w:ind w:left="24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33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2017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June 7, 2018</w:t>
            </w:r>
          </w:p>
        </w:tc>
        <w:tc>
          <w:tcPr>
            <w:tcW w:w="2960" w:type="dxa"/>
            <w:vAlign w:val="bottom"/>
          </w:tcPr>
          <w:p>
            <w:pPr>
              <w:ind w:left="24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Clemens</w:t>
            </w:r>
          </w:p>
        </w:tc>
      </w:tr>
      <w:tr>
        <w:trPr>
          <w:trHeight w:val="195"/>
        </w:trPr>
        <w:tc>
          <w:tcPr>
            <w:tcW w:w="33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lowerLetter"/>
      <w:start w:val="3"/>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bullet"/>
      <w:start w:val="1"/>
    </w:lvl>
  </w:abstractNum>
  <w:abstractNum w:abstractNumId="8">
    <w:nsid w:val="51EAD36B"/>
    <w:multiLevelType w:val="hybridMultilevel"/>
    <w:lvl w:ilvl="0">
      <w:lvlJc w:val="left"/>
      <w:lvlText w:val="2"/>
      <w:numFmt w:val="bullet"/>
      <w:start w:val="1"/>
    </w:lvl>
  </w:abstractNum>
  <w:abstractNum w:abstractNumId="9">
    <w:nsid w:val="2D517796"/>
    <w:multiLevelType w:val="hybridMultilevel"/>
    <w:lvl w:ilvl="0">
      <w:lvlJc w:val="left"/>
      <w:lvlText w:val="1"/>
      <w:numFmt w:val="bullet"/>
      <w:start w:val="1"/>
    </w:lvl>
  </w:abstractNum>
  <w:abstractNum w:abstractNumId="10">
    <w:nsid w:val="580BD78F"/>
    <w:multiLevelType w:val="hybridMultilevel"/>
    <w:lvl w:ilvl="0">
      <w:lvlJc w:val="left"/>
      <w:lvlText w:val="2"/>
      <w:numFmt w:val="bullet"/>
      <w:start w:val="1"/>
    </w:lvl>
  </w:abstractNum>
  <w:abstractNum w:abstractNumId="11">
    <w:nsid w:val="153EA438"/>
    <w:multiLevelType w:val="hybridMultilevel"/>
    <w:lvl w:ilvl="0">
      <w:lvlJc w:val="left"/>
      <w:lvlText w:val="1"/>
      <w:numFmt w:val="bullet"/>
      <w:start w:val="1"/>
    </w:lvl>
  </w:abstractNum>
  <w:abstractNum w:abstractNumId="12">
    <w:nsid w:val="3855585C"/>
    <w:multiLevelType w:val="hybridMultilevel"/>
    <w:lvl w:ilvl="0">
      <w:lvlJc w:val="left"/>
      <w:lvlText w:val="2"/>
      <w:numFmt w:val="bullet"/>
      <w:start w:val="1"/>
    </w:lvl>
  </w:abstractNum>
  <w:abstractNum w:abstractNumId="13">
    <w:nsid w:val="70A64E2A"/>
    <w:multiLevelType w:val="hybridMultilevel"/>
    <w:lvl w:ilvl="0">
      <w:lvlJc w:val="left"/>
      <w:lvlText w:val="%1"/>
      <w:numFmt w:val="upperLetter"/>
      <w:start w:val="6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lowerRoman"/>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lvl w:ilvl="1">
      <w:lvlJc w:val="left"/>
      <w:lvlText w:val="(%2)"/>
      <w:numFmt w:val="decimal"/>
      <w:start w:val="1"/>
    </w:lvl>
  </w:abstractNum>
  <w:abstractNum w:abstractNumId="37">
    <w:nsid w:val="374A3FE6"/>
    <w:multiLevelType w:val="hybridMultilevel"/>
    <w:lvl w:ilvl="0">
      <w:lvlJc w:val="left"/>
      <w:lvlText w:val="(%1)"/>
      <w:numFmt w:val="decimal"/>
      <w:start w:val="10"/>
    </w:lvl>
  </w:abstractNum>
  <w:abstractNum w:abstractNumId="38">
    <w:nsid w:val="4F4EF005"/>
    <w:multiLevelType w:val="hybridMultilevel"/>
    <w:lvl w:ilvl="0">
      <w:lvlJc w:val="left"/>
      <w:lvlText w:val="(%1)"/>
      <w:numFmt w:val="lowerLetter"/>
      <w:start w:val="1"/>
    </w:lvl>
    <w:lvl w:ilvl="1">
      <w:lvlJc w:val="left"/>
      <w:lvlText w:val="%2."/>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1)"/>
      <w:numFmt w:val="lowerRoman"/>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lowerRoman"/>
      <w:start w:val="1"/>
    </w:lvl>
  </w:abstractNum>
  <w:abstractNum w:abstractNumId="47">
    <w:nsid w:val="354FE9F9"/>
    <w:multiLevelType w:val="hybridMultilevel"/>
    <w:lvl w:ilvl="0">
      <w:lvlJc w:val="left"/>
      <w:lvlText w:val="(%1)"/>
      <w:numFmt w:val="lowerLetter"/>
      <w:start w:val="7"/>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5"/>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2"/>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lowerLetter"/>
      <w:start w:val="3"/>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3"/>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Roman"/>
      <w:start w:val="1"/>
    </w:lvl>
  </w:abstractNum>
  <w:abstractNum w:abstractNumId="63">
    <w:nsid w:val="1F48EAA1"/>
    <w:multiLevelType w:val="hybridMultilevel"/>
    <w:lvl w:ilvl="0">
      <w:lvlJc w:val="left"/>
      <w:lvlText w:val="(%1)"/>
      <w:numFmt w:val="lowerRoman"/>
      <w:start w:val="4"/>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2"/>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145" Type="http://schemas.openxmlformats.org/officeDocument/2006/relationships/hyperlink" Target="http://www.sec.gov/Archives/edgar/data/786947/000114420415040397/v414486_ex1-1.htm" TargetMode="External"/><Relationship Id="rId146" Type="http://schemas.openxmlformats.org/officeDocument/2006/relationships/hyperlink" Target="http://www.sec.gov/Archives/edgar/data/786947/000114420409034341/v153020_ex3-1.htm" TargetMode="External"/><Relationship Id="rId147" Type="http://schemas.openxmlformats.org/officeDocument/2006/relationships/hyperlink" Target="http://www.sec.gov/Archives/edgar/data/786947/000114420407065762/v096320_ex3-1.htm" TargetMode="External"/><Relationship Id="rId148" Type="http://schemas.openxmlformats.org/officeDocument/2006/relationships/hyperlink" Target="http://www.sec.gov/Archives/edgar/data/786947/000114420415052383/v419250_ex3-1.htm" TargetMode="External"/><Relationship Id="rId149" Type="http://schemas.openxmlformats.org/officeDocument/2006/relationships/hyperlink" Target="http://www.sec.gov/Archives/edgar/data/786947/000114420418028166/tv493947_ex3-2.htm" TargetMode="External"/><Relationship Id="rId150" Type="http://schemas.openxmlformats.org/officeDocument/2006/relationships/hyperlink" Target="http://www.sec.gov/Archives/edgar/data/786947/000114420416086913/v433718_ex4-1.htm" TargetMode="External"/><Relationship Id="rId151" Type="http://schemas.openxmlformats.org/officeDocument/2006/relationships/hyperlink" Target="http://www.sec.gov/Archives/edgar/data/786947/000114420415013292/v400005_ex10-9.htm" TargetMode="External"/><Relationship Id="rId152" Type="http://schemas.openxmlformats.org/officeDocument/2006/relationships/hyperlink" Target="http://www.sec.gov/Archives/edgar/data/786947/000114420415013292/v400005_ex10-10.htm" TargetMode="External"/><Relationship Id="rId153" Type="http://schemas.openxmlformats.org/officeDocument/2006/relationships/hyperlink" Target="http://www.sec.gov/Archives/edgar/data/786947/000114420415013292/v400005_ex10-11.htm" TargetMode="External"/><Relationship Id="rId154" Type="http://schemas.openxmlformats.org/officeDocument/2006/relationships/hyperlink" Target="http://www.sec.gov/Archives/edgar/data/786947/000114420417038822/v471679_ex4-1.htm" TargetMode="External"/><Relationship Id="rId155" Type="http://schemas.openxmlformats.org/officeDocument/2006/relationships/hyperlink" Target="http://www.sec.gov/Archives/edgar/data/786947/000114420411042215/v229537_ex10-1.htm" TargetMode="External"/><Relationship Id="rId156" Type="http://schemas.openxmlformats.org/officeDocument/2006/relationships/hyperlink" Target="http://www.sec.gov/Archives/edgar/data/786947/000114420407045483/v085726_ex10-1.htm" TargetMode="External"/><Relationship Id="rId157" Type="http://schemas.openxmlformats.org/officeDocument/2006/relationships/hyperlink" Target="http://www.sec.gov/Archives/edgar/data/786947/000114420417038822/v471679_ex10-1.htm" TargetMode="External"/><Relationship Id="rId158" Type="http://schemas.openxmlformats.org/officeDocument/2006/relationships/hyperlink" Target="http://www.sec.gov/Archives/edgar/data/786947/000114420414012919/v367838_ex10-6.htm" TargetMode="External"/><Relationship Id="rId159" Type="http://schemas.openxmlformats.org/officeDocument/2006/relationships/hyperlink" Target="http://www.sec.gov/Archives/edgar/data/786947/000114420415013292/v400005_ex10-8.htm" TargetMode="External"/><Relationship Id="rId160" Type="http://schemas.openxmlformats.org/officeDocument/2006/relationships/hyperlink" Target="http://www.sec.gov/Archives/edgar/data/786947/000114420417005960/v457956_ex10-6.htm" TargetMode="External"/><Relationship Id="rId161" Type="http://schemas.openxmlformats.org/officeDocument/2006/relationships/hyperlink" Target="http://www.sec.gov/Archives/edgar/data/786947/000114420414012919/v367838_ex10-8.htm" TargetMode="External"/><Relationship Id="rId162" Type="http://schemas.openxmlformats.org/officeDocument/2006/relationships/hyperlink" Target="http://www.sec.gov/Archives/edgar/data/786947/000114420415013292/v400005_ex10-13.htm" TargetMode="External"/><Relationship Id="rId163" Type="http://schemas.openxmlformats.org/officeDocument/2006/relationships/hyperlink" Target="http://www.sec.gov/Archives/edgar/data/786947/000114420416082837/v431764_ex10-1.htm" TargetMode="External"/><Relationship Id="rId164" Type="http://schemas.openxmlformats.org/officeDocument/2006/relationships/hyperlink" Target="http://www.sec.gov/Archives/edgar/data/786947/000095012304001491/y93872exv10w5.txt" TargetMode="External"/><Relationship Id="rId165" Type="http://schemas.openxmlformats.org/officeDocument/2006/relationships/hyperlink" Target="http://www.sec.gov/Archives/edgar/data/786947/000114420405034837/v028675_ex10-5.htm" TargetMode="External"/><Relationship Id="rId166" Type="http://schemas.openxmlformats.org/officeDocument/2006/relationships/hyperlink" Target="http://www.sec.gov/Archives/edgar/data/786947/000114420408004376/v100684_ex10-1.htm" TargetMode="External"/><Relationship Id="rId167" Type="http://schemas.openxmlformats.org/officeDocument/2006/relationships/hyperlink" Target="http://www.sec.gov/Archives/edgar/data/786947/000114420412054488/v324997_ex10-1.htm" TargetMode="External"/><Relationship Id="rId168" Type="http://schemas.openxmlformats.org/officeDocument/2006/relationships/hyperlink" Target="http://www.sec.gov/Archives/edgar/data/786947/000114420417039478/v471981_ex10-1.htm" TargetMode="External"/><Relationship Id="rId169" Type="http://schemas.openxmlformats.org/officeDocument/2006/relationships/hyperlink" Target="http://www.sec.gov/Archives/edgar/data/786947/000114420409025736/v148764_def14a.htm" TargetMode="External"/><Relationship Id="rId170" Type="http://schemas.openxmlformats.org/officeDocument/2006/relationships/hyperlink" Target="http://www.sec.gov/Archives/edgar/data/786947/000114420408020214/v109215_def14a.htm" TargetMode="External"/><Relationship Id="rId171" Type="http://schemas.openxmlformats.org/officeDocument/2006/relationships/hyperlink" Target="http://www.sec.gov/Archives/edgar/data/786947/000114420414015111/v370843_def14a.htm#tAPPA" TargetMode="External"/><Relationship Id="rId172" Type="http://schemas.openxmlformats.org/officeDocument/2006/relationships/hyperlink" Target="http://www.sec.gov/Archives/edgar/data/786947/000114420417058998/tv479450_ex10-1.htm" TargetMode="External"/><Relationship Id="rId173" Type="http://schemas.openxmlformats.org/officeDocument/2006/relationships/hyperlink" Target="http://www.sec.gov/Archives/edgar/data/786947/000114420416097159/v438308_ex10-1.htm" TargetMode="External"/><Relationship Id="rId174" Type="http://schemas.openxmlformats.org/officeDocument/2006/relationships/hyperlink" Target="http://www.sec.gov/Archives/edgar/data/786947/0000950123-98-003851.txt" TargetMode="External"/><Relationship Id="rId175" Type="http://schemas.openxmlformats.org/officeDocument/2006/relationships/hyperlink" Target="http://www.sec.gov/Archives/edgar/data/786947/000114420406007151/ex10-44.htm" TargetMode="External"/><Relationship Id="rId176" Type="http://schemas.openxmlformats.org/officeDocument/2006/relationships/hyperlink" Target="http://www.sec.gov/Archives/edgar/data/786947/000114420405002824/v011996_ex99-1.htm" TargetMode="External"/><Relationship Id="rId177" Type="http://schemas.openxmlformats.org/officeDocument/2006/relationships/hyperlink" Target="http://www.sec.gov/Archives/edgar/data/786947/000114420405040948/v031958_ex99-2.htm" TargetMode="External"/><Relationship Id="rId178" Type="http://schemas.openxmlformats.org/officeDocument/2006/relationships/hyperlink" Target="http://www.sec.gov/Archives/edgar/data/786947/000114420408013490/v105388_ex10-28.htm" TargetMode="External"/><Relationship Id="rId179" Type="http://schemas.openxmlformats.org/officeDocument/2006/relationships/hyperlink" Target="http://www.sec.gov/Archives/edgar/data/786947/000114420408039398/v119471_ex10-4.htm" TargetMode="External"/><Relationship Id="rId180" Type="http://schemas.openxmlformats.org/officeDocument/2006/relationships/hyperlink" Target="http://www.sec.gov/Archives/edgar/data/786947/000114420412068117/v330396_ex10-2.htm" TargetMode="External"/><Relationship Id="rId181" Type="http://schemas.openxmlformats.org/officeDocument/2006/relationships/hyperlink" Target="http://www.sec.gov/Archives/edgar/data/786947/000114420414012919/v367838_ex10-24.htm" TargetMode="External"/><Relationship Id="rId182" Type="http://schemas.openxmlformats.org/officeDocument/2006/relationships/hyperlink" Target="http://www.sec.gov/Archives/edgar/data/786947/000114420408016872/v107633_ex10-1.htm" TargetMode="External"/><Relationship Id="rId183" Type="http://schemas.openxmlformats.org/officeDocument/2006/relationships/hyperlink" Target="http://www.sec.gov/Archives/edgar/data/786947/000114420411042613/v227897_ex10-1.htm" TargetMode="External"/><Relationship Id="rId184" Type="http://schemas.openxmlformats.org/officeDocument/2006/relationships/hyperlink" Target="http://www.sec.gov/Archives/edgar/data/786947/000114420411042613/v227897_ex10-2.htm" TargetMode="External"/><Relationship Id="rId185" Type="http://schemas.openxmlformats.org/officeDocument/2006/relationships/hyperlink" Target="http://www.sec.gov/Archives/edgar/data/786947/000114420412068117/v330396_ex10-1.htm" TargetMode="External"/><Relationship Id="rId186" Type="http://schemas.openxmlformats.org/officeDocument/2006/relationships/hyperlink" Target="http://www.sec.gov/Archives/edgar/data/786947/000114420415040397/v414486_ex10-1.htm" TargetMode="External"/><Relationship Id="rId187" Type="http://schemas.openxmlformats.org/officeDocument/2006/relationships/hyperlink" Target="http://www.sec.gov/Archives/edgar/data/786947/000114420407066585/v096766_ex14-1.htm" TargetMode="External"/><Relationship Id="rId188" Type="http://schemas.openxmlformats.org/officeDocument/2006/relationships/hyperlink" Target="http://www.sec.gov/Archives/edgar/data/786947/000114420407012867/v068376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2019-12-28T21:41:53Z</dcterms:created>
  <dcterms:modified xsi:type="dcterms:W3CDTF">2019-12-28T21:41:53Z</dcterms:modified>
</cp:coreProperties>
</file>