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30"/>
        </w:trPr>
        <w:tc>
          <w:tcPr>
            <w:tcW w:w="13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40" w:type="dxa"/>
            <w:vAlign w:val="bottom"/>
            <w:vMerge w:val="restart"/>
          </w:tcPr>
          <w:p>
            <w:pPr>
              <w:jc w:val="center"/>
              <w:ind w:right="98"/>
              <w:spacing w:after="0"/>
              <w:rPr>
                <w:sz w:val="20"/>
                <w:szCs w:val="20"/>
                <w:color w:val="auto"/>
              </w:rPr>
            </w:pPr>
            <w:r>
              <w:rPr>
                <w:rFonts w:ascii="Times New Roman" w:cs="Times New Roman" w:eastAsia="Times New Roman" w:hAnsi="Times New Roman"/>
                <w:sz w:val="18"/>
                <w:szCs w:val="18"/>
                <w:b w:val="1"/>
                <w:bCs w:val="1"/>
                <w:color w:val="auto"/>
                <w:w w:val="98"/>
              </w:rPr>
              <w:t>UNITED STATES</w:t>
            </w:r>
          </w:p>
        </w:tc>
        <w:tc>
          <w:tcPr>
            <w:tcW w:w="660" w:type="dxa"/>
            <w:vAlign w:val="bottom"/>
            <w:tcBorders>
              <w:right w:val="single" w:sz="8" w:color="auto"/>
            </w:tcBorders>
          </w:tcPr>
          <w:p>
            <w:pPr>
              <w:spacing w:after="0"/>
              <w:rPr>
                <w:sz w:val="19"/>
                <w:szCs w:val="19"/>
                <w:color w:val="auto"/>
              </w:rPr>
            </w:pPr>
          </w:p>
        </w:tc>
        <w:tc>
          <w:tcPr>
            <w:tcW w:w="3360" w:type="dxa"/>
            <w:vAlign w:val="bottom"/>
            <w:tcBorders>
              <w:top w:val="single" w:sz="8" w:color="auto"/>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OMB APPROVAL</w:t>
            </w:r>
          </w:p>
        </w:tc>
        <w:tc>
          <w:tcPr>
            <w:tcW w:w="0" w:type="dxa"/>
            <w:vAlign w:val="bottom"/>
          </w:tcPr>
          <w:p>
            <w:pPr>
              <w:spacing w:after="0"/>
              <w:rPr>
                <w:sz w:val="1"/>
                <w:szCs w:val="1"/>
                <w:color w:val="auto"/>
              </w:rPr>
            </w:pPr>
          </w:p>
        </w:tc>
      </w:tr>
      <w:tr>
        <w:trPr>
          <w:trHeight w:val="174"/>
        </w:trPr>
        <w:tc>
          <w:tcPr>
            <w:tcW w:w="13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040" w:type="dxa"/>
            <w:vAlign w:val="bottom"/>
            <w:vMerge w:val="continue"/>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1800" w:type="dxa"/>
            <w:vAlign w:val="bottom"/>
          </w:tcPr>
          <w:p>
            <w:pPr>
              <w:ind w:left="20"/>
              <w:spacing w:after="0" w:line="174" w:lineRule="exact"/>
              <w:rPr>
                <w:sz w:val="20"/>
                <w:szCs w:val="20"/>
                <w:color w:val="auto"/>
              </w:rPr>
            </w:pPr>
            <w:r>
              <w:rPr>
                <w:rFonts w:ascii="Times New Roman" w:cs="Times New Roman" w:eastAsia="Times New Roman" w:hAnsi="Times New Roman"/>
                <w:sz w:val="18"/>
                <w:szCs w:val="18"/>
                <w:color w:val="auto"/>
              </w:rPr>
              <w:t>OMB Number:</w:t>
            </w:r>
          </w:p>
        </w:tc>
        <w:tc>
          <w:tcPr>
            <w:tcW w:w="1560" w:type="dxa"/>
            <w:vAlign w:val="bottom"/>
            <w:tcBorders>
              <w:right w:val="single" w:sz="8" w:color="auto"/>
            </w:tcBorders>
          </w:tcPr>
          <w:p>
            <w:pPr>
              <w:jc w:val="right"/>
              <w:spacing w:after="0" w:line="174" w:lineRule="exact"/>
              <w:rPr>
                <w:sz w:val="20"/>
                <w:szCs w:val="20"/>
                <w:color w:val="auto"/>
              </w:rPr>
            </w:pPr>
            <w:r>
              <w:rPr>
                <w:rFonts w:ascii="Times New Roman" w:cs="Times New Roman" w:eastAsia="Times New Roman" w:hAnsi="Times New Roman"/>
                <w:sz w:val="18"/>
                <w:szCs w:val="18"/>
                <w:color w:val="auto"/>
              </w:rPr>
              <w:t>3235-0058</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860" w:type="dxa"/>
            <w:vAlign w:val="bottom"/>
            <w:tcBorders>
              <w:right w:val="single" w:sz="8" w:color="auto"/>
            </w:tcBorders>
            <w:gridSpan w:val="3"/>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SECURITIES AND EXCHANGE COMMISSION</w:t>
            </w:r>
          </w:p>
        </w:tc>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Expires:</w:t>
            </w:r>
          </w:p>
        </w:tc>
        <w:tc>
          <w:tcPr>
            <w:tcW w:w="15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April 30, 2025</w:t>
            </w:r>
          </w:p>
        </w:tc>
        <w:tc>
          <w:tcPr>
            <w:tcW w:w="0" w:type="dxa"/>
            <w:vAlign w:val="bottom"/>
          </w:tcPr>
          <w:p>
            <w:pPr>
              <w:spacing w:after="0"/>
              <w:rPr>
                <w:sz w:val="1"/>
                <w:szCs w:val="1"/>
                <w:color w:val="auto"/>
              </w:rPr>
            </w:pPr>
          </w:p>
        </w:tc>
      </w:tr>
      <w:tr>
        <w:trPr>
          <w:trHeight w:val="233"/>
        </w:trPr>
        <w:tc>
          <w:tcPr>
            <w:tcW w:w="13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040" w:type="dxa"/>
            <w:vAlign w:val="bottom"/>
          </w:tcPr>
          <w:p>
            <w:pPr>
              <w:jc w:val="center"/>
              <w:ind w:right="98"/>
              <w:spacing w:after="0"/>
              <w:rPr>
                <w:sz w:val="20"/>
                <w:szCs w:val="20"/>
                <w:color w:val="auto"/>
              </w:rPr>
            </w:pPr>
            <w:r>
              <w:rPr>
                <w:rFonts w:ascii="Times New Roman" w:cs="Times New Roman" w:eastAsia="Times New Roman" w:hAnsi="Times New Roman"/>
                <w:sz w:val="18"/>
                <w:szCs w:val="18"/>
                <w:b w:val="1"/>
                <w:bCs w:val="1"/>
                <w:color w:val="auto"/>
                <w:w w:val="99"/>
              </w:rPr>
              <w:t>Washington, D.C. 20549</w:t>
            </w:r>
          </w:p>
        </w:tc>
        <w:tc>
          <w:tcPr>
            <w:tcW w:w="660" w:type="dxa"/>
            <w:vAlign w:val="bottom"/>
            <w:tcBorders>
              <w:right w:val="single" w:sz="8" w:color="auto"/>
            </w:tcBorders>
          </w:tcPr>
          <w:p>
            <w:pPr>
              <w:spacing w:after="0"/>
              <w:rPr>
                <w:sz w:val="20"/>
                <w:szCs w:val="20"/>
                <w:color w:val="auto"/>
              </w:rPr>
            </w:pPr>
          </w:p>
        </w:tc>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Estimated average</w:t>
            </w:r>
          </w:p>
        </w:tc>
        <w:tc>
          <w:tcPr>
            <w:tcW w:w="15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burden hours per</w:t>
            </w:r>
          </w:p>
        </w:tc>
        <w:tc>
          <w:tcPr>
            <w:tcW w:w="1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8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response.</w:t>
            </w:r>
          </w:p>
        </w:tc>
        <w:tc>
          <w:tcPr>
            <w:tcW w:w="15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425"/>
        </w:trPr>
        <w:tc>
          <w:tcPr>
            <w:tcW w:w="13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60" w:type="dxa"/>
            <w:vAlign w:val="bottom"/>
            <w:tcBorders>
              <w:bottom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3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040" w:type="dxa"/>
            <w:vAlign w:val="bottom"/>
            <w:vMerge w:val="restart"/>
          </w:tcPr>
          <w:p>
            <w:pPr>
              <w:jc w:val="center"/>
              <w:ind w:right="118"/>
              <w:spacing w:after="0"/>
              <w:rPr>
                <w:sz w:val="20"/>
                <w:szCs w:val="20"/>
                <w:color w:val="auto"/>
              </w:rPr>
            </w:pPr>
            <w:r>
              <w:rPr>
                <w:rFonts w:ascii="Times New Roman" w:cs="Times New Roman" w:eastAsia="Times New Roman" w:hAnsi="Times New Roman"/>
                <w:sz w:val="25"/>
                <w:szCs w:val="25"/>
                <w:b w:val="1"/>
                <w:bCs w:val="1"/>
                <w:color w:val="auto"/>
              </w:rPr>
              <w:t>FORM 12b-25</w:t>
            </w:r>
          </w:p>
        </w:tc>
        <w:tc>
          <w:tcPr>
            <w:tcW w:w="660" w:type="dxa"/>
            <w:vAlign w:val="bottom"/>
            <w:tcBorders>
              <w:right w:val="single" w:sz="8" w:color="auto"/>
            </w:tcBorders>
          </w:tcPr>
          <w:p>
            <w:pPr>
              <w:spacing w:after="0"/>
              <w:rPr>
                <w:sz w:val="16"/>
                <w:szCs w:val="16"/>
                <w:color w:val="auto"/>
              </w:rPr>
            </w:pPr>
          </w:p>
        </w:tc>
        <w:tc>
          <w:tcPr>
            <w:tcW w:w="3360" w:type="dxa"/>
            <w:vAlign w:val="bottom"/>
            <w:tcBorders>
              <w:right w:val="single" w:sz="8" w:color="auto"/>
            </w:tcBorders>
            <w:gridSpan w:val="2"/>
          </w:tcPr>
          <w:p>
            <w:pPr>
              <w:jc w:val="center"/>
              <w:spacing w:after="0" w:line="191" w:lineRule="exact"/>
              <w:rPr>
                <w:sz w:val="20"/>
                <w:szCs w:val="20"/>
                <w:color w:val="auto"/>
              </w:rPr>
            </w:pPr>
            <w:r>
              <w:rPr>
                <w:rFonts w:ascii="Times New Roman" w:cs="Times New Roman" w:eastAsia="Times New Roman" w:hAnsi="Times New Roman"/>
                <w:sz w:val="18"/>
                <w:szCs w:val="18"/>
                <w:color w:val="auto"/>
              </w:rPr>
              <w:t>SEC FILE NUMBER</w:t>
            </w:r>
          </w:p>
        </w:tc>
        <w:tc>
          <w:tcPr>
            <w:tcW w:w="0" w:type="dxa"/>
            <w:vAlign w:val="bottom"/>
          </w:tcPr>
          <w:p>
            <w:pPr>
              <w:spacing w:after="0"/>
              <w:rPr>
                <w:sz w:val="1"/>
                <w:szCs w:val="1"/>
                <w:color w:val="auto"/>
              </w:rPr>
            </w:pPr>
          </w:p>
        </w:tc>
      </w:tr>
      <w:tr>
        <w:trPr>
          <w:trHeight w:val="162"/>
        </w:trPr>
        <w:tc>
          <w:tcPr>
            <w:tcW w:w="13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40" w:type="dxa"/>
            <w:vAlign w:val="bottom"/>
            <w:vMerge w:val="continue"/>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18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1-10113</w:t>
            </w:r>
          </w:p>
        </w:tc>
        <w:tc>
          <w:tcPr>
            <w:tcW w:w="15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73"/>
        </w:trPr>
        <w:tc>
          <w:tcPr>
            <w:tcW w:w="132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3040" w:type="dxa"/>
            <w:vAlign w:val="bottom"/>
          </w:tcPr>
          <w:p>
            <w:pPr>
              <w:spacing w:after="0"/>
              <w:rPr>
                <w:sz w:val="6"/>
                <w:szCs w:val="6"/>
                <w:color w:val="auto"/>
              </w:rPr>
            </w:pPr>
          </w:p>
        </w:tc>
        <w:tc>
          <w:tcPr>
            <w:tcW w:w="660" w:type="dxa"/>
            <w:vAlign w:val="bottom"/>
            <w:tcBorders>
              <w:right w:val="single" w:sz="8" w:color="auto"/>
            </w:tcBorders>
          </w:tcPr>
          <w:p>
            <w:pPr>
              <w:spacing w:after="0"/>
              <w:rPr>
                <w:sz w:val="6"/>
                <w:szCs w:val="6"/>
                <w:color w:val="auto"/>
              </w:rPr>
            </w:pPr>
          </w:p>
        </w:tc>
        <w:tc>
          <w:tcPr>
            <w:tcW w:w="1800" w:type="dxa"/>
            <w:vAlign w:val="bottom"/>
            <w:tcBorders>
              <w:bottom w:val="single" w:sz="8" w:color="auto"/>
            </w:tcBorders>
            <w:vMerge w:val="continue"/>
          </w:tcPr>
          <w:p>
            <w:pPr>
              <w:spacing w:after="0"/>
              <w:rPr>
                <w:sz w:val="6"/>
                <w:szCs w:val="6"/>
                <w:color w:val="auto"/>
              </w:rPr>
            </w:pPr>
          </w:p>
        </w:tc>
        <w:tc>
          <w:tcPr>
            <w:tcW w:w="15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13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3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040" w:type="dxa"/>
            <w:vAlign w:val="bottom"/>
            <w:vMerge w:val="restart"/>
          </w:tcPr>
          <w:p>
            <w:pPr>
              <w:jc w:val="center"/>
              <w:ind w:right="118"/>
              <w:spacing w:after="0"/>
              <w:rPr>
                <w:sz w:val="20"/>
                <w:szCs w:val="20"/>
                <w:color w:val="auto"/>
              </w:rPr>
            </w:pPr>
            <w:r>
              <w:rPr>
                <w:rFonts w:ascii="Times New Roman" w:cs="Times New Roman" w:eastAsia="Times New Roman" w:hAnsi="Times New Roman"/>
                <w:sz w:val="18"/>
                <w:szCs w:val="18"/>
                <w:b w:val="1"/>
                <w:bCs w:val="1"/>
                <w:color w:val="auto"/>
                <w:w w:val="98"/>
              </w:rPr>
              <w:t>NOTIFICATION OF LATE FILING</w:t>
            </w:r>
          </w:p>
        </w:tc>
        <w:tc>
          <w:tcPr>
            <w:tcW w:w="660" w:type="dxa"/>
            <w:vAlign w:val="bottom"/>
            <w:tcBorders>
              <w:right w:val="single" w:sz="8" w:color="auto"/>
            </w:tcBorders>
          </w:tcPr>
          <w:p>
            <w:pPr>
              <w:spacing w:after="0"/>
              <w:rPr>
                <w:sz w:val="16"/>
                <w:szCs w:val="16"/>
                <w:color w:val="auto"/>
              </w:rPr>
            </w:pPr>
          </w:p>
        </w:tc>
        <w:tc>
          <w:tcPr>
            <w:tcW w:w="3360" w:type="dxa"/>
            <w:vAlign w:val="bottom"/>
            <w:tcBorders>
              <w:right w:val="single" w:sz="8" w:color="auto"/>
            </w:tcBorders>
            <w:gridSpan w:val="2"/>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CUSIP NUMBER</w:t>
            </w:r>
          </w:p>
        </w:tc>
        <w:tc>
          <w:tcPr>
            <w:tcW w:w="0" w:type="dxa"/>
            <w:vAlign w:val="bottom"/>
          </w:tcPr>
          <w:p>
            <w:pPr>
              <w:spacing w:after="0"/>
              <w:rPr>
                <w:sz w:val="1"/>
                <w:szCs w:val="1"/>
                <w:color w:val="auto"/>
              </w:rPr>
            </w:pPr>
          </w:p>
        </w:tc>
      </w:tr>
      <w:tr>
        <w:trPr>
          <w:trHeight w:val="234"/>
        </w:trPr>
        <w:tc>
          <w:tcPr>
            <w:tcW w:w="13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040" w:type="dxa"/>
            <w:vAlign w:val="bottom"/>
            <w:vMerge w:val="continue"/>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8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00509L 802</w:t>
            </w:r>
          </w:p>
        </w:tc>
        <w:tc>
          <w:tcPr>
            <w:tcW w:w="15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88"/>
        </w:trPr>
        <w:tc>
          <w:tcPr>
            <w:tcW w:w="13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(Check one):</w:t>
            </w:r>
          </w:p>
        </w:tc>
        <w:tc>
          <w:tcPr>
            <w:tcW w:w="1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 ] Form 10-K</w:t>
            </w:r>
          </w:p>
        </w:tc>
        <w:tc>
          <w:tcPr>
            <w:tcW w:w="1160" w:type="dxa"/>
            <w:vAlign w:val="bottom"/>
          </w:tcPr>
          <w:p>
            <w:pPr>
              <w:ind w:left="180"/>
              <w:spacing w:after="0" w:line="207" w:lineRule="exact"/>
              <w:rPr>
                <w:sz w:val="20"/>
                <w:szCs w:val="20"/>
                <w:color w:val="auto"/>
              </w:rPr>
            </w:pPr>
            <w:r>
              <w:rPr>
                <w:rFonts w:ascii="MS PGothic" w:cs="MS PGothic" w:eastAsia="MS PGothic" w:hAnsi="MS PGothic"/>
                <w:sz w:val="18"/>
                <w:szCs w:val="18"/>
                <w:color w:val="auto"/>
                <w:w w:val="95"/>
              </w:rPr>
              <w:t>☐</w:t>
            </w:r>
            <w:r>
              <w:rPr>
                <w:rFonts w:ascii="Times New Roman" w:cs="Times New Roman" w:eastAsia="Times New Roman" w:hAnsi="Times New Roman"/>
                <w:sz w:val="18"/>
                <w:szCs w:val="18"/>
                <w:color w:val="auto"/>
                <w:w w:val="95"/>
              </w:rPr>
              <w:t xml:space="preserve"> Form 20-F</w:t>
            </w:r>
          </w:p>
        </w:tc>
        <w:tc>
          <w:tcPr>
            <w:tcW w:w="3040" w:type="dxa"/>
            <w:vAlign w:val="bottom"/>
          </w:tcPr>
          <w:p>
            <w:pPr>
              <w:ind w:left="500"/>
              <w:spacing w:after="0" w:line="207" w:lineRule="exact"/>
              <w:rPr>
                <w:sz w:val="20"/>
                <w:szCs w:val="20"/>
                <w:color w:val="auto"/>
              </w:rPr>
            </w:pPr>
            <w:r>
              <w:rPr>
                <w:rFonts w:ascii="MS PGothic" w:cs="MS PGothic" w:eastAsia="MS PGothic" w:hAnsi="MS PGothic"/>
                <w:sz w:val="18"/>
                <w:szCs w:val="18"/>
                <w:color w:val="auto"/>
                <w:w w:val="96"/>
              </w:rPr>
              <w:t>☐</w:t>
            </w:r>
            <w:r>
              <w:rPr>
                <w:rFonts w:ascii="Times New Roman" w:cs="Times New Roman" w:eastAsia="Times New Roman" w:hAnsi="Times New Roman"/>
                <w:sz w:val="18"/>
                <w:szCs w:val="18"/>
                <w:color w:val="auto"/>
                <w:w w:val="96"/>
              </w:rPr>
              <w:t xml:space="preserve"> Form 11-K</w:t>
            </w:r>
            <w:r>
              <w:rPr>
                <w:rFonts w:ascii="MS PGothic" w:cs="MS PGothic" w:eastAsia="MS PGothic" w:hAnsi="MS PGothic"/>
                <w:sz w:val="18"/>
                <w:szCs w:val="18"/>
                <w:color w:val="auto"/>
                <w:w w:val="96"/>
              </w:rPr>
              <w:t xml:space="preserve">☐ </w:t>
            </w:r>
            <w:r>
              <w:rPr>
                <w:rFonts w:ascii="Times New Roman" w:cs="Times New Roman" w:eastAsia="Times New Roman" w:hAnsi="Times New Roman"/>
                <w:sz w:val="18"/>
                <w:szCs w:val="18"/>
                <w:color w:val="auto"/>
                <w:w w:val="96"/>
              </w:rPr>
              <w:t>Form 10-Q</w:t>
            </w:r>
          </w:p>
        </w:tc>
        <w:tc>
          <w:tcPr>
            <w:tcW w:w="2460" w:type="dxa"/>
            <w:vAlign w:val="bottom"/>
            <w:gridSpan w:val="2"/>
          </w:tcPr>
          <w:p>
            <w:pPr>
              <w:ind w:left="18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10-D</w:t>
            </w: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1320" w:type="dxa"/>
            <w:vAlign w:val="bottom"/>
          </w:tcPr>
          <w:p>
            <w:pPr>
              <w:spacing w:after="0"/>
              <w:rPr>
                <w:sz w:val="24"/>
                <w:szCs w:val="24"/>
                <w:color w:val="auto"/>
              </w:rPr>
            </w:pPr>
          </w:p>
        </w:tc>
        <w:tc>
          <w:tcPr>
            <w:tcW w:w="1720" w:type="dxa"/>
            <w:vAlign w:val="bottom"/>
          </w:tcPr>
          <w:p>
            <w:pPr>
              <w:ind w:left="38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N-CEN</w:t>
            </w:r>
          </w:p>
        </w:tc>
        <w:tc>
          <w:tcPr>
            <w:tcW w:w="4200" w:type="dxa"/>
            <w:vAlign w:val="bottom"/>
            <w:gridSpan w:val="2"/>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N-CSR</w:t>
            </w:r>
          </w:p>
        </w:tc>
        <w:tc>
          <w:tcPr>
            <w:tcW w:w="6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5"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1700"/>
        <w:spacing w:after="0"/>
        <w:rPr>
          <w:sz w:val="20"/>
          <w:szCs w:val="20"/>
          <w:color w:val="auto"/>
        </w:rPr>
      </w:pPr>
      <w:r>
        <w:rPr>
          <w:rFonts w:ascii="Times New Roman" w:cs="Times New Roman" w:eastAsia="Times New Roman" w:hAnsi="Times New Roman"/>
          <w:sz w:val="18"/>
          <w:szCs w:val="18"/>
          <w:color w:val="auto"/>
        </w:rPr>
        <w:t>For Period Ended:  December 31, 2024</w:t>
      </w:r>
    </w:p>
    <w:p>
      <w:pPr>
        <w:spacing w:after="0" w:line="22" w:lineRule="exact"/>
        <w:rPr>
          <w:sz w:val="24"/>
          <w:szCs w:val="24"/>
          <w:color w:val="auto"/>
        </w:rPr>
      </w:pPr>
    </w:p>
    <w:p>
      <w:pPr>
        <w:ind w:left="1900" w:hanging="205"/>
        <w:spacing w:after="0"/>
        <w:tabs>
          <w:tab w:leader="none" w:pos="19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10-K</w:t>
      </w:r>
    </w:p>
    <w:p>
      <w:pPr>
        <w:spacing w:after="0" w:line="15" w:lineRule="exact"/>
        <w:rPr>
          <w:rFonts w:ascii="MS PGothic" w:cs="MS PGothic" w:eastAsia="MS PGothic" w:hAnsi="MS PGothic"/>
          <w:sz w:val="18"/>
          <w:szCs w:val="18"/>
          <w:color w:val="auto"/>
        </w:rPr>
      </w:pPr>
    </w:p>
    <w:p>
      <w:pPr>
        <w:ind w:left="1900" w:hanging="205"/>
        <w:spacing w:after="0"/>
        <w:tabs>
          <w:tab w:leader="none" w:pos="19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20-F</w:t>
      </w:r>
    </w:p>
    <w:p>
      <w:pPr>
        <w:spacing w:after="0" w:line="9" w:lineRule="exact"/>
        <w:rPr>
          <w:rFonts w:ascii="MS PGothic" w:cs="MS PGothic" w:eastAsia="MS PGothic" w:hAnsi="MS PGothic"/>
          <w:sz w:val="18"/>
          <w:szCs w:val="18"/>
          <w:color w:val="auto"/>
        </w:rPr>
      </w:pPr>
    </w:p>
    <w:p>
      <w:pPr>
        <w:ind w:left="1900" w:hanging="205"/>
        <w:spacing w:after="0"/>
        <w:tabs>
          <w:tab w:leader="none" w:pos="19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11-K</w:t>
      </w:r>
    </w:p>
    <w:p>
      <w:pPr>
        <w:spacing w:after="0" w:line="9" w:lineRule="exact"/>
        <w:rPr>
          <w:rFonts w:ascii="MS PGothic" w:cs="MS PGothic" w:eastAsia="MS PGothic" w:hAnsi="MS PGothic"/>
          <w:sz w:val="18"/>
          <w:szCs w:val="18"/>
          <w:color w:val="auto"/>
        </w:rPr>
      </w:pPr>
    </w:p>
    <w:p>
      <w:pPr>
        <w:ind w:left="1900" w:hanging="205"/>
        <w:spacing w:after="0"/>
        <w:tabs>
          <w:tab w:leader="none" w:pos="19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10-Q</w:t>
      </w:r>
    </w:p>
    <w:p>
      <w:pPr>
        <w:spacing w:after="0" w:line="9" w:lineRule="exact"/>
        <w:rPr>
          <w:sz w:val="24"/>
          <w:szCs w:val="24"/>
          <w:color w:val="auto"/>
        </w:rPr>
      </w:pPr>
    </w:p>
    <w:p>
      <w:pPr>
        <w:ind w:left="1960"/>
        <w:spacing w:after="0"/>
        <w:rPr>
          <w:sz w:val="20"/>
          <w:szCs w:val="20"/>
          <w:color w:val="auto"/>
        </w:rPr>
      </w:pPr>
      <w:r>
        <w:rPr>
          <w:rFonts w:ascii="Times New Roman" w:cs="Times New Roman" w:eastAsia="Times New Roman" w:hAnsi="Times New Roman"/>
          <w:sz w:val="18"/>
          <w:szCs w:val="18"/>
          <w:color w:val="auto"/>
        </w:rPr>
        <w:t>For the Transition Period Ended: ____________________</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the notification relates to a portion of the filing checked above, identify the Item(s) to which the notification relates:</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REGISTRANT INFORMATION</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Acura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Full Name of Registrant</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Former Name if Applicable</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616 N. North Court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Address of Principal Executive Office </w:t>
      </w:r>
      <w:r>
        <w:rPr>
          <w:rFonts w:ascii="Times New Roman" w:cs="Times New Roman" w:eastAsia="Times New Roman" w:hAnsi="Times New Roman"/>
          <w:sz w:val="18"/>
          <w:szCs w:val="18"/>
          <w:i w:val="1"/>
          <w:iCs w:val="1"/>
          <w:color w:val="auto"/>
        </w:rPr>
        <w:t>(Street and Number)</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Palatine, IL 60067-8121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City, State and Zip Code</w:t>
      </w: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RULES 12b-25(b) AND (c)</w:t>
      </w:r>
    </w:p>
    <w:p>
      <w:pPr>
        <w:spacing w:after="0" w:line="229" w:lineRule="exact"/>
        <w:rPr>
          <w:sz w:val="24"/>
          <w:szCs w:val="24"/>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If the subject report could not be filed without unreasonable effort or expense and the registrant seeks relief pursuant to Rule 12b-25(b), the following should be completed. (Check box if appropriate)</w:t>
      </w:r>
    </w:p>
    <w:p>
      <w:pPr>
        <w:spacing w:after="0" w:line="270" w:lineRule="exact"/>
        <w:rPr>
          <w:sz w:val="24"/>
          <w:szCs w:val="24"/>
          <w:color w:val="auto"/>
        </w:rPr>
      </w:pPr>
    </w:p>
    <w:p>
      <w:pPr>
        <w:ind w:left="1260" w:hanging="456"/>
        <w:spacing w:after="0"/>
        <w:tabs>
          <w:tab w:leader="none" w:pos="12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reason described in reasonable detail in Part III of this form could not be eliminated without unreasonable effort or expense;</w:t>
      </w:r>
    </w:p>
    <w:p>
      <w:pPr>
        <w:spacing w:after="0" w:line="225" w:lineRule="exact"/>
        <w:rPr>
          <w:rFonts w:ascii="Times New Roman" w:cs="Times New Roman" w:eastAsia="Times New Roman" w:hAnsi="Times New Roman"/>
          <w:sz w:val="18"/>
          <w:szCs w:val="18"/>
          <w:color w:val="auto"/>
        </w:rPr>
      </w:pPr>
    </w:p>
    <w:p>
      <w:pPr>
        <w:ind w:left="1260" w:hanging="456"/>
        <w:spacing w:after="0"/>
        <w:tabs>
          <w:tab w:leader="none" w:pos="12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subject annual report, semi-annual report, transition report on Form 10-K, Form 20-F, Form 11-K, Form N-CEN or Form N-CSR, or</w:t>
      </w:r>
    </w:p>
    <w:p>
      <w:pPr>
        <w:spacing w:after="0" w:line="27" w:lineRule="exact"/>
        <w:rPr>
          <w:rFonts w:ascii="Times New Roman" w:cs="Times New Roman" w:eastAsia="Times New Roman" w:hAnsi="Times New Roman"/>
          <w:sz w:val="18"/>
          <w:szCs w:val="18"/>
          <w:color w:val="auto"/>
        </w:rPr>
      </w:pPr>
    </w:p>
    <w:p>
      <w:pPr>
        <w:jc w:val="both"/>
        <w:ind w:left="1260" w:hanging="963"/>
        <w:spacing w:after="0" w:line="187" w:lineRule="auto"/>
        <w:tabs>
          <w:tab w:leader="none" w:pos="1260" w:val="left"/>
        </w:tabs>
        <w:numPr>
          <w:ilvl w:val="0"/>
          <w:numId w:val="2"/>
        </w:numPr>
        <w:rPr>
          <w:rFonts w:ascii="Times New Roman" w:cs="Times New Roman" w:eastAsia="Times New Roman" w:hAnsi="Times New Roman"/>
          <w:sz w:val="36"/>
          <w:szCs w:val="36"/>
          <w:color w:val="auto"/>
          <w:vertAlign w:val="subscript"/>
        </w:rPr>
      </w:pPr>
      <w:r>
        <w:rPr>
          <w:rFonts w:ascii="Times New Roman" w:cs="Times New Roman" w:eastAsia="Times New Roman" w:hAnsi="Times New Roman"/>
          <w:sz w:val="18"/>
          <w:szCs w:val="18"/>
          <w:color w:val="auto"/>
        </w:rPr>
        <w:t>portion thereof, will be filed on or before the fifteenth calendar day following the prescribed due date; or the subject quarterly report or transition report on Form 10-Q or subject distribution report on Form 10-D,or portion thereof, will be filed on or before the fifth calendar day following the prescribed due date; and</w:t>
      </w:r>
    </w:p>
    <w:p>
      <w:pPr>
        <w:spacing w:after="0" w:line="200" w:lineRule="exact"/>
        <w:rPr>
          <w:rFonts w:ascii="Times New Roman" w:cs="Times New Roman" w:eastAsia="Times New Roman" w:hAnsi="Times New Roman"/>
          <w:sz w:val="36"/>
          <w:szCs w:val="36"/>
          <w:color w:val="auto"/>
          <w:vertAlign w:val="subscript"/>
        </w:rPr>
      </w:pPr>
    </w:p>
    <w:p>
      <w:pPr>
        <w:ind w:left="1260" w:hanging="456"/>
        <w:spacing w:after="0"/>
        <w:tabs>
          <w:tab w:leader="none" w:pos="12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accountant’s statement or other exhibit required by Rule 12b-25(c) has been attached if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591820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PART III — NARRATIVE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State below in reasonable detail the reasons why Forms 10-K, 20-F, 11-K, 10-Q, 10-D, N-CEN, N-CSR, or the transition report or portion thereof, could not be filed within the prescribed time period.</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Registrant’s Annual Report on Form 10-K for the annual period ended December 31, 2024 will not be filed within the prescribed time period because of the Company’s liquidity including the Company’s ability to meet day-to-day operation obligations. We continue to work on finding funding solutions and are dependent on the receipt of loans from Abuse Deterrent Pharma, LLC, which are used to meet day-to-day operation obligations, although no assurance can be made that the receipt of such loans will continue or be sufficient to meet long-term day-to-day operation obligations. We have not filed our Annual Reports for the year ended December 31, 2022 nor December 31, 2023. We have not filed our Quarterly Reports for any of the quarterly periods in our fiscal year of 2022, 2023 or 2024. We have appointed and announced in February 2024, a new independent registered public accounting firm for the Company. We have halted our public accounting firm’s review services on each of our 2022 and 2023 quarterly results and their audit services on our 2022 and 2023 annual results, pending finding funding solutions and/or the receipt of loans from Abuse Deterrent Pharma, LLC; which may meet day-to-day operation obligations on a longer term basis. We have not engaged the independent registered public accounting firm for their review and audit services on our quarterly and annual results for 2024. We cannot provide nor can any assurance can be given that the Company will be successful in filing any of the above mentioned reports or securing any funding solutions. The Company assumes no duty to update the status of the annual audits or quarterly reviews until the Annual Reports and the Quarterly Reports are filed with the SEC.</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IV — OTHER INFORMATION</w:t>
      </w:r>
    </w:p>
    <w:p>
      <w:pPr>
        <w:spacing w:after="0" w:line="229" w:lineRule="exact"/>
        <w:rPr>
          <w:sz w:val="20"/>
          <w:szCs w:val="20"/>
          <w:color w:val="auto"/>
        </w:rPr>
      </w:pPr>
    </w:p>
    <w:p>
      <w:pPr>
        <w:ind w:left="580" w:hanging="572"/>
        <w:spacing w:after="0"/>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and telephone number of person to contact in regard to this notification</w:t>
      </w:r>
    </w:p>
    <w:p>
      <w:pPr>
        <w:spacing w:after="0" w:line="225"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628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Robert A. Seiser</w:t>
            </w:r>
          </w:p>
        </w:tc>
        <w:tc>
          <w:tcPr>
            <w:tcW w:w="1920" w:type="dxa"/>
            <w:vAlign w:val="bottom"/>
            <w:gridSpan w:val="2"/>
          </w:tcPr>
          <w:p>
            <w:pPr>
              <w:jc w:val="right"/>
              <w:ind w:right="730"/>
              <w:spacing w:after="0"/>
              <w:rPr>
                <w:sz w:val="20"/>
                <w:szCs w:val="20"/>
                <w:color w:val="auto"/>
              </w:rPr>
            </w:pPr>
            <w:r>
              <w:rPr>
                <w:rFonts w:ascii="Times New Roman" w:cs="Times New Roman" w:eastAsia="Times New Roman" w:hAnsi="Times New Roman"/>
                <w:sz w:val="18"/>
                <w:szCs w:val="18"/>
                <w:color w:val="auto"/>
              </w:rPr>
              <w:t>847</w:t>
            </w:r>
          </w:p>
        </w:tc>
        <w:tc>
          <w:tcPr>
            <w:tcW w:w="2460" w:type="dxa"/>
            <w:vAlign w:val="bottom"/>
            <w:gridSpan w:val="2"/>
          </w:tcPr>
          <w:p>
            <w:pPr>
              <w:jc w:val="right"/>
              <w:ind w:right="750"/>
              <w:spacing w:after="0"/>
              <w:rPr>
                <w:sz w:val="20"/>
                <w:szCs w:val="20"/>
                <w:color w:val="auto"/>
              </w:rPr>
            </w:pPr>
            <w:r>
              <w:rPr>
                <w:rFonts w:ascii="Times New Roman" w:cs="Times New Roman" w:eastAsia="Times New Roman" w:hAnsi="Times New Roman"/>
                <w:sz w:val="18"/>
                <w:szCs w:val="18"/>
                <w:color w:val="auto"/>
              </w:rPr>
              <w:t>705-7709</w:t>
            </w:r>
          </w:p>
        </w:tc>
      </w:tr>
      <w:tr>
        <w:trPr>
          <w:trHeight w:val="228"/>
        </w:trPr>
        <w:tc>
          <w:tcPr>
            <w:tcW w:w="6280" w:type="dxa"/>
            <w:vAlign w:val="bottom"/>
            <w:tcBorders>
              <w:top w:val="single" w:sz="8" w:color="auto"/>
            </w:tcBorders>
          </w:tcPr>
          <w:p>
            <w:pPr>
              <w:ind w:left="2860"/>
              <w:spacing w:after="0"/>
              <w:rPr>
                <w:sz w:val="20"/>
                <w:szCs w:val="20"/>
                <w:color w:val="auto"/>
              </w:rPr>
            </w:pPr>
            <w:r>
              <w:rPr>
                <w:rFonts w:ascii="Times New Roman" w:cs="Times New Roman" w:eastAsia="Times New Roman" w:hAnsi="Times New Roman"/>
                <w:sz w:val="18"/>
                <w:szCs w:val="18"/>
                <w:color w:val="auto"/>
              </w:rPr>
              <w:t>(Name)</w:t>
            </w:r>
          </w:p>
        </w:tc>
        <w:tc>
          <w:tcPr>
            <w:tcW w:w="240" w:type="dxa"/>
            <w:vAlign w:val="bottom"/>
          </w:tcPr>
          <w:p>
            <w:pPr>
              <w:spacing w:after="0"/>
              <w:rPr>
                <w:sz w:val="19"/>
                <w:szCs w:val="19"/>
                <w:color w:val="auto"/>
              </w:rPr>
            </w:pPr>
          </w:p>
        </w:tc>
        <w:tc>
          <w:tcPr>
            <w:tcW w:w="168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(Area Code)</w:t>
            </w:r>
          </w:p>
        </w:tc>
        <w:tc>
          <w:tcPr>
            <w:tcW w:w="220" w:type="dxa"/>
            <w:vAlign w:val="bottom"/>
          </w:tcPr>
          <w:p>
            <w:pPr>
              <w:spacing w:after="0"/>
              <w:rPr>
                <w:sz w:val="19"/>
                <w:szCs w:val="19"/>
                <w:color w:val="auto"/>
              </w:rPr>
            </w:pPr>
          </w:p>
        </w:tc>
        <w:tc>
          <w:tcPr>
            <w:tcW w:w="224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(Telephone Number)</w:t>
            </w:r>
          </w:p>
        </w:tc>
      </w:tr>
    </w:tbl>
    <w:p>
      <w:pPr>
        <w:spacing w:after="0" w:line="179" w:lineRule="exact"/>
        <w:rPr>
          <w:sz w:val="20"/>
          <w:szCs w:val="20"/>
          <w:color w:val="auto"/>
        </w:rPr>
      </w:pPr>
    </w:p>
    <w:p>
      <w:pPr>
        <w:ind w:left="580" w:hanging="572"/>
        <w:spacing w:after="0" w:line="255" w:lineRule="auto"/>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 no, identify report(s).</w:t>
      </w:r>
    </w:p>
    <w:p>
      <w:pPr>
        <w:spacing w:after="0" w:line="2" w:lineRule="exact"/>
        <w:rPr>
          <w:sz w:val="20"/>
          <w:szCs w:val="20"/>
          <w:color w:val="auto"/>
        </w:rPr>
      </w:pPr>
    </w:p>
    <w:p>
      <w:pPr>
        <w:ind w:left="998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 ]</w:t>
      </w:r>
    </w:p>
    <w:p>
      <w:pPr>
        <w:spacing w:after="0" w:line="1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Quarterly Reports for each of the quarterly periods during 2024, 2023 and 2022 have not been filed. The Annual Report for the annual periods</w:t>
      </w:r>
    </w:p>
    <w:p>
      <w:pPr>
        <w:spacing w:after="0" w:line="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ended December 31, 2024, 2023 and 2022 have not been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5715</wp:posOffset>
            </wp:positionV>
            <wp:extent cx="67722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72275" cy="8890"/>
                    </a:xfrm>
                    <a:prstGeom prst="rect">
                      <a:avLst/>
                    </a:prstGeom>
                    <a:noFill/>
                  </pic:spPr>
                </pic:pic>
              </a:graphicData>
            </a:graphic>
          </wp:anchor>
        </w:drawing>
      </w:r>
    </w:p>
    <w:p>
      <w:pPr>
        <w:spacing w:after="0" w:line="200" w:lineRule="exact"/>
        <w:rPr>
          <w:sz w:val="20"/>
          <w:szCs w:val="20"/>
          <w:color w:val="auto"/>
        </w:rPr>
      </w:pPr>
    </w:p>
    <w:p>
      <w:pPr>
        <w:ind w:left="580" w:right="340" w:hanging="572"/>
        <w:spacing w:after="0" w:line="258" w:lineRule="auto"/>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it anticipated that any significant change in results of operations from the corresponding period for the last fiscal year will be reflected by the earnings statements to be included in the subject report or portion thereof?</w:t>
      </w:r>
    </w:p>
    <w:p>
      <w:pPr>
        <w:ind w:left="9980"/>
        <w:spacing w:after="0" w:line="207" w:lineRule="exact"/>
        <w:tabs>
          <w:tab w:leader="none" w:pos="1066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NO [√]</w:t>
      </w:r>
    </w:p>
    <w:p>
      <w:pPr>
        <w:spacing w:after="0" w:line="16" w:lineRule="exact"/>
        <w:rPr>
          <w:sz w:val="20"/>
          <w:szCs w:val="20"/>
          <w:color w:val="auto"/>
        </w:rPr>
      </w:pPr>
    </w:p>
    <w:p>
      <w:pPr>
        <w:ind w:left="580" w:right="340"/>
        <w:spacing w:after="0" w:line="258" w:lineRule="auto"/>
        <w:rPr>
          <w:sz w:val="20"/>
          <w:szCs w:val="20"/>
          <w:color w:val="auto"/>
        </w:rPr>
      </w:pPr>
      <w:r>
        <w:rPr>
          <w:rFonts w:ascii="Times New Roman" w:cs="Times New Roman" w:eastAsia="Times New Roman" w:hAnsi="Times New Roman"/>
          <w:sz w:val="18"/>
          <w:szCs w:val="18"/>
          <w:color w:val="auto"/>
        </w:rPr>
        <w:t>If so, attach an explanation of the anticipated change, both narratively and quantitatively, and, if appropriate, state the reasons why a reasonable estimate of the results cannot be made.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Acura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17145</wp:posOffset>
            </wp:positionV>
            <wp:extent cx="28460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of Registrant as Specified in Charter)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caused this notification to be signed on its behalf by the undersigned hereunto duly authorized.</w:t>
      </w:r>
    </w:p>
    <w:p>
      <w:pPr>
        <w:spacing w:after="0" w:line="225" w:lineRule="exact"/>
        <w:rPr>
          <w:sz w:val="20"/>
          <w:szCs w:val="20"/>
          <w:color w:val="auto"/>
        </w:rPr>
      </w:pPr>
    </w:p>
    <w:p>
      <w:pPr>
        <w:spacing w:after="0"/>
        <w:tabs>
          <w:tab w:leader="none" w:pos="560" w:val="left"/>
          <w:tab w:leader="none" w:pos="5620" w:val="left"/>
          <w:tab w:leader="none" w:pos="6180" w:val="left"/>
        </w:tabs>
        <w:rPr>
          <w:sz w:val="20"/>
          <w:szCs w:val="20"/>
          <w:color w:val="auto"/>
        </w:rPr>
      </w:pPr>
      <w:r>
        <w:rPr>
          <w:rFonts w:ascii="Times New Roman" w:cs="Times New Roman" w:eastAsia="Times New Roman" w:hAnsi="Times New Roman"/>
          <w:sz w:val="18"/>
          <w:szCs w:val="18"/>
          <w:color w:val="auto"/>
        </w:rPr>
        <w:t>Date:</w:t>
        <w:tab/>
        <w:t>March 26,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Robert A. Seiser, Senior VP &amp; 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677227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722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lvl w:ilvl="1">
      <w:lvlJc w:val="left"/>
      <w:lvlText w:val="(%2)"/>
      <w:numFmt w:val="lowerLetter"/>
      <w:start w:val="1"/>
    </w:lvl>
  </w:abstractNum>
  <w:abstractNum w:abstractNumId="2">
    <w:nsid w:val="238E1F29"/>
    <w:multiLevelType w:val="hybridMultilevel"/>
    <w:lvl w:ilvl="0">
      <w:lvlJc w:val="left"/>
      <w:lvlText w:val="[√]"/>
      <w:numFmt w:val="bullet"/>
      <w:start w:val="1"/>
    </w:lvl>
    <w:lvl w:ilvl="1">
      <w:lvlJc w:val="left"/>
      <w:lvlText w:val="(%2)"/>
      <w:numFmt w:val="lowerLetter"/>
      <w:start w:val="3"/>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2"/>
    </w:lvl>
  </w:abstractNum>
  <w:abstractNum w:abstractNumId="5">
    <w:nsid w:val="507ED7AB"/>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2025-03-26T11:25:14Z</dcterms:created>
  <dcterms:modified xsi:type="dcterms:W3CDTF">2025-03-26T11:25:14Z</dcterms:modified>
</cp:coreProperties>
</file>