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20649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9" w:lineRule="exact"/>
        <w:rPr>
          <w:sz w:val="24"/>
          <w:szCs w:val="24"/>
          <w:color w:val="auto"/>
        </w:rPr>
      </w:pPr>
    </w:p>
    <w:p>
      <w:pPr>
        <w:ind w:left="920" w:right="1560" w:hanging="912"/>
        <w:spacing w:after="0" w:line="490" w:lineRule="auto"/>
        <w:tabs>
          <w:tab w:leader="none" w:pos="661"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920" w:right="1380" w:hanging="912"/>
        <w:spacing w:after="0" w:line="501" w:lineRule="auto"/>
        <w:tabs>
          <w:tab w:leader="none" w:pos="661"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TRANSACTION REPORT PURSUANT TO SECTION 13 OR 15(D) OF THE SECURITIES EXCHANGE ACT OF 1934 For the transition period from ______________________ to_______________________</w:t>
      </w:r>
    </w:p>
    <w:p>
      <w:pPr>
        <w:jc w:val="center"/>
        <w:spacing w:after="0"/>
        <w:rPr>
          <w:sz w:val="20"/>
          <w:szCs w:val="20"/>
          <w:color w:val="auto"/>
        </w:rPr>
      </w:pPr>
      <w:r>
        <w:rPr>
          <w:rFonts w:ascii="Arial" w:cs="Arial" w:eastAsia="Arial" w:hAnsi="Arial"/>
          <w:sz w:val="18"/>
          <w:szCs w:val="18"/>
          <w:b w:val="1"/>
          <w:bCs w:val="1"/>
          <w:color w:val="auto"/>
        </w:rPr>
        <w:t>Commission File Number 1-10113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7" w:lineRule="exact"/>
        <w:rPr>
          <w:sz w:val="24"/>
          <w:szCs w:val="24"/>
          <w:color w:val="auto"/>
        </w:rPr>
      </w:pPr>
    </w:p>
    <w:tbl>
      <w:tblPr>
        <w:tblLayout w:type="fixed"/>
        <w:tblInd w:w="1580" w:type="dxa"/>
        <w:tblCellMar>
          <w:top w:w="0" w:type="dxa"/>
          <w:left w:w="0" w:type="dxa"/>
          <w:bottom w:w="0" w:type="dxa"/>
          <w:right w:w="0" w:type="dxa"/>
        </w:tblCellMar>
      </w:tblPr>
      <w:tr>
        <w:trPr>
          <w:trHeight w:val="220"/>
        </w:trPr>
        <w:tc>
          <w:tcPr>
            <w:tcW w:w="4420" w:type="dxa"/>
            <w:vAlign w:val="bottom"/>
          </w:tcPr>
          <w:p>
            <w:pPr>
              <w:jc w:val="center"/>
              <w:ind w:right="1410"/>
              <w:spacing w:after="0"/>
              <w:rPr>
                <w:sz w:val="20"/>
                <w:szCs w:val="20"/>
                <w:color w:val="auto"/>
              </w:rPr>
            </w:pPr>
            <w:r>
              <w:rPr>
                <w:rFonts w:ascii="Arial" w:cs="Arial" w:eastAsia="Arial" w:hAnsi="Arial"/>
                <w:sz w:val="18"/>
                <w:szCs w:val="18"/>
                <w:b w:val="1"/>
                <w:bCs w:val="1"/>
                <w:color w:val="auto"/>
                <w:w w:val="92"/>
              </w:rPr>
              <w:t>New York</w:t>
            </w:r>
          </w:p>
        </w:tc>
        <w:tc>
          <w:tcPr>
            <w:tcW w:w="4080" w:type="dxa"/>
            <w:vAlign w:val="bottom"/>
          </w:tcPr>
          <w:p>
            <w:pPr>
              <w:jc w:val="right"/>
              <w:ind w:right="750"/>
              <w:spacing w:after="0"/>
              <w:rPr>
                <w:sz w:val="20"/>
                <w:szCs w:val="20"/>
                <w:color w:val="auto"/>
              </w:rPr>
            </w:pPr>
            <w:r>
              <w:rPr>
                <w:rFonts w:ascii="Arial" w:cs="Arial" w:eastAsia="Arial" w:hAnsi="Arial"/>
                <w:sz w:val="18"/>
                <w:szCs w:val="18"/>
                <w:b w:val="1"/>
                <w:bCs w:val="1"/>
                <w:color w:val="auto"/>
              </w:rPr>
              <w:t>11-0853640</w:t>
            </w:r>
          </w:p>
        </w:tc>
      </w:tr>
      <w:tr>
        <w:trPr>
          <w:trHeight w:val="216"/>
        </w:trPr>
        <w:tc>
          <w:tcPr>
            <w:tcW w:w="4420" w:type="dxa"/>
            <w:vAlign w:val="bottom"/>
          </w:tcPr>
          <w:p>
            <w:pPr>
              <w:jc w:val="center"/>
              <w:ind w:right="1430"/>
              <w:spacing w:after="0"/>
              <w:rPr>
                <w:sz w:val="20"/>
                <w:szCs w:val="20"/>
                <w:color w:val="auto"/>
              </w:rPr>
            </w:pPr>
            <w:r>
              <w:rPr>
                <w:rFonts w:ascii="Arial" w:cs="Arial" w:eastAsia="Arial" w:hAnsi="Arial"/>
                <w:sz w:val="18"/>
                <w:szCs w:val="18"/>
                <w:i w:val="1"/>
                <w:iCs w:val="1"/>
                <w:color w:val="auto"/>
                <w:w w:val="92"/>
              </w:rPr>
              <w:t>(State or other Jurisdiction of</w:t>
            </w:r>
          </w:p>
        </w:tc>
        <w:tc>
          <w:tcPr>
            <w:tcW w:w="4080" w:type="dxa"/>
            <w:vAlign w:val="bottom"/>
          </w:tcPr>
          <w:p>
            <w:pPr>
              <w:jc w:val="center"/>
              <w:ind w:left="1430"/>
              <w:spacing w:after="0"/>
              <w:rPr>
                <w:sz w:val="20"/>
                <w:szCs w:val="20"/>
                <w:color w:val="auto"/>
              </w:rPr>
            </w:pPr>
            <w:r>
              <w:rPr>
                <w:rFonts w:ascii="Arial" w:cs="Arial" w:eastAsia="Arial" w:hAnsi="Arial"/>
                <w:sz w:val="18"/>
                <w:szCs w:val="18"/>
                <w:i w:val="1"/>
                <w:iCs w:val="1"/>
                <w:color w:val="auto"/>
                <w:w w:val="92"/>
              </w:rPr>
              <w:t>(I.R.S. Employer Identification No.)</w:t>
            </w:r>
          </w:p>
        </w:tc>
      </w:tr>
      <w:tr>
        <w:trPr>
          <w:trHeight w:val="230"/>
        </w:trPr>
        <w:tc>
          <w:tcPr>
            <w:tcW w:w="4420" w:type="dxa"/>
            <w:vAlign w:val="bottom"/>
          </w:tcPr>
          <w:p>
            <w:pPr>
              <w:jc w:val="center"/>
              <w:ind w:right="1430"/>
              <w:spacing w:after="0"/>
              <w:rPr>
                <w:sz w:val="20"/>
                <w:szCs w:val="20"/>
                <w:color w:val="auto"/>
              </w:rPr>
            </w:pPr>
            <w:r>
              <w:rPr>
                <w:rFonts w:ascii="Arial" w:cs="Arial" w:eastAsia="Arial" w:hAnsi="Arial"/>
                <w:sz w:val="18"/>
                <w:szCs w:val="18"/>
                <w:i w:val="1"/>
                <w:iCs w:val="1"/>
                <w:color w:val="auto"/>
                <w:w w:val="94"/>
              </w:rPr>
              <w:t>incorporation or organization)</w:t>
            </w:r>
          </w:p>
        </w:tc>
        <w:tc>
          <w:tcPr>
            <w:tcW w:w="4080" w:type="dxa"/>
            <w:vAlign w:val="bottom"/>
          </w:tcPr>
          <w:p>
            <w:pPr>
              <w:spacing w:after="0"/>
              <w:rPr>
                <w:sz w:val="20"/>
                <w:szCs w:val="20"/>
                <w:color w:val="auto"/>
              </w:rPr>
            </w:pPr>
          </w:p>
        </w:tc>
      </w:tr>
      <w:tr>
        <w:trPr>
          <w:trHeight w:val="414"/>
        </w:trPr>
        <w:tc>
          <w:tcPr>
            <w:tcW w:w="4420" w:type="dxa"/>
            <w:vAlign w:val="bottom"/>
          </w:tcPr>
          <w:p>
            <w:pPr>
              <w:jc w:val="center"/>
              <w:ind w:right="1430"/>
              <w:spacing w:after="0"/>
              <w:rPr>
                <w:sz w:val="20"/>
                <w:szCs w:val="20"/>
                <w:color w:val="auto"/>
              </w:rPr>
            </w:pPr>
            <w:r>
              <w:rPr>
                <w:rFonts w:ascii="Arial" w:cs="Arial" w:eastAsia="Arial" w:hAnsi="Arial"/>
                <w:sz w:val="18"/>
                <w:szCs w:val="18"/>
                <w:b w:val="1"/>
                <w:bCs w:val="1"/>
                <w:color w:val="auto"/>
                <w:w w:val="92"/>
              </w:rPr>
              <w:t>616 N. North Court, Suite 120</w:t>
            </w:r>
          </w:p>
        </w:tc>
        <w:tc>
          <w:tcPr>
            <w:tcW w:w="4080" w:type="dxa"/>
            <w:vAlign w:val="bottom"/>
          </w:tcPr>
          <w:p>
            <w:pPr>
              <w:spacing w:after="0"/>
              <w:rPr>
                <w:sz w:val="24"/>
                <w:szCs w:val="24"/>
                <w:color w:val="auto"/>
              </w:rPr>
            </w:pPr>
          </w:p>
        </w:tc>
      </w:tr>
      <w:tr>
        <w:trPr>
          <w:trHeight w:val="220"/>
        </w:trPr>
        <w:tc>
          <w:tcPr>
            <w:tcW w:w="4420" w:type="dxa"/>
            <w:vAlign w:val="bottom"/>
          </w:tcPr>
          <w:p>
            <w:pPr>
              <w:jc w:val="center"/>
              <w:ind w:right="1430"/>
              <w:spacing w:after="0"/>
              <w:rPr>
                <w:sz w:val="20"/>
                <w:szCs w:val="20"/>
                <w:color w:val="auto"/>
              </w:rPr>
            </w:pPr>
            <w:r>
              <w:rPr>
                <w:rFonts w:ascii="Arial" w:cs="Arial" w:eastAsia="Arial" w:hAnsi="Arial"/>
                <w:sz w:val="18"/>
                <w:szCs w:val="18"/>
                <w:b w:val="1"/>
                <w:bCs w:val="1"/>
                <w:color w:val="auto"/>
                <w:w w:val="92"/>
              </w:rPr>
              <w:t>Palatine, Illinois</w:t>
            </w:r>
          </w:p>
        </w:tc>
        <w:tc>
          <w:tcPr>
            <w:tcW w:w="4080" w:type="dxa"/>
            <w:vAlign w:val="bottom"/>
          </w:tcPr>
          <w:p>
            <w:pPr>
              <w:jc w:val="right"/>
              <w:ind w:right="970"/>
              <w:spacing w:after="0"/>
              <w:rPr>
                <w:sz w:val="20"/>
                <w:szCs w:val="20"/>
                <w:color w:val="auto"/>
              </w:rPr>
            </w:pPr>
            <w:r>
              <w:rPr>
                <w:rFonts w:ascii="Arial" w:cs="Arial" w:eastAsia="Arial" w:hAnsi="Arial"/>
                <w:sz w:val="18"/>
                <w:szCs w:val="18"/>
                <w:b w:val="1"/>
                <w:bCs w:val="1"/>
                <w:color w:val="auto"/>
              </w:rPr>
              <w:t>60067</w:t>
            </w:r>
          </w:p>
        </w:tc>
      </w:tr>
      <w:tr>
        <w:trPr>
          <w:trHeight w:val="230"/>
        </w:trPr>
        <w:tc>
          <w:tcPr>
            <w:tcW w:w="4420" w:type="dxa"/>
            <w:vAlign w:val="bottom"/>
          </w:tcPr>
          <w:p>
            <w:pPr>
              <w:jc w:val="center"/>
              <w:ind w:right="143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4080" w:type="dxa"/>
            <w:vAlign w:val="bottom"/>
          </w:tcPr>
          <w:p>
            <w:pPr>
              <w:jc w:val="center"/>
              <w:ind w:left="1430"/>
              <w:spacing w:after="0"/>
              <w:rPr>
                <w:sz w:val="20"/>
                <w:szCs w:val="20"/>
                <w:color w:val="auto"/>
              </w:rPr>
            </w:pPr>
            <w:r>
              <w:rPr>
                <w:rFonts w:ascii="Arial" w:cs="Arial" w:eastAsia="Arial" w:hAnsi="Arial"/>
                <w:sz w:val="18"/>
                <w:szCs w:val="18"/>
                <w:i w:val="1"/>
                <w:iCs w:val="1"/>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847 705 7709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225" w:lineRule="exact"/>
        <w:rPr>
          <w:sz w:val="24"/>
          <w:szCs w:val="24"/>
          <w:color w:val="auto"/>
        </w:rPr>
      </w:pPr>
    </w:p>
    <w:p>
      <w:pPr>
        <w:ind w:right="120" w:firstLine="907"/>
        <w:spacing w:after="0" w:line="277"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 (d) of the Securities Exchange Act of 1934 during the preceding 12 months, and (2) has been subject to such filing requirements for the past 90 days. Yes þ No o</w:t>
      </w:r>
    </w:p>
    <w:p>
      <w:pPr>
        <w:spacing w:after="0" w:line="170" w:lineRule="exact"/>
        <w:rPr>
          <w:sz w:val="24"/>
          <w:szCs w:val="24"/>
          <w:color w:val="auto"/>
        </w:rPr>
      </w:pPr>
    </w:p>
    <w:p>
      <w:pPr>
        <w:jc w:val="both"/>
        <w:ind w:right="240" w:firstLine="907"/>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S-T (§232.405 of this charter) during the preceding 12 months (or to such shorter period that the registrant was required to submit and post such files).</w:t>
      </w:r>
    </w:p>
    <w:p>
      <w:pPr>
        <w:ind w:left="10620"/>
        <w:spacing w:after="0"/>
        <w:rPr>
          <w:sz w:val="20"/>
          <w:szCs w:val="20"/>
          <w:color w:val="auto"/>
        </w:rPr>
      </w:pPr>
      <w:r>
        <w:rPr>
          <w:rFonts w:ascii="Arial" w:cs="Arial" w:eastAsia="Arial" w:hAnsi="Arial"/>
          <w:sz w:val="16"/>
          <w:szCs w:val="16"/>
          <w:color w:val="auto"/>
        </w:rPr>
        <w:t>Yes þ No o</w:t>
      </w:r>
    </w:p>
    <w:p>
      <w:pPr>
        <w:spacing w:after="0" w:line="234" w:lineRule="exact"/>
        <w:rPr>
          <w:sz w:val="24"/>
          <w:szCs w:val="24"/>
          <w:color w:val="auto"/>
        </w:rPr>
      </w:pPr>
    </w:p>
    <w:p>
      <w:pPr>
        <w:ind w:right="540" w:firstLine="907"/>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filer, “accelerated filer” and “smaller reporting company” in Rule 12b-2 of the Exchange Act. (Check one):</w:t>
      </w:r>
    </w:p>
    <w:p>
      <w:pPr>
        <w:sectPr>
          <w:pgSz w:w="11900" w:h="16838" w:orient="portrait"/>
          <w:cols w:equalWidth="0" w:num="1">
            <w:col w:w="11420"/>
          </w:cols>
          <w:pgMar w:left="240" w:top="850" w:right="239" w:bottom="1440" w:gutter="0" w:footer="0" w:header="0"/>
        </w:sectPr>
      </w:pPr>
    </w:p>
    <w:p>
      <w:pPr>
        <w:spacing w:after="0" w:line="124" w:lineRule="exact"/>
        <w:rPr>
          <w:sz w:val="24"/>
          <w:szCs w:val="24"/>
          <w:color w:val="auto"/>
        </w:rPr>
      </w:pPr>
    </w:p>
    <w:p>
      <w:pPr>
        <w:ind w:left="920"/>
        <w:spacing w:after="0"/>
        <w:rPr>
          <w:sz w:val="20"/>
          <w:szCs w:val="20"/>
          <w:color w:val="auto"/>
        </w:rPr>
      </w:pPr>
      <w:r>
        <w:rPr>
          <w:rFonts w:ascii="Arial" w:cs="Arial" w:eastAsia="Arial" w:hAnsi="Arial"/>
          <w:sz w:val="16"/>
          <w:szCs w:val="16"/>
          <w:color w:val="auto"/>
        </w:rPr>
        <w:t>Large accelerated filer o</w:t>
      </w:r>
    </w:p>
    <w:p>
      <w:pPr>
        <w:spacing w:after="0" w:line="46" w:lineRule="exact"/>
        <w:rPr>
          <w:sz w:val="24"/>
          <w:szCs w:val="24"/>
          <w:color w:val="auto"/>
        </w:rPr>
      </w:pPr>
    </w:p>
    <w:p>
      <w:pPr>
        <w:ind w:left="920"/>
        <w:spacing w:after="0"/>
        <w:rPr>
          <w:sz w:val="20"/>
          <w:szCs w:val="20"/>
          <w:color w:val="auto"/>
        </w:rPr>
      </w:pPr>
      <w:r>
        <w:rPr>
          <w:rFonts w:ascii="Arial" w:cs="Arial" w:eastAsia="Arial" w:hAnsi="Arial"/>
          <w:sz w:val="17"/>
          <w:szCs w:val="17"/>
          <w:color w:val="auto"/>
        </w:rPr>
        <w:t>Non-accelerated filer þ</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11" w:lineRule="exact"/>
        <w:rPr>
          <w:sz w:val="24"/>
          <w:szCs w:val="24"/>
          <w:color w:val="auto"/>
        </w:rPr>
      </w:pPr>
    </w:p>
    <w:p>
      <w:pPr>
        <w:sectPr>
          <w:pgSz w:w="11900" w:h="16838" w:orient="portrait"/>
          <w:cols w:equalWidth="0" w:num="2">
            <w:col w:w="6940" w:space="720"/>
            <w:col w:w="3760"/>
          </w:cols>
          <w:pgMar w:left="240" w:top="850" w:right="239" w:bottom="1440" w:gutter="0" w:footer="0" w:header="0"/>
          <w:type w:val="continuous"/>
        </w:sectPr>
      </w:pPr>
    </w:p>
    <w:p>
      <w:pPr>
        <w:spacing w:after="0" w:line="22" w:lineRule="exact"/>
        <w:rPr>
          <w:sz w:val="24"/>
          <w:szCs w:val="24"/>
          <w:color w:val="auto"/>
        </w:rPr>
      </w:pPr>
    </w:p>
    <w:p>
      <w:pPr>
        <w:ind w:left="92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þ</w:t>
      </w:r>
    </w:p>
    <w:p>
      <w:pPr>
        <w:spacing w:after="0" w:line="248" w:lineRule="exact"/>
        <w:rPr>
          <w:sz w:val="24"/>
          <w:szCs w:val="24"/>
          <w:color w:val="auto"/>
        </w:rPr>
      </w:pPr>
    </w:p>
    <w:p>
      <w:pPr>
        <w:ind w:left="920"/>
        <w:spacing w:after="0"/>
        <w:rPr>
          <w:sz w:val="20"/>
          <w:szCs w:val="20"/>
          <w:color w:val="auto"/>
        </w:rPr>
      </w:pPr>
      <w:r>
        <w:rPr>
          <w:rFonts w:ascii="Arial" w:cs="Arial" w:eastAsia="Arial" w:hAnsi="Arial"/>
          <w:sz w:val="18"/>
          <w:szCs w:val="18"/>
          <w:color w:val="auto"/>
        </w:rPr>
        <w:t>As of July 27, 2012 the registrant had 45,863,422 shares of common stock, $.01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AMENDMENT NO. 1 TO THE QUARTERLY REPORT ON FORM 10-Q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firstLine="907"/>
        <w:spacing w:after="0" w:line="264" w:lineRule="auto"/>
        <w:rPr>
          <w:sz w:val="20"/>
          <w:szCs w:val="20"/>
          <w:color w:val="auto"/>
        </w:rPr>
      </w:pPr>
      <w:r>
        <w:rPr>
          <w:rFonts w:ascii="Arial" w:cs="Arial" w:eastAsia="Arial" w:hAnsi="Arial"/>
          <w:sz w:val="18"/>
          <w:szCs w:val="18"/>
          <w:color w:val="auto"/>
        </w:rPr>
        <w:t>The purpose of this Amendment No. 1 to our Quarterly Report on Form 10-Q for the period ended June 30, 2012 as filed with the Securities and Exchange Commission on July 30, 2012 is to furnish Exhibits 101 to the Form 10-Q as required by Rule 405 of Regulation S-T within the 30 day grace period provided by Rule 405(a)(2)(ii) of Regulation S-T.</w:t>
      </w:r>
    </w:p>
    <w:p>
      <w:pPr>
        <w:spacing w:after="0" w:line="181" w:lineRule="exact"/>
        <w:rPr>
          <w:sz w:val="20"/>
          <w:szCs w:val="20"/>
          <w:color w:val="auto"/>
        </w:rPr>
      </w:pPr>
    </w:p>
    <w:p>
      <w:pPr>
        <w:jc w:val="both"/>
        <w:ind w:firstLine="907"/>
        <w:spacing w:after="0" w:line="264" w:lineRule="auto"/>
        <w:rPr>
          <w:sz w:val="20"/>
          <w:szCs w:val="20"/>
          <w:color w:val="auto"/>
        </w:rPr>
      </w:pPr>
      <w:r>
        <w:rPr>
          <w:rFonts w:ascii="Arial" w:cs="Arial" w:eastAsia="Arial" w:hAnsi="Arial"/>
          <w:sz w:val="18"/>
          <w:szCs w:val="18"/>
          <w:color w:val="auto"/>
        </w:rPr>
        <w:t>No changes have been made to the Quarterly Report other than the furnishing of Exhibit 101.INS, 101.SCH, 101.CAL, 101.DEF, 101.LAB and 101.PRE described above. This Amendment No. 1 to Form 10-Q does not reflect subsequent events occurring after the original filing date of the Form 10-Q or modify or update in any way disclosures made in the Form 10-Q, as amended.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i w:val="1"/>
          <w:iCs w:val="1"/>
          <w:color w:val="auto"/>
        </w:rPr>
        <w:t>Item 6. Exhibits</w:t>
      </w:r>
    </w:p>
    <w:p>
      <w:pPr>
        <w:sectPr>
          <w:pgSz w:w="11900" w:h="16838" w:orient="portrait"/>
          <w:cols w:equalWidth="0" w:num="1">
            <w:col w:w="11420"/>
          </w:cols>
          <w:pgMar w:left="240" w:top="88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*101.INS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*101.SCH</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*101.CAL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*101.LAB</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*101.PRE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exhibits required by this Item are listed below and have been previously filed except where indicated.</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Certification of Periodic Report by Chief Executive Officer pursuant to Rule 13a-14 and 15d-14 of the Securities Exchange Act of 1934.</w:t>
      </w:r>
    </w:p>
    <w:p>
      <w:pPr>
        <w:spacing w:after="0" w:line="23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Certification of Periodic Report by Chief Financial Officer pursuant to Rule 13a-14 and 15d-14 of the Securities Exchange Act of 1934.</w:t>
      </w:r>
    </w:p>
    <w:p>
      <w:pPr>
        <w:spacing w:after="0" w:line="23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Certification of Periodic Report by the Chief Executive Officer and Chief Financial Officer pursuant to 18 U.S.C. Section 1350, as adopted</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pursuant to Section 906 of the Sarbanes-Oxley Act of 2002.</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XBRL Instance Document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XBRL Taxonomy Extension Schema Document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XBRL Taxonomy Extension Calculation Linkbase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XBRL Taxonomy Extension Label Linkbase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XBRL Taxonomy Extension Presentation Linkbase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XBRL Taxonomy Extension Definition Linkbase</w:t>
      </w:r>
    </w:p>
    <w:p>
      <w:pPr>
        <w:spacing w:after="0" w:line="200" w:lineRule="exact"/>
        <w:rPr>
          <w:sz w:val="20"/>
          <w:szCs w:val="20"/>
          <w:color w:val="auto"/>
        </w:rPr>
      </w:pPr>
    </w:p>
    <w:p>
      <w:pPr>
        <w:sectPr>
          <w:pgSz w:w="11900" w:h="16838" w:orient="portrait"/>
          <w:cols w:equalWidth="0" w:num="2">
            <w:col w:w="780" w:space="140"/>
            <w:col w:w="10500"/>
          </w:cols>
          <w:pgMar w:left="240" w:top="881"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Furnished (Not 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i w:val="1"/>
          <w:iCs w:val="1"/>
          <w:color w:val="auto"/>
        </w:rPr>
        <w:t>Signatures</w:t>
      </w:r>
    </w:p>
    <w:p>
      <w:pPr>
        <w:spacing w:after="0" w:line="225" w:lineRule="exact"/>
        <w:rPr>
          <w:sz w:val="20"/>
          <w:szCs w:val="20"/>
          <w:color w:val="auto"/>
        </w:rPr>
      </w:pPr>
    </w:p>
    <w:p>
      <w:pPr>
        <w:ind w:firstLine="90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thereunto duly authorized.</w:t>
      </w:r>
    </w:p>
    <w:p>
      <w:pPr>
        <w:spacing w:after="0" w:line="170"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August 9, 2012</w:t>
      </w:r>
      <w:r>
        <w:rPr>
          <w:sz w:val="20"/>
          <w:szCs w:val="20"/>
          <w:color w:val="auto"/>
        </w:rPr>
        <w:tab/>
      </w:r>
      <w:r>
        <w:rPr>
          <w:rFonts w:ascii="Arial" w:cs="Arial" w:eastAsia="Arial" w:hAnsi="Arial"/>
          <w:sz w:val="17"/>
          <w:szCs w:val="17"/>
          <w:color w:val="auto"/>
        </w:rPr>
        <w:t>ACURA PHARMACEUTICALS, INC.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Robert B. Jones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37649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Peter A. Clemens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37649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VP &amp; 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4" w:name="page5"/>
    <w:bookmarkEnd w:id="4"/>
    <w:p>
      <w:pPr>
        <w:jc w:val="center"/>
        <w:ind w:left="260"/>
        <w:spacing w:after="0"/>
        <w:rPr>
          <w:sz w:val="20"/>
          <w:szCs w:val="20"/>
          <w:color w:val="auto"/>
        </w:rPr>
      </w:pPr>
      <w:r>
        <w:rPr>
          <w:rFonts w:ascii="Arial" w:cs="Arial" w:eastAsia="Arial" w:hAnsi="Arial"/>
          <w:sz w:val="18"/>
          <w:szCs w:val="18"/>
          <w:color w:val="auto"/>
        </w:rPr>
        <w:t>CERTIFICATION OF PERIODIC REPORT PURSUANT TO RULES 13a-14 AND 15d-14</w:t>
      </w:r>
    </w:p>
    <w:p>
      <w:pPr>
        <w:spacing w:after="0" w:line="23"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 Robert B. Jones, the President &amp; Chief Executive Officer of Acura Pharmaceuticals, Inc., certify that:</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spacing w:after="0" w:line="181" w:lineRule="exact"/>
        <w:rPr>
          <w:rFonts w:ascii="Arial" w:cs="Arial" w:eastAsia="Arial" w:hAnsi="Arial"/>
          <w:sz w:val="18"/>
          <w:szCs w:val="18"/>
          <w:color w:val="auto"/>
        </w:rPr>
      </w:pPr>
    </w:p>
    <w:p>
      <w:pPr>
        <w:jc w:val="both"/>
        <w:ind w:left="680" w:hanging="24"/>
        <w:spacing w:after="0" w:line="264" w:lineRule="auto"/>
        <w:tabs>
          <w:tab w:leader="none" w:pos="981"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jc w:val="both"/>
        <w:ind w:left="680" w:hanging="24"/>
        <w:spacing w:after="0" w:line="264" w:lineRule="auto"/>
        <w:tabs>
          <w:tab w:leader="none" w:pos="1045"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spacing w:after="0" w:line="181" w:lineRule="exact"/>
        <w:rPr>
          <w:rFonts w:ascii="Arial" w:cs="Arial" w:eastAsia="Arial" w:hAnsi="Arial"/>
          <w:sz w:val="18"/>
          <w:szCs w:val="18"/>
          <w:color w:val="auto"/>
        </w:rPr>
      </w:pPr>
    </w:p>
    <w:p>
      <w:pPr>
        <w:ind w:left="680" w:hanging="24"/>
        <w:spacing w:after="0" w:line="308" w:lineRule="auto"/>
        <w:tabs>
          <w:tab w:leader="none" w:pos="1056" w:val="left"/>
        </w:tabs>
        <w:numPr>
          <w:ilvl w:val="1"/>
          <w:numId w:val="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80" w:hanging="24"/>
        <w:spacing w:after="0" w:line="342" w:lineRule="auto"/>
        <w:tabs>
          <w:tab w:leader="none" w:pos="995" w:val="left"/>
        </w:tabs>
        <w:numPr>
          <w:ilvl w:val="1"/>
          <w:numId w:val="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0" w:lineRule="exact"/>
        <w:rPr>
          <w:rFonts w:ascii="Arial" w:cs="Arial" w:eastAsia="Arial" w:hAnsi="Arial"/>
          <w:sz w:val="18"/>
          <w:szCs w:val="18"/>
          <w:color w:val="auto"/>
        </w:rPr>
      </w:pPr>
    </w:p>
    <w:p>
      <w:pPr>
        <w:ind w:left="660" w:hanging="4"/>
        <w:spacing w:after="0" w:line="308" w:lineRule="auto"/>
        <w:tabs>
          <w:tab w:leader="none" w:pos="963" w:val="left"/>
        </w:tabs>
        <w:numPr>
          <w:ilvl w:val="1"/>
          <w:numId w:val="3"/>
        </w:numPr>
        <w:rPr>
          <w:rFonts w:ascii="Arial" w:cs="Arial" w:eastAsia="Arial" w:hAnsi="Arial"/>
          <w:sz w:val="17"/>
          <w:szCs w:val="17"/>
          <w:color w:val="auto"/>
        </w:rPr>
      </w:pPr>
      <w:r>
        <w:rPr>
          <w:rFonts w:ascii="Arial" w:cs="Arial" w:eastAsia="Arial" w:hAnsi="Arial"/>
          <w:sz w:val="17"/>
          <w:szCs w:val="17"/>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46" w:lineRule="exact"/>
        <w:rPr>
          <w:rFonts w:ascii="Arial" w:cs="Arial" w:eastAsia="Arial" w:hAnsi="Arial"/>
          <w:sz w:val="17"/>
          <w:szCs w:val="17"/>
          <w:color w:val="auto"/>
        </w:rPr>
      </w:pPr>
    </w:p>
    <w:p>
      <w:pPr>
        <w:ind w:left="900" w:hanging="244"/>
        <w:spacing w:after="0"/>
        <w:tabs>
          <w:tab w:leader="none" w:pos="900" w:val="left"/>
        </w:tabs>
        <w:numPr>
          <w:ilvl w:val="1"/>
          <w:numId w:val="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ind w:left="660"/>
              <w:spacing w:after="0"/>
              <w:rPr>
                <w:sz w:val="20"/>
                <w:szCs w:val="20"/>
                <w:color w:val="auto"/>
              </w:rPr>
            </w:pPr>
            <w:r>
              <w:rPr>
                <w:rFonts w:ascii="Arial" w:cs="Arial" w:eastAsia="Arial" w:hAnsi="Arial"/>
                <w:sz w:val="18"/>
                <w:szCs w:val="18"/>
                <w:color w:val="auto"/>
              </w:rPr>
              <w:t>August 9, 2012</w:t>
            </w: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B. Jones</w:t>
            </w:r>
          </w:p>
        </w:tc>
        <w:tc>
          <w:tcPr>
            <w:tcW w:w="160" w:type="dxa"/>
            <w:vAlign w:val="bottom"/>
          </w:tcPr>
          <w:p>
            <w:pPr>
              <w:spacing w:after="0"/>
              <w:rPr>
                <w:sz w:val="20"/>
                <w:szCs w:val="20"/>
                <w:color w:val="auto"/>
              </w:rPr>
            </w:pPr>
          </w:p>
        </w:tc>
      </w:tr>
      <w:tr>
        <w:trPr>
          <w:trHeight w:val="195"/>
        </w:trPr>
        <w:tc>
          <w:tcPr>
            <w:tcW w:w="7660" w:type="dxa"/>
            <w:vAlign w:val="bottom"/>
          </w:tcPr>
          <w:p>
            <w:pPr>
              <w:spacing w:after="0"/>
              <w:rPr>
                <w:sz w:val="16"/>
                <w:szCs w:val="16"/>
                <w:color w:val="auto"/>
              </w:rPr>
            </w:pPr>
          </w:p>
        </w:tc>
        <w:tc>
          <w:tcPr>
            <w:tcW w:w="3600" w:type="dxa"/>
            <w:vAlign w:val="bottom"/>
          </w:tcPr>
          <w:p>
            <w:pPr>
              <w:spacing w:after="0" w:line="195" w:lineRule="exact"/>
              <w:rPr>
                <w:sz w:val="20"/>
                <w:szCs w:val="20"/>
                <w:color w:val="auto"/>
              </w:rPr>
            </w:pPr>
            <w:r>
              <w:rPr>
                <w:rFonts w:ascii="Arial" w:cs="Arial" w:eastAsia="Arial" w:hAnsi="Arial"/>
                <w:sz w:val="18"/>
                <w:szCs w:val="18"/>
                <w:color w:val="auto"/>
              </w:rPr>
              <w:t>Robert B. Jones</w:t>
            </w:r>
          </w:p>
        </w:tc>
        <w:tc>
          <w:tcPr>
            <w:tcW w:w="160" w:type="dxa"/>
            <w:vAlign w:val="bottom"/>
          </w:tcPr>
          <w:p>
            <w:pPr>
              <w:spacing w:after="0"/>
              <w:rPr>
                <w:sz w:val="16"/>
                <w:szCs w:val="16"/>
                <w:color w:val="auto"/>
              </w:rPr>
            </w:pPr>
          </w:p>
        </w:tc>
      </w:tr>
      <w:tr>
        <w:trPr>
          <w:trHeight w:val="230"/>
        </w:trPr>
        <w:tc>
          <w:tcPr>
            <w:tcW w:w="766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President &amp; Chief Executive Officer</w:t>
            </w:r>
          </w:p>
        </w:tc>
        <w:tc>
          <w:tcPr>
            <w:tcW w:w="160" w:type="dxa"/>
            <w:vAlign w:val="bottom"/>
          </w:tcPr>
          <w:p>
            <w:pPr>
              <w:spacing w:after="0"/>
              <w:rPr>
                <w:sz w:val="20"/>
                <w:szCs w:val="20"/>
                <w:color w:val="auto"/>
              </w:rPr>
            </w:pPr>
          </w:p>
        </w:tc>
      </w:tr>
      <w:tr>
        <w:trPr>
          <w:trHeight w:val="675"/>
        </w:trPr>
        <w:tc>
          <w:tcPr>
            <w:tcW w:w="76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5" w:name="page6"/>
    <w:bookmarkEnd w:id="5"/>
    <w:p>
      <w:pPr>
        <w:jc w:val="center"/>
        <w:ind w:left="260"/>
        <w:spacing w:after="0"/>
        <w:rPr>
          <w:sz w:val="20"/>
          <w:szCs w:val="20"/>
          <w:color w:val="auto"/>
        </w:rPr>
      </w:pPr>
      <w:r>
        <w:rPr>
          <w:rFonts w:ascii="Arial" w:cs="Arial" w:eastAsia="Arial" w:hAnsi="Arial"/>
          <w:sz w:val="18"/>
          <w:szCs w:val="18"/>
          <w:color w:val="auto"/>
        </w:rPr>
        <w:t>CERTIFICATION OF PERIODIC REPORT PURSUANT TO RULES 13a-14 AND 15d-14</w:t>
      </w:r>
    </w:p>
    <w:p>
      <w:pPr>
        <w:spacing w:after="0" w:line="23"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Peter A. Clemens, the Chief Financial Officer of Acura Pharmaceuticals, Inc., certify that:</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Acura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3"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77"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1041"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1053" w:val="left"/>
        </w:tabs>
        <w:numPr>
          <w:ilvl w:val="1"/>
          <w:numId w:val="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hanging="4"/>
        <w:spacing w:after="0" w:line="342" w:lineRule="auto"/>
        <w:tabs>
          <w:tab w:leader="none" w:pos="991" w:val="left"/>
        </w:tabs>
        <w:numPr>
          <w:ilvl w:val="1"/>
          <w:numId w:val="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w:t>
      </w:r>
    </w:p>
    <w:p>
      <w:pPr>
        <w:spacing w:after="0" w:line="170" w:lineRule="exact"/>
        <w:rPr>
          <w:sz w:val="20"/>
          <w:szCs w:val="20"/>
          <w:color w:val="auto"/>
        </w:rPr>
      </w:pPr>
    </w:p>
    <w:p>
      <w:pPr>
        <w:ind w:left="660" w:hanging="4"/>
        <w:spacing w:after="0" w:line="308" w:lineRule="auto"/>
        <w:tabs>
          <w:tab w:leader="none" w:pos="950" w:val="left"/>
        </w:tabs>
        <w:numPr>
          <w:ilvl w:val="0"/>
          <w:numId w:val="5"/>
        </w:numPr>
        <w:rPr>
          <w:rFonts w:ascii="Arial" w:cs="Arial" w:eastAsia="Arial" w:hAnsi="Arial"/>
          <w:sz w:val="17"/>
          <w:szCs w:val="17"/>
          <w:color w:val="auto"/>
        </w:rPr>
      </w:pPr>
      <w:r>
        <w:rPr>
          <w:rFonts w:ascii="Arial" w:cs="Arial" w:eastAsia="Arial" w:hAnsi="Arial"/>
          <w:sz w:val="17"/>
          <w:szCs w:val="17"/>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46" w:lineRule="exact"/>
        <w:rPr>
          <w:rFonts w:ascii="Arial" w:cs="Arial" w:eastAsia="Arial" w:hAnsi="Arial"/>
          <w:sz w:val="17"/>
          <w:szCs w:val="17"/>
          <w:color w:val="auto"/>
        </w:rPr>
      </w:pPr>
    </w:p>
    <w:p>
      <w:pPr>
        <w:ind w:left="920" w:hanging="264"/>
        <w:spacing w:after="0"/>
        <w:tabs>
          <w:tab w:leader="none" w:pos="9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August 9, 2012</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A. Clemens</w:t>
            </w:r>
          </w:p>
        </w:tc>
      </w:tr>
      <w:tr>
        <w:trPr>
          <w:trHeight w:val="195"/>
        </w:trPr>
        <w:tc>
          <w:tcPr>
            <w:tcW w:w="6740" w:type="dxa"/>
            <w:vAlign w:val="bottom"/>
          </w:tcPr>
          <w:p>
            <w:pPr>
              <w:spacing w:after="0"/>
              <w:rPr>
                <w:sz w:val="16"/>
                <w:szCs w:val="16"/>
                <w:color w:val="auto"/>
              </w:rPr>
            </w:pPr>
          </w:p>
        </w:tc>
        <w:tc>
          <w:tcPr>
            <w:tcW w:w="4680" w:type="dxa"/>
            <w:vAlign w:val="bottom"/>
          </w:tcPr>
          <w:p>
            <w:pPr>
              <w:spacing w:after="0" w:line="195" w:lineRule="exact"/>
              <w:rPr>
                <w:sz w:val="20"/>
                <w:szCs w:val="20"/>
                <w:color w:val="auto"/>
              </w:rPr>
            </w:pPr>
            <w:r>
              <w:rPr>
                <w:rFonts w:ascii="Arial" w:cs="Arial" w:eastAsia="Arial" w:hAnsi="Arial"/>
                <w:sz w:val="18"/>
                <w:szCs w:val="18"/>
                <w:color w:val="auto"/>
              </w:rPr>
              <w:t>Peter A. Clemens</w:t>
            </w:r>
          </w:p>
        </w:tc>
      </w:tr>
      <w:tr>
        <w:trPr>
          <w:trHeight w:val="230"/>
        </w:trPr>
        <w:tc>
          <w:tcPr>
            <w:tcW w:w="674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75"/>
        </w:trPr>
        <w:tc>
          <w:tcPr>
            <w:tcW w:w="674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6" w:name="page7"/>
    <w:bookmarkEnd w:id="6"/>
    <w:p>
      <w:pPr>
        <w:jc w:val="center"/>
        <w:spacing w:after="0" w:line="264" w:lineRule="auto"/>
        <w:rPr>
          <w:sz w:val="20"/>
          <w:szCs w:val="20"/>
          <w:color w:val="auto"/>
        </w:rPr>
      </w:pPr>
      <w:r>
        <w:rPr>
          <w:rFonts w:ascii="Arial" w:cs="Arial" w:eastAsia="Arial" w:hAnsi="Arial"/>
          <w:sz w:val="18"/>
          <w:szCs w:val="18"/>
          <w:color w:val="auto"/>
        </w:rPr>
        <w:t>CERTIFICATIONS OF THE CHIEF EXEUTIVE OFFICER AND THE CHIEF FINANCIAL OFFICER PURSUANT TO 18 U.S.C. SECTION 1350, AS ADOPTED PURSUANT TO SECTION 906 OF THE SARBANES-OXLEY ACT OF 2002</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of Acura Pharmaceuticals, Inc. (the "Company") on Form 10-Q for the period ending June 30, 2012 as filed with the Securities and Exchange Commission on the date hereof (the "Report"), I, Robert B. Jones, the Chief Executive Officer of the Company, and Peter A. Clemens, Chief Financial Officer certify, pursuant to 18 U.S.C. Section 1350, as adopted pursuant to Section 906 of the Sarbanes-Oxley Act of 2002, that:</w:t>
      </w:r>
    </w:p>
    <w:p>
      <w:pPr>
        <w:spacing w:after="0" w:line="14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20" w:right="640" w:hanging="312"/>
        <w:spacing w:after="0" w:line="384" w:lineRule="auto"/>
        <w:tabs>
          <w:tab w:leader="none" w:pos="33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August 9, 2012</w:t>
      </w:r>
    </w:p>
    <w:p>
      <w:pPr>
        <w:ind w:left="7320"/>
        <w:spacing w:after="0"/>
        <w:rPr>
          <w:sz w:val="20"/>
          <w:szCs w:val="20"/>
          <w:color w:val="auto"/>
        </w:rPr>
      </w:pPr>
      <w:r>
        <w:rPr>
          <w:rFonts w:ascii="Arial" w:cs="Arial" w:eastAsia="Arial" w:hAnsi="Arial"/>
          <w:sz w:val="18"/>
          <w:szCs w:val="18"/>
          <w:color w:val="auto"/>
        </w:rPr>
        <w:t>/s/ Robert B. Jones</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Executive Officer</w:t>
      </w:r>
    </w:p>
    <w:p>
      <w:pPr>
        <w:spacing w:after="0" w:line="224"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Peter A. Clemens</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þ"/>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2019-12-09T08:36:59Z</dcterms:created>
  <dcterms:modified xsi:type="dcterms:W3CDTF">2019-12-09T08:36:59Z</dcterms:modified>
</cp:coreProperties>
</file>