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0" w:lineRule="exact"/>
        <w:rPr>
          <w:sz w:val="24"/>
          <w:szCs w:val="24"/>
          <w:color w:val="auto"/>
        </w:rPr>
      </w:pPr>
    </w:p>
    <w:p>
      <w:pPr>
        <w:ind w:left="62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41" w:lineRule="exact"/>
        <w:rPr>
          <w:sz w:val="24"/>
          <w:szCs w:val="24"/>
          <w:color w:val="auto"/>
        </w:rPr>
      </w:pPr>
    </w:p>
    <w:p>
      <w:pPr>
        <w:jc w:val="center"/>
        <w:ind w:left="46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-819785</wp:posOffset>
            </wp:positionH>
            <wp:positionV relativeFrom="paragraph">
              <wp:posOffset>-299085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-264795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4"/>
          <w:szCs w:val="24"/>
          <w:color w:val="auto"/>
        </w:rPr>
      </w:pPr>
    </w:p>
    <w:p>
      <w:pPr>
        <w:spacing w:after="0" w:line="241" w:lineRule="exact"/>
        <w:rPr>
          <w:sz w:val="24"/>
          <w:szCs w:val="24"/>
          <w:color w:val="auto"/>
        </w:rPr>
      </w:pPr>
    </w:p>
    <w:p>
      <w:pPr>
        <w:ind w:right="1340"/>
        <w:spacing w:after="0" w:line="26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jc w:val="center"/>
        <w:ind w:right="130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960"/>
        <w:spacing w:after="0" w:line="26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80"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Commission file number 1-10113</w:t>
      </w:r>
    </w:p>
    <w:p>
      <w:pPr>
        <w:spacing w:after="0" w:line="221" w:lineRule="exact"/>
        <w:rPr>
          <w:sz w:val="24"/>
          <w:szCs w:val="24"/>
          <w:color w:val="auto"/>
        </w:rPr>
      </w:pPr>
    </w:p>
    <w:p>
      <w:pPr>
        <w:ind w:left="2300"/>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sectPr>
          <w:pgSz w:w="11900" w:h="16838" w:orient="portrait"/>
          <w:cols w:equalWidth="0" w:num="2">
            <w:col w:w="860" w:space="440"/>
            <w:col w:w="10120"/>
          </w:cols>
          <w:pgMar w:left="240" w:top="729" w:right="239" w:bottom="0" w:gutter="0" w:footer="0" w:header="0"/>
        </w:sect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New York</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44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440" w:type="dxa"/>
            <w:vAlign w:val="bottom"/>
          </w:tcPr>
          <w:p>
            <w:pPr>
              <w:jc w:val="center"/>
              <w:ind w:right="1030"/>
              <w:spacing w:after="0"/>
              <w:rPr>
                <w:sz w:val="20"/>
                <w:szCs w:val="20"/>
                <w:color w:val="auto"/>
              </w:rPr>
            </w:pPr>
            <w:r>
              <w:rPr>
                <w:rFonts w:ascii="Arial" w:cs="Arial" w:eastAsia="Arial" w:hAnsi="Arial"/>
                <w:sz w:val="18"/>
                <w:szCs w:val="18"/>
                <w:color w:val="auto"/>
                <w:w w:val="93"/>
              </w:rPr>
              <w:t>(Address of principal administrative office)</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p>
      <w:pPr>
        <w:sectPr>
          <w:pgSz w:w="11900" w:h="16838" w:orient="portrait"/>
          <w:cols w:equalWidth="0" w:num="1">
            <w:col w:w="11420"/>
          </w:cols>
          <w:pgMar w:left="240" w:top="729" w:right="239" w:bottom="0" w:gutter="0" w:footer="0" w:header="0"/>
          <w:type w:val="continuous"/>
        </w:sectPr>
      </w:pPr>
    </w:p>
    <w:p>
      <w:pPr>
        <w:spacing w:after="0" w:line="225"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0"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38" w:orient="portrait"/>
          <w:cols w:equalWidth="0" w:num="2">
            <w:col w:w="6140" w:space="720"/>
            <w:col w:w="4560"/>
          </w:cols>
          <w:pgMar w:left="240" w:top="729"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07" w:lineRule="exact"/>
        <w:tabs>
          <w:tab w:leader="none" w:pos="5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9" w:lineRule="exact"/>
        <w:rPr>
          <w:sz w:val="24"/>
          <w:szCs w:val="24"/>
          <w:color w:val="auto"/>
        </w:rPr>
      </w:pPr>
    </w:p>
    <w:p>
      <w:pPr>
        <w:spacing w:after="0" w:line="207" w:lineRule="exact"/>
        <w:tabs>
          <w:tab w:leader="none" w:pos="5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Arial" w:cs="Arial" w:eastAsia="Arial" w:hAnsi="Arial"/>
          <w:sz w:val="16"/>
          <w:szCs w:val="16"/>
          <w:color w:val="auto"/>
        </w:rPr>
        <w:t>x Smaller Reporting Company.</w:t>
      </w:r>
    </w:p>
    <w:p>
      <w:pPr>
        <w:spacing w:after="0" w:line="9" w:lineRule="exact"/>
        <w:rPr>
          <w:sz w:val="24"/>
          <w:szCs w:val="24"/>
          <w:color w:val="auto"/>
        </w:rPr>
      </w:pPr>
    </w:p>
    <w:p>
      <w:pPr>
        <w:ind w:left="5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Based on the last sale price on the OTCQB Market of the Common Stock of $0.3610 on June 29, 2018 (the last business day of the registrant’s most recently completed second fiscal quarter), the aggregate market value of the voting stock held by non-affiliates of the registrant was approximately $2.7 million.</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59"/>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Ticker symbol(s)</w:t>
            </w:r>
          </w:p>
        </w:tc>
        <w:tc>
          <w:tcPr>
            <w:tcW w:w="22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4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$0.01 par value</w:t>
            </w:r>
          </w:p>
        </w:tc>
        <w:tc>
          <w:tcPr>
            <w:tcW w:w="27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ACUR</w:t>
            </w:r>
          </w:p>
        </w:tc>
        <w:tc>
          <w:tcPr>
            <w:tcW w:w="4220" w:type="dxa"/>
            <w:vAlign w:val="bottom"/>
          </w:tcPr>
          <w:p>
            <w:pPr>
              <w:jc w:val="center"/>
              <w:spacing w:after="0"/>
              <w:rPr>
                <w:sz w:val="20"/>
                <w:szCs w:val="20"/>
                <w:color w:val="auto"/>
              </w:rPr>
            </w:pPr>
            <w:r>
              <w:rPr>
                <w:rFonts w:ascii="Arial" w:cs="Arial" w:eastAsia="Arial" w:hAnsi="Arial"/>
                <w:sz w:val="18"/>
                <w:szCs w:val="18"/>
                <w:color w:val="auto"/>
                <w:w w:val="94"/>
              </w:rPr>
              <w:t>OTC Pink</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12, 2019, the registrant had 21,300,192 shares of Common Stock, par value $0.01, outstanding.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ectPr>
          <w:pgSz w:w="11900" w:h="16838" w:orient="portrait"/>
          <w:cols w:equalWidth="0" w:num="1">
            <w:col w:w="11420"/>
          </w:cols>
          <w:pgMar w:left="240" w:top="729"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106045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40" w:type="dxa"/>
            <w:vAlign w:val="bottom"/>
            <w:gridSpan w:val="14"/>
          </w:tcPr>
          <w:p>
            <w:pPr>
              <w:jc w:val="center"/>
              <w:ind w:right="3680"/>
              <w:spacing w:after="0"/>
              <w:rPr>
                <w:sz w:val="20"/>
                <w:szCs w:val="20"/>
                <w:color w:val="auto"/>
              </w:rPr>
            </w:pPr>
            <w:r>
              <w:rPr>
                <w:rFonts w:ascii="Arial" w:cs="Arial" w:eastAsia="Arial" w:hAnsi="Arial"/>
                <w:sz w:val="18"/>
                <w:szCs w:val="18"/>
                <w:b w:val="1"/>
                <w:bCs w:val="1"/>
                <w:color w:val="auto"/>
                <w:w w:val="90"/>
              </w:rPr>
              <w:t>Acura Pharmaceuticals, Inc.</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60" w:type="dxa"/>
            <w:vAlign w:val="bottom"/>
            <w:gridSpan w:val="13"/>
          </w:tcPr>
          <w:p>
            <w:pPr>
              <w:jc w:val="center"/>
              <w:ind w:right="4460"/>
              <w:spacing w:after="0"/>
              <w:rPr>
                <w:sz w:val="20"/>
                <w:szCs w:val="20"/>
                <w:color w:val="auto"/>
              </w:rPr>
            </w:pPr>
            <w:r>
              <w:rPr>
                <w:rFonts w:ascii="Arial" w:cs="Arial" w:eastAsia="Arial" w:hAnsi="Arial"/>
                <w:sz w:val="18"/>
                <w:szCs w:val="18"/>
                <w:b w:val="1"/>
                <w:bCs w:val="1"/>
                <w:color w:val="auto"/>
                <w:w w:val="96"/>
              </w:rPr>
              <w:t>Form 10-K</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20" w:type="dxa"/>
            <w:vAlign w:val="bottom"/>
            <w:gridSpan w:val="17"/>
          </w:tcPr>
          <w:p>
            <w:pPr>
              <w:jc w:val="center"/>
              <w:ind w:right="2400"/>
              <w:spacing w:after="0"/>
              <w:rPr>
                <w:sz w:val="20"/>
                <w:szCs w:val="20"/>
                <w:color w:val="auto"/>
              </w:rPr>
            </w:pPr>
            <w:r>
              <w:rPr>
                <w:rFonts w:ascii="Arial" w:cs="Arial" w:eastAsia="Arial" w:hAnsi="Arial"/>
                <w:sz w:val="18"/>
                <w:szCs w:val="18"/>
                <w:b w:val="1"/>
                <w:bCs w:val="1"/>
                <w:color w:val="auto"/>
                <w:w w:val="90"/>
              </w:rPr>
              <w:t>For the Fiscal Year Ended December 31, 2018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0000EE"/>
            </w:tcBorders>
            <w:shd w:val="clear" w:color="auto" w:fill="CCEEFF"/>
          </w:tcPr>
          <w:p>
            <w:pPr>
              <w:jc w:val="center"/>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460" w:type="dxa"/>
            <w:vAlign w:val="bottom"/>
            <w:tcBorders>
              <w:bottom w:val="single" w:sz="8" w:color="CCEEFF"/>
            </w:tcBorders>
            <w:gridSpan w:val="8"/>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60" w:type="dxa"/>
            <w:vAlign w:val="bottom"/>
            <w:gridSpan w:val="2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00" w:type="dxa"/>
            <w:vAlign w:val="bottom"/>
            <w:gridSpan w:val="4"/>
          </w:tcPr>
          <w:p>
            <w:pPr>
              <w:jc w:val="center"/>
              <w:ind w:left="21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1B.</w:t>
              </w:r>
            </w:hyperlink>
          </w:p>
        </w:tc>
        <w:tc>
          <w:tcPr>
            <w:tcW w:w="520" w:type="dxa"/>
            <w:vAlign w:val="bottom"/>
          </w:tcPr>
          <w:p>
            <w:pPr>
              <w:spacing w:after="0"/>
              <w:rPr>
                <w:sz w:val="15"/>
                <w:szCs w:val="15"/>
                <w:color w:val="auto"/>
              </w:rPr>
            </w:pPr>
          </w:p>
        </w:tc>
        <w:tc>
          <w:tcPr>
            <w:tcW w:w="9460" w:type="dxa"/>
            <w:vAlign w:val="bottom"/>
            <w:gridSpan w:val="2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2.</w:t>
              </w:r>
            </w:hyperlink>
          </w:p>
        </w:tc>
        <w:tc>
          <w:tcPr>
            <w:tcW w:w="640" w:type="dxa"/>
            <w:vAlign w:val="bottom"/>
            <w:gridSpan w:val="3"/>
            <w:shd w:val="clear" w:color="auto" w:fill="CCEEFF"/>
          </w:tcPr>
          <w:p>
            <w:pPr>
              <w:spacing w:after="0"/>
              <w:rPr>
                <w:sz w:val="15"/>
                <w:szCs w:val="15"/>
                <w:color w:val="auto"/>
              </w:rPr>
            </w:pPr>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3.</w:t>
              </w:r>
            </w:hyperlink>
          </w:p>
        </w:tc>
        <w:tc>
          <w:tcPr>
            <w:tcW w:w="640" w:type="dxa"/>
            <w:vAlign w:val="bottom"/>
            <w:gridSpan w:val="3"/>
          </w:tcPr>
          <w:p>
            <w:pPr>
              <w:spacing w:after="0"/>
              <w:rPr>
                <w:sz w:val="15"/>
                <w:szCs w:val="15"/>
                <w:color w:val="auto"/>
              </w:rPr>
            </w:pPr>
          </w:p>
        </w:tc>
        <w:tc>
          <w:tcPr>
            <w:tcW w:w="9460" w:type="dxa"/>
            <w:vAlign w:val="bottom"/>
            <w:gridSpan w:val="2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20" w:type="dxa"/>
            <w:vAlign w:val="bottom"/>
            <w:tcBorders>
              <w:top w:val="single" w:sz="8" w:color="CCEEFF"/>
            </w:tcBorders>
            <w:gridSpan w:val="10"/>
          </w:tcPr>
          <w:p>
            <w:pPr>
              <w:jc w:val="center"/>
              <w:ind w:right="4440"/>
              <w:spacing w:after="0" w:line="17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PART II</w:t>
              </w:r>
            </w:hyperlink>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Item 5.</w:t>
              </w:r>
            </w:hyperlink>
          </w:p>
        </w:tc>
        <w:tc>
          <w:tcPr>
            <w:tcW w:w="640" w:type="dxa"/>
            <w:vAlign w:val="bottom"/>
            <w:gridSpan w:val="3"/>
            <w:shd w:val="clear" w:color="auto" w:fill="CCEEFF"/>
          </w:tcPr>
          <w:p>
            <w:pPr>
              <w:spacing w:after="0"/>
              <w:rPr>
                <w:sz w:val="15"/>
                <w:szCs w:val="15"/>
                <w:color w:val="auto"/>
              </w:rPr>
            </w:pPr>
          </w:p>
        </w:tc>
        <w:tc>
          <w:tcPr>
            <w:tcW w:w="8080" w:type="dxa"/>
            <w:vAlign w:val="bottom"/>
            <w:gridSpan w:val="26"/>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Market for Registrant’s Common Equity, Related Stockholder Matters and Issuer Purchases of Equity Securities</w:t>
              </w:r>
            </w:hyperlink>
          </w:p>
        </w:tc>
        <w:tc>
          <w:tcPr>
            <w:tcW w:w="138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Item 6.</w:t>
              </w:r>
            </w:hyperlink>
          </w:p>
        </w:tc>
        <w:tc>
          <w:tcPr>
            <w:tcW w:w="640" w:type="dxa"/>
            <w:vAlign w:val="bottom"/>
            <w:gridSpan w:val="3"/>
          </w:tcPr>
          <w:p>
            <w:pPr>
              <w:spacing w:after="0"/>
              <w:rPr>
                <w:sz w:val="15"/>
                <w:szCs w:val="15"/>
                <w:color w:val="auto"/>
              </w:rPr>
            </w:pPr>
          </w:p>
        </w:tc>
        <w:tc>
          <w:tcPr>
            <w:tcW w:w="808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Selected Financial Data</w:t>
              </w:r>
            </w:hyperlink>
          </w:p>
        </w:tc>
        <w:tc>
          <w:tcPr>
            <w:tcW w:w="1380" w:type="dxa"/>
            <w:vAlign w:val="bottom"/>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7.</w:t>
              </w:r>
            </w:hyperlink>
          </w:p>
        </w:tc>
        <w:tc>
          <w:tcPr>
            <w:tcW w:w="640" w:type="dxa"/>
            <w:vAlign w:val="bottom"/>
            <w:gridSpan w:val="3"/>
            <w:shd w:val="clear" w:color="auto" w:fill="CCEEFF"/>
          </w:tcPr>
          <w:p>
            <w:pPr>
              <w:spacing w:after="0"/>
              <w:rPr>
                <w:sz w:val="15"/>
                <w:szCs w:val="15"/>
                <w:color w:val="auto"/>
              </w:rPr>
            </w:pPr>
          </w:p>
        </w:tc>
        <w:tc>
          <w:tcPr>
            <w:tcW w:w="6460" w:type="dxa"/>
            <w:vAlign w:val="bottom"/>
            <w:gridSpan w:val="24"/>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3"/>
            <w:shd w:val="clear" w:color="auto" w:fill="CCEEFF"/>
          </w:tcPr>
          <w:p>
            <w:pPr>
              <w:spacing w:after="0"/>
              <w:rPr>
                <w:sz w:val="15"/>
                <w:szCs w:val="15"/>
                <w:color w:val="auto"/>
              </w:rPr>
            </w:pPr>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7A.</w:t>
              </w:r>
            </w:hyperlink>
          </w:p>
        </w:tc>
        <w:tc>
          <w:tcPr>
            <w:tcW w:w="9460" w:type="dxa"/>
            <w:vAlign w:val="bottom"/>
            <w:gridSpan w:val="27"/>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8.</w:t>
              </w:r>
            </w:hyperlink>
          </w:p>
        </w:tc>
        <w:tc>
          <w:tcPr>
            <w:tcW w:w="640" w:type="dxa"/>
            <w:vAlign w:val="bottom"/>
            <w:gridSpan w:val="3"/>
            <w:shd w:val="clear" w:color="auto" w:fill="CCEEFF"/>
          </w:tcPr>
          <w:p>
            <w:pPr>
              <w:spacing w:after="0"/>
              <w:rPr>
                <w:sz w:val="15"/>
                <w:szCs w:val="15"/>
                <w:color w:val="auto"/>
              </w:rPr>
            </w:pPr>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9.</w:t>
              </w:r>
            </w:hyperlink>
          </w:p>
        </w:tc>
        <w:tc>
          <w:tcPr>
            <w:tcW w:w="640" w:type="dxa"/>
            <w:vAlign w:val="bottom"/>
            <w:gridSpan w:val="3"/>
          </w:tcPr>
          <w:p>
            <w:pPr>
              <w:spacing w:after="0"/>
              <w:rPr>
                <w:sz w:val="15"/>
                <w:szCs w:val="15"/>
                <w:color w:val="auto"/>
              </w:rPr>
            </w:pPr>
          </w:p>
        </w:tc>
        <w:tc>
          <w:tcPr>
            <w:tcW w:w="9460" w:type="dxa"/>
            <w:vAlign w:val="bottom"/>
            <w:gridSpan w:val="27"/>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 with Accountants on Accounting and Financial Disclosure</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65</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9A.</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65</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Item 9B.</w:t>
              </w:r>
            </w:hyperlink>
          </w:p>
        </w:tc>
        <w:tc>
          <w:tcPr>
            <w:tcW w:w="520" w:type="dxa"/>
            <w:vAlign w:val="bottom"/>
          </w:tcPr>
          <w:p>
            <w:pPr>
              <w:spacing w:after="0"/>
              <w:rPr>
                <w:sz w:val="15"/>
                <w:szCs w:val="15"/>
                <w:color w:val="auto"/>
              </w:rPr>
            </w:pPr>
          </w:p>
        </w:tc>
        <w:tc>
          <w:tcPr>
            <w:tcW w:w="1760" w:type="dxa"/>
            <w:vAlign w:val="bottom"/>
            <w:gridSpan w:val="8"/>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700" w:type="dxa"/>
            <w:vAlign w:val="bottom"/>
            <w:gridSpan w:val="19"/>
          </w:tcPr>
          <w:p>
            <w:pPr>
              <w:spacing w:after="0"/>
              <w:rPr>
                <w:sz w:val="15"/>
                <w:szCs w:val="15"/>
                <w:color w:val="auto"/>
              </w:rPr>
            </w:pPr>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65</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PART III</w:t>
              </w:r>
            </w:hyperlink>
          </w:p>
        </w:tc>
        <w:tc>
          <w:tcPr>
            <w:tcW w:w="4400" w:type="dxa"/>
            <w:vAlign w:val="bottom"/>
            <w:tcBorders>
              <w:bottom w:val="single" w:sz="8" w:color="CCEEFF"/>
            </w:tcBorders>
            <w:gridSpan w:val="6"/>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10.</w:t>
              </w:r>
            </w:hyperlink>
          </w:p>
        </w:tc>
        <w:tc>
          <w:tcPr>
            <w:tcW w:w="9460" w:type="dxa"/>
            <w:vAlign w:val="bottom"/>
            <w:gridSpan w:val="27"/>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66</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11.</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71</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12.</w:t>
              </w:r>
            </w:hyperlink>
          </w:p>
        </w:tc>
        <w:tc>
          <w:tcPr>
            <w:tcW w:w="9460" w:type="dxa"/>
            <w:vAlign w:val="bottom"/>
            <w:gridSpan w:val="27"/>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Stockholder Matters</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83</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13.</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14.</w:t>
              </w:r>
            </w:hyperlink>
          </w:p>
        </w:tc>
        <w:tc>
          <w:tcPr>
            <w:tcW w:w="9460" w:type="dxa"/>
            <w:vAlign w:val="bottom"/>
            <w:gridSpan w:val="27"/>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Principal Accounting Fees and Services</w:t>
              </w:r>
            </w:hyperlink>
          </w:p>
        </w:tc>
        <w:tc>
          <w:tcPr>
            <w:tcW w:w="500" w:type="dxa"/>
            <w:vAlign w:val="bottom"/>
            <w:gridSpan w:val="4"/>
          </w:tcPr>
          <w:p>
            <w:pPr>
              <w:jc w:val="center"/>
              <w:ind w:left="230"/>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60" w:type="dxa"/>
            <w:vAlign w:val="bottom"/>
            <w:gridSpan w:val="11"/>
            <w:shd w:val="clear" w:color="auto" w:fill="CCEEFF"/>
          </w:tcPr>
          <w:p>
            <w:pPr>
              <w:jc w:val="center"/>
              <w:ind w:right="4400"/>
              <w:spacing w:after="0" w:line="17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PART IV</w:t>
              </w:r>
            </w:hyperlink>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15.</w:t>
              </w:r>
            </w:hyperlink>
          </w:p>
        </w:tc>
        <w:tc>
          <w:tcPr>
            <w:tcW w:w="4400" w:type="dxa"/>
            <w:vAlign w:val="bottom"/>
            <w:tcBorders>
              <w:top w:val="single" w:sz="8" w:color="CCEEFF"/>
            </w:tcBorders>
            <w:gridSpan w:val="16"/>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5"/>
          </w:tcPr>
          <w:p>
            <w:pPr>
              <w:spacing w:after="0"/>
              <w:rPr>
                <w:sz w:val="15"/>
                <w:szCs w:val="15"/>
                <w:color w:val="auto"/>
              </w:rPr>
            </w:pPr>
          </w:p>
        </w:tc>
        <w:tc>
          <w:tcPr>
            <w:tcW w:w="4400" w:type="dxa"/>
            <w:vAlign w:val="bottom"/>
            <w:tcBorders>
              <w:top w:val="single" w:sz="8" w:color="CCEEFF"/>
            </w:tcBorders>
            <w:gridSpan w:val="6"/>
          </w:tcPr>
          <w:p>
            <w:pPr>
              <w:spacing w:after="0"/>
              <w:rPr>
                <w:sz w:val="15"/>
                <w:szCs w:val="15"/>
                <w:color w:val="auto"/>
              </w:rPr>
            </w:pPr>
          </w:p>
        </w:tc>
        <w:tc>
          <w:tcPr>
            <w:tcW w:w="500" w:type="dxa"/>
            <w:vAlign w:val="bottom"/>
            <w:tcBorders>
              <w:top w:val="single" w:sz="8" w:color="CCEEFF"/>
            </w:tcBorders>
            <w:gridSpan w:val="4"/>
          </w:tcPr>
          <w:p>
            <w:pPr>
              <w:jc w:val="center"/>
              <w:ind w:left="230"/>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16.</w:t>
              </w:r>
            </w:hyperlink>
          </w:p>
        </w:tc>
        <w:tc>
          <w:tcPr>
            <w:tcW w:w="9460" w:type="dxa"/>
            <w:vAlign w:val="bottom"/>
            <w:gridSpan w:val="27"/>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Form 10-K Summary</w:t>
              </w:r>
            </w:hyperlink>
          </w:p>
        </w:tc>
        <w:tc>
          <w:tcPr>
            <w:tcW w:w="500" w:type="dxa"/>
            <w:vAlign w:val="bottom"/>
            <w:gridSpan w:val="4"/>
            <w:shd w:val="clear" w:color="auto" w:fill="CCEEFF"/>
          </w:tcPr>
          <w:p>
            <w:pPr>
              <w:jc w:val="center"/>
              <w:ind w:left="230"/>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88</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20" w:hanging="188"/>
        <w:spacing w:after="0" w:line="258"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Zyla Life Sciences’ or Zyla (formerly known as Egalet Corporation) for Oxaydo;</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20" w:hanging="188"/>
        <w:spacing w:after="0" w:line="250"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20" w:hanging="188"/>
        <w:spacing w:after="0" w:line="261"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“anticipate,” “believe,” “continue,” “could,” “estimate,” “expect,” “indicate,” “intend,” “look forward to,” “may,” “plan,” “potential,” “predict,” “project,” “should,” “suggest,” “target,” “will,” “would,” and other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associated with opioid analgesics while our Impede® Technology is directed at minimizing the extraction and conversion of pseudoephedrine, or PSE, into methamphetamine.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(now known as Zyla Life Sciences),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 We are not actively developing product candidates utilizing our Aversion Technology.</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(Mr. Schutte), who became our largest shareholder pursuant to a private placement completed in July 2017.</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and completion of development of LTX-03. The Agreement grants AD Pharma exclusive commercialization rights in the United States to LTX-03.</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safe use of pharmaceuticals by developing a broad portfolio of technologies and products with enhanced safety features and benefits. Specifically, we intend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innovative drug delivery technologies that address medication safety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one FDA approved product containing our Aversion Technology commercially launched in the United States by our licensee, and two products commercially launched containing our Impede Technology. We continue to invest in improvements in these technologies and innovate new technologies, including our Limitx Technology.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 and are seeking licensing partners for products in development utilizing our Limitx Technology.</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Commercialize our products by licensing to strategically focused companies in the United States and other geographic territories</w:t>
      </w:r>
      <w:r>
        <w:rPr>
          <w:rFonts w:ascii="Arial" w:cs="Arial" w:eastAsia="Arial" w:hAnsi="Arial"/>
          <w:sz w:val="17"/>
          <w:szCs w:val="17"/>
          <w:color w:val="auto"/>
        </w:rPr>
        <w:t>. We have 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our Oxaydo product to Zyla for commercialization, have licensed our Aversion Technology to KemPharm for use in certain of its prodrug products, have licensed our Nexafed products utilizing our Impede Technology to MainPointe for commercialization (and granted MainPointe and AD Pharma options to other Impede products), and we are seeking licensing partners for our products in development utilizing our Limitx, Aversion and Impede technologies. While we had developed a small infrastructure to commercialize our OTC products that utilize the Impede Technology, this infrastructure has been discontinued in conjunction with our entering into the MainPointe Agreement.</w:t>
      </w:r>
    </w:p>
    <w:p>
      <w:pPr>
        <w:spacing w:after="0" w:line="178"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Maintain an efficient internal cost structure</w:t>
      </w:r>
      <w:r>
        <w:rPr>
          <w:rFonts w:ascii="Arial" w:cs="Arial" w:eastAsia="Arial" w:hAnsi="Arial"/>
          <w:sz w:val="17"/>
          <w:szCs w:val="17"/>
          <w:color w:val="auto"/>
        </w:rPr>
        <w:t>. Our internal cost structure is focused on discovering new technologies and developing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formulations using those technologies. We outsource many high cost elements of development and commercialization, such as clinical trials and commercial manufacturing that minimize required fixed overhead and capital investment and thereby reduces our business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of abuse deterrent products, such our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Minimized Opioid Products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LTX-04 development program was also designated as Fast Track by the FDA for its potential to address an unmet medical need but we have voluntarily placed the IND for LTX-04 on inactive status to pursue development of LTX-03.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products in development utilizing our Limitx Technology:</w:t>
      </w:r>
    </w:p>
    <w:p>
      <w:pPr>
        <w:sectPr>
          <w:pgSz w:w="11900" w:h="16838" w:orient="portrait"/>
          <w:cols w:equalWidth="0" w:num="1">
            <w:col w:w="11420"/>
          </w:cols>
          <w:pgMar w:left="240" w:top="904" w:right="239" w:bottom="1440" w:gutter="0" w:footer="0" w:header="0"/>
        </w:sectPr>
      </w:pPr>
    </w:p>
    <w:p>
      <w:pPr>
        <w:spacing w:after="0" w:line="24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Limitx Technology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oxycodone HCl (LTX-01) &amp; (LTX-02)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non-opioid drug (LTX-09)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400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 buffer dose ranging study completed October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 on dose ranging study completed in January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Manufacturing scale-up initiated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Formulation development in process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Two Phase I exploratory pharmacokinetic studies completed. IND no longer active.</w:t>
      </w:r>
    </w:p>
    <w:p>
      <w:pPr>
        <w:spacing w:after="0" w:line="577" w:lineRule="exact"/>
        <w:rPr>
          <w:sz w:val="20"/>
          <w:szCs w:val="20"/>
          <w:color w:val="auto"/>
        </w:rPr>
      </w:pPr>
    </w:p>
    <w:p>
      <w:pPr>
        <w:sectPr>
          <w:pgSz w:w="11900" w:h="16838" w:orient="portrait"/>
          <w:cols w:equalWidth="0" w:num="2">
            <w:col w:w="5260" w:space="560"/>
            <w:col w:w="5600"/>
          </w:cols>
          <w:pgMar w:left="240" w:top="904" w:right="239" w:bottom="1440" w:gutter="0" w:footer="0" w:header="0"/>
          <w:type w:val="continuous"/>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are currently conducting the scale-up of the commercial manufacturing process as to-be-marketed formulations are required for all NDA development work. Among other things, we believe we will have to demonstrate a scientific link between Cmax reductions and a reduction in the risk of respiratory depression.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receive royalties and potential sales related milestones.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18 months or FDA’s acceptance of a New Drug Application (“NDA”) for LTX-03 and reimbursement by AP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Limitx intellectual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Schutte is our largest shareholder and directly owns approximately 47.5% of our common stock (after giving effect to the exercise of warrants he holds).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Schutte also controls MainPointe and is an investor in AD Pharma.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20" w:hanging="264"/>
        <w:spacing w:after="0" w:line="25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20" w:hanging="264"/>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920" w:hanging="264"/>
        <w:spacing w:after="0" w:line="26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Zyla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In accordance with the Zyla Agreement, we and Zyla have formed a joint steering committee to oversee commercialization strategies and the development of product line extensions. Zyla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will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Meth Resistant</w:t>
            </w:r>
          </w:p>
        </w:tc>
        <w:tc>
          <w:tcPr>
            <w:tcW w:w="1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Meth Recovery</w:t>
            </w:r>
            <w:r>
              <w:rPr>
                <w:rFonts w:ascii="Arial" w:cs="Arial" w:eastAsia="Arial" w:hAnsi="Arial"/>
                <w:sz w:val="30"/>
                <w:szCs w:val="30"/>
                <w:b w:val="1"/>
                <w:bCs w:val="1"/>
                <w:color w:val="auto"/>
                <w:vertAlign w:val="superscript"/>
              </w:rPr>
              <w:t>1</w:t>
            </w:r>
          </w:p>
        </w:tc>
        <w:tc>
          <w:tcPr>
            <w:tcW w:w="260" w:type="dxa"/>
            <w:vAlign w:val="bottom"/>
            <w:vMerge w:val="restart"/>
          </w:tcPr>
          <w:p>
            <w:pPr>
              <w:spacing w:after="0"/>
              <w:rPr>
                <w:sz w:val="18"/>
                <w:szCs w:val="18"/>
                <w:color w:val="auto"/>
              </w:rPr>
            </w:pPr>
          </w:p>
        </w:tc>
        <w:tc>
          <w:tcPr>
            <w:tcW w:w="17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30"/>
                <w:szCs w:val="30"/>
                <w:b w:val="1"/>
                <w:bCs w:val="1"/>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Product/Formulation</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Technology</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Nexafed 30mg Technology</w:t>
            </w: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rPr>
              <w:t>Impede® 1.0</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Tarex®</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Nexafed 120mg Extended-release tablets</w:t>
            </w: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rPr>
              <w:t>Impede® 2.0</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980" w:hanging="324"/>
        <w:spacing w:after="0" w:line="186" w:lineRule="auto"/>
        <w:tabs>
          <w:tab w:leader="none" w:pos="98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Total methamphetamine HCl recovered from the equivalent of 100 PSE 30mg tablets divided by the maximum theoretical yield of 2.7 grams.</w:t>
      </w:r>
    </w:p>
    <w:p>
      <w:pPr>
        <w:ind w:left="980" w:hanging="324"/>
        <w:spacing w:after="0" w:line="181" w:lineRule="auto"/>
        <w:tabs>
          <w:tab w:leader="none" w:pos="9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Total methamphetamine HCl recovered from the equivalent of 100 PSE 30mg tablets divided by the total weight of powder recovered.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MainPointe has assigned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have developed additional products for our Nexafed franchise:</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6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w w:val="88"/>
              </w:rPr>
              <w:t>Impede Technology Products</w:t>
            </w:r>
          </w:p>
        </w:tc>
        <w:tc>
          <w:tcPr>
            <w:tcW w:w="1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Status</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w w:val="92"/>
              </w:rPr>
              <w:t>Extended-release formulation utilizing Impede 2.0</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5020" w:type="dxa"/>
            <w:vAlign w:val="bottom"/>
          </w:tcPr>
          <w:p>
            <w:pPr>
              <w:spacing w:after="0"/>
              <w:rPr>
                <w:sz w:val="20"/>
                <w:szCs w:val="20"/>
                <w:color w:val="auto"/>
              </w:rPr>
            </w:pPr>
            <w:r>
              <w:rPr>
                <w:rFonts w:ascii="Arial" w:cs="Arial" w:eastAsia="Arial" w:hAnsi="Arial"/>
                <w:sz w:val="18"/>
                <w:szCs w:val="18"/>
                <w:color w:val="auto"/>
              </w:rPr>
              <w:t>Pilot pharmacokinetic testing demonstrated bioequivalence to</w:t>
            </w:r>
          </w:p>
        </w:tc>
      </w:tr>
      <w:tr>
        <w:trPr>
          <w:trHeight w:val="216"/>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8"/>
              </w:rPr>
              <w:t>Sudafed® 12-hour Tablets. Pre-IND meeting held with the FDA.</w:t>
            </w:r>
          </w:p>
        </w:tc>
      </w:tr>
      <w:tr>
        <w:trPr>
          <w:trHeight w:val="216"/>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 imminent development planned</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Extended-release combination products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 imminent development planned</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Loratadine with pseudoephedrine</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 imminent development planned</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21"/>
        </w:trPr>
        <w:tc>
          <w:tcPr>
            <w:tcW w:w="2740" w:type="dxa"/>
            <w:vAlign w:val="bottom"/>
          </w:tcPr>
          <w:p>
            <w:pPr>
              <w:ind w:left="980"/>
              <w:spacing w:after="0"/>
              <w:rPr>
                <w:sz w:val="20"/>
                <w:szCs w:val="20"/>
                <w:color w:val="auto"/>
              </w:rPr>
            </w:pPr>
            <w:r>
              <w:rPr>
                <w:rFonts w:ascii="Arial" w:cs="Arial" w:eastAsia="Arial" w:hAnsi="Arial"/>
                <w:sz w:val="18"/>
                <w:szCs w:val="18"/>
                <w:b w:val="1"/>
                <w:bCs w:val="1"/>
                <w:color w:val="auto"/>
              </w:rPr>
              <w:t>Reference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Active</w:t>
            </w:r>
          </w:p>
        </w:tc>
        <w:tc>
          <w:tcPr>
            <w:tcW w:w="1740" w:type="dxa"/>
            <w:vAlign w:val="bottom"/>
            <w:gridSpan w:val="3"/>
          </w:tcPr>
          <w:p>
            <w:pPr>
              <w:ind w:left="180"/>
              <w:spacing w:after="0"/>
              <w:rPr>
                <w:sz w:val="20"/>
                <w:szCs w:val="20"/>
                <w:color w:val="auto"/>
              </w:rPr>
            </w:pPr>
            <w:r>
              <w:rPr>
                <w:rFonts w:ascii="Arial" w:cs="Arial" w:eastAsia="Arial" w:hAnsi="Arial"/>
                <w:sz w:val="18"/>
                <w:szCs w:val="18"/>
                <w:b w:val="1"/>
                <w:bCs w:val="1"/>
                <w:color w:val="auto"/>
              </w:rPr>
              <w:t>2014 Retail Sales</w:t>
            </w:r>
          </w:p>
        </w:tc>
      </w:tr>
      <w:tr>
        <w:trPr>
          <w:trHeight w:val="270"/>
        </w:trPr>
        <w:tc>
          <w:tcPr>
            <w:tcW w:w="2740" w:type="dxa"/>
            <w:vAlign w:val="bottom"/>
            <w:tcBorders>
              <w:bottom w:val="single" w:sz="8" w:color="auto"/>
            </w:tcBorders>
          </w:tcPr>
          <w:p>
            <w:pPr>
              <w:ind w:left="1080"/>
              <w:spacing w:after="0" w:line="269" w:lineRule="exact"/>
              <w:rPr>
                <w:sz w:val="20"/>
                <w:szCs w:val="20"/>
                <w:color w:val="auto"/>
              </w:rPr>
            </w:pPr>
            <w:r>
              <w:rPr>
                <w:rFonts w:ascii="Arial" w:cs="Arial" w:eastAsia="Arial" w:hAnsi="Arial"/>
                <w:sz w:val="18"/>
                <w:szCs w:val="18"/>
                <w:b w:val="1"/>
                <w:bCs w:val="1"/>
                <w:color w:val="auto"/>
              </w:rPr>
              <w:t>Brand</w:t>
            </w:r>
            <w:r>
              <w:rPr>
                <w:rFonts w:ascii="Arial" w:cs="Arial" w:eastAsia="Arial" w:hAnsi="Arial"/>
                <w:sz w:val="30"/>
                <w:szCs w:val="30"/>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Brand Company</w:t>
            </w:r>
          </w:p>
        </w:tc>
        <w:tc>
          <w:tcPr>
            <w:tcW w:w="120" w:type="dxa"/>
            <w:vAlign w:val="bottom"/>
            <w:tcBorders>
              <w:bottom w:val="single" w:sz="8" w:color="CCEEFF"/>
            </w:tcBorders>
          </w:tcPr>
          <w:p>
            <w:pPr>
              <w:spacing w:after="0"/>
              <w:rPr>
                <w:sz w:val="23"/>
                <w:szCs w:val="23"/>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Ingredient(s)</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3"/>
              </w:rPr>
              <w:t>Millions)</w:t>
            </w:r>
          </w:p>
        </w:tc>
        <w:tc>
          <w:tcPr>
            <w:tcW w:w="80" w:type="dxa"/>
            <w:vAlign w:val="bottom"/>
            <w:tcBorders>
              <w:bottom w:val="single" w:sz="8" w:color="CCEEFF"/>
            </w:tcBorders>
          </w:tcPr>
          <w:p>
            <w:pPr>
              <w:spacing w:after="0"/>
              <w:rPr>
                <w:sz w:val="23"/>
                <w:szCs w:val="23"/>
                <w:color w:val="auto"/>
              </w:rPr>
            </w:pPr>
          </w:p>
        </w:tc>
      </w:tr>
      <w:tr>
        <w:trPr>
          <w:trHeight w:val="264"/>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Allegra-D</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9"/>
              </w:rPr>
              <w:t>Chattem</w:t>
            </w:r>
          </w:p>
        </w:tc>
        <w:tc>
          <w:tcPr>
            <w:tcW w:w="2140" w:type="dxa"/>
            <w:vAlign w:val="bottom"/>
          </w:tcPr>
          <w:p>
            <w:pPr>
              <w:spacing w:after="0"/>
              <w:rPr>
                <w:sz w:val="23"/>
                <w:szCs w:val="23"/>
                <w:color w:val="auto"/>
              </w:rPr>
            </w:pPr>
          </w:p>
        </w:tc>
        <w:tc>
          <w:tcPr>
            <w:tcW w:w="3060" w:type="dxa"/>
            <w:vAlign w:val="bottom"/>
            <w:gridSpan w:val="3"/>
          </w:tcPr>
          <w:p>
            <w:pPr>
              <w:ind w:left="120"/>
              <w:spacing w:after="0" w:line="269"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30"/>
                <w:szCs w:val="30"/>
                <w:color w:val="auto"/>
                <w:vertAlign w:val="superscript"/>
              </w:rPr>
              <w:t>2</w:t>
            </w:r>
          </w:p>
        </w:tc>
        <w:tc>
          <w:tcPr>
            <w:tcW w:w="560" w:type="dxa"/>
            <w:vAlign w:val="bottom"/>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r>
      <w:tr>
        <w:trPr>
          <w:trHeight w:val="27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140" w:type="dxa"/>
            <w:vAlign w:val="bottom"/>
            <w:shd w:val="clear" w:color="auto" w:fill="CCEEFF"/>
          </w:tcPr>
          <w:p>
            <w:pPr>
              <w:spacing w:after="0"/>
              <w:rPr>
                <w:sz w:val="23"/>
                <w:szCs w:val="23"/>
                <w:color w:val="auto"/>
              </w:rPr>
            </w:pPr>
          </w:p>
        </w:tc>
        <w:tc>
          <w:tcPr>
            <w:tcW w:w="3060" w:type="dxa"/>
            <w:vAlign w:val="bottom"/>
            <w:gridSpan w:val="3"/>
            <w:shd w:val="clear" w:color="auto" w:fill="CCEEFF"/>
          </w:tcPr>
          <w:p>
            <w:pPr>
              <w:ind w:left="120"/>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560" w:type="dxa"/>
            <w:vAlign w:val="bottom"/>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Advil Sinus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140" w:type="dxa"/>
            <w:vAlign w:val="bottom"/>
          </w:tcPr>
          <w:p>
            <w:pPr>
              <w:spacing w:after="0"/>
              <w:rPr>
                <w:sz w:val="19"/>
                <w:szCs w:val="19"/>
                <w:color w:val="auto"/>
              </w:rPr>
            </w:pP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PSE &amp; Ibuprofen</w:t>
            </w:r>
          </w:p>
        </w:tc>
        <w:tc>
          <w:tcPr>
            <w:tcW w:w="560" w:type="dxa"/>
            <w:vAlign w:val="bottom"/>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r>
      <w:tr>
        <w:trPr>
          <w:trHeight w:val="27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140" w:type="dxa"/>
            <w:vAlign w:val="bottom"/>
            <w:shd w:val="clear" w:color="auto" w:fill="CCEEFF"/>
          </w:tcPr>
          <w:p>
            <w:pPr>
              <w:spacing w:after="0"/>
              <w:rPr>
                <w:sz w:val="23"/>
                <w:szCs w:val="23"/>
                <w:color w:val="auto"/>
              </w:rPr>
            </w:pPr>
          </w:p>
        </w:tc>
        <w:tc>
          <w:tcPr>
            <w:tcW w:w="3060" w:type="dxa"/>
            <w:vAlign w:val="bottom"/>
            <w:gridSpan w:val="3"/>
            <w:shd w:val="clear" w:color="auto" w:fill="CCEEFF"/>
          </w:tcPr>
          <w:p>
            <w:pPr>
              <w:ind w:left="120"/>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560" w:type="dxa"/>
            <w:vAlign w:val="bottom"/>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Sudafed 30mg</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140" w:type="dxa"/>
            <w:vAlign w:val="bottom"/>
          </w:tcPr>
          <w:p>
            <w:pPr>
              <w:spacing w:after="0"/>
              <w:rPr>
                <w:sz w:val="20"/>
                <w:szCs w:val="20"/>
                <w:color w:val="auto"/>
              </w:rPr>
            </w:pP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PSE</w:t>
            </w:r>
          </w:p>
        </w:tc>
        <w:tc>
          <w:tcPr>
            <w:tcW w:w="560" w:type="dxa"/>
            <w:vAlign w:val="bottom"/>
          </w:tcPr>
          <w:p>
            <w:pPr>
              <w:jc w:val="right"/>
              <w:ind w:right="40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r>
    </w:tbl>
    <w:p>
      <w:pPr>
        <w:ind w:left="780" w:hanging="124"/>
        <w:spacing w:after="0" w:line="184" w:lineRule="auto"/>
        <w:tabs>
          <w:tab w:leader="none" w:pos="7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2014 market for 30mg PSE tablets, including store brands was approximately 470 million tablets or 19 million boxes of 24 tablets. 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ectPr>
          <w:pgSz w:w="11900" w:h="16838" w:orient="portrait"/>
          <w:cols w:equalWidth="0" w:num="1">
            <w:col w:w="11420"/>
          </w:cols>
          <w:pgMar w:left="240" w:top="908" w:right="239" w:bottom="1440" w:gutter="0" w:footer="0" w:header="0"/>
        </w:sectPr>
      </w:pPr>
    </w:p>
    <w:p>
      <w:pPr>
        <w:spacing w:after="0" w:line="189"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2016 US</w:t>
            </w:r>
          </w:p>
        </w:tc>
      </w:tr>
      <w:tr>
        <w:trPr>
          <w:trHeight w:val="220"/>
        </w:trPr>
        <w:tc>
          <w:tcPr>
            <w:tcW w:w="3700" w:type="dxa"/>
            <w:vAlign w:val="bottom"/>
            <w:gridSpan w:val="2"/>
          </w:tcPr>
          <w:p>
            <w:pPr>
              <w:ind w:left="1420"/>
              <w:spacing w:after="0"/>
              <w:rPr>
                <w:sz w:val="20"/>
                <w:szCs w:val="20"/>
                <w:color w:val="auto"/>
              </w:rPr>
            </w:pPr>
            <w:r>
              <w:rPr>
                <w:rFonts w:ascii="Arial" w:cs="Arial" w:eastAsia="Arial" w:hAnsi="Arial"/>
                <w:sz w:val="18"/>
                <w:szCs w:val="18"/>
                <w:b w:val="1"/>
                <w:bCs w:val="1"/>
                <w:color w:val="auto"/>
              </w:rPr>
              <w:t>IR Opioid</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Prescriptions</w:t>
            </w:r>
          </w:p>
        </w:tc>
      </w:tr>
      <w:tr>
        <w:trPr>
          <w:trHeight w:val="271"/>
        </w:trPr>
        <w:tc>
          <w:tcPr>
            <w:tcW w:w="3700" w:type="dxa"/>
            <w:vAlign w:val="bottom"/>
            <w:gridSpan w:val="2"/>
          </w:tcPr>
          <w:p>
            <w:pPr>
              <w:ind w:left="1380"/>
              <w:spacing w:after="0" w:line="271" w:lineRule="exact"/>
              <w:rPr>
                <w:sz w:val="20"/>
                <w:szCs w:val="20"/>
                <w:color w:val="auto"/>
              </w:rPr>
            </w:pPr>
            <w:r>
              <w:rPr>
                <w:rFonts w:ascii="Arial" w:cs="Arial" w:eastAsia="Arial" w:hAnsi="Arial"/>
                <w:sz w:val="18"/>
                <w:szCs w:val="18"/>
                <w:b w:val="1"/>
                <w:bCs w:val="1"/>
                <w:color w:val="auto"/>
              </w:rPr>
              <w:t>Products</w:t>
            </w:r>
            <w:r>
              <w:rPr>
                <w:rFonts w:ascii="Arial" w:cs="Arial" w:eastAsia="Arial" w:hAnsi="Arial"/>
                <w:sz w:val="30"/>
                <w:szCs w:val="30"/>
                <w:b w:val="1"/>
                <w:bCs w:val="1"/>
                <w:color w:val="auto"/>
                <w:vertAlign w:val="superscript"/>
              </w:rPr>
              <w:t>(1)</w:t>
            </w:r>
          </w:p>
        </w:tc>
        <w:tc>
          <w:tcPr>
            <w:tcW w:w="1440" w:type="dxa"/>
            <w:vAlign w:val="bottom"/>
            <w:gridSpan w:val="2"/>
          </w:tcPr>
          <w:p>
            <w:pPr>
              <w:jc w:val="center"/>
              <w:spacing w:after="0" w:line="271" w:lineRule="exact"/>
              <w:rPr>
                <w:sz w:val="20"/>
                <w:szCs w:val="20"/>
                <w:color w:val="auto"/>
              </w:rPr>
            </w:pPr>
            <w:r>
              <w:rPr>
                <w:rFonts w:ascii="Arial" w:cs="Arial" w:eastAsia="Arial" w:hAnsi="Arial"/>
                <w:sz w:val="18"/>
                <w:szCs w:val="18"/>
                <w:b w:val="1"/>
                <w:bCs w:val="1"/>
                <w:color w:val="auto"/>
                <w:w w:val="88"/>
              </w:rPr>
              <w:t>(Millions)</w:t>
            </w:r>
            <w:r>
              <w:rPr>
                <w:rFonts w:ascii="Arial" w:cs="Arial" w:eastAsia="Arial" w:hAnsi="Arial"/>
                <w:sz w:val="30"/>
                <w:szCs w:val="30"/>
                <w:b w:val="1"/>
                <w:bCs w:val="1"/>
                <w:color w:val="auto"/>
                <w:w w:val="88"/>
                <w:vertAlign w:val="superscript"/>
              </w:rPr>
              <w:t>(2)</w:t>
            </w:r>
          </w:p>
        </w:tc>
      </w:tr>
      <w:tr>
        <w:trPr>
          <w:trHeight w:val="195"/>
        </w:trPr>
        <w:tc>
          <w:tcPr>
            <w:tcW w:w="3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Hydrocodone</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6"/>
                <w:szCs w:val="16"/>
                <w:color w:val="auto"/>
              </w:rPr>
            </w:pP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Oxycodone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Tramadol</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Codeine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44"/>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4 Others</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4"/>
        </w:trPr>
        <w:tc>
          <w:tcPr>
            <w:tcW w:w="37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-574675</wp:posOffset>
            </wp:positionV>
            <wp:extent cx="43478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-299720</wp:posOffset>
            </wp:positionV>
            <wp:extent cx="434784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-8255</wp:posOffset>
            </wp:positionV>
            <wp:extent cx="909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-857250</wp:posOffset>
            </wp:positionV>
            <wp:extent cx="434784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ind w:left="2600" w:hanging="323"/>
        <w:spacing w:after="0" w:line="214" w:lineRule="auto"/>
        <w:tabs>
          <w:tab w:leader="none" w:pos="260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600" w:hanging="323"/>
        <w:spacing w:after="0" w:line="180" w:lineRule="auto"/>
        <w:tabs>
          <w:tab w:leader="none" w:pos="260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IMS Health,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288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880"/>
        <w:spacing w:after="0"/>
        <w:rPr>
          <w:sz w:val="20"/>
          <w:szCs w:val="20"/>
          <w:color w:val="auto"/>
        </w:rPr>
      </w:pPr>
      <w:r>
        <w:rPr>
          <w:rFonts w:ascii="Arial" w:cs="Arial" w:eastAsia="Arial" w:hAnsi="Arial"/>
          <w:sz w:val="16"/>
          <w:szCs w:val="16"/>
          <w:b w:val="1"/>
          <w:bCs w:val="1"/>
          <w:color w:val="auto"/>
        </w:rPr>
        <w:t>of Total</w:t>
      </w:r>
    </w:p>
    <w:p>
      <w:pPr>
        <w:spacing w:after="0" w:line="32"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14605</wp:posOffset>
            </wp:positionV>
            <wp:extent cx="900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-130810</wp:posOffset>
            </wp:positionV>
            <wp:extent cx="900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883" w:lineRule="exact"/>
        <w:rPr>
          <w:sz w:val="20"/>
          <w:szCs w:val="20"/>
          <w:color w:val="auto"/>
        </w:rPr>
      </w:pPr>
    </w:p>
    <w:p>
      <w:pPr>
        <w:sectPr>
          <w:pgSz w:w="11900" w:h="16838" w:orient="portrait"/>
          <w:cols w:equalWidth="0" w:num="2">
            <w:col w:w="7540" w:space="420"/>
            <w:col w:w="3460"/>
          </w:cols>
          <w:pgMar w:left="240" w:top="908" w:right="239" w:bottom="1440" w:gutter="0" w:footer="0" w:header="0"/>
          <w:type w:val="continuous"/>
        </w:sectPr>
      </w:pPr>
    </w:p>
    <w:p>
      <w:pPr>
        <w:spacing w:after="0" w:line="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Opioid Products Using Our Technologies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Zyla has committed to the FDA to undertake epidemiological studies to assess the actual consequences of abuse of Oxaydo in the market. Under the terms of the Zyla Agreement, we share a minority portion of the fees and expenses relating to such FDA required epidemiological studies, provided Zyla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Patent No. (Jurisdiction)</w:t>
            </w:r>
          </w:p>
        </w:tc>
        <w:tc>
          <w:tcPr>
            <w:tcW w:w="120" w:type="dxa"/>
            <w:vAlign w:val="bottom"/>
          </w:tcPr>
          <w:p>
            <w:pPr>
              <w:spacing w:after="0"/>
              <w:rPr>
                <w:sz w:val="20"/>
                <w:szCs w:val="20"/>
                <w:color w:val="auto"/>
              </w:rPr>
            </w:pPr>
          </w:p>
        </w:tc>
        <w:tc>
          <w:tcPr>
            <w:tcW w:w="62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Subject matter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9,101,636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Aug. 2015</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9,320,796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9,662,393</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 3 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2017</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more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2,892,908</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gridSpan w:val="2"/>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 when</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5,922,851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6400" w:type="dxa"/>
            <w:vAlign w:val="bottom"/>
            <w:gridSpan w:val="2"/>
          </w:tcPr>
          <w:p>
            <w:pPr>
              <w:spacing w:after="0"/>
              <w:rPr>
                <w:sz w:val="20"/>
                <w:szCs w:val="20"/>
                <w:color w:val="auto"/>
              </w:rPr>
            </w:pPr>
            <w:r>
              <w:rPr>
                <w:rFonts w:ascii="Arial" w:cs="Arial" w:eastAsia="Arial" w:hAnsi="Arial"/>
                <w:sz w:val="18"/>
                <w:szCs w:val="18"/>
                <w:color w:val="auto"/>
                <w:w w:val="96"/>
              </w:rPr>
              <w:t>Abuse deterrent products wherein the release of active ingredient is retarded when</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excessive doses are consumed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040" w:type="dxa"/>
            <w:vAlign w:val="bottom"/>
            <w:gridSpan w:val="5"/>
          </w:tcPr>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Patent No. (Jurisdiction)</w:t>
            </w:r>
          </w:p>
        </w:tc>
        <w:tc>
          <w:tcPr>
            <w:tcW w:w="120" w:type="dxa"/>
            <w:vAlign w:val="bottom"/>
          </w:tcPr>
          <w:p>
            <w:pPr>
              <w:spacing w:after="0"/>
              <w:rPr>
                <w:sz w:val="24"/>
                <w:szCs w:val="24"/>
                <w:color w:val="auto"/>
              </w:rPr>
            </w:pPr>
          </w:p>
        </w:tc>
        <w:tc>
          <w:tcPr>
            <w:tcW w:w="62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Subject Matter</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7,201,920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8"/>
              </w:rPr>
              <w:t>Pharmaceutical compositions including a mixture of functional inactive ingredients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Mar. 2025</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and specific opioid analgesics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7,510,726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7,981,439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including any water soluble drug susceptible to abuse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Aug. 2024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8,409,616</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7"/>
              </w:rPr>
              <w:t>Pharmaceutical compositions of immediate-release abuse deterrent dosage forms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8,637,540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of immediate-release abuse deterrent opioid products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9,492,443</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5"/>
              </w:rPr>
              <w:t>Pharmaceutical compositions of immediate-release abuse deterrent opioid products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432"/>
        </w:trPr>
        <w:tc>
          <w:tcPr>
            <w:tcW w:w="9040" w:type="dxa"/>
            <w:vAlign w:val="bottom"/>
            <w:gridSpan w:val="5"/>
          </w:tcPr>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9"/>
        </w:trPr>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Patent No. (Jurisdiction)</w:t>
            </w:r>
          </w:p>
        </w:tc>
        <w:tc>
          <w:tcPr>
            <w:tcW w:w="120" w:type="dxa"/>
            <w:vAlign w:val="bottom"/>
          </w:tcPr>
          <w:p>
            <w:pPr>
              <w:spacing w:after="0"/>
              <w:rPr>
                <w:sz w:val="24"/>
                <w:szCs w:val="24"/>
                <w:color w:val="auto"/>
              </w:rPr>
            </w:pPr>
          </w:p>
        </w:tc>
        <w:tc>
          <w:tcPr>
            <w:tcW w:w="62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Subject Matter</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7,476,402</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w w:val="92"/>
              </w:rPr>
              <w:t>Pharmaceutical compositions of certain combinations of kappa and mu opioid receptor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w w:val="94"/>
              </w:rPr>
              <w:t>agonists and other ingredients intended to deter opioid analgesic product misuse and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abuse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8,822,489</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of certain abuse deterrent products that contain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polymers, surfactant and polysorb 80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Apr.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Aug.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2,547,334</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Aug. 2010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432"/>
        </w:trPr>
        <w:tc>
          <w:tcPr>
            <w:tcW w:w="264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640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Nov. 2024</w:t>
            </w:r>
          </w:p>
        </w:tc>
      </w:tr>
    </w:tbl>
    <w:p>
      <w:pPr>
        <w:sectPr>
          <w:pgSz w:w="11900" w:h="16838" w:orient="portrait"/>
          <w:cols w:equalWidth="0" w:num="1">
            <w:col w:w="11420"/>
          </w:cols>
          <w:pgMar w:left="240" w:top="908" w:right="239" w:bottom="0" w:gutter="0" w:footer="0" w:header="0"/>
        </w:sectPr>
      </w:pPr>
    </w:p>
    <w:bookmarkStart w:id="19" w:name="page20"/>
    <w:bookmarkEnd w:id="19"/>
    <w:p>
      <w:pPr>
        <w:spacing w:after="0"/>
        <w:tabs>
          <w:tab w:leader="none" w:pos="2620" w:val="left"/>
          <w:tab w:leader="none" w:pos="9220" w:val="left"/>
          <w:tab w:leader="none" w:pos="10460" w:val="left"/>
        </w:tabs>
        <w:rPr>
          <w:sz w:val="20"/>
          <w:szCs w:val="20"/>
          <w:color w:val="auto"/>
        </w:rPr>
      </w:pPr>
      <w:r>
        <w:rPr>
          <w:rFonts w:ascii="Arial" w:cs="Arial" w:eastAsia="Arial" w:hAnsi="Arial"/>
          <w:sz w:val="18"/>
          <w:szCs w:val="18"/>
          <w:color w:val="auto"/>
        </w:rPr>
        <w:t>1694260 (EUR)</w:t>
      </w:r>
      <w:r>
        <w:rPr>
          <w:sz w:val="20"/>
          <w:szCs w:val="20"/>
          <w:color w:val="auto"/>
        </w:rPr>
        <w:tab/>
      </w:r>
      <w:r>
        <w:rPr>
          <w:rFonts w:ascii="Arial" w:cs="Arial" w:eastAsia="Arial" w:hAnsi="Arial"/>
          <w:sz w:val="18"/>
          <w:szCs w:val="18"/>
          <w:color w:val="auto"/>
        </w:rPr>
        <w:t>Abuse deterrent pharmaceuticals</w:t>
      </w:r>
      <w:r>
        <w:rPr>
          <w:sz w:val="20"/>
          <w:szCs w:val="20"/>
          <w:color w:val="auto"/>
        </w:rPr>
        <w:tab/>
      </w:r>
      <w:r>
        <w:rPr>
          <w:rFonts w:ascii="Arial" w:cs="Arial" w:eastAsia="Arial" w:hAnsi="Arial"/>
          <w:sz w:val="18"/>
          <w:szCs w:val="18"/>
          <w:color w:val="auto"/>
        </w:rPr>
        <w:t>Nov. 2004</w:t>
      </w:r>
      <w:r>
        <w:rPr>
          <w:sz w:val="20"/>
          <w:szCs w:val="20"/>
          <w:color w:val="auto"/>
        </w:rPr>
        <w:tab/>
      </w:r>
      <w:r>
        <w:rPr>
          <w:rFonts w:ascii="Arial" w:cs="Arial" w:eastAsia="Arial" w:hAnsi="Arial"/>
          <w:sz w:val="16"/>
          <w:szCs w:val="16"/>
          <w:color w:val="auto"/>
        </w:rPr>
        <w:t>Nov. 2024</w:t>
      </w:r>
    </w:p>
    <w:p>
      <w:pPr>
        <w:sectPr>
          <w:pgSz w:w="11900" w:h="16838" w:orient="portrait"/>
          <w:cols w:equalWidth="0" w:num="1">
            <w:col w:w="11220"/>
          </w:cols>
          <w:pgMar w:left="240" w:top="341" w:right="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Patent No. (Jurisdiction)</w:t>
            </w:r>
          </w:p>
        </w:tc>
        <w:tc>
          <w:tcPr>
            <w:tcW w:w="120" w:type="dxa"/>
            <w:vAlign w:val="bottom"/>
          </w:tcPr>
          <w:p>
            <w:pPr>
              <w:spacing w:after="0"/>
              <w:rPr>
                <w:sz w:val="20"/>
                <w:szCs w:val="20"/>
                <w:color w:val="auto"/>
              </w:rPr>
            </w:pPr>
          </w:p>
        </w:tc>
        <w:tc>
          <w:tcPr>
            <w:tcW w:w="62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Subject Matter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Issued</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Expires</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8,901,113 (US)</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9,757,466 (US)</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Sep. 2017</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10,004,699 (US)</w:t>
            </w:r>
          </w:p>
        </w:tc>
        <w:tc>
          <w:tcPr>
            <w:tcW w:w="6400" w:type="dxa"/>
            <w:vAlign w:val="bottom"/>
            <w:gridSpan w:val="2"/>
          </w:tcPr>
          <w:p>
            <w:pPr>
              <w:spacing w:after="0"/>
              <w:rPr>
                <w:sz w:val="20"/>
                <w:szCs w:val="20"/>
                <w:color w:val="auto"/>
              </w:rPr>
            </w:pPr>
            <w:r>
              <w:rPr>
                <w:rFonts w:ascii="Arial" w:cs="Arial" w:eastAsia="Arial" w:hAnsi="Arial"/>
                <w:sz w:val="18"/>
                <w:szCs w:val="18"/>
                <w:color w:val="auto"/>
              </w:rPr>
              <w:t>Methods and compositions for interfering with extraction or conversion of a drug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Dec. 2035</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susceptible to abuse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2010300641 (AUS)</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2,775,890 (CAN)</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2,488,029 (EUR)</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218533 (ISR)</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2015274936 (AUS)</w:t>
            </w:r>
          </w:p>
        </w:tc>
        <w:tc>
          <w:tcPr>
            <w:tcW w:w="6400" w:type="dxa"/>
            <w:vAlign w:val="bottom"/>
            <w:gridSpan w:val="2"/>
          </w:tcPr>
          <w:p>
            <w:pPr>
              <w:spacing w:after="0"/>
              <w:rPr>
                <w:sz w:val="20"/>
                <w:szCs w:val="20"/>
                <w:color w:val="auto"/>
              </w:rPr>
            </w:pPr>
            <w:r>
              <w:rPr>
                <w:rFonts w:ascii="Arial" w:cs="Arial" w:eastAsia="Arial" w:hAnsi="Arial"/>
                <w:sz w:val="18"/>
                <w:szCs w:val="18"/>
                <w:color w:val="auto"/>
              </w:rPr>
              <w:t>Methods and compositions for interfering with extraction or conversion of a drug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Sept.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2035</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susceptible to abuse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13102020.5 (HK)</w:t>
            </w:r>
          </w:p>
        </w:tc>
        <w:tc>
          <w:tcPr>
            <w:tcW w:w="6400" w:type="dxa"/>
            <w:vAlign w:val="bottom"/>
            <w:gridSpan w:val="2"/>
          </w:tcPr>
          <w:p>
            <w:pPr>
              <w:spacing w:after="0"/>
              <w:rPr>
                <w:sz w:val="20"/>
                <w:szCs w:val="20"/>
                <w:color w:val="auto"/>
              </w:rPr>
            </w:pPr>
            <w:r>
              <w:rPr>
                <w:rFonts w:ascii="Arial" w:cs="Arial" w:eastAsia="Arial" w:hAnsi="Arial"/>
                <w:sz w:val="18"/>
                <w:szCs w:val="18"/>
                <w:color w:val="auto"/>
              </w:rPr>
              <w:t>Pharmaceutical compositions suitable for reducing the chemical conversion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Sept. 2030</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Zyla’s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Zyla in the United States District Court for the District of Delaware alleging our Oxaydo product infringes Purdue’s U.S. Patent No. 8,389,007, or the 007 Patent. In April 2016, Purdue commenced a second patent infringement lawsuit against us and Zyla in the United States District Court for the District of Delaware alleging our Oxaydo product infringes Purdue’s then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20, 2016, we, Purdue and Zyla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Risk Factors contained in this report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Zyla is responsible for commercial manufacture of Oxaydo under the Zyla Agreement. We expect that future opioid product candidates developed and licensed by us will be commercially manufactured by our licensees or other qualified third party contract manufacturers.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our entering into the MainPointe Agreement, we relied on two contract manufacturers to manufacture, package and supply our commercial quantities of Nexafed and Nexafed Sinus Pressure + Pain products. We assigned our existing supply agreement to MainPointe in accordance with the terms of the MainPointe Agreement. Although we believe there are alternate sources of supply that can satisfy MainPointe’s anticipated commercial requirements, replacing or adding a contract manufacturer may cause an interruption in supply and could adversely impact our royalties from MainPointe on the net sales of the Nexafed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Pfizer Inc., Purdue Pharma, Atlantic Pharmaceuticals, Zyla Corporation, KemPharm, Shionogi, Nektar Therapeutics, Signature Therapeutics, QRx Pharma, Tris Pharma, Pisgah Labs, Teva Pharmaceuticals, Sun Pharmaceuticals, Ensysce Biopharma, Inspirion Delivery Sciences and Collegium Pharmaceuticals. Zyla, our partner for Oxaydo, has developed and is marketing at least one other analgesic product and is developing other analgesic products, all of which compete for development and commercialization resources for Oxaydo, which may adversely impact the sales of Oxaydo.</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Perrigo is being marketed with claims of methamphetamine-resistance.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license agreement with MainPointe, we may consider licensing our Impede Technology or other products utilizing such technology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current Good Manufacturing Practices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Prescription Drug User Fee Amendments of 2017, PDUFA VI, the FDA collects two types of fees associated with NDAs – (i) a fee collected at the time applications are submitted, and (ii) prescription drug program fees (accounting for 80% of the total), which are collected annually for certain prescription drugs. Exceptions to the application fee include previously filed applications and applications for drugs designated as orphan drugs for a rare disease.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FDA’s fee schedule, posted on August 1, 2018, for the 2019 fiscal year, the user fee for an application fee requiring clinical data, such as an NDA is $2,588,478. The FDA adjusts PDUFA user fees on an annual basis. A written request can be submitted for a waiver of the application fee for the first human drug application that is filed by a small business. Where we are subject to these fees, they are significant expenditures that may be incurred in the future and must be paid at the time of submission of each application to FDA.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program fees, subject to certain exceptions, each sponsor is required to pay the annual fee for each new prescription drug approved as of 1 October of each fiscal year (for 2018 such fee is $304,162 per product strength), but applicants may not be assessed more than five prescription drug program fees for a fiscal year, for prescription drugs identified in a single application. For example, an applicant that has 10 drug products identified in an approved NDA for 10 different strengths of tablet dosage form products is eligible for an assessment for a maximum of 5 program fees. PDUFA VI also eliminated fees for drug application supplements and, establishment fees.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The FDA has determined that a REMS is necessary for immediate release opioid analgesics and has begun the process of incorporating immediate-release opioids into this class-wide REMS program.</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Oxaydo product is,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Healthcare Reform Law, and we expect there will be additional challenges and amendments to the Healthcare Reform Law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or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operate in one business segment; the research, development and manufacture of innovative abuse deterrent, orally administered pharmaceutical products.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12 full-time employees and 1 part-time employee, 9 of whom are engaged in the research, development and manufacture of product candidates utilizing our proprietary Aversion, Impede, and Limitx Technologies. The remaining employees are engaged in administrative, legal, accounting, finance, market research, and business development activities. All of our senior management and most of our other employees have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 our auditors have included in their 2018 audit report an explanatory paragraph as to substantial doubt as to our ability to continue as a going concern.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 net loss of $3.8 million, $5.7 million, and $7.4 million for the years ended December 31, 2018, 2017 and 2016, respectively. As of September 12, 2019 we had approximately $750 thousand of cash. In addition to this amount, AD Pharma, under the Agreement dated June 28, 2019, is to pay us up to 18 monthly license payments of $350,000 to fund operations commencing July, 2019. However, AD Pharma has the right to terminate the Agreement for convenience and such action would limit our ability to fund continuing operations. Our auditors have included in their report relating to our 2018 financial statements a “going concern” explanatory paragraph as to substantial doubt of our ability to continue as a going concern that assumes the realization of our assets and the satisfaction of our liabilities and commitments in the normal course of business. Our future profitability will depend on several factors, including:</w:t>
      </w:r>
    </w:p>
    <w:p>
      <w:pPr>
        <w:spacing w:after="0" w:line="18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of monthly license payments from AD Pharma for the 18 month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receipt of royalties relating to Zyla’s sale of Oxaydo;</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MainPointe’s successful marketing and sale of our Nexafed products and other products utilizing our Impede Technology, and market acceptance, increased demand for and sales of our Nexafed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Limitx Technology products in development from future licensees, of which no assurance can be given; and</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Limitx Technology and our ability to commercialize our Impede Technology without infringing the patents and other intellectual property rights of third parties.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focused primarily on the development of our lead Limitx product candidate, LTX-03, as well as our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profitable.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Limitx Technology or Impede Technology products in development will be successfully developed or be approved for commercialization by the FDA.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Zyla succeeds in commercializing Oxaydo, if MainPointe is successful in commercializing our Nexafed products, or if we and AD Pharma succeed in developing and commercializing one or more of our pipeline Limitx or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and hiring of additional research and development staff.</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royalties on sales to achieve and maintain profitability. If Zyla does not successfully commercialize Oxaydo, if MainPointe does not successfully commercialize the Nexafed products, or if we or AD Pharma cannot successfully develop, obtain regulatory approval and commercialize our Limitx product candidates in development, specifically LTX-03,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88"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September 12, 2019 our cash balance was approximately $750 thousand. Additionally, the Agreement with AD Pharma calls for monthly license payments of $350,000 from July 2019 through November 2020 and as well as their payment of all outside development costs for LTX-03. We expect these amounts will fund operations through 2020. The monthly payments by AD Pharma cease in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79" w:lineRule="exact"/>
        <w:rPr>
          <w:sz w:val="20"/>
          <w:szCs w:val="20"/>
          <w:color w:val="auto"/>
        </w:rPr>
      </w:pPr>
    </w:p>
    <w:p>
      <w:pPr>
        <w:ind w:left="140"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loan with AD Pharma, LLC they may accelerate amounts owed and may foreclose upon the assets securing our obligation.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June 28, 2019, we (including our wholly-owned subsidiary Acura Pharmaceutical Technologies, Inc. (“APT”)), entered into a Promissory Note and Security Agreement with John Schutte (Mr. Schutte) that consolidated existing promissory notes into a single Note for $6.0 million (after including accrued interest). To secure our performance of our obligations under the Note, we granted Mr. Schutte a security interest in all of our assets. Our failure to comply with the terms of the loan agreement, if we file bankruptcy, failure to pay interest and principal when due on July 1, 2023, or termination of the License, Development and Commercialization Agreement could result in the acceleration of payment of our loan, potential foreclosure on our assets, and other adverse results. With our consent, Mr. Schutte assigned and transferred to Abuse Deterrent Pharma, LLC (“AD Pharma”) all of his right, title and interest in this Note and associated Security Agreement effective June 28, 2019. Any declaration of an event of default by AD Pharma would significantly harm our business and would likely cause the price of our common stock to decline.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180" w:right="440"/>
        <w:spacing w:after="0" w:line="277" w:lineRule="auto"/>
        <w:rPr>
          <w:sz w:val="20"/>
          <w:szCs w:val="20"/>
          <w:color w:val="auto"/>
        </w:rPr>
      </w:pPr>
      <w:r>
        <w:rPr>
          <w:rFonts w:ascii="Arial" w:cs="Arial" w:eastAsia="Arial" w:hAnsi="Arial"/>
          <w:sz w:val="18"/>
          <w:szCs w:val="18"/>
          <w:b w:val="1"/>
          <w:bCs w:val="1"/>
          <w:i w:val="1"/>
          <w:iCs w:val="1"/>
          <w:color w:val="auto"/>
        </w:rPr>
        <w:t>We are largely dependent on our successful development of our Limitx product candidates, specifically LTX-03, and on the commercial success of Oxaydo.</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that, for at least fiscal 2019 and 2020, our ability to generate revenues and become profitable will depend in large part on our successful development of our LTX-03 as licensed to AD Pharma and potentially other Limitx product candidates and on the commercial success of our only FDA approved product, Oxaydo. We expect that a substantial portion of our efforts and expenditures over the next few years will be devoted to our lead Limitx product candidate, LTX-03, and other Limitx product candidates in development. We completed our first two Phase I clinical studies for LTX-04, an opioid hydromorphone HCI, in mid-2016. We have changed our primary development focus from immediate-release hydromorphone products (i.e., LTX-04, described above) to immediate-release hydrocodone products (</w:t>
      </w:r>
      <w:r>
        <w:rPr>
          <w:rFonts w:ascii="Arial" w:cs="Arial" w:eastAsia="Arial" w:hAnsi="Arial"/>
          <w:sz w:val="17"/>
          <w:szCs w:val="17"/>
          <w:i w:val="1"/>
          <w:iCs w:val="1"/>
          <w:color w:val="auto"/>
        </w:rPr>
        <w:t>i.e.</w:t>
      </w:r>
      <w:r>
        <w:rPr>
          <w:rFonts w:ascii="Arial" w:cs="Arial" w:eastAsia="Arial" w:hAnsi="Arial"/>
          <w:sz w:val="17"/>
          <w:szCs w:val="17"/>
          <w:color w:val="auto"/>
        </w:rPr>
        <w:t>, LTX-03) because hydrocodone bitartrate is more likely to be abused in oral excessive tablet abuse, or ETA, and completed two pharmokinetic studies for LTX-03 during 2017 and the first week of 2018. We are also engaged in formulation development or early preclinical development for other Limitx product candidates. Accordingly, our business is currently substantially dependent on the successful development, clinical testing, regulatory approval and commercialization of our Limitx product candidates, which may never occur. If our clinical studies for LTX-03 are not successful we may determine that further clinical development of LTX-03 or other Limitx product candidates should be discontinued. Also, the failure of clinical studies for LTX-03 may cause AD Pharma to terminate the Agreement. We expect that any revenues from our Limitx product candidates, specifically LTX-03 will be derived from upfront payments, milestone payments and royalties under license agreements with AD Pharma, of which no assurance can be given.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success of Oxaydo will depend on many factors, including our and our licensee Zyla’s ability to:</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Oxaydo;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acceptance of Oxaydo by physicians and patients;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 and maintain adequate levels of coverage and reimbursement for Oxaydo from commercial health plans and government health programs, which we refer to collectively as third-party payors, particularly in light of the availability of other branded and generic competitive products;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Oxaydo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and supply Oxaydo to meet commercial demand, including obtaining sufficient quota from the DEA;</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intellectual property protection for Oxaydo and obtain favorable drug listing treatment by the FDA to minimize generic competition;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approval for additional dosage strengths of Oxaydo.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successful execution of their court approved plan of reorganization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can be no assurance that Zyla will devote sufficient resources to the further development, marketing and commercialization of Oxaydo. Zyla’s marketing of Oxaydo may result in low market acceptance and insufficient demand for, and sales of, the product. To date we have only minimal royalties from the sale of Oxaydo. In addition, Zyla has filed a prior approval supplement for OXAYDO® 10 mg and 15 mg dosage strengths, but received a complete response letter from the FDA, and according to a recent filing is working to determine next steps to respond to such filing. Zyla has advised that the FDA is requesting more information regarding the effect of food on Oxaydo 15mg and the intranasal abuse-deterrent properties of Oxaydo 10mg and 15mg. If Zyla fails to successfully commercialize Oxaydo and increase sales, we may be unable to generate sufficient revenues to sustain or grow our business and we may never become profitable, and our business, financial condition and results of operations will be materially adversely affected.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140"/>
        <w:spacing w:after="0"/>
        <w:rPr>
          <w:sz w:val="20"/>
          <w:szCs w:val="20"/>
          <w:color w:val="auto"/>
        </w:rPr>
      </w:pPr>
      <w:r>
        <w:rPr>
          <w:rFonts w:ascii="Arial" w:cs="Arial" w:eastAsia="Arial" w:hAnsi="Arial"/>
          <w:sz w:val="18"/>
          <w:szCs w:val="18"/>
          <w:b w:val="1"/>
          <w:bCs w:val="1"/>
          <w:i w:val="1"/>
          <w:iCs w:val="1"/>
          <w:color w:val="auto"/>
        </w:rPr>
        <w:t>If MainPointe is not successful in commercializing our Nexafed Products, our revenues and business will suffer.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the launch and commercial distribution of Nexafed in mid-December 2012 and launched our Nexafed Sinus Pressure + Pain product in February 2015. 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MainPointe in marketing their competing products. Category leading brands are often supported by regional and national advertising and promotional efforts. Our Nexafed products will compete with national brands as well as pharmacy store brands that are offered at a lower price. There can be no assurance that MainPointe will succeed in commercializing our Nexafed products, or that the pricing of our Nexafed products will allow us to generate significant royalty revenues. Regulations have been enacted in several state or local jurisdictions requiring a doctor’s prescription to obtain pseudoephedrine products. An expansion of such restrictions to other jurisdictions or even nationally will adversely impact MainPointe’s ability to market our Nexafed products as over-the-counter, or OTC, products and negatively impact royalty payments to us from Nexafed products sales. There can be no assurance that MainPointe will devote sufficient resources to marketing and commercialization of our Nexafed products. MainPointe’s failure to successfully commercialize our Nexafed® products will have a material adverse effect on our business and financial condition.</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Zyla is not successful in commercializing Oxaydo, our revenues and our business will suffer.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Collaboration and License Agreement with Zyla, or the Zyla Agreement, Zyla is responsible for manufacturing, marketing, pricing, promotion, selling and distribution of Oxaydo. If the Zyla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Zyla, our revenues and/or royalties from Oxaydo could be adversely impacted.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Zyla’s third party manufacturing facility currently is the sole commercial source of supply of Oxaydo. If Zyla’s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Zyla has various products in development and also markets other products, for which Oxaydo will vie for such licensee’s development, promotional, marketing, and selling resources. If Zyla fails to commit sufficient promotional, marketing and selling resources to Oxaydo, our expected royalties could be adversely impacted. Additionally, there can be no assurance that Zyla will commit the resources required for the successful commercialization of Oxaydo.</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Zyla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Zyla’s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Zyla’s activities are found to be in violation of these laws or any other federal and state fraud and abuse laws, Zyla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140"/>
        <w:spacing w:after="0" w:line="259" w:lineRule="auto"/>
        <w:rPr>
          <w:sz w:val="20"/>
          <w:szCs w:val="20"/>
          <w:color w:val="auto"/>
        </w:rPr>
      </w:pPr>
      <w:r>
        <w:rPr>
          <w:rFonts w:ascii="Arial" w:cs="Arial" w:eastAsia="Arial" w:hAnsi="Arial"/>
          <w:sz w:val="18"/>
          <w:szCs w:val="18"/>
          <w:b w:val="1"/>
          <w:bCs w:val="1"/>
          <w:i w:val="1"/>
          <w:iCs w:val="1"/>
          <w:color w:val="auto"/>
        </w:rPr>
        <w:t>Our failure to meet the development timelines in the License Agreement with AD Pharma, including FDA acceptance of NDA submission for LTX-03 by November 28, 2020, will allow AD Pharma to enforce termination provisions in the Agreement and seize the intellectual property pertaining to LIMITx technology which will adversely impact our ability to develop, market and sell our Limitx Technology products and our revenues and business will be materially adversely affected..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engaged in the development of product candidates utilizing our Limitx Technology, including planning studies for LTX-03, our hydrocodone/acetaminophen lead product candidate which has been licensed to AD Pharma. This License requires that the IND application for LTX-03 be accepted by the FDA within 18 months from June 28, 2019. Failure to do so gives AD Pharma the right to terminate this Agreement and. take ownership of the Limitx intellectual property. AD Pharma’s seizure of the Limitx IP would adversely impact our financial condition and results of operations.</w:t>
      </w:r>
    </w:p>
    <w:p>
      <w:pPr>
        <w:spacing w:after="0" w:line="154"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monthly license payments under the License Agreement for LTX-03 with AD Pharma, royalties from Zyla on Zyla’s sales of Oxaydo and royalties from MainPointe on its sales of Nexafed products to fund operations.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fund our continued operations, we expect to rely on our current cash resources, the monthly license payments under the License Agreement for LTX-03 with AD Pharma, capital raising, royalty payments under the Zyla Agreement relating to Oxaydo, and royalty payments under the MainPointe Agreement relating to our Nexafed products, and milestones and royalty payments that may be made under existing or future license agreements with other pharmaceutical company partners for our product candidates in development, of which no assurances can be given. No assurance can be given that current cash reserves, monthly license payments from AD Pharma, royalties from Zyla on Oxaydo net sales, or royalties from MainPointe on Nexafed products net sales will be sufficient to fund continued operations and the development of our product candidates until such time as we generate revenues from any of our products in development. Moreover, no assurance can be given that we will be successful in raising additional financing or, if financing is obtained, that such financing will be sufficient to fund operations until we generate sufficient revenues from LTX-03, Oxaydo and Nexafed products, or until other product candidates utilizing our Limitx or Impede Technologies may be commercialized. In the event our cash reserves are insufficient to fund continued operations, we may need to suspend some or all of our product development efforts or possibly discontinue operations.</w:t>
      </w:r>
    </w:p>
    <w:p>
      <w:pPr>
        <w:spacing w:after="0" w:line="16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Limitx Technology products by describing the abuse deterrent or other beneficial features of such products will be determined by the FDA approved label for such products.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commercial success of Oxaydo and our Limitx Technology products in development will depend upon our and our licensees’ ability to obtain FDA approved labeling describing such products’ abuse deterrent features or other benefits. Our or our licensees’ failure to achieve FDA approval of product labeling containing such information will prevent or substantially limit our and our licensees’ advertising and promotion of such beneficial features in order to differentiate our products from other immediate release opioid products containing the same active ingredients, and would have a material adverse impact on our business and results of operations. 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67"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or safety features in the label for our Aversion and Limitx Technology products in development. We have committed to the FDA to undertake epidemiological studies to assess the actual consequences of abuse of Oxaydo in the market. However, the extent to which a description of the abuse deterrent properties or results of epidemiological or other studies will be added to or included in the FDA approved product label for our products in development will be the subject of our and our licensees’ discussions with, and agreement by, the FDA as part of the new drug application, or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According to filings made by Zyla, a supplemental new drug application (“sNDA”) was submitted by Zyla in December 2016 for Oxaydo to support an abuse-deterrent label claim for the intravenous route of abuse, and in February 2017, Zyla filed a prior approval supplement (“PAS”) with data on new dosage strengths of 10 mg and 15 mg of Oxaydo. Zyla reported they received a complete response letter from the FDA in June of 2017 where the FDA requested more information regarding the effect of food on Oxaydo 15 mg and the intranasal abuse deterrent properties of Oxaydo 10 and 15 mg. Zyla reported that based on discussions with the FDA regarding the sNDA, Zyla believed a contemporary intranasal human abuse potential study would be needed to complete the sNDA, and given that the issues involved in the sNDA and PAS are intertwined, Zyla disclosed that they are evaluating their options and the costs associated to proceed on the abuse deterrent label and/or the additional dosage strengths.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Notwithstanding the FDA approved labeling for Oxaydo, there can be no assurance that our Limitx Technology products in development will receive FDA approved labeling that describes the beneficial safety features of such products. If the FDA does not approve labeling containing such information, we or our licensees will not be able to promote such products based on their safety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because the FDA closely regulates promotional materials and other promotional activities, even if the FDA initially approves product labeling that includes a description of the abuse deterrent characteristics of our product, as in the case of Oxaydo, the FDA’s Office of Prescription Drug Promotion, or OPDP, will continue to review the acceptability of promotional claims and product advertising campaigns for our marketed products.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committing a majority of our resources to the development of product candidates utilizing our Limitx and Impede Technologies. Notwithstanding the receipt of FDA approval of Oxaydo and our marketing of our Nexafed products, there can be no assurance that any product candidate utilizing our Impede or Limitx Technologies will meet FDA’s standards for commercial distribution. Further, there can be no assurance that other product candidates that may be developed using Limitx, Impede or Aversion Technologies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left="140" w:right="20"/>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current Good Manufacturing Practices, or cGMP and establishment registration. Any product which fails to conform to each of the general conditions in a monograph is subject to regulatory action. Further, although the FDA regulates OTC drug product labeling, the FTC regulates the advertising and marketing of OTC drug products. We believe that our Nexafed products licensed to MainPointe are classified for OTC sale under an FDA OTC monograph, which will allow for their commercialization without submitting an NDA or abbreviated new drug application, or ANDA to the FDA. We have also determined that, provided MainPointe adheres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MainPointe’s advertisement and promotion of our Nexafed products’ extraction characteristics and benefits. If the FDA determines that our Nexafed products do not conform to the OTC monograph or if MainPointe fails to meet the general conditions, once commercialized, the products may be removed from the market and we and MainPointe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announced that it is considering material changes to how it regulates OTC drug products and held a hearing in late March 2014 for public comment. Changes to the existing OTC regulations could result in a requirement that an NDA or ANDA be filed for our Nexafed products or other Impede Technology products in order to commercialize such products. If the FDA requires the submission of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or our licensees will be able to market Nexafed or other Impede Technology products with labeling sufficient to differentiate it from products that have comparable therapeutic profiles. If we or our licensees are unable to advertise and promote the extraction characteristics of Nexafed or other Impede Technology products, we or our licensees may be unable to compete with national brands and pharmacy chain store brands.</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Limitx, Impede and Aversion Technology products may not be successful in limiting or impeding abuse or misuse or provide additional safety upon commercialization.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committing a majority of our resources to the development of products utilizing our Limitx and Impede Technologies. Notwithstanding the receipt of FDA approval of Oxaydo and the results of our numerous clinical and laboratory studies for Oxaydo, our Nexafed products, and our Limitx and Impede Technology products in development, there can be no assurance that Oxaydo, our Nexafed products or any other product utilizing our Limitx, Impede or Aversion Technologies will perform as tested and limit or impede the actual abuse or misuse of such products or provide other benefits in commercial settings. Moreover, there can be no assurance that the post-approval epidemiological study required by the FDA as a condition of approval of Oxaydo will show a reduction in the consequences of abuse and misuse by patients for whom Oxaydo is prescribed. To date, Zyla has not achieved sufficient market share for Oxaydo to support a full epidemiological study. The failure of Oxaydo, our Nexafed products or other products utilizing our Limitx and Impede Technologies to limit or impede actual abuse or misuse or provide other safety benefits in practice will have a material adverse impact on market acceptance for such products and on our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Limitx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93" w:lineRule="auto"/>
        <w:rPr>
          <w:sz w:val="20"/>
          <w:szCs w:val="20"/>
          <w:color w:val="auto"/>
        </w:rPr>
      </w:pPr>
      <w:r>
        <w:rPr>
          <w:rFonts w:ascii="Arial" w:cs="Arial" w:eastAsia="Arial" w:hAnsi="Arial"/>
          <w:sz w:val="16"/>
          <w:szCs w:val="16"/>
          <w:color w:val="auto"/>
        </w:rPr>
        <w:t>Our drug products, including our licensed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the FDA’s ability to engage in oversight and implementation activities in the normal course, our business may be negatively impacted.</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Zyla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Limitx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71"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Limitx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Impede or Limitx Technologies, which could adversely affect our business and results of operations.</w:t>
      </w:r>
    </w:p>
    <w:p>
      <w:pPr>
        <w:spacing w:after="0" w:line="189"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14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AD Pharma Agreement grants AD Pharma an exclusive license to develop and commercialize LTX-03 in the US. The Zyla Agreement grants Zyla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AD Pharma Agreement, Zyla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AD Pharma Agreement, the Zyla Agreement, the KemPharm Agreement, the MainPointe Agreement, or any license agreement we may enter into relating to any of our Limitx or Impede Technology products in development or our Aversion Technology,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Limitx and Impede product candidates, it may be necessary for us to license a significant portion of our product candidates to a single company, thereby eliminating our opportunity to commercialize other product candidates with other licensees.</w:t>
      </w:r>
    </w:p>
    <w:p>
      <w:pPr>
        <w:spacing w:after="0" w:line="169"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If we fail to maintain our license agreement with Zyla, we may have to commercialize Oxaydo on our own and if we fail to maintain the license agreement with MainPointe we may have to commercialize Nexafed Products on our own.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plan for manufacturing and commercializing Oxaydo currently requires us to maintain our license agreement with Zyla. In addition to other customary termination provisions, the Zyla Agreement provides that Zyla may terminate the Zyla Agreement upon certain notice periods. If Zyla elects to terminate the Zyla Agreement, or if we are otherwise unable to maintain our existing relationship with Zyla,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 While, there is no provision for MainPointe to elect to terminate its license agreement without cause, if it should fail to perform thereunder and we terminated the agreement, then we would have to commercialize the Nexafed Products on our own. Although prior to entering into the MainPointe agreement we had been commercializing certain Nexafed Products on our own, we would have to reestablish our capabilities, which will require additional financing which may not be available on acceptable terms, if at all.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14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Impede or Limitx Technologies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Impede or Limitx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pharmacy chains to stock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and our Nexafed Products compete, and our other product candidates, such as LTX-03, if successfully developed and commercially launched will compete, with both currently marketed and new products launched in the future by other companies. Physicians and other prescribers may not be inclined to prescribe our prescription products unless our products demonstrate commercially viable advantages over other products currently marketed for the same indications. Pharmacy chains may not be willing to stock any of our products and pharmacists may not recommend Nexafed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Impede or Limitx Technologies.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 candidates. The continuing efforts of government and third-party payers to contain or reduce the costs of health care may limit our commercial opportunity. If government and other third-party payers do not provide adequate coverage and reimbursement for any product utilizing our technologies,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since its enactment, there have been judicial and Congressional challenges to certain aspects of the Healthcare Reform Law, and we expect there will be additional challenges and amendments to the Affordable Care Act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18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Zyla Agreement, the KemPharm Agreement, the MainPointe Agreement and AD Pharma Agreement, our licensees control (or will control in the case of AD Pharma for LTLX-03)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93" w:lineRule="exact"/>
        <w:rPr>
          <w:sz w:val="20"/>
          <w:szCs w:val="20"/>
          <w:color w:val="auto"/>
        </w:rPr>
      </w:pPr>
    </w:p>
    <w:p>
      <w:pPr>
        <w:ind w:left="140"/>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 in the next risk factor;</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right="20" w:hanging="324"/>
        <w:spacing w:after="0" w:line="265"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Oxaydo and our other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1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Zyla’s sales to suffer and adversely impact our royalty revenue.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In November 2017 the FDA issued guidance for the industry on obtaining approval for generic versions of opioids that reference products whose labeling describes abuse-deterrent properties.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 Under the 2017 FDA guidance when a potential ANDA applicant develops a generic solid oral opioid drug product, the potential ANDA applicant should evaluate its proposed generic drug to show that it is no less abuse deterrent than the reference drug with respect to all of the potential routes of abuse.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known as a Paragraph IV Proceeding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 applicant’s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(formerly known as Oxecta) as the reference listed drug. Since such date, we have received similar Paragraph IV Notices from four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40"/>
        <w:spacing w:after="0" w:line="277" w:lineRule="auto"/>
        <w:rPr>
          <w:sz w:val="20"/>
          <w:szCs w:val="20"/>
          <w:color w:val="auto"/>
        </w:rPr>
      </w:pPr>
      <w:r>
        <w:rPr>
          <w:rFonts w:ascii="Arial" w:cs="Arial" w:eastAsia="Arial" w:hAnsi="Arial"/>
          <w:sz w:val="18"/>
          <w:szCs w:val="18"/>
          <w:b w:val="1"/>
          <w:bCs w:val="1"/>
          <w:i w:val="1"/>
          <w:iCs w:val="1"/>
          <w:color w:val="auto"/>
        </w:rPr>
        <w:t>We may be exposed to product liability claims and claims regarding marketing of products and may not be able to obtain or maintain adequate product liability insurance and some claims may not be covered by insurance.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and in particular opioid products. Manufacturers and distributors of prescription opioid medications, are the subject of lawsuits and have received subpoenas and other requests for information from various state and local government agencies regarding the sales and marketing of opioid medications. While we would not expect to be implicated in any such action or investigations, since our business is focused on abuse deterrence, there can be no assurance that we will not be so implicated. Product liability claims or marketing related claims might be made by patients, health care providers or others that sell or consume our products or insurance companies that insure those affected by our products. These claims may be made even with respect to those products that possess regulatory approval for commercial sale. We currently have clinical trial product liability insurance on a claims-made basis for our subject clinical trials and have product liability insurance for the Nexafed and Oxaydo products. This coverage may not be adequate to cover any product liability claims. Product liability coverage and other insurance is expensive. In the future, we may not be able to maintain such product liability insurance or other insurance at a reasonable cost or in sufficient amounts to protect us against losses due to product liability claims or other claims. In addition our insurance may not cover certain marketing related claims and excludes certain products from product liability coverage. See litigation discussed below under “Item 3. Legal Proceedings” of this Report. Any claims that are not covered by product liability insurance or other insurance could have a material adverse effect on our business, financial condition and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and DES (diethylstilbestrol) litigation discussed below under “Item 3. Legal Proceedings” of this Report, including litigation relating to products we manufactured or distributed several years and decades ago when we manufactured and sold a broad range of prescription and over the counter products. Such litigation may have material adverse consequences to our financial condition and results of operations.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Pfizer Inc., Purdue Pharma, Atlantic Pharmaceuticals, Zyla Life Sciences, KemPharm, Shionogi, Nektar Therapeutics, Signature Therapeutics, QRx Pharma, Tris Pharma, Pisgah Labs, Teva Pharmaceuticals, Sun Pharmaceuticals, Inspirion Delivery Sciences, and Collegium Pharmaceuticals, Inc. These companies appear to be focusing their development efforts on ER Opioid Products, except for Atlantic Pharmaceuticals, Pisgah Labs, Inspirion and KemPharm.</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Limitx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and Impede Technologies. Alternative technologies and non-opioid products are being developed to improve or replace the use of opioid analgesics. In the event that such alternatives to opioid analgesics are widely adopted, then the market for products utilizing our Limitx and Impede Technologies may be substantially decreased, thus reducing our ability to generate future revenues and adversely affecting our ability to generate a profit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14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Pharmaceutical Sciences.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other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140" w:right="20"/>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including law enforcement concerns over diversion of opioid and regulatory efforts to combat abuse, could decrease the potential market for Oxaydo, and, if approved, our Limitx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Media stories regarding prescription drug abuse and the diversion of opioids and other controlled substances are commonplace. Law enforcement and regulatory agencies may apply policies that seek to limit the availability of opioids. Such efforts may inhibit Zyla’s ability to commercialize Oxaydo and, if approved, our Limitx product candidate. Aggressive enforcement and unfavorable publicity regarding, for example, the use or misuse of oxycodone or other opioid drugs, the limitations of abuse resistant formulations, public inquiries and investigations into prescription drug abuse, litigation or regulatory activity, sales, marketing, distribution or storage of our drug products could harm our reputation. Such negative publicity could reduce the potential size of the market for our product candidates and Oxaydo and decrease the revenues and royalties we are able to generate from their sale. Similarly, to the extent opioid abuse becomes less prevalent or a less urgent public health issue, regulators and third-party payers may not be willing to pay a premium for abuse deterrent formulations of opioids.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efforts by the FDA and other regulatory bodies to combat abuse of opioids may negatively impact the market for our product candidates. For example, in February 2016, as part of a broader initiative led by U.S. Department of Health and Human Services to address opioid-related overdose, death and dependence,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Many of these changes could require our licensing partner and us to expend additional resources in developing and commercializing Oxaydo and our product candidates to meet additional requirements. In October 2017, the acting director of HHS under the directive of President Trump, declared the opioid crisis a national health emergency and initiated a five point plan including (i) improving access to prevention, treatment, and recovery support services; (ii) targeting the availability and distribution of overdose-reversing drugs; (iii) strengthening public health data reporting and collection; (iv) supporting cutting-edge research on addiction and pain; and (v) advancing the practice of pain management. The impact that this five point plan will have on us and our licensing partners is unclear at this time.</w:t>
      </w:r>
    </w:p>
    <w:p>
      <w:pPr>
        <w:spacing w:after="0" w:line="188" w:lineRule="exact"/>
        <w:rPr>
          <w:sz w:val="20"/>
          <w:szCs w:val="20"/>
          <w:color w:val="auto"/>
        </w:rPr>
      </w:pPr>
    </w:p>
    <w:p>
      <w:pPr>
        <w:ind w:left="140" w:right="2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equity restructuring often results in an Internal Revenue Section 382 ownership change that limits the future use of Net Operating Loss (“NOL”), carryforwards and other tax attributes. In addition, under the Tax Cuts and Jobs Act of 2017, NOL usage in any given year will be limited to 80% of taxable income, without regard to the NOL deduction, and losses incurred in 2018 and forward may not be carried back but can be carried forward indefinitely, but losses incurred prior to 2018 can only be carried forward for 20 years. We have determined that we have undergone ownership changes in both 2004 and 2017 (as defined by Section 382 of the Internal Revenue Code) and as a result, our use of NOL carryforwards on an annual basis will be very limited.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2018, our stock traded as high as $0.872 per share and as low as $0.1011 per share. The trading price of our common stock is likely to continue to be highly volatile and could be subject to wide fluctuations in response to various factors, some of which are beyond our control. These factors could include:</w:t>
      </w:r>
    </w:p>
    <w:p>
      <w:pPr>
        <w:spacing w:after="0" w:line="12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our Limitx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the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the progress of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licensee’s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the execution of license agreements with third parties for our products or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Any future sale of a substantial number of shares in a capital raising transaction could depress the trading price of our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12, 2019, our two largest shareholders own an aggregate of approximately 12,651,543 shares (including 1,782,531 shares underlying warrants) (representing approximately 54.8% of our outstanding shares). If some or all of such shares are sold by such stockholders, it may have the effect of depressing the trading price of our common stock. In addition, such sales could make it more difficult for us to raise capital if needed in the future.</w:t>
      </w:r>
    </w:p>
    <w:p>
      <w:pPr>
        <w:spacing w:after="0" w:line="14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Approximately 46.3% of our common stock is owned by a single individual, who is also a principal of AD Pharma LLC and MainPointe Pharmaceuticals LLC, and that individual is also party to our Second Amended and Restated Voting 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amount of our common stock is owned by a single individual, Mr. Schutte. On July 24, 2017, we completed a $4.0 million private placement with him for the sale of 8,912,655 shares and warrants to purchase 1,782,531 shares at an exercise price of $0.528 and expiring on July 24, 2022. Mr. Schutte is a principal of MainPointe. In March 2017, we granted MainPointe an exclusive license to our Impede Technology to commercialize our Nexafed® and Nexafed® Sinus Pressure + Pain Products in the United States and Canada. MainPointe also has options to expand the territory and products covered for additional sums following the termination of the Bayer Agreement. Further, as part of the closing of the Transaction, we, Galen Partners III, L.P., and Essex Woodlands Health Ventures V, L.P. (“Essex”) amended and restated the existing Voting Agreement between the parties to provide for Mr. Schutte to join as a party so that he can designate a director (he has not done so). During 2018 and through June 28, 2019, Mr. Schutte has lent us an aggregate of $6.0 million (including accrued interest) on a secured basis with a security interest in all of our assets, including our intellectual property. At June 28, 2019, we entered into a Promissory Note with Mr. Schutte that consolidated existing promissory notes into a single Note for $6.0 million (after including accrued interest). To secure our performance of our obligations under the Note, we granted Mr. Schutte a security interest in all of our assets. Terms of the consolidated Note provide for a July 1, 2023 maturity date rather than the previous maturity date of January 2, 2020, interest at fixed rate of 7.5% with all payments of principle and interest deferred to maturity. The Note is convertible into Acura common stock at $0.16 per share. As additional consideration, Mr. Schutte received a warrant to purchase 10 million shares of the Company’s common stock at a price of $0.01 per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combination of Mr. Schutte’s direct share ownership, control of one of our key licensing partners, the right to designate a director to oversee the long-term affairs of our company, his ownership interest in AD Pharm LLC and the security interest AD Pharma has in all of our assets gives him the potential to have considerable influence over our business and affairs. As a result, Mr. Schutte, will as a practical matter be able to control all matters requiring approval by our shareholders, including the approval or rejection of mergers, sales or licenses of all or substantially all of our assets, or other business combination transactions. The interests of Mr. Schutte as a shareholder and creditor may not always coincide with the interests of our other shareholders and as such we may take action to advance his interests to the detriment of our other shareholders. Accordingly, you may not be able to influence any action we take or consider taking, even if it requires a shareholder holder vote.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common stock is deemed a “penny stock,” which would make it more difficult for our investors to sell their shares.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common stock is subject to the “penny stock” rules adopted under the Exchange Act. The penny stock rules generally apply to companies whose common stock is not listed on the NASDAQ Stock Market or other national securities exchange and trades at less than $5.00 per share, other than companies that have had average revenue of at least $6,000,000 for the last three years or that have net tangible assets of at least $5,000,000 ($2,000,000 if the company (such as Acura)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167"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have been thinly traded, so you may be unable to sell at or near ask prices or even at all if you need to sell your shares to raise money or otherwise desire to liquidate your shares.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quoted on the OTCQB Market Pink tier. Our common stock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a “smaller reporting company,” meaning that we are not an investment company, an asset- backed issuer, or a majority-owned subsidiary of a parent company that is not a smaller reporting company and have a public float of less than $75 million, or in the absence of any public float had annual revenues of less than $50 million during the most recently completed fiscal year.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2018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from an unaffiliated Lessor, approximately 1,600 square feet of administrative office space at 616 N. North Court, Suite 120, Palatine, Illinois 60067 on a month-to-month basis. The lease agreement provides for rent, property taxes, common area maintenance, and janitorial services on a monthly basis of approximately $2 thousand per month. We utilize this lease space for our administrative and business development functions.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conduct research, development, laboratory, development scale and NDA submission batch scale manufacturing and other activities relating to developing product candidates using Aversion, Impede and Limitx Technologies at the facility we own located at 16235 State Road 17, Culver, Indiana. At this location, our wholly-owned subsidiary APT,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US, Inc. and its parent Egalet Corporation (now known as Zyla Life Sciences or Zyla) in the United States District Court for the District of Delaware alleging our Oxaydo product infringes Purdue’s U.S. Patent No. 8,389,007, or the 007 Patent. In April 2016, Purdue commenced a second patent infringement lawsuit against us and Zyla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Partes Review, or IPR Review, with the U.S. Patent and Trademark Office, or USPTO, seeking to invalidate Purdue’s 007 Patent.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Zyla, on behalf of itself and its affiliates and we, on behalf of ourselves and our affiliates entered into a settlement agreement, or the May 2016 Settlement Agreement, to settle the Actions and the IPR Review. Under the May 2016 Settlement Agreement the parties dismissed or withdrew the Actions, requested that the USPTO terminate the IPR Review and exchanged mutual releases. No payments were made under the May 2016 Settlement Agreement.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May 2016 Settlement Agreement also provides that Purdue will not, in the future, assert certain Purdue U.S. patents, including the 007 Patent, the 171 Patent and related technologies, or collectively the Purdue Patents, against any Acura Settlement Product or Zyla Settlement Product (except generally in an action or interference by Acura or Zyla challenging a Purdue Patent). Acura Settlement Products and Zyla Settlement Products are certain immediate-release and extended-release products, including Oxaydo. In addition, the May 2016 Settlement Agreement provides that Purdue will not challenge, with certain exceptions, the Acura/Zyla Patents with respect to the Purdue Settlement Products (as defined below) and that Purdue provides Acura and/or Zyla certain waivers of non-patent marketing exclusivity with respect to Purdue Settlement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The May 2016 Settlement Agreement also provides that Acura and Zyla will not, in the future, assert certain Acura and/or Zyla U.S. patents, or collectively the Acura/Zyla Patents, including Acura’s Aversion® Technology patents, against any Purdue Settlement Products (except generally in an action or interference by Purdue challenging an Acura/Zyla Patent). Purdue Settlement Products are certain immediate-release and extended-release products. In addition, the May 2016 Settlement Agreement provides that Acura and Zyla will not challenge, with certain exceptions, the Purdue Patents with respect to the Acura Settlement Products and Zyla Settlement Products and that Acura and Zyla provide Purdue certain waivers of non-patent marketing exclusivity with respect to the Acura Settlement Products and Zyla Settlement Products. In addition, Purdue has certain rights to negotiate to exclusively distribute an authorized generic version of certain Zyla Settlement Products, including, in some circumstances, Oxaydo® and other products using Acura’s Aversion® Technology if licensed to Zyla.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May 2016 Settlement Agreement specifically excludes our patents related to our Impede® and Limitx™ technologies from the scope of the Acura/Zyla Patents under the May 2016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we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we conceded Purdue Pharma’s claim of priority in exchange for certain financial consideration to us including an immediate non-refundable payment of $500 thousand. In June 2015, we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fourth quarter of 2019. Legal fees related to this matter have been covered by our insurance carrier. Based upon the current status and evaluation, we have not accrued for any potential loss related to these matters as of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our 2017 fiscal year and through February 22, 2017, our common stock was traded on the Nasdaq Capital Market under the symbol “ACUR”. On February 23, 2017, our common stock was delisted from the Nasdaq Capital Market due to our failure to comply with Nasdaq’s Listing Rule 5550(b)(1), which requires that we maintain $2.5 million in stockholders’ equity for continued listing (or meet the alternatives of market value of listed securities of $35 million or net income from continuing operations). NASDAQ had granted us a grace period through February 10, 2017, to regain compliance with Listing Rule 5550(b)(1), but we were unable to regain compliance within such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Commencing on February 23, 2017, our common stock was quoted on the OTCQB under the symbol “ACUR”, however commencing June 4, 2018 and lasting until July 2, 2018 it was quoted on the OTC Markets OTC Pink tier. The downgrade was a result of the late filing of this Annual Report on Form 10-K beyond any applicable grace periods. The Company regained compliance with the OTCQB and effective July 3, 2018 it was quoted on the OCTCB. However, commencing May 20, 2019 as a result of late filing of this Annual Report on Form 10-K our common stock has been quoted on the OTC Markets OTC Pink tier.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for the period indicated are the high and low sales prices for our common stock in the OTC Market of OTCQB and Pink tier.</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Sales Prices</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Low</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2018 Fiscal Year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0.8720</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0.5720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0.3800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2019 Fiscal Year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0.2900</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12, 2019 the closing sales price of our common stock was $0.30.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approximately 308 holders of record of our common stock as of July 12, 2019 including approximately 82 holders who are nominees for an undetermined number of beneficial owners based upon a review of a securities position listing provided by our transfer agent in September 2017. This number, however, does not reflect the ultimate number of beneficial holders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2018, 2017, 2016, 2015, and 2014 are derived from our audited Consolidated Financial Statements. The Consolidated Financial Statements as of December 31, 2018 and 2017 and for each of the years in the two-year period ended December 31, 2018, and the reports thereon, are included elsewhere in this Report. The selected financial information presented for our 2016, 2015 and 2014 operations and for our 2016, 2015 and 2014 balance sheets are derived from our audited Consolidated Financial Statements not presented in this Report.</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set forth below has been retroactively adjusted to reflect a one-for-five reverse stock split effected by us on August 27, 2015,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gridSpan w:val="2"/>
          </w:tcPr>
          <w:p>
            <w:pPr>
              <w:ind w:left="1180"/>
              <w:spacing w:after="0"/>
              <w:rPr>
                <w:sz w:val="20"/>
                <w:szCs w:val="20"/>
                <w:color w:val="auto"/>
              </w:rPr>
            </w:pPr>
            <w:r>
              <w:rPr>
                <w:rFonts w:ascii="Arial" w:cs="Arial" w:eastAsia="Arial" w:hAnsi="Arial"/>
                <w:sz w:val="18"/>
                <w:szCs w:val="18"/>
                <w:b w:val="1"/>
                <w:bCs w:val="1"/>
                <w:color w:val="auto"/>
              </w:rPr>
              <w:t>OPERATING DATA</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580"/>
              <w:spacing w:after="0"/>
              <w:rPr>
                <w:sz w:val="20"/>
                <w:szCs w:val="20"/>
                <w:color w:val="auto"/>
              </w:rPr>
            </w:pPr>
            <w:r>
              <w:rPr>
                <w:rFonts w:ascii="Arial" w:cs="Arial" w:eastAsia="Arial" w:hAnsi="Arial"/>
                <w:sz w:val="18"/>
                <w:szCs w:val="18"/>
                <w:b w:val="1"/>
                <w:bCs w:val="1"/>
                <w:color w:val="auto"/>
              </w:rPr>
              <w:t>(in thousands, except per share data)</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3,721</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2,608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w w:val="99"/>
              </w:rPr>
              <w:t xml:space="preserve">Selling, marketing, general and administrative </w:t>
            </w:r>
            <w:r>
              <w:rPr>
                <w:rFonts w:ascii="Arial" w:cs="Arial" w:eastAsia="Arial" w:hAnsi="Arial"/>
                <w:sz w:val="29"/>
                <w:szCs w:val="29"/>
                <w:color w:val="auto"/>
                <w:w w:val="99"/>
                <w:vertAlign w:val="superscript"/>
              </w:rPr>
              <w:t>(2)</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common stock: 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Loss per share of common stock: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shares outstanding used in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computing net loss per share: Basic</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21,146</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15,903</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11,870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10,796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used in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computing net loss per share: Diluted</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21,146</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15,903</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2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$65, $140, $170, $160, and $220 for years 2018, 2017, 2016, 2015 and 2014, respectively.</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$165, $360, $450, $480 and $700 for years 2018, 2017, 2016, 2015 and 2014,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ind w:left="98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50"/>
        </w:trPr>
        <w:tc>
          <w:tcPr>
            <w:tcW w:w="40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Working capital (deficit) </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16,195</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11,143</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(384,222)</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(380,380)</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(374,698)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(367,310)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(362,321)</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Excludes cash compensating balance requirement of $2,500 under the Oxford loan agreement at December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or mitigate adverse effects associated with opioid analgesics while our Impede® Technology is directed at minimizing the extraction and conversion of pseudoephedrine, or PSE, into methamphetamine.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(now known as Zyla Life Sciences or Zyla),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a third pseudoephedrine product in development utilizing our Impede Technology.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(MainPointe has an option to license other Impede Technology following termination of the Bayer Agreement). The MainPointe Agreement also grants MainPointe the option to expand the licensed territory to the European Union, Japan and South Korea and to add additional pseudoephedrine-containing products utilizing our Impede Technology. MainPointe is controlled by Mr. Schutte, who became our largest shareholder pursuant to a private placement completed in July 2017 and became a creditor in May 2018.</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2017, Bayer Healthcare LLC, or Bayer, terminated a 2015 License and Development Agreement in which we granted Bayer an exclusive worldwide license to our Impede Technology for use in an undisclosed methamphetamine resistant product. As a result of the termination, MainPointe has the option to license our Impede Technology with respect to such product in the United States and Canada upon payment of a fee. MainPointe has not yet exercised this option.</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or Cmax, was reduced in healthy fasted adult subjects by 50% to 65% when excessive buffer levels were ingested, or a situation consistent with the over-ingestion of tablets. Study AP-LTX-301, or Study 301, the results for which were announced in January 2018, demonstrated drug Cmax from LTX-03, a Limitx hydrocodone bitartrate and acetaminophen combination product, in healthy adult fasted subjects trended toward bioequivalence in test formulations A through E while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We submitted an Investigational New Drug Application, or IND, for LTX-03 to the FDA in the first quarter of 2018 in order to advance to NDA development, which became effective in April 2018. The FDA has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We have voluntarily placed the IND for LTX-04 on inactive status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right="20"/>
        <w:spacing w:after="0" w:line="264" w:lineRule="auto"/>
        <w:rPr>
          <w:sz w:val="20"/>
          <w:szCs w:val="20"/>
          <w:color w:val="auto"/>
        </w:rPr>
      </w:pPr>
      <w:r>
        <w:rPr>
          <w:rFonts w:ascii="Arial" w:cs="Arial" w:eastAsia="Arial" w:hAnsi="Arial"/>
          <w:sz w:val="18"/>
          <w:szCs w:val="18"/>
          <w:color w:val="auto"/>
        </w:rPr>
        <w:t>On June 28, 2019, we entered into License, Development and Commercialization Agreement with Abuse Deterrent Pharma, LLC, a Kentucky limited liability company (“AD Pharma”), a special purpose company organized by investors that will finance Acura’s operations and completion of development of LTX-03. The Agreement grants AD Pharma exclusive commercialization rights in the United States to LTX-03.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we had cash of $91 thousand compared to $2.2 million of cash and cash equivalents at December 31, 2017. We had an accumulated deficit of approximately $384.2 million and $380.4 million at December 31, 2018 and December 31, 2017, respectively. We had a loss from operations of $3.9 million and a net loss of $3.8 million for the year ended December 31, 2018, compared to a loss from operations of $5.2 million and a net loss of $5.7 million for the year ended December 31,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2019, we entered into License, Development and Commercialization Agreement (the "Agreement") with Abuse Deterrent Pharma, LLC. The Agreement grants AD Pharma exclusive commercialization rights in the United States to LTX-03. Financial arrangements include monthly license payments by AD Pharma of $350,000 up to the earlier of 18 months or FDA’s acceptance of a New Drug Application (“NDA”) for LTX-03 and reimbursement by AD Pharma of Acura’s LTX-03 outside development expenses. Upon commercialization of LTX-03, Acura receives stepped royalties on sales and is eligible for certain sales related milestones. However, if the NDA application for LTX-03 is not accepted by the FDA within 18 months, AD Pharma may terminate the Agreement and take ownership of the intellectual property.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Zyla Agreement. Sales and marketing expenses include costs associated with the Nexafed product line advertising incurred prior to our entering into the MainPointe Agreement on March 16, 2017,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Results of Operations for the Years Ended December 31, 2018 and 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$000’s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$000’s</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(2,500)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110</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(2,556)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and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(1,962)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(1.776)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Total cost and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4,325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(3,866)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(369)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debt extinguishment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665</w:t>
            </w: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(5,817)</w:t>
            </w:r>
          </w:p>
        </w:tc>
        <w:tc>
          <w:tcPr>
            <w:tcW w:w="28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(1,975)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(1,840)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2017, MainPointe Pharmaceuticals LLC paid us a licensing fee of $2.5 million under our collaboration and license agreement with it pursuant to which we granted MainPointe an exclusive license to our Impede Technology to commercialize our Nexafed products in the U.S. and Canada.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revenue is derived from research and development services we perform under various license and development agreements. We recognized $59 thousand of collaboration revenue during the year ended 2017. We are not currently providing research and development services under any of our license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our license agreement with Zyla for Oxaydo Tablets, we earn a royalty based on product net sales. Zyla’s first commercial sale of Oxaydo occurred in October 2015. We recognized $386 thousand and $281 thousand of royalty revenue from Oxaydo during the years ended 2018 and 2017,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license agreement with MainPointe for our Nexafed product line, we earn a royalty based on product net sales. MainPointe’s first commercial sale of Nexafed occurred in March 2017. We recognized $20 thousand and $19 thousand of royalty revenue from Nexafed during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$107 thousand of net product sales for 2017 prior to licensing the Nexafed product line to MainPointe in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recorded $128 thousand of cost of sales on Nexafed product sales for 2017 prior to licensing the Nexafed product line to MainPointe in March 2017.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 (“R&amp;D”) for 2018 and 2017 was on our Limitx Technology and Impede Technology development activity and may include, among other items, costs of preclinical and non-clinical internal and external activities, clinical study trials, clinical supplies and its related formulation and design costs, salaries and other personnel related expenses of our employees, our facility costs, and a percentage share of selected cost sharing expenses under the license agreement with Zyla. For the year 2017 there is $86 thousand of cost sharing expenses from clinical studies for product line extensions (additional strengths) on Oxaydo; and $118 thousand of potential cost sharing expenses for a future FDA required post-marketing study on Oxaydo. There were no cost sharing expenses for product line extension clinical studies in 2018. During the fourth quarter 2018 we determined it was more likely than not that we would not incur cost sharing expenses for a future post-marketing study and therefore, reduced our potential accrued liability to $0 which was a benefit to R&amp;D expense of $237 thousand. Also included in each of 2018 and 2017 year end results are share-based compensation expenses of approximately $65 thousand and $140 thousand, respectively. Excluding share-based compensation expense, our R&amp;D expenses decreased approximately $1.9 million between reporting periods. During 2017 we completed Study AP-LTX-401 and Study AP-LTX-300 and substantially completed our Study AP-LTX-301. During 2018 we did complete Study AP-LTX-301 but performed no additional clinical studies. We commenced the scale-up of the commercial manufacturing process in the second quarter of 2018 as to-be-marketed formulations are required for all NDA development work but was suspended during the fourth quarter of 2018. We resumed the scale-up activities effective with the licensing of LTX-03 on June 28,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we licensed the Nexafed product line to MainPointe and therefore we did not have any selling or marketing expenses in 2018. During 2017 we had limited selling and marketing expenses which was associated with advertising and marketing activities on the Nexafed product line prior to the licensing to MainPointe. Our general and administrative expenses primarily consisted of legal, audit and other professional services, corporate insurance, and payroll. Included in each of the 2018 and 2017 results are share-based compensation expenses of approximately $165 thousand and $360 thousand, respectively. Excluding the share-based compensation expense our selling, marketing, general and administrative expenses decreased by approximately $1.6 million between reporting periods, resulting primarily from the elimination of advertising and marketing activities on the Nexafed product line as well as decreases in patent and general legal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2018 and 2017, non-operating expense consisted principally of interest expense on our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results for 2018 and 2017 include no federal or state income tax benefit provisions due to 100% allowances placed against our deferred tax assets for the uncertainty of their future utilization. As a result of the Tax Cuts and Jobs Act of 2017, the $135 thousand Federal alternative minimum taxes we paid in a prior year is refundable to the Company in prescribed percentages and time periods beginning with our tax year ended December 31, 2018. In July 2019 we received the prescribed $67 thousand refund.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we had cash of $91 thousand. As of September 12, 2019 our cash balance was approximately $750 thousand. Additionally, the License, Development and Commercialization Agreement dated June 28, 2019 (the “Agreement”) requires AD Pharma to pay us monthly license payments of $350,000 from July 2019 through November 2020 and pay all outside development costs for LTX-03.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spacing w:after="0" w:line="270" w:lineRule="auto"/>
        <w:rPr>
          <w:sz w:val="20"/>
          <w:szCs w:val="20"/>
          <w:color w:val="auto"/>
        </w:rPr>
      </w:pPr>
      <w:r>
        <w:rPr>
          <w:rFonts w:ascii="Arial" w:cs="Arial" w:eastAsia="Arial" w:hAnsi="Arial"/>
          <w:sz w:val="17"/>
          <w:szCs w:val="17"/>
          <w:color w:val="auto"/>
        </w:rPr>
        <w:t>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independent auditors have included in their report relating to our 2018 financial statements a “going concern” explanatory paragraph as to substantial doubt of our ability to continue as a going concern.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2018 and 2017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20"/>
                <w:szCs w:val="20"/>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(4,510)</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1,779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r>
      <w:tr>
        <w:trPr>
          <w:trHeight w:val="216"/>
        </w:trPr>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operating activities was $3.9 million for the year ended December 31, 2018 and consisted primarily of a net loss of $3.8 million, capitalized debt discount of $172 thousand and a gain of the debt extinguishment of $296 thousand. This net loss was partially offset by non-cash items such as $218 thousand in share-based compensation expense, $87 thousand of debt discount and debt issue cost amortization expense, $73 thousand of depreciation expense, and $207 thousand of intangible asset amortization expense with $183 thousand in net cash outflows from changes in operating assets and liabilities. Cash outflows from changes in operating assets and liabilities of $896 thousand were primarily due to $66 thousand increase in royalty receivable and $830 thousand decreases in both accrued interest and accrued expenses. These cash outflows were partially offset by a $109 thousand decrease in prepaid expenses and other current assets and increase of $604 in accounts payable.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operating activities was $4.5 million for the year ended December 31, 2017 and consisted primarily of a net loss of $5.7 million. This net loss was partially offset by $464 thousand in noncash share-based compensation expense, $306 thousand of noncash debt discount and debt issue cost amortization expense, $87 thousand of noncash depreciation expense, $49 thousand provision expense for sales returns and approximately $270 thousand in net cash inflows from changes in operating assets and liabilities. Cash inflows from changes in operating assets and liabilities were primarily due to a net increase of $226 between accounts payable, accrued expenses, accrued interest, and other liabilities primarily driven by our commercial operations, clinical studies and interest obligations, a net decrease between trade receivables, collaboration and royalty receivables of $81 thousand, and a decrease in inventory of $103 thousand. These inflows were partially offset by cash outflows due to increases in deposits and other assets of $142 thousand.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investing activities for the year ended December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2017 was 309 thousand and consisted of $103 thousand and $206 thousand from the transfer of equipment and inventory, respectively, under Nexafed license agreement we completed in March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$1.8 million for the year ended December 31, 2018 and consisted of the $4.350 million net proceeds from loans provided by Mr. Schutte partially offset by $2.6 million principal repayments and debt retirement on the loan we had with Oxford</w:t>
      </w:r>
      <w:r>
        <w:rPr>
          <w:rFonts w:ascii="Arial" w:cs="Arial" w:eastAsia="Arial" w:hAnsi="Arial"/>
          <w:sz w:val="17"/>
          <w:szCs w:val="17"/>
          <w:b w:val="1"/>
          <w:bCs w:val="1"/>
          <w:i w:val="1"/>
          <w:iCs w:val="1"/>
          <w:color w:val="FF0000"/>
        </w:rPr>
        <w: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was $1.2 million for the year ended December 31, 2017 and consisted of the $4.0 million net proceeds from the issuance of common stock to Mr. Schutte in July 2017, partially offset by $2.8 million of repayments against the loan we had with Oxford Finance LLC.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2018:</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94"/>
              </w:rPr>
              <w:t>Payments due by period (in thousands)</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1-3</w:t>
            </w:r>
          </w:p>
        </w:tc>
        <w:tc>
          <w:tcPr>
            <w:tcW w:w="110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28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 year</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years</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Borders>
              <w:bottom w:val="single" w:sz="8" w:color="CCEEFF"/>
            </w:tcBorders>
          </w:tcPr>
          <w:p>
            <w:pPr>
              <w:spacing w:after="0"/>
              <w:rPr>
                <w:sz w:val="20"/>
                <w:szCs w:val="20"/>
                <w:color w:val="auto"/>
              </w:rPr>
            </w:pPr>
          </w:p>
        </w:tc>
      </w:tr>
      <w:tr>
        <w:trPr>
          <w:trHeight w:val="237"/>
        </w:trPr>
        <w:tc>
          <w:tcPr>
            <w:tcW w:w="28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Employment agreements </w:t>
            </w:r>
            <w:r>
              <w:rPr>
                <w:rFonts w:ascii="Arial" w:cs="Arial" w:eastAsia="Arial" w:hAnsi="Arial"/>
                <w:sz w:val="27"/>
                <w:szCs w:val="27"/>
                <w:color w:val="auto"/>
                <w:vertAlign w:val="superscript"/>
              </w:rPr>
              <w:t>(1)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RSU awards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debt interest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Related party debt principal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hanging="4"/>
        <w:spacing w:after="0" w:line="277" w:lineRule="auto"/>
        <w:tabs>
          <w:tab w:leader="none" w:pos="9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temporary reduction of salaries. Under employment agreements with Mr. Jones and Mr. Clemens, their salaries are $392 and $286,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Fully Paid Term Loan with Oxford Finance LLC due December 1,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27, 2013, we and our subsidiary, APT entered into a Loan and Security Agreement, or the Loan Agreement, with Oxford Finance LLC, or Oxford, as collateral agent and as a lender, pursuant to which the Oxford made a term loan to us in the principal amount of $10.0 million, or the Term Loan, subject to the terms and conditions set forth in the Loan Agreement. We used the proceeds of the Loan Agreement for general working capital and to fund our business requirements.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principal amount of the Term Loan was funded on December 27, 2013. The Term Loan accrued interest at an effective rate of 10.16% per annum (with a default rate of 13.35% per annum). We were required to make monthly interest−only payments until April 1, 2015 and starting on April 1, 2015, we were required to make payments of principal and accrued interest in equal monthly installments sufficient to amortize the Term Loan through the maturity date of December 1, 2018. As security for our obligations under the Loan Agreement, we granted Oxford a security interest in substantially all of our existing and after−acquired assets, exclusive of intellectual property assets. Pursuant to the Loan Agreement, we were not allowed to pledge our intellectual property assets to others. In October 2018 the debt outstanding under the Oxford Loan Agreement was settled and paid in full out of proceeds from a loan from Mr. Schutte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 from Mr. Schutte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borrowed an aggregate of $4.350 million as of December 31, 2018 (and additional amounts aggregating $1.65 million (including accrued interest) during the period January 1, 2019 thru June 28, 2019) from Mr. Schutte, a related-party, and issued various promissory notes (the Schutte Notes), aggregating that principal amount to him. The Schutte Notes bear interest at prime plus 2.0%, and mature on January 2, 2020, at which time all principal and interest is due. The events of default under the Schutte Notes are limited to bankruptcy defaults and failure to pay interest and principal when due on January 2, 2020.</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the $6.0 million in promissory notes outstanding from Mr. Schutte at June 28, 2019 is a borrowing of $1.8 million completed on October 5, 2018 where we used $1.5 million of these loan proceeds to settle and pay-off the debt outstanding under the Oxford Loan Agreement and therefore, all our assets are pledged as collateral under the Schutte Notes, including our intellectual property.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28, 2019, we entered into a Promissory Note with Mr. Schutte that consolidated existing promissory notes into a single note for $6.0 million (after including accrued interest). To secure our performance of our obligations under the Note, we granted Mr. Schutte a security interest in all of our assets. Terms of the consolidated Note provide for a July 1, 2023 maturity date rather than the previous maturity date of January 2, 2020,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royalties, and until March 2017 did previously include the Nexafed products’ net product sales. The Company adopted Accounting Standards Codification Topic 606—Revenue from Contracts with Customers, or Topic 606, on January 1, 2018, resulting in a change to its accounting policy for revenue recognition.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enter into license and collaboration agreements which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 These license and collaboration agreements may contain customer options for the license of additional products and territories. The options in the agreement may need to be evaluated to determine the option’s standalone selling prices. Some of the license and collaboration agreements may contain a license to the technology as well as licenses to tradenames or trademarks. The licenses to the tradenames or trademarks will need to be evaluated in context of the entire contract. The commercial sales-based milestones and sales royalties earned under the license and collaboration agreements are recorded in the period of the related sales by the licensee.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At December 31, 2018,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 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Summary of Significant Accounting Policies - Recent Accounting Pronouncements of the Notes to Financial Statements (Part II, Item 8 of this Form 10-K)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capital expenditures during 2018 or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the investments to fluctuate. As of December 31, 2018, we had no investments in marketable securities or holdings of derivative financial and commodity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2018.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2018, our internal control over financial reporting is effective based on those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2018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and position of our directors, executive officers and key employees as of March 30, 2019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6"/>
                <w:szCs w:val="16"/>
                <w:color w:val="auto"/>
              </w:rPr>
            </w:pPr>
          </w:p>
        </w:tc>
        <w:tc>
          <w:tcPr>
            <w:tcW w:w="7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Peter A. Clemens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Albert W. Brzeczko, Ph.D.</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Pharmaceutical Sciences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Robert A. Seiser</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Treasurer, and Corporate Controller</w:t>
            </w:r>
          </w:p>
        </w:tc>
      </w:tr>
      <w:tr>
        <w:trPr>
          <w:trHeight w:val="220"/>
        </w:trPr>
        <w:tc>
          <w:tcPr>
            <w:tcW w:w="3440" w:type="dxa"/>
            <w:vAlign w:val="bottom"/>
            <w:gridSpan w:val="3"/>
          </w:tcPr>
          <w:p>
            <w:pPr>
              <w:spacing w:after="0"/>
              <w:rPr>
                <w:sz w:val="20"/>
                <w:szCs w:val="20"/>
                <w:color w:val="auto"/>
              </w:rPr>
            </w:pPr>
            <w:r>
              <w:rPr>
                <w:rFonts w:ascii="Arial" w:cs="Arial" w:eastAsia="Arial" w:hAnsi="Arial"/>
                <w:sz w:val="18"/>
                <w:szCs w:val="18"/>
                <w:color w:val="auto"/>
              </w:rPr>
              <w:t>James F. Emigh</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Vice President of Corporate Development</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Bruce F. Wesson</w:t>
            </w:r>
            <w:r>
              <w:rPr>
                <w:rFonts w:ascii="Arial" w:cs="Arial" w:eastAsia="Arial" w:hAnsi="Arial"/>
                <w:sz w:val="29"/>
                <w:szCs w:val="29"/>
                <w:color w:val="auto"/>
                <w:vertAlign w:val="superscript"/>
              </w:rPr>
              <w:t>(1) (2) (3)</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William G. Skelly</w:t>
            </w:r>
            <w:r>
              <w:rPr>
                <w:rFonts w:ascii="Arial" w:cs="Arial" w:eastAsia="Arial" w:hAnsi="Arial"/>
                <w:sz w:val="29"/>
                <w:szCs w:val="29"/>
                <w:color w:val="auto"/>
                <w:vertAlign w:val="superscript"/>
              </w:rPr>
              <w:t>(1)(2) (3)</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Immanuel Thangaraj</w:t>
            </w:r>
            <w:r>
              <w:rPr>
                <w:rFonts w:ascii="Arial" w:cs="Arial" w:eastAsia="Arial" w:hAnsi="Arial"/>
                <w:sz w:val="29"/>
                <w:szCs w:val="29"/>
                <w:color w:val="auto"/>
                <w:vertAlign w:val="superscript"/>
              </w:rPr>
              <w:t>(2)</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390"/>
        </w:trPr>
        <w:tc>
          <w:tcPr>
            <w:tcW w:w="3440" w:type="dxa"/>
            <w:vAlign w:val="bottom"/>
            <w:gridSpan w:val="3"/>
          </w:tcPr>
          <w:p>
            <w:pPr>
              <w:spacing w:after="0"/>
              <w:rPr>
                <w:sz w:val="20"/>
                <w:szCs w:val="20"/>
                <w:color w:val="auto"/>
              </w:rPr>
            </w:pPr>
            <w:r>
              <w:rPr>
                <w:rFonts w:ascii="Arial" w:cs="Arial" w:eastAsia="Arial" w:hAnsi="Arial"/>
                <w:sz w:val="18"/>
                <w:szCs w:val="18"/>
                <w:color w:val="auto"/>
              </w:rPr>
              <w:t>George K. Ross</w:t>
            </w:r>
            <w:r>
              <w:rPr>
                <w:rFonts w:ascii="Arial" w:cs="Arial" w:eastAsia="Arial" w:hAnsi="Arial"/>
                <w:sz w:val="30"/>
                <w:szCs w:val="30"/>
                <w:color w:val="auto"/>
                <w:vertAlign w:val="superscript"/>
              </w:rPr>
              <w:t>(1) (3)</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strategic transaction committee.</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Secretary from February 1998 to March 2004 and a member of our Board of Directors from June, 1998 to August, 2004. Mr. Clemens is Certified Public Accountant (Inactive) and earned a Bachelor of Business Administration degree from the University of Notre Dame and a Masters of Business Administration from Indiana University.</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Albert W. Brzeczko, Ph.D., </w:t>
      </w:r>
      <w:r>
        <w:rPr>
          <w:rFonts w:ascii="Arial" w:cs="Arial" w:eastAsia="Arial" w:hAnsi="Arial"/>
          <w:sz w:val="17"/>
          <w:szCs w:val="17"/>
          <w:color w:val="auto"/>
        </w:rPr>
        <w:t>has been Vice President, Pharmaceutical Sciences, of APT since January 2019 and has been Vice President, Technical</w:t>
      </w:r>
      <w:r>
        <w:rPr>
          <w:rFonts w:ascii="Arial" w:cs="Arial" w:eastAsia="Arial" w:hAnsi="Arial"/>
          <w:sz w:val="17"/>
          <w:szCs w:val="17"/>
          <w:b w:val="1"/>
          <w:bCs w:val="1"/>
          <w:color w:val="auto"/>
        </w:rPr>
        <w:t xml:space="preserve"> </w:t>
      </w:r>
      <w:r>
        <w:rPr>
          <w:rFonts w:ascii="Arial" w:cs="Arial" w:eastAsia="Arial" w:hAnsi="Arial"/>
          <w:sz w:val="17"/>
          <w:szCs w:val="17"/>
          <w:color w:val="auto"/>
        </w:rPr>
        <w:t>Affairs of APT from February 2009 through 2018. From 1999 through 2009, Dr. Brzeczko was 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(Inactive) and earned a Bachelor of Business Administration degree from Loyola University of Chicago.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 October 1996 through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2000. 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 Essex</w:t>
      </w:r>
      <w:r>
        <w:rPr>
          <w:rFonts w:ascii="Arial" w:cs="Arial" w:eastAsia="Arial" w:hAnsi="Arial"/>
          <w:sz w:val="18"/>
          <w:szCs w:val="18"/>
          <w:b w:val="1"/>
          <w:bCs w:val="1"/>
          <w:color w:val="auto"/>
        </w:rPr>
        <w:t xml:space="preserve"> </w:t>
      </w:r>
      <w:r>
        <w:rPr>
          <w:rFonts w:ascii="Arial" w:cs="Arial" w:eastAsia="Arial" w:hAnsi="Arial"/>
          <w:sz w:val="18"/>
          <w:szCs w:val="18"/>
          <w:color w:val="auto"/>
        </w:rPr>
        <w:t>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 stage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(Inactive) and earned a Bachelor of Arts degree from Ohio Wesleyan University and a Masters of Business Administration from Ohio State University.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office of each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shares of common stock were listed on The NASDAQ Capital Market until February 22, 2017 and were quoted on the OTCQB market until June 4, 2018</w:t>
      </w:r>
      <w:r>
        <w:rPr>
          <w:rFonts w:ascii="Arial" w:cs="Arial" w:eastAsia="Arial" w:hAnsi="Arial"/>
          <w:sz w:val="16"/>
          <w:szCs w:val="16"/>
          <w:b w:val="1"/>
          <w:bCs w:val="1"/>
          <w:color w:val="auto"/>
        </w:rPr>
        <w:t>.</w:t>
      </w:r>
      <w:r>
        <w:rPr>
          <w:rFonts w:ascii="Arial" w:cs="Arial" w:eastAsia="Arial" w:hAnsi="Arial"/>
          <w:sz w:val="16"/>
          <w:szCs w:val="16"/>
          <w:color w:val="auto"/>
        </w:rPr>
        <w:t xml:space="preserve"> From June 4, 2018 through July 2, 2018 our stock was quoted on the OTC Markets OTC Pink Tier, when we regained compliance with the OTCQB market and resumed quotation on the OTCQB market on July 3, 2018. Since May 20, 2019 our stock has been quoted on the OTC Markets OTC Pink Tier</w:t>
      </w:r>
    </w:p>
    <w:p>
      <w:pPr>
        <w:jc w:val="both"/>
        <w:spacing w:after="0" w:line="252" w:lineRule="auto"/>
        <w:rPr>
          <w:sz w:val="20"/>
          <w:szCs w:val="20"/>
          <w:color w:val="auto"/>
        </w:rPr>
      </w:pPr>
      <w:r>
        <w:rPr>
          <w:rFonts w:ascii="Arial" w:cs="Arial" w:eastAsia="Arial" w:hAnsi="Arial"/>
          <w:sz w:val="17"/>
          <w:szCs w:val="17"/>
          <w:color w:val="auto"/>
        </w:rPr>
        <w:t>due to our failure to comply with the filing deadline for our 2018 Form 10K. It is our intent to remedy this non-compliance during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2019. In 2016 we were subject to the Nasdaq Stock Market independence standards and we continue to follow those standards in determining whether a director is independent for Board or Committee purposes. Under the rules of The NASDAQ Stock Market, which we were subject to until February 22, 2017, independent directors must comprise a majority of our Board of Directors. In addition, the rules of The NASDAQ Stock Market require that, subject to specified exceptions, each member of the Audit and Compensation Committees of our Board of Directors be independent. Audit Committee members must also satisfy the independence criteria set forth in Rule 10A-3 under the Securities Exchange Act of 1934, as amended, or Exchange Act. Under the rules of The Nasdaq Stock Market, a director will only qualify as an “independent director” if, in the opinion of our Board of Directors, that person does have a relationship that would interfere with the exercise of independent judgment in carrying out the responsibilities of a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line="277" w:lineRule="auto"/>
        <w:rPr>
          <w:sz w:val="20"/>
          <w:szCs w:val="20"/>
          <w:color w:val="auto"/>
        </w:rPr>
      </w:pPr>
      <w:r>
        <w:rPr>
          <w:rFonts w:ascii="Arial" w:cs="Arial" w:eastAsia="Arial" w:hAnsi="Arial"/>
          <w:sz w:val="18"/>
          <w:szCs w:val="18"/>
          <w:color w:val="auto"/>
        </w:rPr>
        <w:t>In order to be considered to be independent for purposes of Rule 10A-3, a member of the Audit Committee of our Board of Directors may not, other than in his or her capacity as a member of the Audit Committee, the Board of Directors or any other committee of our Board of Directors:</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us or any of our subsidiaries;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an affiliated person of us or any of our subsidiaries.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In connection with this review, our Board of Directors determined that each of Messrs. Wesson, Skelly, Thangaraj and Ross, representing four of our five directors, satisfies the independence requirements of The NASDAQ Stock Market and Rule 10A-3 of the Exchange Act. 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 capital by each non-employee director and their affiliates. In addition, our Board of Directors considered information that was provided by each director concerning his or her background, employment and affiliations, including relationships with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 Strategic Transaction Committee, and a Nominating Committee. Our Audit Committee and our Compensation Committee operate under written charters approved by our Board of Directors, copies of which are available on our website and will be made available in print to any shareholder who requests it. Currently, our entire Board serves as our Nominating Committee. A brief description of these committees is provided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Mr. Ross, Chairman, and Messrs. Wesson and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independence of the Audit Committee in 2018,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is composed of Mr. Skelly, Chairman, and Messrs. Wesson and Thangaraj. This committee is responsible for consulting with and making recommendations to the Board of Directors about executive and director compensation and compensation of employees. In 2016 the Compensation Committee retained the Hay Group, an independent compensation consulting firm, to assist in evaluating stock option and other incentives for our executive officers and other employees. The retention of the Hay Group was not recommended by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Transaction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Strategic Transaction Committee is composed of Messrs. Ross, Wesson and Skelly. The Strategic Transaction Committee reviews, evaluates and recommends to the Board, for the Board’s evaluation and determination, potential acquisitions, divestitures, capital raising transactions, joint ventures and strategic alliances, and licensing and collaboration transactions. All members of this Committee are considered by our Board as independent directors. The Strategic Transaction Committee does not have a Chairman.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(iii) their experience in overseeing management as principals of private equity firms in the case of Messrs. Wesson, and Thangaraj. Although our Certificate of Incorporation provides for a maximum of 11 directors, in accordance with the terms of a Second Amended and Restated Voting Agreement dated as of July 24, 2017 executed by us, Mr. Schutte (“Schutte”), and Essex Woodlands Health Ventures V, L.P. (“Essex”), (the “Second Amended and Restated Voting Agreement”), we have agreed that the Board of Directors shall be comprised of not more than seven members (or such greater number that is required to assure that we have a majority of independent directors after giving effect to the various designation rights described herein), one of whom shall be the designee of Schutte, one of whom shall be the designee of Essex, one of whom is our Chief Executive Officer and three of whom are independent directors. Mr. Thangaraj serves as the designee of Essex. The Second Amended and Restated Voting Agreement provides that each of Schutte’s, and Essex’s right to designate one director will terminate when it or its affiliates (determined separately for each of Schutte and Essex) fail to hold at least 600,000 shares of our common stock (or warrants exercisable for such shares). The Board is required to nominate an independent director upon forfeiture of a designation right. Mr. Schutte has not designated a nominee.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member of the Compensation Committee was or currently is, an officer or employee of the Company, and no member of the Compensation Committee had any relationship with us requiring disclosure under Item 404 of SEC Regulation S-K. None of our executive officers has served on the Board of Directors or Compensation Committee of any other entity that has or had one or more executive officers who served as a member of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this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w:t>
      </w:r>
      <w:r>
        <w:rPr>
          <w:rFonts w:ascii="Arial" w:cs="Arial" w:eastAsia="Arial" w:hAnsi="Arial"/>
          <w:sz w:val="17"/>
          <w:szCs w:val="17"/>
          <w:i w:val="1"/>
          <w:iCs w:val="1"/>
          <w:color w:val="auto"/>
        </w:rPr>
        <w:t>“Shareholder-Board Communication”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“Shareholder-Director Communication”</w:t>
      </w:r>
      <w:r>
        <w:rPr>
          <w:rFonts w:ascii="Arial" w:cs="Arial" w:eastAsia="Arial" w:hAnsi="Arial"/>
          <w:sz w:val="17"/>
          <w:szCs w:val="17"/>
          <w:color w:val="auto"/>
        </w:rPr>
        <w:t xml:space="preserve">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Code of Ethics applicable to our principal executive officer, principal financial officer, principal accounting officer and all of our other employees is available on our website, www.acurapharm.com, by clicking on “Corporate Governance” under the “Investors” tab.</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2018, to our Chief Executive Officer, and the two most highly compensated executive officers other than the Chief Executive Officer who were serving as executive officers at the end of the last completed fiscal year (collectively, the “2018 named executive officers”) whose total annual compensation for 2018 exceeded $100,000: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30"/>
                <w:szCs w:val="30"/>
                <w:b w:val="1"/>
                <w:bCs w:val="1"/>
                <w:color w:val="auto"/>
                <w:vertAlign w:val="superscript"/>
              </w:rPr>
              <w:t>(3)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RSU Stock</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incentive plan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20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(1)</w:t>
            </w:r>
          </w:p>
        </w:tc>
        <w:tc>
          <w:tcPr>
            <w:tcW w:w="1140" w:type="dxa"/>
            <w:vAlign w:val="bottom"/>
            <w:gridSpan w:val="2"/>
          </w:tcPr>
          <w:p>
            <w:pPr>
              <w:jc w:val="center"/>
              <w:ind w:right="220"/>
              <w:spacing w:after="0" w:line="252"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620" w:type="dxa"/>
            <w:vAlign w:val="bottom"/>
          </w:tcPr>
          <w:p>
            <w:pPr>
              <w:ind w:left="700"/>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13,530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421,147</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Peter A. Clemens</w:t>
            </w:r>
          </w:p>
        </w:tc>
        <w:tc>
          <w:tcPr>
            <w:tcW w:w="90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220,000</w:t>
            </w: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16,920</w:t>
            </w: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3,800</w:t>
            </w:r>
          </w:p>
        </w:tc>
        <w:tc>
          <w:tcPr>
            <w:tcW w:w="12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240,720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SVP &amp; CFO</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286,000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9,240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10,574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325,814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14,382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284,612</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VP, Pharmaceutical Sciences of Acura</w:t>
            </w:r>
          </w:p>
        </w:tc>
        <w:tc>
          <w:tcPr>
            <w:tcW w:w="900" w:type="dxa"/>
            <w:vAlign w:val="bottom"/>
            <w:gridSpan w:val="2"/>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291,000</w:t>
            </w:r>
          </w:p>
        </w:tc>
        <w:tc>
          <w:tcPr>
            <w:tcW w:w="11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9,240</w:t>
            </w:r>
          </w:p>
        </w:tc>
        <w:tc>
          <w:tcPr>
            <w:tcW w:w="11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10,885</w:t>
            </w:r>
          </w:p>
        </w:tc>
        <w:tc>
          <w:tcPr>
            <w:tcW w:w="12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311,125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Technologies, Inc.</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302" w:lineRule="auto"/>
        <w:tabs>
          <w:tab w:leader="none" w:pos="2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RSU Stock Award grant date fair values are computed in accordance with FASB ASC Topic 718. The 2017 values represent (A) our last sale price of $0.3401 on 12/11/2017 less $.01 par value multiplied by (B) the number of shares underlying RSUs (41,000, 28,000 and 28,000, in the case of Messrs. Jones, Clemens and Brzeczko, respectively). The 2018 values represent (A) our last sale price of $0.1510 on 12/11/2018 less $.01 par value multiplied by (B) the number of shares underlying RSUs (150,000, 120,000 and 102,000, in the case of Messrs. Jones, Clemens and Brzeczko, respectively).</w:t>
      </w:r>
    </w:p>
    <w:p>
      <w:pPr>
        <w:spacing w:after="0" w:line="154" w:lineRule="exact"/>
        <w:rPr>
          <w:rFonts w:ascii="Arial" w:cs="Arial" w:eastAsia="Arial" w:hAnsi="Arial"/>
          <w:sz w:val="16"/>
          <w:szCs w:val="16"/>
          <w:color w:val="auto"/>
        </w:rPr>
      </w:pPr>
    </w:p>
    <w:p>
      <w:pPr>
        <w:jc w:val="both"/>
        <w:ind w:firstLine="8"/>
        <w:spacing w:after="0" w:line="271" w:lineRule="auto"/>
        <w:tabs>
          <w:tab w:leader="none" w:pos="26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Stock Option grant date fair values are computed in accordance with FASB ASC Topic 718. The 2017 values represent (A) the computed grant date fair value of the option of $0.3110 multiplied by (B) the number of underlying option shares (47,000, 34,000, and 35,000, in the case of Messrs. Jones, Clemens and Brzeczko, respectively). To calculate 2017 grant date fair value, we considered an assumed risk free interest rate of 1.8% and a historical volatility percentage for our common stock of 88%, with an expected divided yield of 0%, an expected term of 5 years, and the option exercise price of $0.45. The 2018 values represent (A) the computed grant date fair value of the option of $0.0950 multiplied by (B) the number of underlying option shares (50,000, 40,000, and 34,000, in the case of Messrs. Jones, Clemens and Brzeczko, respectively). To calculate the 2018 grant date fair value, we considered an assumed risk free interest rate of 2.8% and a historical volatility percentage for our common stock of 76%, with an expected divided yield of 0%, an expected term of 5 years, and the option exercise price of $0.1510.</w:t>
      </w:r>
    </w:p>
    <w:p>
      <w:pPr>
        <w:spacing w:after="0" w:line="178" w:lineRule="exact"/>
        <w:rPr>
          <w:rFonts w:ascii="Arial" w:cs="Arial" w:eastAsia="Arial" w:hAnsi="Arial"/>
          <w:sz w:val="17"/>
          <w:szCs w:val="17"/>
          <w:color w:val="auto"/>
        </w:rPr>
      </w:pPr>
    </w:p>
    <w:p>
      <w:pPr>
        <w:ind w:firstLine="8"/>
        <w:spacing w:after="0" w:line="277"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Salary of $273,000, $220,000, and $257,000 for Messrs. Jones, Clemens and Brzeczko, respectively reflects impact of temporary salary reductions in 2018. The current base salary is $150,000, $200,000 and $220,000 for Messrs. Jones, Clemens and Brzeczko,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Bonus/Non-Equity Incentive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Messrs. Jones, Clemens and Brzeczko are eligible for annual bonuses. Each of Mr. Jones’ and Mr. Clemens’ bonuses are weighted 100% to achievement of organizational goals, while the bonuses for other employees, including for Dr. Brzeczko are weighted 50% to the achievement of organizational goals and 50% to the achievement of individual goals. Amounts paid are reflected in the “Non-equity Incentive Compensation” column of the Summary Compensation Table and there were no amounts paid for 2017 nor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Material organizational goals for 2019 include completing a strategic transaction, partnership or financings to maximize value to the Company’s shareholders and debt holder, advance commercial manufacturing scale-up of LTX-03, execute clinical studies for LTX-03, maintain compliance with SOX and successfully manage our intellectual property.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Material organizational goals for 2018 included conducting clinical trials on our LTX-03 compound, complete ongoing development using Impede Technology, executing strategic transaction, partnership or financings to maximize value to the Company’s shareholders and debt holder, compliance with SOX and successfully managing our intellectual property. The Compensation Committee determined that 20% of the organizational goals were met in 2018 principally due to our need to preserve cash. No bonuses were paid to the 2018 named executive officers.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annual salary is $150,000 (a temporary reduction from his salary under the Employment Agreement of $392,000 because of our need to preserve cash). The term of the Employment Agreement is currently scheduled to expire December 31, 2019, and provides for automatic one year renewals in the absence of written notice to the contrary from us (which would give Mr. Jones the right to terminate his employment for Good Reason) or Mr. Jones at least ninety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2017 and 2018, Mr. Jones did not receive a bonus.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On December 11, 2014, December 10, 2015, December 8, 2016, August 9, 2017 and December 11, 2018, we granted Mr. Jones stock options to purchase 50,400 shares, 70,000 shares, 47,000 shares, 47,000 shares and 50,000 shares of our common stock, respectively, in each case exercisable at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Mr. Jones 41,000 and 150,000 Restricted Stock Units exchangeable for shares of the Company’s common stock on a 1-for-1 basis after payment of $.01 par value per share, respectively. The 41,000 Restricted Stock Units vested on December 11, 2018. The 150,000 Restricted Stock Units will vest on December 11, 2019 or earlier if Mr. Jones’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 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months from the date of termination.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months following the termination of his employment by us without Cause or by him for Good Reason, prior to a Change of Control, (ii) for twelve months following the termination of his employment for Cause, prior to a Change of Control, or (iii) twenty-four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spacing w:after="0" w:line="270" w:lineRule="auto"/>
        <w:rPr>
          <w:sz w:val="20"/>
          <w:szCs w:val="20"/>
          <w:color w:val="auto"/>
        </w:rPr>
      </w:pPr>
      <w:r>
        <w:rPr>
          <w:rFonts w:ascii="Arial" w:cs="Arial" w:eastAsia="Arial" w:hAnsi="Arial"/>
          <w:sz w:val="17"/>
          <w:szCs w:val="17"/>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2019, and provides for automatic one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annual salary is $200,000 (a temporary reduction from his salary under the Employment Agreement of $286,000 because of our need to preserve cash). His maximum bonus under our bonus plan is 70% of base salary. Mr. Clemens’ bonus is based on the achievement of such targets, conditions, or parameters as may be set from time to time by the Board of Directors or the Compensation Committee of the Board of Directors. On August 9, 2017 we granted Mr. Clemens a special bonus outside the bonus plan of $20,000 for his efforts in the negotiation and closing of our July 2017 private equity financing.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11, 2014, December 10, 2015, December 8, 2016 August 9, 2017 and December 11, 2018 we granted Mr. Clemens options to purchase 36,000 shares, 50,000 shares, 34,000 shares, 34,000 shares and 40,000 shares of our common stock, respectively, in each case at an exercise price equal to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Mr. Clemens 28,000 and 120,000 Restricted Stock Units, respectively, exchangeable for shares of the Company’s common stock on a 1-for-1 basis shares after payment of $.01 par value per share. The 28,000 Restricted Stock Units vested on December 11, 2018. The 120,000 Restricted Stock Units will vest on December 11, 2019 or earlier if Mr. Clemens’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5" w:lineRule="exact"/>
        <w:rPr>
          <w:sz w:val="20"/>
          <w:szCs w:val="20"/>
          <w:color w:val="auto"/>
        </w:rPr>
      </w:pPr>
    </w:p>
    <w:p>
      <w:pPr>
        <w:ind w:left="1360" w:hanging="326"/>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0" w:lineRule="exact"/>
        <w:rPr>
          <w:rFonts w:ascii="Arial" w:cs="Arial" w:eastAsia="Arial" w:hAnsi="Arial"/>
          <w:sz w:val="18"/>
          <w:szCs w:val="18"/>
          <w:color w:val="auto"/>
        </w:rPr>
      </w:pPr>
    </w:p>
    <w:p>
      <w:pPr>
        <w:ind w:left="1360" w:hanging="326"/>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Acura going private (i.e. no longer files reports under the Exchange Act), unless the relevant employee (e.g., Jones, in the case of Jones’ severance and Clemens in the case of Clemens’ severance) “participates” in such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Affecting Stock Option Vesting and Exercise (For Messrs. Jones and Clemens)</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Vesting of All</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Options (Options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are exercisable</w:t>
      </w:r>
    </w:p>
    <w:p>
      <w:pPr>
        <w:spacing w:after="0" w:line="9" w:lineRule="exact"/>
        <w:rPr>
          <w:sz w:val="20"/>
          <w:szCs w:val="20"/>
          <w:color w:val="auto"/>
        </w:rPr>
      </w:pPr>
    </w:p>
    <w:p>
      <w:pPr>
        <w:ind w:left="2680"/>
        <w:spacing w:after="0"/>
        <w:tabs>
          <w:tab w:leader="none" w:pos="4860" w:val="left"/>
          <w:tab w:leader="none" w:pos="7220" w:val="left"/>
        </w:tabs>
        <w:rPr>
          <w:sz w:val="20"/>
          <w:szCs w:val="20"/>
          <w:color w:val="auto"/>
        </w:rPr>
      </w:pPr>
      <w:r>
        <w:rPr>
          <w:rFonts w:ascii="Arial" w:cs="Arial" w:eastAsia="Arial" w:hAnsi="Arial"/>
          <w:sz w:val="18"/>
          <w:szCs w:val="18"/>
          <w:b w:val="1"/>
          <w:bCs w:val="1"/>
          <w:color w:val="auto"/>
        </w:rPr>
        <w:t>Event</w:t>
      </w:r>
      <w:r>
        <w:rPr>
          <w:sz w:val="20"/>
          <w:szCs w:val="20"/>
          <w:color w:val="auto"/>
        </w:rPr>
        <w:tab/>
      </w:r>
      <w:r>
        <w:rPr>
          <w:rFonts w:ascii="Arial" w:cs="Arial" w:eastAsia="Arial" w:hAnsi="Arial"/>
          <w:sz w:val="18"/>
          <w:szCs w:val="18"/>
          <w:b w:val="1"/>
          <w:bCs w:val="1"/>
          <w:color w:val="auto"/>
        </w:rPr>
        <w:t>upon vesting)</w:t>
      </w:r>
      <w:r>
        <w:rPr>
          <w:sz w:val="20"/>
          <w:szCs w:val="20"/>
          <w:color w:val="auto"/>
        </w:rPr>
        <w:tab/>
      </w:r>
      <w:r>
        <w:rPr>
          <w:rFonts w:ascii="Arial" w:cs="Arial" w:eastAsia="Arial" w:hAnsi="Arial"/>
          <w:sz w:val="16"/>
          <w:szCs w:val="16"/>
          <w:b w:val="1"/>
          <w:bCs w:val="1"/>
          <w:color w:val="auto"/>
        </w:rPr>
        <w:t>Exercisability of Options</w:t>
      </w:r>
    </w:p>
    <w:p>
      <w:pPr>
        <w:sectPr>
          <w:pgSz w:w="11900" w:h="16838" w:orient="portrait"/>
          <w:cols w:equalWidth="0" w:num="1">
            <w:col w:w="11420"/>
          </w:cols>
          <w:pgMar w:left="240" w:top="908" w:right="239" w:bottom="1440" w:gutter="0" w:footer="0" w:header="0"/>
        </w:sectPr>
      </w:pP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Termination due to Death</w:t>
            </w:r>
          </w:p>
        </w:tc>
        <w:tc>
          <w:tcPr>
            <w:tcW w:w="18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Options vest for one</w:t>
            </w:r>
          </w:p>
        </w:tc>
      </w:tr>
      <w:tr>
        <w:trPr>
          <w:trHeight w:val="216"/>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w w:val="89"/>
              </w:rPr>
              <w:t>month after death; after</w:t>
            </w:r>
          </w:p>
        </w:tc>
      </w:tr>
      <w:tr>
        <w:trPr>
          <w:trHeight w:val="216"/>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that no additional</w:t>
            </w:r>
          </w:p>
        </w:tc>
      </w:tr>
      <w:tr>
        <w:trPr>
          <w:trHeight w:val="230"/>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vesting</w:t>
            </w:r>
          </w:p>
        </w:tc>
      </w:tr>
    </w:tbl>
    <w:p>
      <w:pPr>
        <w:spacing w:after="0" w:line="20" w:lineRule="exact"/>
        <w:rPr>
          <w:sz w:val="20"/>
          <w:szCs w:val="20"/>
          <w:color w:val="auto"/>
        </w:rPr>
      </w:pPr>
      <w:r>
        <w:rPr>
          <w:sz w:val="20"/>
          <w:szCs w:val="20"/>
          <w:color w:val="auto"/>
        </w:rPr>
        <w:br w:type="column"/>
      </w:r>
    </w:p>
    <w:p>
      <w:pPr>
        <w:ind w:right="1600"/>
        <w:spacing w:after="0" w:line="276" w:lineRule="auto"/>
        <w:rPr>
          <w:sz w:val="20"/>
          <w:szCs w:val="20"/>
          <w:color w:val="auto"/>
        </w:rPr>
      </w:pPr>
      <w:r>
        <w:rPr>
          <w:rFonts w:ascii="Arial" w:cs="Arial" w:eastAsia="Arial" w:hAnsi="Arial"/>
          <w:sz w:val="18"/>
          <w:szCs w:val="18"/>
          <w:color w:val="auto"/>
        </w:rPr>
        <w:t>Vested options immediately exercisable for one year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-301625</wp:posOffset>
            </wp:positionV>
            <wp:extent cx="22726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01" w:lineRule="exact"/>
        <w:rPr>
          <w:sz w:val="20"/>
          <w:szCs w:val="20"/>
          <w:color w:val="auto"/>
        </w:rPr>
      </w:pPr>
    </w:p>
    <w:p>
      <w:pPr>
        <w:sectPr>
          <w:pgSz w:w="11900" w:h="16838" w:orient="portrait"/>
          <w:cols w:equalWidth="0" w:num="2">
            <w:col w:w="6240" w:space="160"/>
            <w:col w:w="5020"/>
          </w:cols>
          <w:pgMar w:left="240" w:top="908" w:right="239" w:bottom="1440" w:gutter="0" w:footer="0" w:header="0"/>
          <w:type w:val="continuous"/>
        </w:sectPr>
      </w:pPr>
    </w:p>
    <w:p>
      <w:pPr>
        <w:spacing w:after="0" w:line="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Termination by Company Without</w:t>
            </w:r>
          </w:p>
        </w:tc>
        <w:tc>
          <w:tcPr>
            <w:tcW w:w="1820" w:type="dxa"/>
            <w:vAlign w:val="bottom"/>
          </w:tcPr>
          <w:p>
            <w:pPr>
              <w:ind w:left="100"/>
              <w:spacing w:after="0"/>
              <w:rPr>
                <w:sz w:val="20"/>
                <w:szCs w:val="20"/>
                <w:color w:val="auto"/>
              </w:rPr>
            </w:pPr>
            <w:r>
              <w:rPr>
                <w:rFonts w:ascii="Arial" w:cs="Arial" w:eastAsia="Arial" w:hAnsi="Arial"/>
                <w:sz w:val="18"/>
                <w:szCs w:val="18"/>
                <w:color w:val="auto"/>
              </w:rPr>
              <w:t>All options fully vest.</w:t>
            </w: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Vested options immediately exercisable for one</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1"/>
              </w:rPr>
              <w:t>Cause or by Employee for Good Reason</w:t>
            </w:r>
          </w:p>
        </w:tc>
        <w:tc>
          <w:tcPr>
            <w:tcW w:w="18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year following termination Vested options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or termination by Employee following</w:t>
            </w:r>
          </w:p>
        </w:tc>
        <w:tc>
          <w:tcPr>
            <w:tcW w:w="18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0"/>
              </w:rPr>
              <w:t>exercisable for 12 months for Mr. Jones (twenty</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Change of Control</w:t>
            </w:r>
          </w:p>
        </w:tc>
        <w:tc>
          <w:tcPr>
            <w:tcW w:w="18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four months in the case of Mr. Clemens)</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Termination due to Disability</w:t>
            </w:r>
          </w:p>
        </w:tc>
        <w:tc>
          <w:tcPr>
            <w:tcW w:w="1820" w:type="dxa"/>
            <w:vAlign w:val="bottom"/>
          </w:tcPr>
          <w:p>
            <w:pPr>
              <w:ind w:left="100"/>
              <w:spacing w:after="0"/>
              <w:rPr>
                <w:sz w:val="20"/>
                <w:szCs w:val="20"/>
                <w:color w:val="auto"/>
              </w:rPr>
            </w:pPr>
            <w:r>
              <w:rPr>
                <w:rFonts w:ascii="Arial" w:cs="Arial" w:eastAsia="Arial" w:hAnsi="Arial"/>
                <w:sz w:val="18"/>
                <w:szCs w:val="18"/>
                <w:color w:val="auto"/>
              </w:rPr>
              <w:t>No additional vesting</w:t>
            </w: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Vested options immediately exercisable for one</w:t>
            </w:r>
          </w:p>
        </w:tc>
      </w:tr>
      <w:tr>
        <w:trPr>
          <w:trHeight w:val="230"/>
        </w:trPr>
        <w:tc>
          <w:tcPr>
            <w:tcW w:w="3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year following termination</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w w:val="94"/>
              </w:rPr>
              <w:t>Termination by the Company for Cause</w:t>
            </w:r>
          </w:p>
        </w:tc>
        <w:tc>
          <w:tcPr>
            <w:tcW w:w="1820" w:type="dxa"/>
            <w:vAlign w:val="bottom"/>
          </w:tcPr>
          <w:p>
            <w:pPr>
              <w:ind w:left="100"/>
              <w:spacing w:after="0"/>
              <w:rPr>
                <w:sz w:val="20"/>
                <w:szCs w:val="20"/>
                <w:color w:val="auto"/>
              </w:rPr>
            </w:pPr>
            <w:r>
              <w:rPr>
                <w:rFonts w:ascii="Arial" w:cs="Arial" w:eastAsia="Arial" w:hAnsi="Arial"/>
                <w:sz w:val="18"/>
                <w:szCs w:val="18"/>
                <w:color w:val="auto"/>
              </w:rPr>
              <w:t>No additional vesting</w:t>
            </w: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Vested options immediately exercisable for 40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or by executive other than for Good</w:t>
            </w:r>
          </w:p>
        </w:tc>
        <w:tc>
          <w:tcPr>
            <w:tcW w:w="18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days following termination</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Reason</w:t>
            </w:r>
          </w:p>
        </w:tc>
        <w:tc>
          <w:tcPr>
            <w:tcW w:w="18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Change of Control</w:t>
            </w:r>
          </w:p>
        </w:tc>
        <w:tc>
          <w:tcPr>
            <w:tcW w:w="1820" w:type="dxa"/>
            <w:vAlign w:val="bottom"/>
          </w:tcPr>
          <w:p>
            <w:pPr>
              <w:ind w:left="100"/>
              <w:spacing w:after="0"/>
              <w:rPr>
                <w:sz w:val="20"/>
                <w:szCs w:val="20"/>
                <w:color w:val="auto"/>
              </w:rPr>
            </w:pPr>
            <w:r>
              <w:rPr>
                <w:rFonts w:ascii="Arial" w:cs="Arial" w:eastAsia="Arial" w:hAnsi="Arial"/>
                <w:sz w:val="18"/>
                <w:szCs w:val="18"/>
                <w:color w:val="auto"/>
              </w:rPr>
              <w:t>Options fully vest for</w:t>
            </w:r>
          </w:p>
        </w:tc>
        <w:tc>
          <w:tcPr>
            <w:tcW w:w="3600" w:type="dxa"/>
            <w:vAlign w:val="bottom"/>
          </w:tcPr>
          <w:p>
            <w:pPr>
              <w:ind w:left="140"/>
              <w:spacing w:after="0"/>
              <w:rPr>
                <w:sz w:val="20"/>
                <w:szCs w:val="20"/>
                <w:color w:val="auto"/>
              </w:rPr>
            </w:pPr>
            <w:r>
              <w:rPr>
                <w:rFonts w:ascii="Arial" w:cs="Arial" w:eastAsia="Arial" w:hAnsi="Arial"/>
                <w:sz w:val="18"/>
                <w:szCs w:val="18"/>
                <w:color w:val="auto"/>
              </w:rPr>
              <w:t>Vested options immediately exercisable</w:t>
            </w:r>
          </w:p>
        </w:tc>
      </w:tr>
      <w:tr>
        <w:trPr>
          <w:trHeight w:val="216"/>
        </w:trPr>
        <w:tc>
          <w:tcPr>
            <w:tcW w:w="300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Mr. Jones and Mr.</w:t>
            </w:r>
          </w:p>
        </w:tc>
        <w:tc>
          <w:tcPr>
            <w:tcW w:w="360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Clemens.</w:t>
            </w:r>
          </w:p>
        </w:tc>
        <w:tc>
          <w:tcPr>
            <w:tcW w:w="36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Brzeczko is not party to an employment agreement. Dr. Brzeczko was hired pursuant to an offer letter pursuant to which he received a $40,000 signing bonus and commencing 2016 and thereafter, is eligible for annual bonuses of up to 50% of his base salary (increased from 35% in effect during 2015). Dr. Brzeczko’s bonus is based on the achievement of such targets, conditions, or parameters as may be set from time to time by the Board of Directors or the Compensation Committee of the Board of Directors. In 2017 and 2018 he received no bonus.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Upon commencement of his employment on February 9, 2009, Dr. Brzeczko received 4,800 RSUs vesting in equal installments over 24 months, and stock options exercisable for 19,200 shares of common stock vesting in equal installments over 24 months. Dr. Brzeczko’s annual salary is $220,000 (a temporary reduction from his salary of $291,000 because of our need to preserve cash). Dr. Brzeczko is eligible for and over the years of his employment, Dr. Brzeczko has received annual option grants.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8, 2016 August 9, 2017 and December 11, 2018 we granted Dr. Brzeczko options to purchase 35,000 shares, 35,000 shares, 35,000 shares, and 34,000 shares of our common stock, respectively, in each case at an exercise price equal to the fair market value of our common stock at the date of grant and vesting in equal installments over 24 months, except that the August 9, 2017 grant vested in one installment on August 9, 2018; and the December 11, 2018 grant will vest in one installment on December 11, 2019 (in each case, subject to earlier exercisability as set forth in the table below entitled “Events Affecting Stock Option Vesting and Exercise”). “Fair market value” is the closing price for a share of the common stock on the exchange or quotation system which reports or quotes the closing prices for a share of the common stock (or alternate methodologies if no such quote is available).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11, 2017 and December 11, 2018, we granted Dr. Brzeczko 28,000 and 102,000 Restricted Stock Units exchangeable for shares of the Company’s common stock on a 1-for-1 basis after payment of $.01 par value per share, respectively. The 28,000 Restricted Stock Units vested on December 11, 2018. The 102,000 Restricted Stock Units will vest on December 11, 2019 or earlier if Dr. Brzeczko’s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and in the case of the December 11, 2017 grant, will occur on the first business day of each of January 2020, 2021, and 2022, and in the case of the December 11, 2018 grant, will occur on the first business day of each of January 2021, 2022, and 2023, or earlier upon a qualifying change of control which also meets certain criteria of Section 409A of the Internal Revenue Code.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two stock option plans adopted in 2008 and 2016, respectively. Our option plans are administered by the Board of Directors. The Board of Directors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“Fair market value” is the closing price for a share of the common stock on the exchange or quotation system which reports or quotes the closing prices for a share of the common stock (or alternate methodologies if no such quote is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spacing w:after="0" w:line="270" w:lineRule="auto"/>
        <w:rPr>
          <w:sz w:val="20"/>
          <w:szCs w:val="20"/>
          <w:color w:val="auto"/>
        </w:rPr>
      </w:pPr>
      <w:r>
        <w:rPr>
          <w:rFonts w:ascii="Arial" w:cs="Arial" w:eastAsia="Arial" w:hAnsi="Arial"/>
          <w:sz w:val="17"/>
          <w:szCs w:val="17"/>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Historically, our grants to employees generally vest 1/24th each month, although under the plans any vesting schedule is permissible as determined by the Compensation Committee or the Board. However on August 9, 2017 we made a special option grant to employees which generally vests 12 months from issuance instead of ratably over 24 months. Our grants to director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1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2008 Stock Option Plan was adopted by the Board of Directors on March 14, 2008 and approved by our shareholders on April 30, 2008. The 2008 Stock Option Plan permits the grant of ISO’s and non-qualified stock options to purchase up to 1,200,000 shares of our common stock. On June 25, 2009, the 2008 Stock Option Plan was amended to allow participants to require us to withhold common stock upon exercise of options for payment of exercise price and statutory minimum withholding taxes. In April 2018 the 2008 Stock Option Plan expired and the remaining 196,200 unissued shares allocated to the Plan were terminated. As of December 31, 2018, stock options to purchase approximately 980,000 shares of common stock are outstanding under the 2008 Stock Option Plan and 48,000 options are non-qualified and 932,000 options are ISOs. The weighted average exercise price per share for all outstanding options under the 2008 Stock Option Plan as of December 31, 2018 was $11.47.</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2016 Stock Option Plan, as amended, was adopted by the Board of Directors and approved by our shareholders in April 2016. The 2016 Stock Option Plan permits the grant of ISO’s and non-qualified stock options to purchase in the aggregate up to 600,000 shares of our common stock. As of December 31, 2018, stock options to purchase approximately 579,000 shares of common stock are outstanding under the 2016 Stock Option Plan and all are ISOs. Up to 60,000 shares underlying options may be granted to any participant in a calendar year under the 2016 Stock Option Plan. The weighted average exercise price per share for all outstanding options under the 2016 Stock Option Plan as of December 31, 2018 was $0.46.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in February 2014 and by our shareholders in May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30, 2019 we had granted RSUs under the 2014 RSU Plan providing for our issuance of an aggregate of 400,000 shares of our common stock and there are no remaining shares available for grant. At March 30, 2019, approximately 3,200 RSU awards remain outstanding under our 2014 RSU Plan.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there were a limited number of shares available for issuance under the 2014 RSU Plan, our shareholders approved the 2017 Restricted Stock Unit Award Plan in November 2017. The description of the 2017 Restricted Stock Unit Award Plan, under the captions, “Terms”, “Administration”, “Amendment and Termination”, and “Adjustment upon Capitalization and Merger”, below are similar to the provisions of the 2014 RSU Plan, with the significant differences noted under such captions.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2017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2017 Restricted Stock Unit Award Plan (the “2017 RSU Plan”) was approved by the Company’s Board of Directors on September 8, 2017 and approved by shareholders on November 8, 2017. Under the 2017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Number of RSUs that may be granted. </w:t>
      </w:r>
      <w:r>
        <w:rPr>
          <w:rFonts w:ascii="Arial" w:cs="Arial" w:eastAsia="Arial" w:hAnsi="Arial"/>
          <w:sz w:val="17"/>
          <w:szCs w:val="17"/>
          <w:color w:val="auto"/>
        </w:rPr>
        <w:t>The maximum aggregate number of shares which may be subject to RSUs granted under the 2017 RSU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As of March 30, 2019 approximately 1,281,000 RSUs have been granted and approximately 1,014,000 RSU awards were outstanding under our 2017 RSU Plan. Unless terminated earlier by the Board of Directors, the RSUs may be distributed under the 2017 RSU Plan until November 7, 2027, however we expect that RSUs available under the Plan will have been distributed within the next three years. The 2017 RSU Plan allows for amendment by the Board of Directors, provided shareholder approval for the amendment is not required under the rules of an exchange on which our stock is listed or applicable law.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2017 RSU Plan is intended to assist the Company in securing and retaining employees, consultants and directors by allowing them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2017 RSU Plan is administered by the Company’s Board of Directors, or, except with respect to matters involving non-employee Directors (“Non-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Directors”), the Compensation Committee, provided it is comprised of not less than two members of the Board, each of whom must be Non-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as that term is defined in Rule 16b-3(b)(3)(i) of the Exchange Act (the “Committee”).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Powers of the Board/Committee. </w:t>
      </w:r>
      <w:r>
        <w:rPr>
          <w:rFonts w:ascii="Arial" w:cs="Arial" w:eastAsia="Arial" w:hAnsi="Arial"/>
          <w:sz w:val="18"/>
          <w:szCs w:val="18"/>
          <w:color w:val="auto"/>
        </w:rPr>
        <w:t>The Board/Committee has the authority, subject to the provisions of the 2017 RSU Plan, to establish, adopt and revise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rules, regulations and forms and agreements and to interpret the 2017 RSU Plan and make all determinations relating to the 2017 RSU Plan as it may deem necessary or advisable. The Board/Committee also has the authority, subject to the provisions of the 2017 RSU Plan, to delegate ministerial, day-to-day administrative details and non-discretionary duties and functions to officers and employees of the Company. In the administration of the 2017 RSU Plan with respect to Non-Employee Directors, the Board has all of the authority and discretion otherwise granted to the Committee with respect to the administration of the 2017 RSU Plan. All decisions, determinations and interpretations of the Board/Committee are binding and conclusive on participants in the 2017 RSU Plan and on their legal representatives and beneficiaries.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Director Participation in the RSU Plan. </w:t>
      </w:r>
      <w:r>
        <w:rPr>
          <w:rFonts w:ascii="Arial" w:cs="Arial" w:eastAsia="Arial" w:hAnsi="Arial"/>
          <w:sz w:val="17"/>
          <w:szCs w:val="17"/>
          <w:color w:val="auto"/>
        </w:rPr>
        <w:t>Non-Employee Directors are eligible to receive RSU grants under the 2017 RSU Plan, and it is expected that RSU</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RSU Plan will represent the annual equity compensation component of Non-Employee Directors’ compensation.</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RSU Plan Eligibility. </w:t>
      </w:r>
      <w:r>
        <w:rPr>
          <w:rFonts w:ascii="Arial" w:cs="Arial" w:eastAsia="Arial" w:hAnsi="Arial"/>
          <w:sz w:val="17"/>
          <w:szCs w:val="17"/>
          <w:color w:val="auto"/>
        </w:rPr>
        <w:t>RSUs may be granted to any of the Company’s Non-Employee Directors, any of the Company’s employees or consultants,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consultants of any of the Company’s subsidiary corporations, including officers (collectively, “Eligible Participants”). For purposes of the 2017 RSU Plan employees or consultants of the Company also mean employees or consultants of the Company’s subsidiary. As of March 30, 2018 all of the Company’s 14 full-time employees and four Non-Employee Directors of the Company will be eligible participants (“Participants”) in the 2017 RSU Plan. Any Eligible Participant who has been granted an RSU may be granted additional RSUs. The RSU Plan does not confer any rights upon any Participant with respect to continuation of employment or service as an employee, consultant or a Non-Employee Director.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2017 RSU Plan is evidenced by a written award agreement (“RSU Award Agreement”), which contains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 specific RSU granted.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Vesting of RSUs. </w:t>
      </w:r>
      <w:r>
        <w:rPr>
          <w:rFonts w:ascii="Arial" w:cs="Arial" w:eastAsia="Arial" w:hAnsi="Arial"/>
          <w:sz w:val="18"/>
          <w:szCs w:val="18"/>
          <w:color w:val="auto"/>
        </w:rPr>
        <w:t>RSUs generally vest as set forth in the RSU Award Agreement. In addition, unless expressly provided otherwise in the RSU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each RSU immediately vests and is nonforfeitable to the Participant upon the occurrence of any of the following events:</w:t>
      </w:r>
    </w:p>
    <w:p>
      <w:pPr>
        <w:spacing w:after="0" w:line="170" w:lineRule="exact"/>
        <w:rPr>
          <w:sz w:val="20"/>
          <w:szCs w:val="20"/>
          <w:color w:val="auto"/>
        </w:rPr>
      </w:pPr>
    </w:p>
    <w:p>
      <w:pPr>
        <w:jc w:val="both"/>
        <w:ind w:firstLine="656"/>
        <w:spacing w:after="0" w:line="286" w:lineRule="auto"/>
        <w:tabs>
          <w:tab w:leader="none" w:pos="9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2017 RSU Plan)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both"/>
        <w:spacing w:after="0" w:line="285"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2017 RSU Plan, (unless an award provides otherwise, vesting is accelerated as provided above under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RSUs” or a Change of Control-Plan occurs as described below), stock underlying vested RSUs is generally distributed on the first business day of the year after they vest. Hence, if an award to a Non-Employee Director vests as scheduled in full over four quarters during 2018, it will be generally be distributed the first business day of January 2019. However, the Company may set other distribution dates, with respect to awards to Participants, including Non-Employee Directors. Under the 2014 RSU Plan Non-Employee Directors (but not other Participants) could designate the length of the deferrals. This is not the case with the 2017 RSU Plan, where only the Company can set the distribution dates for all Participants.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(this differs from the 2014 RSU Plan where the Company could not mandate withholding stock to pay withholding taxes). The cash payment election or withholding election may be made at any time before distribution, but any such cash payment or withholding is subject to any limits on redemption under any preferred stock, loan or other financing agreement. The Company has the option of establishing a RSU award that defers distributions to a Participant, including in installments (e.g., 25% of RSUs to be paid in 2019, 2020, 2021 and 2022).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Non Transferability of RSUs. </w:t>
      </w:r>
      <w:r>
        <w:rPr>
          <w:rFonts w:ascii="Arial" w:cs="Arial" w:eastAsia="Arial" w:hAnsi="Arial"/>
          <w:sz w:val="16"/>
          <w:szCs w:val="16"/>
          <w:color w:val="auto"/>
        </w:rPr>
        <w:t>RSUs may not be sold, pledged, assigned, hypothecated, transferred, or disposed of in any manner by the Participant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as a Non-Employee Director.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RSUs until the RSUs settle in shares of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2017 RSU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2017 RSU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b w:val="1"/>
          <w:bCs w:val="1"/>
          <w:color w:val="auto"/>
        </w:rPr>
        <w:t>Outstanding Equity Awards at 2018 Year 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regarding outstanding restricted stock unit and stock option awards at December 31, 2018 for each of the 2018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Stock Awards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(in Form of Restricted</w:t>
            </w:r>
          </w:p>
        </w:tc>
      </w:t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Stock Option Awards</w:t>
            </w: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1"/>
              </w:rPr>
              <w:t>Stock Units)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Market value</w:t>
            </w: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Restricted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of shares of</w:t>
            </w: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Stock Units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units of stock</w:t>
            </w: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Underlying 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that have not</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that have not</w:t>
            </w:r>
          </w:p>
        </w:tc>
      </w:tr>
      <w:tr>
        <w:trPr>
          <w:trHeight w:val="234"/>
        </w:trPr>
        <w:tc>
          <w:tcPr>
            <w:tcW w:w="2840" w:type="dxa"/>
            <w:vAlign w:val="bottom"/>
          </w:tcPr>
          <w:p>
            <w:pPr>
              <w:ind w:left="120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Options (#) Exercisable</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Price ($)</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vested (3)</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 xml:space="preserve">vested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 (4)</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04/23/2019</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12/07/2026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Peter A. Clemens</w:t>
            </w:r>
          </w:p>
        </w:tc>
        <w:tc>
          <w:tcPr>
            <w:tcW w:w="120" w:type="dxa"/>
            <w:vAlign w:val="bottom"/>
          </w:tcPr>
          <w:p>
            <w:pPr>
              <w:spacing w:after="0"/>
              <w:rPr>
                <w:sz w:val="17"/>
                <w:szCs w:val="17"/>
                <w:color w:val="auto"/>
              </w:rPr>
            </w:pPr>
          </w:p>
        </w:tc>
        <w:tc>
          <w:tcPr>
            <w:tcW w:w="1840" w:type="dxa"/>
            <w:vAlign w:val="bottom"/>
          </w:tcPr>
          <w:p>
            <w:pPr>
              <w:jc w:val="right"/>
              <w:spacing w:after="0" w:line="201" w:lineRule="exact"/>
              <w:rPr>
                <w:sz w:val="20"/>
                <w:szCs w:val="20"/>
                <w:color w:val="auto"/>
              </w:rPr>
            </w:pPr>
            <w:r>
              <w:rPr>
                <w:rFonts w:ascii="Arial" w:cs="Arial" w:eastAsia="Arial" w:hAnsi="Arial"/>
                <w:sz w:val="18"/>
                <w:szCs w:val="18"/>
                <w:color w:val="auto"/>
              </w:rPr>
              <w:t>24,000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31.45</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04/23/2019</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120,000</w:t>
            </w:r>
          </w:p>
        </w:tc>
        <w:tc>
          <w:tcPr>
            <w:tcW w:w="520" w:type="dxa"/>
            <w:vAlign w:val="bottom"/>
          </w:tcPr>
          <w:p>
            <w:pPr>
              <w:jc w:val="right"/>
              <w:ind w:right="35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12,588</w:t>
            </w: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15.10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18.60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0.450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0.915</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12/07/2026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40,000(2)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0.151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2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02/08/2019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102,000</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w:t>
            </w: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12/07/2026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32,000(2)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-3155315</wp:posOffset>
            </wp:positionV>
            <wp:extent cx="78867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88670" cy="41148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-410845</wp:posOffset>
            </wp:positionV>
            <wp:extent cx="78867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8670" cy="411480"/>
                    </a:xfrm>
                    <a:prstGeom prst="rect">
                      <a:avLst/>
                    </a:prstGeom>
                    <a:noFill/>
                  </pic:spPr>
                </pic:pic>
              </a:graphicData>
            </a:graphic>
          </wp:anchor>
        </w:drawing>
      </w:r>
    </w:p>
    <w:p>
      <w:pPr>
        <w:spacing w:after="0" w:line="18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 Not used.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vest on December 31, 2019.</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Units vest on December 11, 2019 or earlier under certain circumstances. Distributions in respect of vested Restricted Stock Units will be made in three equal installments on the first business day of each of January 2021, 2022, and 2023 or earlier upon a qualifying change of control which also meets certain criteria of Section 409A of the Internal Revenue Code.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market price of $0.1149 at December 29, 2018, less $0.01 par value, multiplied by number of units.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compensation paid by us to our Directors (other than Robert Jones, whose compensation, is reflected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for services rendered in all capacities to us during the fiscal year ended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4540" w:type="dxa"/>
            <w:vAlign w:val="bottom"/>
            <w:gridSpan w:val="9"/>
          </w:tcPr>
          <w:p>
            <w:pPr>
              <w:ind w:left="860"/>
              <w:spacing w:after="0"/>
              <w:rPr>
                <w:sz w:val="20"/>
                <w:szCs w:val="20"/>
                <w:color w:val="auto"/>
              </w:rPr>
            </w:pPr>
            <w:r>
              <w:rPr>
                <w:rFonts w:ascii="Arial" w:cs="Arial" w:eastAsia="Arial" w:hAnsi="Arial"/>
                <w:sz w:val="18"/>
                <w:szCs w:val="18"/>
                <w:b w:val="1"/>
                <w:bCs w:val="1"/>
                <w:color w:val="auto"/>
              </w:rPr>
              <w:t>2018 DIRECTOR COMPENSATION</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 Awards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 form of</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00" w:type="dxa"/>
            <w:vAlign w:val="bottom"/>
            <w:gridSpan w:val="4"/>
          </w:tcPr>
          <w:p>
            <w:pPr>
              <w:ind w:left="120"/>
              <w:spacing w:after="0"/>
              <w:rPr>
                <w:sz w:val="20"/>
                <w:szCs w:val="20"/>
                <w:color w:val="auto"/>
              </w:rPr>
            </w:pPr>
            <w:r>
              <w:rPr>
                <w:rFonts w:ascii="Arial" w:cs="Arial" w:eastAsia="Arial" w:hAnsi="Arial"/>
                <w:sz w:val="18"/>
                <w:szCs w:val="18"/>
                <w:b w:val="1"/>
                <w:bCs w:val="1"/>
                <w:color w:val="auto"/>
              </w:rPr>
              <w:t>Fees Earned or Paid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Stock Units)</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3400" w:type="dxa"/>
            <w:vAlign w:val="bottom"/>
          </w:tcPr>
          <w:p>
            <w:pPr>
              <w:ind w:left="1900"/>
              <w:spacing w:after="0"/>
              <w:rPr>
                <w:sz w:val="20"/>
                <w:szCs w:val="20"/>
                <w:color w:val="auto"/>
              </w:rPr>
            </w:pPr>
            <w:r>
              <w:rPr>
                <w:rFonts w:ascii="Arial" w:cs="Arial" w:eastAsia="Arial" w:hAnsi="Arial"/>
                <w:sz w:val="18"/>
                <w:szCs w:val="18"/>
                <w:b w:val="1"/>
                <w:bCs w:val="1"/>
                <w:color w:val="auto"/>
              </w:rPr>
              <w:t>Director</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ind w:left="80"/>
              <w:spacing w:after="0" w:line="271" w:lineRule="exact"/>
              <w:rPr>
                <w:sz w:val="20"/>
                <w:szCs w:val="20"/>
                <w:color w:val="auto"/>
              </w:rPr>
            </w:pPr>
            <w:r>
              <w:rPr>
                <w:rFonts w:ascii="Arial" w:cs="Arial" w:eastAsia="Arial" w:hAnsi="Arial"/>
                <w:sz w:val="18"/>
                <w:szCs w:val="18"/>
                <w:b w:val="1"/>
                <w:bCs w:val="1"/>
                <w:color w:val="auto"/>
              </w:rPr>
              <w:t>in Cash ($)</w:t>
            </w:r>
            <w:r>
              <w:rPr>
                <w:rFonts w:ascii="Arial" w:cs="Arial" w:eastAsia="Arial" w:hAnsi="Arial"/>
                <w:sz w:val="30"/>
                <w:szCs w:val="30"/>
                <w:b w:val="1"/>
                <w:bCs w:val="1"/>
                <w:color w:val="auto"/>
                <w:vertAlign w:val="superscript"/>
              </w:rPr>
              <w:t>(4)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52"/>
              <w:spacing w:after="0" w:line="271" w:lineRule="exact"/>
              <w:rPr>
                <w:sz w:val="20"/>
                <w:szCs w:val="20"/>
                <w:color w:val="auto"/>
              </w:rPr>
            </w:pPr>
            <w:r>
              <w:rPr>
                <w:rFonts w:ascii="Arial" w:cs="Arial" w:eastAsia="Arial" w:hAnsi="Arial"/>
                <w:sz w:val="31"/>
                <w:szCs w:val="31"/>
                <w:b w:val="1"/>
                <w:bCs w:val="1"/>
                <w:color w:val="auto"/>
                <w:w w:val="94"/>
                <w:vertAlign w:val="subscript"/>
              </w:rPr>
              <w:t>($)</w:t>
            </w:r>
            <w:r>
              <w:rPr>
                <w:rFonts w:ascii="Arial" w:cs="Arial" w:eastAsia="Arial" w:hAnsi="Arial"/>
                <w:sz w:val="14"/>
                <w:szCs w:val="14"/>
                <w:b w:val="1"/>
                <w:bCs w:val="1"/>
                <w:color w:val="auto"/>
                <w:w w:val="94"/>
              </w:rPr>
              <w:t>(1)</w:t>
            </w:r>
          </w:p>
        </w:tc>
        <w:tc>
          <w:tcPr>
            <w:tcW w:w="120" w:type="dxa"/>
            <w:vAlign w:val="bottom"/>
          </w:tcPr>
          <w:p>
            <w:pPr>
              <w:spacing w:after="0"/>
              <w:rPr>
                <w:sz w:val="23"/>
                <w:szCs w:val="23"/>
                <w:color w:val="auto"/>
              </w:rPr>
            </w:pPr>
          </w:p>
        </w:tc>
        <w:tc>
          <w:tcPr>
            <w:tcW w:w="1920" w:type="dxa"/>
            <w:vAlign w:val="bottom"/>
            <w:gridSpan w:val="3"/>
          </w:tcPr>
          <w:p>
            <w:pPr>
              <w:ind w:left="100"/>
              <w:spacing w:after="0" w:line="271" w:lineRule="exact"/>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(2)</w:t>
            </w:r>
          </w:p>
        </w:tc>
        <w:tc>
          <w:tcPr>
            <w:tcW w:w="240" w:type="dxa"/>
            <w:vAlign w:val="bottom"/>
          </w:tcPr>
          <w:p>
            <w:pPr>
              <w:spacing w:after="0"/>
              <w:rPr>
                <w:sz w:val="23"/>
                <w:szCs w:val="23"/>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3"/>
              </w:rPr>
              <w:t>23,333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Bruce F. Wesson</w:t>
            </w:r>
          </w:p>
        </w:tc>
        <w:tc>
          <w:tcPr>
            <w:tcW w:w="1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23,333</w:t>
            </w:r>
          </w:p>
        </w:tc>
        <w:tc>
          <w:tcPr>
            <w:tcW w:w="100" w:type="dxa"/>
            <w:vAlign w:val="bottom"/>
          </w:tcPr>
          <w:p>
            <w:pPr>
              <w:spacing w:after="0"/>
              <w:rPr>
                <w:sz w:val="18"/>
                <w:szCs w:val="18"/>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23,333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1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23,333</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23,333</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George K. Ross</w:t>
            </w:r>
          </w:p>
        </w:tc>
        <w:tc>
          <w:tcPr>
            <w:tcW w:w="1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23,333</w:t>
            </w:r>
          </w:p>
        </w:tc>
        <w:tc>
          <w:tcPr>
            <w:tcW w:w="100" w:type="dxa"/>
            <w:vAlign w:val="bottom"/>
          </w:tcPr>
          <w:p>
            <w:pPr>
              <w:spacing w:after="0"/>
              <w:rPr>
                <w:sz w:val="20"/>
                <w:szCs w:val="20"/>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23,333</w:t>
            </w:r>
          </w:p>
        </w:tc>
      </w:tr>
    </w:tbl>
    <w:p>
      <w:pPr>
        <w:spacing w:after="0" w:line="187" w:lineRule="exact"/>
        <w:rPr>
          <w:sz w:val="20"/>
          <w:szCs w:val="20"/>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the grant date fair value of restricted stock units, or RSUs with respect to the 66,666 RSUs granted to Messrs. Skelly, Wesson, Thangaraj and Ross under our 2017 RSU Plan based on a closing common stock price of $0.36 on January 2, 2018 less $0.01 par value.</w:t>
      </w:r>
    </w:p>
    <w:p>
      <w:pPr>
        <w:spacing w:after="0" w:line="146" w:lineRule="exact"/>
        <w:rPr>
          <w:rFonts w:ascii="Arial" w:cs="Arial" w:eastAsia="Arial" w:hAnsi="Arial"/>
          <w:sz w:val="17"/>
          <w:szCs w:val="17"/>
          <w:color w:val="auto"/>
        </w:rPr>
      </w:pPr>
    </w:p>
    <w:p>
      <w:pPr>
        <w:jc w:val="both"/>
        <w:ind w:left="1000"/>
        <w:spacing w:after="0" w:line="255" w:lineRule="auto"/>
        <w:rPr>
          <w:rFonts w:ascii="Arial" w:cs="Arial" w:eastAsia="Arial" w:hAnsi="Arial"/>
          <w:sz w:val="17"/>
          <w:szCs w:val="17"/>
          <w:color w:val="auto"/>
        </w:rPr>
      </w:pPr>
      <w:r>
        <w:rPr>
          <w:rFonts w:ascii="Arial" w:cs="Arial" w:eastAsia="Arial" w:hAnsi="Arial"/>
          <w:sz w:val="18"/>
          <w:szCs w:val="18"/>
          <w:color w:val="auto"/>
        </w:rPr>
        <w:t>In January 2018, based on a closing common stock price of $0.4039 on December 29, 2017 less $0.01 par value, Messrs. Skelly and Wesson each realized approximately $23,500 by exchanging 59,523 RSUs at 0.01 par value per share received from their 2017 grant for 59,523 shares of common stock; Mr. Ross realized approximately $32,600 by exchanging 82,774 RSUs at $0.01 par value per share received from his 2017 and prior year grants, for 82,774 shares of common stock; and Mr. Thangaraj realized approximately $23,500 by exchanging 35,714 RSUs at $0.01 par value per share he received from his 2017 grant, for 35,714 shares of common stock and exchanging the remaining 23,809 RSUs for approximately $9,600 in cash.</w:t>
      </w:r>
    </w:p>
    <w:p>
      <w:pPr>
        <w:spacing w:after="0" w:line="193" w:lineRule="exact"/>
        <w:rPr>
          <w:rFonts w:ascii="Arial" w:cs="Arial" w:eastAsia="Arial" w:hAnsi="Arial"/>
          <w:sz w:val="17"/>
          <w:szCs w:val="17"/>
          <w:color w:val="auto"/>
        </w:rPr>
      </w:pPr>
    </w:p>
    <w:p>
      <w:pPr>
        <w:ind w:left="1000"/>
        <w:spacing w:after="0" w:line="277" w:lineRule="auto"/>
        <w:rPr>
          <w:rFonts w:ascii="Arial" w:cs="Arial" w:eastAsia="Arial" w:hAnsi="Arial"/>
          <w:sz w:val="17"/>
          <w:szCs w:val="17"/>
          <w:color w:val="auto"/>
        </w:rPr>
      </w:pPr>
      <w:r>
        <w:rPr>
          <w:rFonts w:ascii="Arial" w:cs="Arial" w:eastAsia="Arial" w:hAnsi="Arial"/>
          <w:sz w:val="18"/>
          <w:szCs w:val="18"/>
          <w:color w:val="auto"/>
        </w:rPr>
        <w:t>As of December 31, 2018, Messrs. Skelly, Wesson, Thangaraj and Ross each held 66,666 fully vested RSUs and are distributable to them on January 2, 2019.</w:t>
      </w:r>
    </w:p>
    <w:p>
      <w:pPr>
        <w:spacing w:after="0" w:line="170"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15,000 underlying shares as of December 31, 2018.</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 fees for Mr. Thangaraj are remitted to Essex Woodlands.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order to conserve cash, the directors waived all cash compensation for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Had the nonemployee Directors not waived their cash compensation for 2018 they would have received the following:</w:t>
      </w:r>
    </w:p>
    <w:p>
      <w:pPr>
        <w:spacing w:after="0" w:line="225"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$30,000;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$20,000;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Committee members receive a retainer of $7,500 per year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$10,000 (in addition to the $7,500 retainer as an Audit Committee member);</w:t>
      </w: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$5,000 with no separate per meeting fee;</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Committee Chairperson receives a $5,000 annual retainer (in addition to the $5,000 retainer for Compensation Committee members);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Transaction Committee Members receive a $250 per meeting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commencing in 2014, directors receive annual equity awards valued at $50,000 in the form of stock options or RSUs. For RSUs this is determined by dividing $50,000 by the greater of (i) the Company’s closing stock price on the date of grant, or (ii) the minimum stock price or floor (if any) imposed by the Board.</w:t>
      </w:r>
    </w:p>
    <w:p>
      <w:pPr>
        <w:spacing w:after="0" w:line="181" w:lineRule="exact"/>
        <w:rPr>
          <w:sz w:val="20"/>
          <w:szCs w:val="20"/>
          <w:color w:val="auto"/>
        </w:rPr>
      </w:pPr>
    </w:p>
    <w:p>
      <w:pPr>
        <w:ind w:left="1300" w:right="2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2017 award, each director was awarded 59,523 RSUs using the Company’s closing stock price of $0.84 as it was higher than the minimum stock price set at $0.83. These awards were distributed to them on January 2, 2018.</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2018 award, the Board decided there would be a minimum stock price of $0.75, and as a result, each director was awarded 66,666 RSUs. The Company’s closing stock price on January 2, 2018 of $0.75 was not used. These awards were distributed to them on January 2, 2019.</w:t>
      </w:r>
    </w:p>
    <w:p>
      <w:pPr>
        <w:spacing w:after="0" w:line="181"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the 2019 award and beyond, the Board decided the minimum stock price will be $1.00, but in each case, subject to reevaluation by them. For the 2019 award, the Board reevaluated the minimum stock price and it was changed to $0.60 resulting in each director being awarded 83,333 RSUs. The Company’s closing stock price on January 2, 2019 of $0.1149 was not used.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meetings. Directors who are also our employees receive no additional or special remuneration for their services as directors.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sets forth information regarding the beneficial ownership of the common stock, as of July 15, 2019, for individuals or entities in the following categories: (i) each of the Company’s Directors; (ii) the Company’s principal executive officer, and the next two highest paid executive officers of the Company whose total annual compensation for 2018 exceeded $100,000 (the “2018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July 15, 2019, there were 21,300,192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 There were no restricted stock units or common stock options exchangeable within 60 days of July 15, 2019.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tbl>
      <w:tblPr>
        <w:tblLayout w:type="fixed"/>
        <w:tblInd w:w="8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80" w:type="dxa"/>
            <w:vAlign w:val="bottom"/>
            <w:gridSpan w:val="2"/>
          </w:tcPr>
          <w:p>
            <w:pPr>
              <w:ind w:left="2260"/>
              <w:spacing w:after="0"/>
              <w:rPr>
                <w:sz w:val="20"/>
                <w:szCs w:val="20"/>
                <w:color w:val="auto"/>
              </w:rPr>
            </w:pPr>
            <w:r>
              <w:rPr>
                <w:rFonts w:ascii="Arial" w:cs="Arial" w:eastAsia="Arial" w:hAnsi="Arial"/>
                <w:sz w:val="18"/>
                <w:szCs w:val="18"/>
                <w:b w:val="1"/>
                <w:bCs w:val="1"/>
                <w:color w:val="auto"/>
              </w:rPr>
              <w:t>Name of Beneficial Owner</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1"/>
              </w:rPr>
              <w:t>Amount Owned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2"/>
          </w:tcPr>
          <w:p>
            <w:pPr>
              <w:jc w:val="right"/>
              <w:ind w:right="460"/>
              <w:spacing w:after="0" w:line="271"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John Schutte</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MainPointe Pharmaceuticals, LLC</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E. Main Street, Suite 200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10,695,186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8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Louisville, KY 40202</w:t>
            </w:r>
          </w:p>
        </w:tc>
        <w:tc>
          <w:tcPr>
            <w:tcW w:w="1240" w:type="dxa"/>
            <w:vAlign w:val="bottom"/>
            <w:vMerge w:val="continue"/>
            <w:shd w:val="clear" w:color="auto" w:fill="CCEEFF"/>
          </w:tcPr>
          <w:p>
            <w:pPr>
              <w:spacing w:after="0"/>
              <w:rPr>
                <w:sz w:val="14"/>
                <w:szCs w:val="14"/>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(2)</w:t>
            </w:r>
          </w:p>
        </w:tc>
        <w:tc>
          <w:tcPr>
            <w:tcW w:w="1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Abuse Deterrent Pharma, LLC</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color w:val="auto"/>
              </w:rPr>
              <w:t>333 E. Main Street, Suite 220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47,400,000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63"/>
        </w:trPr>
        <w:tc>
          <w:tcPr>
            <w:tcW w:w="6700" w:type="dxa"/>
            <w:vAlign w:val="bottom"/>
            <w:gridSpan w:val="3"/>
          </w:tcPr>
          <w:p>
            <w:pPr>
              <w:spacing w:after="0" w:line="163" w:lineRule="exact"/>
              <w:rPr>
                <w:sz w:val="20"/>
                <w:szCs w:val="20"/>
                <w:color w:val="auto"/>
              </w:rPr>
            </w:pPr>
            <w:r>
              <w:rPr>
                <w:rFonts w:ascii="Arial" w:cs="Arial" w:eastAsia="Arial" w:hAnsi="Arial"/>
                <w:sz w:val="18"/>
                <w:szCs w:val="18"/>
                <w:color w:val="auto"/>
              </w:rPr>
              <w:t>Louisville, KY 40202</w:t>
            </w:r>
          </w:p>
        </w:tc>
        <w:tc>
          <w:tcPr>
            <w:tcW w:w="1240" w:type="dxa"/>
            <w:vAlign w:val="bottom"/>
            <w:vMerge w:val="continue"/>
          </w:tcPr>
          <w:p>
            <w:pPr>
              <w:spacing w:after="0"/>
              <w:rPr>
                <w:sz w:val="14"/>
                <w:szCs w:val="14"/>
                <w:color w:val="auto"/>
              </w:rPr>
            </w:pP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rPr>
              <w:t>(3)</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Essex Woodlands Health Ventures Fund V, L.P.</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Waterway Avenue, Suite 225</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1,956,357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8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Woodlands, TX 77380</w:t>
            </w:r>
          </w:p>
        </w:tc>
        <w:tc>
          <w:tcPr>
            <w:tcW w:w="1240" w:type="dxa"/>
            <w:vAlign w:val="bottom"/>
            <w:vMerge w:val="continue"/>
            <w:shd w:val="clear" w:color="auto" w:fill="CCEEFF"/>
          </w:tcPr>
          <w:p>
            <w:pPr>
              <w:spacing w:after="0"/>
              <w:rPr>
                <w:sz w:val="14"/>
                <w:szCs w:val="14"/>
                <w:color w:val="auto"/>
              </w:rPr>
            </w:pP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(4)</w:t>
            </w:r>
          </w:p>
        </w:tc>
        <w:tc>
          <w:tcPr>
            <w:tcW w:w="1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7"/>
                <w:szCs w:val="17"/>
                <w:color w:val="auto"/>
              </w:rPr>
              <w:t>Robert B. Jones</w:t>
            </w:r>
          </w:p>
        </w:tc>
        <w:tc>
          <w:tcPr>
            <w:tcW w:w="1240" w:type="dxa"/>
            <w:vAlign w:val="bottom"/>
          </w:tcPr>
          <w:p>
            <w:pPr>
              <w:jc w:val="right"/>
              <w:spacing w:after="0" w:line="149" w:lineRule="exact"/>
              <w:rPr>
                <w:sz w:val="20"/>
                <w:szCs w:val="20"/>
                <w:color w:val="auto"/>
              </w:rPr>
            </w:pPr>
            <w:r>
              <w:rPr>
                <w:rFonts w:ascii="Arial" w:cs="Arial" w:eastAsia="Arial" w:hAnsi="Arial"/>
                <w:sz w:val="17"/>
                <w:szCs w:val="17"/>
                <w:color w:val="auto"/>
              </w:rPr>
              <w:t>738,455</w:t>
            </w: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rPr>
              <w:t>(5)</w:t>
            </w:r>
          </w:p>
        </w:tc>
        <w:tc>
          <w:tcPr>
            <w:tcW w:w="14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William G. Skelly</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266,534</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(6)</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7"/>
                <w:szCs w:val="17"/>
                <w:color w:val="auto"/>
              </w:rPr>
              <w:t>Bruce F. Wesson</w:t>
            </w:r>
          </w:p>
        </w:tc>
        <w:tc>
          <w:tcPr>
            <w:tcW w:w="1240" w:type="dxa"/>
            <w:vAlign w:val="bottom"/>
          </w:tcPr>
          <w:p>
            <w:pPr>
              <w:jc w:val="right"/>
              <w:spacing w:after="0" w:line="149" w:lineRule="exact"/>
              <w:rPr>
                <w:sz w:val="20"/>
                <w:szCs w:val="20"/>
                <w:color w:val="auto"/>
              </w:rPr>
            </w:pPr>
            <w:r>
              <w:rPr>
                <w:rFonts w:ascii="Arial" w:cs="Arial" w:eastAsia="Arial" w:hAnsi="Arial"/>
                <w:sz w:val="17"/>
                <w:szCs w:val="17"/>
                <w:color w:val="auto"/>
              </w:rPr>
              <w:t>532,593</w:t>
            </w: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rPr>
              <w:t>(7)</w:t>
            </w:r>
          </w:p>
        </w:tc>
        <w:tc>
          <w:tcPr>
            <w:tcW w:w="14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Peter A. Clemens</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549,133</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(8)</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7"/>
                <w:szCs w:val="17"/>
                <w:color w:val="auto"/>
              </w:rPr>
              <w:t>Immanuel Thangaraj</w:t>
            </w:r>
          </w:p>
        </w:tc>
        <w:tc>
          <w:tcPr>
            <w:tcW w:w="1240" w:type="dxa"/>
            <w:vAlign w:val="bottom"/>
          </w:tcPr>
          <w:p>
            <w:pPr>
              <w:jc w:val="right"/>
              <w:spacing w:after="0" w:line="149" w:lineRule="exact"/>
              <w:rPr>
                <w:sz w:val="20"/>
                <w:szCs w:val="20"/>
                <w:color w:val="auto"/>
              </w:rPr>
            </w:pPr>
            <w:r>
              <w:rPr>
                <w:rFonts w:ascii="Arial" w:cs="Arial" w:eastAsia="Arial" w:hAnsi="Arial"/>
                <w:sz w:val="17"/>
                <w:szCs w:val="17"/>
                <w:color w:val="auto"/>
              </w:rPr>
              <w:t>138,192</w:t>
            </w: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rPr>
              <w:t>(9)</w:t>
            </w:r>
          </w:p>
        </w:tc>
        <w:tc>
          <w:tcPr>
            <w:tcW w:w="14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Albert W. Brzeczko</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507,200</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w w:val="97"/>
              </w:rPr>
              <w:t>(10)</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7"/>
                <w:szCs w:val="17"/>
                <w:color w:val="auto"/>
              </w:rPr>
              <w:t>George K. Ross</w:t>
            </w:r>
          </w:p>
        </w:tc>
        <w:tc>
          <w:tcPr>
            <w:tcW w:w="1240" w:type="dxa"/>
            <w:vAlign w:val="bottom"/>
          </w:tcPr>
          <w:p>
            <w:pPr>
              <w:jc w:val="right"/>
              <w:spacing w:after="0" w:line="149" w:lineRule="exact"/>
              <w:rPr>
                <w:sz w:val="20"/>
                <w:szCs w:val="20"/>
                <w:color w:val="auto"/>
              </w:rPr>
            </w:pPr>
            <w:r>
              <w:rPr>
                <w:rFonts w:ascii="Arial" w:cs="Arial" w:eastAsia="Arial" w:hAnsi="Arial"/>
                <w:sz w:val="17"/>
                <w:szCs w:val="17"/>
                <w:color w:val="auto"/>
              </w:rPr>
              <w:t>223,005</w:t>
            </w:r>
          </w:p>
        </w:tc>
        <w:tc>
          <w:tcPr>
            <w:tcW w:w="280" w:type="dxa"/>
            <w:vAlign w:val="bottom"/>
            <w:gridSpan w:val="2"/>
            <w:vMerge w:val="restart"/>
          </w:tcPr>
          <w:p>
            <w:pPr>
              <w:spacing w:after="0"/>
              <w:rPr>
                <w:sz w:val="20"/>
                <w:szCs w:val="20"/>
                <w:color w:val="auto"/>
              </w:rPr>
            </w:pPr>
            <w:r>
              <w:rPr>
                <w:rFonts w:ascii="Arial" w:cs="Arial" w:eastAsia="Arial" w:hAnsi="Arial"/>
                <w:sz w:val="15"/>
                <w:szCs w:val="15"/>
                <w:color w:val="auto"/>
                <w:w w:val="97"/>
              </w:rPr>
              <w:t>(11)</w:t>
            </w:r>
          </w:p>
        </w:tc>
        <w:tc>
          <w:tcPr>
            <w:tcW w:w="14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All Officers and Directors as a Group (9 persons)</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3,906,581</w:t>
            </w:r>
          </w:p>
        </w:tc>
        <w:tc>
          <w:tcPr>
            <w:tcW w:w="2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w w:val="97"/>
              </w:rPr>
              <w:t>(12)</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280" w:type="dxa"/>
            <w:vAlign w:val="bottom"/>
            <w:gridSpan w:val="2"/>
            <w:vMerge w:val="continue"/>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Company’s common stock.</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Shows percentage ownership assuming (i) such party converts all of its currently convertible securities or securities convertible within 60 days of July 15, 2019 into the Company’s common stock, and (ii) no other Company security holder converts any of its convertible securities. No shares held by any Director or 2018 named executive officer has been pledged as collateral security.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warrants to purchase 1,782,531 shares held by Mr. Schutte.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Includes warrant to purchase 10,000,000 shares and 37,500,000 shares upon conversion of $6.0 million Note at $0.16 held by AD Pharma.</w:t>
      </w:r>
    </w:p>
    <w:p>
      <w:pPr>
        <w:spacing w:after="0" w:line="248" w:lineRule="exact"/>
        <w:rPr>
          <w:rFonts w:ascii="Arial" w:cs="Arial" w:eastAsia="Arial" w:hAnsi="Arial"/>
          <w:sz w:val="16"/>
          <w:szCs w:val="16"/>
          <w:color w:val="auto"/>
        </w:rPr>
      </w:pPr>
    </w:p>
    <w:p>
      <w:pPr>
        <w:jc w:val="both"/>
        <w:ind w:left="1300" w:right="20" w:hanging="644"/>
        <w:spacing w:after="0" w:line="279"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325,900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12,000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12,000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194,000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12,000 shares subject to stock options exercisable within 60 days of July 15, 2019. Mr. Thangaraj’s holdings do not include securities held by Essex. Mr. Thangaraj disclaims beneficial ownership in securities held by Essex except to the extent of his pecuniary interest therein. Does not include RSUs.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191,200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12,000 shares subject to stock options exercisable within 60 days of July 15, 2019. Does not include RSUs.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948,419 shares which Directors and executive officers have the right to acquire within 60 days of July 15, 2019 through exercise of outstanding stock options. Does not include RSUs.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includes information as of December 31, 2018 relating to our 1998 Stock Option Plan, our 2008 Stock Option Plan, our 2016 Stock Option Plan, our 2014 Restricted Stock Unit Award Plan, and our 2017 Restricted Stock Award Plan,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Of</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Exercise Price of</w:t>
            </w:r>
          </w:p>
        </w:tc>
        <w:tc>
          <w:tcPr>
            <w:tcW w:w="2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53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 Options,</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4"/>
              </w:rPr>
              <w:t>Outstanding Options,</w:t>
            </w: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 Securities</w:t>
            </w:r>
          </w:p>
        </w:tc>
      </w:t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 and Rights</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8"/>
              </w:rPr>
              <w:t>Warrants and Rights</w:t>
            </w: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Reflected in Column a</w:t>
            </w:r>
          </w:p>
        </w:tc>
      </w:tr>
      <w:tr>
        <w:trPr>
          <w:trHeight w:val="234"/>
        </w:trPr>
        <w:tc>
          <w:tcPr>
            <w:tcW w:w="5340" w:type="dxa"/>
            <w:vAlign w:val="bottom"/>
          </w:tcPr>
          <w:p>
            <w:pPr>
              <w:ind w:left="212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(Column a)</w:t>
            </w: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(Column b)</w:t>
            </w:r>
          </w:p>
        </w:tc>
        <w:tc>
          <w:tcPr>
            <w:tcW w:w="10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(Column c)</w:t>
            </w: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Stock Option 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1,559,501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w w:val="98"/>
              </w:rPr>
              <w:t>Stock Option Equity Compensation Plans Not Approved by Security</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Holders</w:t>
            </w:r>
          </w:p>
        </w:tc>
        <w:tc>
          <w:tcPr>
            <w:tcW w:w="1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Restricted Stock Unit Equity Compensation Plans Approved by Security</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950,664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552,492</w:t>
            </w: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w w:val="99"/>
              </w:rPr>
              <w:t>Restricted Stock Unit Equity Compensation Plans Not Approved by</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340" w:type="dxa"/>
            <w:vAlign w:val="bottom"/>
          </w:tcPr>
          <w:p>
            <w:pPr>
              <w:spacing w:after="0"/>
              <w:rPr>
                <w:sz w:val="20"/>
                <w:szCs w:val="20"/>
                <w:color w:val="auto"/>
              </w:rPr>
            </w:pPr>
            <w:r>
              <w:rPr>
                <w:rFonts w:ascii="Arial" w:cs="Arial" w:eastAsia="Arial" w:hAnsi="Arial"/>
                <w:sz w:val="18"/>
                <w:szCs w:val="18"/>
                <w:color w:val="auto"/>
              </w:rPr>
              <w:t>Security Holders</w:t>
            </w:r>
          </w:p>
        </w:tc>
        <w:tc>
          <w:tcPr>
            <w:tcW w:w="12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2,510,165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571,970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and certain investors are party to a Voting Agreement. As amended in October 2012 (but prior to the 2017 amendment), the Voting Agreement provided our Board of Directors will be comprised of not more than seven (7) members one of whom shall be the CEO, three of whom would be independent under Nasdaq standards, and that Essex had the right to designate one director as a member of our Board of Directors as long as such shareholder held 600,000 shares of our common stock (including warrants to purchase shares), provided that once such shareholder no longer held such securities, the additional forfeited seat would become a seat for an independent director to thereafter be nominated and elected to the Board of Directors from time to time by the then current directors and, as applicable to be elected by the directors to fill the vacancy created by the forfeited seat or submitted to the Company’s shareholders at the next annual meeting. The Voting Agreement provided that if the majority of the Board of Directors were not independent under Nasdaq Marketplace Rules then, the Board would be expanded so that additional independent directors would be added. At the time of the October 2012 amendment, Mr. Thangaraj became the designee of Essex, as one of three remaining successors to GCE Holdings, LLC (an entity controlled by others including Essex). In addition, Essex has the right to designate a member to any committee of our Board of Directors, provided that in the case of the Audit and Compensation committees they are independent under applicable NASDAQ rules.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“MainPointe Agreement”) with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both"/>
        <w:spacing w:after="0" w:line="276" w:lineRule="auto"/>
        <w:rPr>
          <w:sz w:val="20"/>
          <w:szCs w:val="20"/>
          <w:color w:val="auto"/>
        </w:rPr>
      </w:pPr>
      <w:r>
        <w:rPr>
          <w:rFonts w:ascii="Arial" w:cs="Arial" w:eastAsia="Arial" w:hAnsi="Arial"/>
          <w:sz w:val="17"/>
          <w:szCs w:val="17"/>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$1.0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24, 2017 we completed the sale to Mr. Schutte of 8,912,655 shares and warrants to purchase 1,782,531 shares exercisable at $0.528 per share and expiring in July 23, 2022 for $4 million and amended the Voting Agreement described above (as so amended the “Second Amended and Restated Voting Agreement”) in connection with that purchase. The Second Amended and Restated Voting Agreement provides that our Board of Directors will be comprised of not more than seven (7) members, one of whom shall be the CEO, three of whom would be independent under Nasdaq standards, and that each of Mr. Schutte and Essex had the right to designate one director as a member of our Board of Directors as long as such shareholder continues to hold 600,000 shares of our common stock (including warrants to purchase shares), provided that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The Second Amended and Restated Voting Agreement provides that in the event the majority of the Board of Directors were not independent under Nasdaq Marketplace Rules then, the Board would be expanded so that additional independent directors would be added. In addition, each of Essex and Mr. Schutte has the right to designate a member to any committee of our Board of Directors, provided that in the case of the Audit and Compensation committees they are independent under applicable NASDAQ rules.</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borrowed an aggregate $6.0 million (including accrued interest) as of June 28, 2019 from Mr. Schutte, a related-party, and issued various promissory notes (the Schutte Notes). The Schutte Notes bear interest at prime plus 2.0%, and mature on January 2, 2020, at which time all principal and interest is due, and was unsecured until all obligations to Oxford were satisfied at which time we were required to grant a security interest to Mr. Schutte in all of our assets. On October 5, 2018 we borrowed $1.8 million from Mr. Schutte and used $1.5 million of the loan to fully pay-off the debt outstanding under the Oxford Loan Agreement and therefore, all our assets are pledged as collateral under the Schutte Notes, including our intellectual property.</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28, 2019, we entered into a Promissory Note with Mr. Schutte that consolidated existing promissory notes into a single Note for $6.0 million (after including accrued interest). To secure our performance of our obligations under the Note, we granted Mr. Schutte a security interest in all of our assets. Terms of the consolidated Note provide for a July 1, 2023 maturity date instead of January 2, 2020 in the previous notes, interest at fixed rate of 7.5% per annum with all payments of principle and interest deferred to maturity. The Note is convertible into Acura common stock at $0.16 per share. As additional consideration, Mr. Schutte received a warrant to purchase 10 million shares of the Company’s common stock at a price of $0.01 per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spacing w:after="0" w:line="264" w:lineRule="auto"/>
        <w:rPr>
          <w:sz w:val="20"/>
          <w:szCs w:val="20"/>
          <w:color w:val="auto"/>
        </w:rPr>
      </w:pPr>
      <w:r>
        <w:rPr>
          <w:rFonts w:ascii="Arial" w:cs="Arial" w:eastAsia="Arial" w:hAnsi="Arial"/>
          <w:sz w:val="18"/>
          <w:szCs w:val="18"/>
          <w:color w:val="auto"/>
        </w:rPr>
        <w:t>With our consent, Mr. Schutte assigned and transferred to Abuse Deterrent Pharma, LLC (“AD Pharma”) all of his right, title and interest in this Note, its associated Security Agreement and the Warrant to purchase 10.0 million common shares of our stock, effective June 28, 2019. Mr. Schutte is an investor in AD Pharma.</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28, 2019, we entered into License, Development and Commercialization Agreement (the "Agreement") with Abuse Deterrent Pharma, LLC, a Kentucky limited liability company (“AD Pharma”), a special purpose company representing a consortium of investors that will finance Acura’s operations and completion of development of LTX-03. Mr. Schutte is an investor in AD Pharma.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$350,000 up to the earlier of 18 months or FDA’s acceptance of a New Drug Application (“NDA”) for LTX-03 and reimbursement by AP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Pharma may terminate the Agreement at any time upon convenience. Additionally, if the NDA application for LTX-03 is not accepted by the FDA within 18 months, AD Pharma may terminate the Agreement and take ownership of the Limitx intellectual property.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Essex or other significant shareholder) will have a direct or indirect interest in a transaction in which we may be a party. Where the Board determines that such proposed transaction involves a related party, the Board may establish a committee comprised solely of independent directors to review and evaluate such proposed transaction. Currently, the Board is comprised of 4 independent directors and the CEO and as such, the entire Board, with the exception of the CEO, may perform the function of an Independent Committee. In this capacity, the 4 independent directors are authorized to review any and all information deemed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evaluating alternative transactions, if any. They are also empowered to negotiate the terms of such proposed related party transaction on our behalf. The proposed related party transaction may proceed only following the approval and recommendation of the 4 independent directors. Following such approval, the related party transaction is subject to final review and approval of the Board as a whole. As the transactions described above with Abuse Deterrent Pharma LLC and Mr. Schutte involved a related party (Mr. Schutte being a significant shareholder at the time such transactions were entered into), such transactions were reviewed and approved solely by the Board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2018, each of Messrs. Bruce F. Wesson, Immanuel Thangaraj, William Skelly and George Ross met the standards for independence provided in the listing requirements of the NASDAQ Capital Market and SEC regulations.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has determined that during 2018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2018 and 2017 were as follows:</w:t>
      </w: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4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149,898</w:t>
            </w:r>
          </w:p>
        </w:tc>
        <w:tc>
          <w:tcPr>
            <w:tcW w:w="6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Audit-Related Fees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149,898</w:t>
            </w:r>
          </w:p>
        </w:tc>
        <w:tc>
          <w:tcPr>
            <w:tcW w:w="6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Tax Fees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41,090</w:t>
            </w:r>
          </w:p>
        </w:tc>
        <w:tc>
          <w:tcPr>
            <w:tcW w:w="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346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9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185,189</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190,988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 Tax Fees include tax compliance, tax advice and tax planning services. These services related to the preparation of various state income tax returns, our federal income tax return, and reviews of IRC Section 382.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tax services provided by BDO USA, LLP in 2018 and 2017 and related fees (as described in the captions above) were approved in advance by the Audit Committee.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on page F-1.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 See Exhibits Index on page E-1.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September 16, 2019</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ACURA PHARMACEUTICALS, INC.</w:t>
            </w:r>
          </w:p>
        </w:tc>
      </w:tr>
      <w:tr>
        <w:trPr>
          <w:trHeight w:val="432"/>
        </w:trPr>
        <w:tc>
          <w:tcPr>
            <w:tcW w:w="3800" w:type="dxa"/>
            <w:vAlign w:val="bottom"/>
          </w:tcPr>
          <w:p>
            <w:pPr>
              <w:spacing w:after="0"/>
              <w:rPr>
                <w:sz w:val="24"/>
                <w:szCs w:val="24"/>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Robert B. Jones</w:t>
            </w:r>
          </w:p>
        </w:tc>
      </w:tr>
      <w:tr>
        <w:trPr>
          <w:trHeight w:val="195"/>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r>
      <w:tr>
        <w:trPr>
          <w:trHeight w:val="216"/>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Title(s)</w:t>
            </w:r>
          </w:p>
        </w:tc>
        <w:tc>
          <w:tcPr>
            <w:tcW w:w="2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 and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49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and 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49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Financial and Accounting Officer)</w:t>
            </w: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 Ross</w:t>
            </w:r>
          </w:p>
        </w:tc>
        <w:tc>
          <w:tcPr>
            <w:tcW w:w="22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Skelly</w:t>
            </w:r>
          </w:p>
        </w:tc>
        <w:tc>
          <w:tcPr>
            <w:tcW w:w="22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Immanuel Thangaraj</w:t>
            </w:r>
          </w:p>
        </w:tc>
        <w:tc>
          <w:tcPr>
            <w:tcW w:w="22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F Wesson</w:t>
            </w:r>
          </w:p>
        </w:tc>
        <w:tc>
          <w:tcPr>
            <w:tcW w:w="22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September 16,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5">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Balance Sheets as of December 31, 2018 and 2017</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6">
              <w:r>
                <w:rPr>
                  <w:rFonts w:ascii="Arial" w:cs="Arial" w:eastAsia="Arial" w:hAnsi="Arial"/>
                  <w:sz w:val="18"/>
                  <w:szCs w:val="18"/>
                  <w:color w:val="0000EE"/>
                  <w:w w:val="81"/>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Operations for the Years ended December 31, 2018 and 2017</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7">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Stockholders' Deficit for the Years ended December 31, 2018 and 2017</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8">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Cash Flows for the Years ended December 31, 2018 and 2017</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9">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Notes to Consolidated Financial Statements</w:t>
              </w:r>
            </w:hyperlink>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1">
              <w:r>
                <w:rPr>
                  <w:rFonts w:ascii="Arial" w:cs="Arial" w:eastAsia="Arial" w:hAnsi="Arial"/>
                  <w:sz w:val="18"/>
                  <w:szCs w:val="18"/>
                  <w:color w:val="0000EE"/>
                  <w:w w:val="81"/>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8"/>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Supplementary Data - Quarterly Results of Operation (Unaudited)</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F-30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Acura Pharmaceuticals, Inc. (the “Company”) and subsidiary as of December 31, 2018 and 2017, the related consolidated statements of operations,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negative working capital, accumulated stockholders’ deficit,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Intangible asset, net of accumulated amortization of $983 and $776 (Note 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2,152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Accrued expenses (Note 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Debt, net of discounts (Note 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to related party, net of discounts (Note 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Accrued interest to related party (Note 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5,769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 $0.01 par value per share; 100,000 shares authorized, 21,034 and 20,796 shares issued and</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at December 31, 2018 and 2017, respectively</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380,395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32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23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Costs and expenses: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23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(3,915)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Non-operating income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 (Note 7)</w:t>
      </w:r>
    </w:p>
    <w:p>
      <w:pPr>
        <w:spacing w:after="0" w:line="9"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Gain on debt extinguishment (Note 7)</w:t>
      </w:r>
    </w:p>
    <w:p>
      <w:pPr>
        <w:spacing w:after="0" w:line="32"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860" w:hanging="1686"/>
        <w:spacing w:after="0"/>
        <w:tabs>
          <w:tab w:leader="none" w:pos="2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-114300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-153670</wp:posOffset>
            </wp:positionV>
            <wp:extent cx="72466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(Note 13):</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Basic</w:t>
            </w:r>
          </w:p>
        </w:tc>
        <w:tc>
          <w:tcPr>
            <w:tcW w:w="28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8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21,146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7" w:name="page98"/>
    <w:bookmarkEnd w:id="97"/>
    <w:p>
      <w:pPr>
        <w:spacing w:after="0" w:line="211" w:lineRule="auto"/>
        <w:framePr w:w="380" w:h="193" w:wrap="auto" w:vAnchor="page" w:hAnchor="page" w:x="5760" w:y="8645"/>
        <w:rPr>
          <w:rFonts w:ascii="Arial" w:cs="Arial" w:eastAsia="Arial" w:hAnsi="Arial"/>
          <w:sz w:val="19"/>
          <w:szCs w:val="19"/>
          <w:color w:val="auto"/>
        </w:rPr>
      </w:pPr>
      <w:r>
        <w:rPr>
          <w:rFonts w:ascii="Arial" w:cs="Arial" w:eastAsia="Arial" w:hAnsi="Arial"/>
          <w:sz w:val="19"/>
          <w:szCs w:val="19"/>
          <w:color w:val="auto"/>
        </w:rPr>
        <w:t>F-5</w:t>
      </w: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 STOCKHOLDERS' EQUITY (DEFICIT)</w:t>
      </w:r>
    </w:p>
    <w:p>
      <w:pPr>
        <w:spacing w:after="0" w:line="9"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9"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40" w:type="dxa"/>
            <w:vAlign w:val="bottom"/>
            <w:gridSpan w:val="6"/>
          </w:tcPr>
          <w:p>
            <w:pPr>
              <w:ind w:left="5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$0.01 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(374,698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shares and common stock purchase warrants under private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 stock unit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award plan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380,145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(380,380)</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 stock unit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award plan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380,395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40" w:type="dxa"/>
            <w:vAlign w:val="bottom"/>
            <w:gridSpan w:val="11"/>
          </w:tcPr>
          <w:p>
            <w:pPr>
              <w:ind w:left="3400"/>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(3,842)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sales returns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Non-cash share-based compensation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debt discount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Gain on debt extinguishment</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disposals of property, plant and equipment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accounts receivable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Collaboration revenue receivable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Royalty receivable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Income tax receivable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on debt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Accrued interest on related party debt</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ind w:left="480"/>
              <w:spacing w:after="0"/>
              <w:rPr>
                <w:sz w:val="20"/>
                <w:szCs w:val="20"/>
                <w:color w:val="auto"/>
              </w:rPr>
            </w:pPr>
            <w:r>
              <w:rPr>
                <w:rFonts w:ascii="Arial" w:cs="Arial" w:eastAsia="Arial" w:hAnsi="Arial"/>
                <w:sz w:val="18"/>
                <w:szCs w:val="18"/>
                <w:color w:val="auto"/>
              </w:rPr>
              <w:t>Sales returns liability</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transfer of equipment to licensee</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Proceeds from transfer of inventory to licensee</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Proceeds from related party debt</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debt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Issuance of common stock</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interest payments on debt</w:t>
            </w:r>
          </w:p>
        </w:tc>
        <w:tc>
          <w:tcPr>
            <w:tcW w:w="1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 that sum to the total of the same such amounts shown in the consolidated statements of cash flows:</w:t>
      </w:r>
    </w:p>
    <w:p>
      <w:pPr>
        <w:spacing w:after="0" w:line="16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4"/>
          </w:tcPr>
          <w:p>
            <w:pPr>
              <w:jc w:val="right"/>
              <w:ind w:right="277"/>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8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1"/>
              </w:rPr>
              <w:t>Total cash and cash equivalents cash show in the consolidated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40" w:type="dxa"/>
            <w:vAlign w:val="bottom"/>
            <w:gridSpan w:val="2"/>
          </w:tcPr>
          <w:p>
            <w:pPr>
              <w:spacing w:after="0"/>
              <w:rPr>
                <w:sz w:val="20"/>
                <w:szCs w:val="20"/>
                <w:color w:val="auto"/>
              </w:rPr>
            </w:pPr>
            <w:r>
              <w:rPr>
                <w:rFonts w:ascii="Arial" w:cs="Arial" w:eastAsia="Arial" w:hAnsi="Arial"/>
                <w:sz w:val="18"/>
                <w:szCs w:val="18"/>
                <w:color w:val="auto"/>
              </w:rPr>
              <w:t>statements of cash flows</w:t>
            </w:r>
          </w:p>
        </w:tc>
        <w:tc>
          <w:tcPr>
            <w:tcW w:w="108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760" w:type="dxa"/>
            <w:vAlign w:val="bottom"/>
          </w:tcPr>
          <w:p>
            <w:pPr>
              <w:jc w:val="right"/>
              <w:ind w:right="63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2018</w:t>
      </w:r>
    </w:p>
    <w:p>
      <w:pPr>
        <w:spacing w:after="0" w:line="225" w:lineRule="exact"/>
        <w:rPr>
          <w:sz w:val="20"/>
          <w:szCs w:val="20"/>
          <w:color w:val="auto"/>
        </w:rPr>
      </w:pPr>
    </w:p>
    <w:p>
      <w:pPr>
        <w:jc w:val="both"/>
        <w:ind w:left="3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imputed interest on the below market rate element of the related party loans aggregating $4.350 million amounted to $172 thousand recorded as a benefit to interest with a corresponding like amount as debt discount against the principal amount of the loan. The debt discount will be amortized to interest expense over the term on the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2017</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were no supplemental disclosure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associated with opioid analgesics while our Impede® Technology is directed at minimizing the extraction and conversion of pseudoephedrine, or PSE, into methamphetamine.</w:t>
      </w:r>
    </w:p>
    <w:p>
      <w:pPr>
        <w:spacing w:after="0" w:line="173" w:lineRule="exact"/>
        <w:rPr>
          <w:sz w:val="20"/>
          <w:szCs w:val="20"/>
          <w:color w:val="auto"/>
        </w:rPr>
      </w:pPr>
    </w:p>
    <w:p>
      <w:pPr>
        <w:jc w:val="both"/>
        <w:ind w:left="660" w:hanging="328"/>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as the lead product candidate due to its large market size and its known prevalence of oral excessive tablet abuse. The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December 31, 2018, we had cash of $91 thousand, working capital deficit of $974 thousand and an accumulated deficit of $384.2 million. We had a loss from operations of $3.92 million and a net loss of $3.84 million for the year ended December 31, 2018. We have suffered recurring losses from operations and have not generated positive cash flows from operations. We anticipate operating losses to continue for the foreseeable future.</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January 1, 2019 and through June 27, 2019, we borrowed an aggregate of $650 thousand from Mr. Schutte and issued various promissory notes to him with the same terms and conditions from the previous loans. On June 28, 2019 the aggregate principal of the promissory notes was $5.0 million and the accrued interest was $274 thousand. On June 28, 2019 we borrowed $726 thousand from Mr. Schutte, bringing the aggregate principal of the loans and accrued interest to $6.0 million, and consolidated the loans into a single promissory note with a fixed interest rate of 7.5%, maturity date of July 1, 2023, granted conversion rights into 37.5 million shares of our common stock at a price of $0.16 per share, issued a warrant for 10.0 million common shares having an exercise price of $0.01 per share, and granted a security interest in all of the Company’s assets. On June 28, 2019 we entered into License, Development and Commercialization Agreement with Abuse Deterrent Pharma, LLC (AD Pharma) and the $6.0 million promissory note, the common stock purchase warrant and the security agreement were all assigned and transferred by Mr. Schutte to AD Pharma. (See Subsequent Event - Note 15). AD Pharma has the right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financial statements include the accounts of our wholly-owned subsidiary, Acura Pharmaceutical Technologies Inc., after elimination of intercompany accounts and transactions. Amounts presented have been rounded to the nearest thousand, where indicated, except share and per share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and royalty receivable. The Company maintains deposits in federally insured financial institutions which are in excess of federally insured limits. However, management believes the Company is not exposed to significant credit risk due to the financial position of the depository institutions in which those deposits are held.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considers cash and cash equivalents to include cash in financial institutions and money market funds, and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financial instruments consist primarily of cash and cash equivalents, receivables from royalties, trade accounts payable, and our debt to related party. The carrying amounts of these financial instruments are representative of their respective fair values due to their relatively short maturities.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non-cash and cash-portioned instruments issued to our employees and directors comprised the following (in thousands):</w:t>
      </w:r>
    </w:p>
    <w:p>
      <w:pPr>
        <w:spacing w:after="0" w:line="1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4"/>
          </w:tcPr>
          <w:p>
            <w:pPr>
              <w:jc w:val="right"/>
              <w:ind w:right="405"/>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11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92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 awards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9"/>
              </w:rPr>
              <w:t>Selling, marketing, general and administrative expense:</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awards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RSU awards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9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7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Land and 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Scientific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had no impairment charges during the years 2018 or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signing the MainPointe Agreement in March 2017, MainPointe paid us an upfront licensing fee of $2.5 million. The payment was non-refundable and non-creditable when made and we had no further requirements to earn the payment. The amount was recognized as revenue when received (See Note 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Bayer, and are recognized when costs are incurred pursuant to the agreements. The ongoing research and development services being provided under the collaboration are priced at fair value based upon the reimbursement of expenses incurred pursuant to the collaboration agreements. We recognized $59 thousand of collaboration revenue during the year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revenue from royalties based on our licensees' sales of our products or products using our technologies. Royalties are sales-based royalties which are recognized as the related sales occur. These royalties were promised in exchange for a license of intellectual property.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Zyla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Zyla in accordance with the agreement. Zyla’s first commercial sale of Oxaydo occurred in October 2015 and we have recorded royalties of $386 thousand and $281 thousand on net sales for the years 2018 and 2017, respectively (See Note 3).</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MainPointe Agreement, which occurred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$24 thousand and $19 thousand for the years 2018 and 2017 (See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Shipping/Handling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the cost of its advertising efforts in marketing expenses when services are performed or goods are delivered. We record shipping and handling costs in selling expenses. As of mid-March 2017 we no longer manufacture, distribute or sell the Nexafed product line as the Company granted MainPointe an exclusive license to our Impede technology to commercialize our Nexafed products in the U.S. and Canada. The amounts recorded as selling expenses from the shipments of the Nexafed product line as well as amounts recorded as marketing expenses from our advertising activities during 2017 were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 and Debt Discount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debt issuance costs include costs of debt financing undertaken by the Company, including legal fees, placement fees and other direct costs of the financing. Debt discount can be incurred from value attributable to warrants issued in conjunction with the financing and/or attributable to the below market rate element of the loan if we believe the loan’s rate of interest is below current market rates for us, as in the case of the Schutte Loans. Debt issuance costs and debt discount are amortized into interest expense over the term of the related debt using the effective interest method. Deferred debt issuance costs and debt discount are presented on the consolidated balance sheets as a direct reduction against the debt.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prepaid CRO costs or prepaid clinical trial study expenses at December 31, 2018 and 2017. We did not have obligations under non-cancelable arrangements at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2018 and 2017,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is computed by dividing net income or loss by the weighted average common shares outstanding during a period, including shares weighted related to vested Restricted Stock Units (“RSUs”) (See Note 12). Diluted net loss per share is based on the treasury stock method and computed based on the same number of shares used in the basic share calculation and includes the effect from potential issuance of common stock, such as shares issuable pursuant to the exercise of stock options and common stock purchase warrants, assuming the exercise of all in-the-money stock options and common stock purchase warrants. Common stock equivalents are excluded from the computation where their inclusion would be anti-dilutive. As the Company reported a net loss in 2018 and 2017 the effects of common stock equivalents were excluded as the diluted net loss per share calculation would have been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2017, we licensed our Nexafed product line to MainPointe. Until that time our accounts receivable arose from our sales of our Nexafed product line and represented amounts due from wholesalers in the health care and pharmaceuticals industries and from chain drug stores.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spacing w:after="0" w:line="286" w:lineRule="auto"/>
        <w:rPr>
          <w:sz w:val="20"/>
          <w:szCs w:val="20"/>
          <w:color w:val="auto"/>
        </w:rPr>
      </w:pPr>
      <w:r>
        <w:rPr>
          <w:rFonts w:ascii="Arial" w:cs="Arial" w:eastAsia="Arial" w:hAnsi="Arial"/>
          <w:sz w:val="17"/>
          <w:szCs w:val="17"/>
          <w:color w:val="auto"/>
        </w:rPr>
        <w:t>Under our license agreement with Zyla, we earn royalties from the Zyla’s sale of the licensed product Oxaydo. Zyla filed for voluntary bankruptcy reorganization during the fourth quarter 2018 and emerged with a court approved plan in January 2019. We have not established a reserve for uncollectable accounts as we believed these amounts were fully collectable. In February 2019, we received payments from Zyla for these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Topic 606, on January 1, 2018, resulting in a change to its accounting policy for revenue recognition. The Company used the modified retrospective method and the cumulative effect of initially applying Topic 606 would have been recognized as an adjustment to the opening accumulated deficit at January 1, 2018. Accordingly, comparative information has not been adjusted and continues to be reported under the previous accounting standards. The implementation of Topic 606 had no financial impact to opening accumulated deficit at January 1, 2018 (See Note 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Modification Accounting, Stock Based Compensation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adopted this new standard on January 1, 2018 which did not have a material impact on the Company’s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ASU 2016-16 eliminates from Topic 740, Income Taxes, the recognition exception for intra-entity asset transfers other than inventory so that an entity’s financial statements reflect the current and deferred tax consequences of those intra-entity asset transfers when they occur. The new standard is effective for annual and interim periods, within those fiscal years, beginning after December 15, 2017 but early adoption is permitted. The Company adopted this new standard on January 1, 2018 which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Cash Flows - Restricted Cash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which requires that at statement of cash flows explain the change during the period in the total of cash, cash equivalents, and amounts generally described as restricted cash or restricted cash equivalents. The new standard is effective for annual and interim periods, within those fiscal years beginning after December 15, 2017 but early adoption is permitted. The Company early adopted the guidance in the first quarter of 2017 which did not have a material impact on the Company’s consolidated financial statements or related footnote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Business Combinations – Clarifying the Definition of a Business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 Clarifying the Definition of a Business,</w:t>
      </w:r>
      <w:r>
        <w:rPr>
          <w:rFonts w:ascii="Arial" w:cs="Arial" w:eastAsia="Arial" w:hAnsi="Arial"/>
          <w:sz w:val="16"/>
          <w:szCs w:val="16"/>
          <w:color w:val="auto"/>
        </w:rPr>
        <w:t xml:space="preserve"> which clarifies the definition of a business with the objective of adding guidance to assist entities with evaluating whether transactions should be accounted for as acquisitions (or disposals) of assets or businesses. The amendments in this update provide a screen to determine when an integrated set of assets and activities (collectively referred to as a “set”),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ASU 2017-01 is effective for annual periods beginning after December 15, 2017, but early application of the amendments in this update is allowed. The amendments in this update should be applied prospectively on or after the effective date. The Company early adopted this new standard on January 1, 2017 which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Employee Share-Based Payment Accounting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provides for simplification of certain aspects of employee share-based payment accounting including income taxes, classification of awards as either equity or liabilities, accounting for forfeitures and classification on the statement of cash flows. ASU 2016-09 is to be applied either prospectively, retrospectively or using a modified retrospective transition approach depending on the area covered in this update. The new standard was effective for annual and interim periods, within those fiscal years, beginning after December 15, 2016. The Company adopted the guidance in the first quarter of 2017 which did not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were effective for annual and interim periods, within those fiscal years, beginning after December 15, 2016. The Company adopted the guidance of the standard in the first quarter of 2017 which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not yet been adopted on or before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Fair Value Measurement (Topic 820): Disclosure Framework – 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ASU 2018-13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This standard is effective for fiscal years beginning after December 15, 2019, including interim reporting periods within those years, with early adoption permitted. The Company is currently evaluating the impact that the standard will have on the financial statements and related footnote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transition method existing at or entered into after the beginning of the earliest comparative period presented in the financial statements, but it does not require transition accounting for leases that expire prior to the date of initial application. Upon adoption, operating leases will be reported on the balance sheet as a gross-up of assets and liabilities. The Company is currently evaluating the impact of the standard to the financial statements and footnote disclosure but does not expect a material impact as the Company does not have any material leases other than those entered into on a month-to-month basis.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3 – LICENSE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The recoverability of the Aversion intangible asset is contingent upon future Zyla royalty revenues to us. We have recorded amortization expense of $207 thousand in each of the years ended December 31, 2018 and 2017. Annual amortization of the patent for its remaining life is expected to approximate $207 thousand per year.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Egalet US, Inc. and Egalet Ltd., each a subsidiary of Egalet Corporation (now known as Zyla Life Sciences), or collectively Zyla, entered into a Collaboration and License Agreement (the “Zyla Agreement”) to commercialize Aversion Oxycodone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the Zyla Agreement Zyla is responsible for the fees and expenses relating to the product line extensions of Oxaydo, provided that Zyla will pay a substantial majority of the fees and expenses and we will pay for the remaining fees and expense relating to (i) annual NDA PDUFA product fees,</w:t>
      </w:r>
    </w:p>
    <w:p>
      <w:pPr>
        <w:jc w:val="both"/>
        <w:ind w:firstLine="8"/>
        <w:spacing w:after="0" w:line="253" w:lineRule="auto"/>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entitled to receive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Bayer Agreement Covering Methamphetamine Resistant Pseudoephedrine-containing Product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In June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 Following Bayer’s termination of the Bayer Agreement the Bayer Licensed Product is now subject to MainPointe’s option rights under the MainPointe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December 31, 2018.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the licensing the Nexafed products to MainPointe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We recognized revenue from our Nexafed products sales when the price was fixed and determinable at the date of sale, title and risk of ownership were transferred to the customer, and returns could be reasonably estimated, which generally occurred at the time of product shipment. ASC 606 did not change the practice under which the Company previously recognized the product revenue from sales of the Nexafed products, which was at the time the product was shipped to a customer. As a result of the Company’s license agreement with MainPointe completed in March 2017, the Company no longer sold the Nexafed products. There was no impact from the recognition of revenue for Nexafed product sales under the adoption of ASC 606.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license agreements for currently marketed products containing its technologies; the Oxaydo product containing the Aversion Technology has been licensed to Zyla and the Nexafed products containing the Impede Technology have been licensed to MainPointe. All of the Company’s royalty revenues are earned from these two license agreements by the licensee’s sale of products in the United State. Royalty revenues by licensee are summarized below:</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4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92"/>
              </w:rPr>
              <w:t>For the Year Ended</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00" w:type="dxa"/>
            <w:vAlign w:val="bottom"/>
          </w:tcPr>
          <w:p>
            <w:pPr>
              <w:spacing w:after="0"/>
              <w:rPr>
                <w:sz w:val="19"/>
                <w:szCs w:val="19"/>
                <w:color w:val="auto"/>
              </w:rPr>
            </w:pPr>
          </w:p>
        </w:tc>
        <w:tc>
          <w:tcPr>
            <w:tcW w:w="204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4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4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Zyla</w:t>
            </w:r>
          </w:p>
        </w:tc>
        <w:tc>
          <w:tcPr>
            <w:tcW w:w="780" w:type="dxa"/>
            <w:vAlign w:val="bottom"/>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MainPointe</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tcPr>
          <w:p>
            <w:pPr>
              <w:spacing w:after="0"/>
              <w:rPr>
                <w:sz w:val="19"/>
                <w:szCs w:val="19"/>
                <w:color w:val="auto"/>
              </w:rPr>
            </w:pPr>
          </w:p>
        </w:tc>
      </w:tr>
      <w:tr>
        <w:trPr>
          <w:trHeight w:val="210"/>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revenues</w:t>
            </w:r>
          </w:p>
        </w:tc>
        <w:tc>
          <w:tcPr>
            <w:tcW w:w="78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reported contract assets and contract liability balances under the license and collaboration agreements at either December 31, 2018 or 2017 were $0.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Property, plant and equipment is summarized as follows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7"/>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30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(1,906)</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10"/>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$73 thousand and $87 thousand for each of the years ended December 31, 2018 and 2017,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6 – ACCRUED EXPENSES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Professional services</w:t>
            </w:r>
          </w:p>
        </w:tc>
        <w:tc>
          <w:tcPr>
            <w:tcW w:w="7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8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r>
      <w:tr>
        <w:trPr>
          <w:trHeight w:val="216"/>
        </w:trPr>
        <w:tc>
          <w:tcPr>
            <w:tcW w:w="23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taxes</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 due December 1,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2013, we entered into a Loan and Security Agreement (the “Oxford Loan Agreement”) with Oxford Finance LLC (“Oxford” or the “Lender”), for a term loan to the Company in the principal amount of $10.0 million (the “Term Loan”). On October 5, 2018 we borrowed $1.8 million from Mr. Schutte and used $1.5 million from the loan proceeds to fully pay-off the debt outstanding under the Oxford Loan Agreement. All security interests of Oxford with respect to the Oxford Term Loan have been released.</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Oxford Term Loan accrued interest at a fixed rate of 8.35% per annum (with a default rate of 13.35% per annum). The Company was required to make monthly interest−only payments until April 1, 2015 (“Amortization Date”) and beginning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was due and payable in full on December 1, 2018. As security for its obligations under the initial Oxford Loan Agreement (prior to the Third Amendment), the Company granted the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amortized it to interest expense over the term of the loan using the loan’s effective interest rate. The Warrants were immediately exercisable for cash or by net exercise and will expire December 27,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both"/>
        <w:ind w:right="20"/>
        <w:spacing w:after="0" w:line="312"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a total $231 thousand in deferred debt issue costs. We amortized these costs, including debt modification additional costs, into interest expense over the term of the Term Loan using the loan’s effective interest rate of 10.16%.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we negotiated and settled the Oxford Loan for $1.5 million and recognized a net gain of $296 thousand on principal and interest which has been reflected in our statement of operations as non-operating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 due January 2, 2020</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borrowed an aggregate of $4.350 million as of December 31, 2018 (and additional amounts aggregating $650 thousand during the period January 1, 2019 through June 27, 2019) from Mr. Schutte, a related-party, and issued various promissory notes (the Schutte Notes) to him. The Schutte Notes bear interest at prime plus 2.0%, and mature on January 2, 2020, at which time all principal and interest is due. The Schutte Notes were unsecured until all obligations to Oxford were satisfied at which time we were required to grant a security interest to Mr. Schutte in all of our assets, including our intellectual property. Because we believe the Schutte Notes’ rate of interest is below current market rates for us, we impute interest on the below market rate element of the loans using the 10.16% interest rate under the Oxford Loan Agreement and this has aggregated to $172 thousand as of December 31, 2018. We recorded these benefits to interest income, with a corresponding like amount as debt discount against the principal amount of the loan. The debt discount will be amortized to interest expense over the term on the loans. At December 31, 2018, the unamortized debt discount balance is $126 thousand and the accrued interest balance is $110 thousand.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events of default under the Schutte Notes are limited to bankruptcy defaults and failure to pay interest and principal when due on January 2, 2020. The Schutte Notes may be prepaid at any time in whole or in part.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$4.350 million loan outstanding from Mr. Schutte as of December 31, 2018 is a borrowing of $1.8 million completed on October 5, 2018 of which we used $1.5 million to fully pay-off the debt outstanding under the Oxford Loan Agreement. All our assets are pledged as collateral under the Schutte Notes, including our intellectual property.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period January 1, 2019 through June 27, 2019 we borrowed $650 thousand from Mr. Schutte. On June 28, 2019 we borrowed an additional $726 thousand from Mr. Schutte and consolidated the loans in a single note along with the accrued interest (See Subsequent Event - Note 15).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7"/>
              </w:rPr>
              <w:t>Our debt at December 31, 2018 is summarized below (in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spacing w:after="0"/>
              <w:rPr>
                <w:sz w:val="24"/>
                <w:szCs w:val="24"/>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144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Loan Due December 1, 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Balance at Jan. 1, 2018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2,740</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(2,573)</w:t>
            </w:r>
          </w:p>
        </w:tc>
      </w:tr>
      <w:tr>
        <w:trPr>
          <w:trHeight w:val="230"/>
        </w:trPr>
        <w:tc>
          <w:tcPr>
            <w:tcW w:w="144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Gain from debt extinguishment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(167)</w:t>
            </w:r>
          </w:p>
        </w:tc>
      </w:tr>
      <w:tr>
        <w:trPr>
          <w:trHeight w:val="210"/>
        </w:trPr>
        <w:tc>
          <w:tcPr>
            <w:tcW w:w="144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 31, 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Related Party Loan Due January 2, 2020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Balance at Jan. 1, 2018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borrowings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Balance at Dec. 31, 2018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tbl>
      <w:tblPr>
        <w:tblLayout w:type="fixed"/>
        <w:tblInd w:w="14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Debt Discount,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940" w:type="dxa"/>
            <w:vAlign w:val="bottom"/>
          </w:tcPr>
          <w:p>
            <w:pPr>
              <w:ind w:left="160"/>
              <w:spacing w:after="0"/>
              <w:rPr>
                <w:sz w:val="20"/>
                <w:szCs w:val="20"/>
                <w:color w:val="auto"/>
              </w:rPr>
            </w:pPr>
            <w:r>
              <w:rPr>
                <w:rFonts w:ascii="Arial" w:cs="Arial" w:eastAsia="Arial" w:hAnsi="Arial"/>
                <w:sz w:val="18"/>
                <w:szCs w:val="18"/>
                <w:color w:val="auto"/>
              </w:rPr>
              <w:t>Write-off on debt extinguishment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 31, 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Deferred Debt Issuance Costs, net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30"/>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 on debt extinguishment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 31, 2018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Debt, net at Dec. 31, 2018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interest expense for the twelve months ended December 31, 2018 and 2017 consisted of the following (in thousands):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2017</w:t>
            </w:r>
          </w:p>
        </w:tc>
        <w:tc>
          <w:tcPr>
            <w:tcW w:w="60" w:type="dxa"/>
            <w:vAlign w:val="bottom"/>
            <w:tcBorders>
              <w:bottom w:val="single" w:sz="8" w:color="CCEEFF"/>
            </w:tcBorders>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Fully paid term loan – due December 1, 2018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Related party term loans – due January 2, 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Debt issue costs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Financed insurance premiums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5480" w:type="dxa"/>
            <w:vAlign w:val="bottom"/>
          </w:tcPr>
          <w:p>
            <w:pPr>
              <w:ind w:left="160"/>
              <w:spacing w:after="0"/>
              <w:rPr>
                <w:sz w:val="20"/>
                <w:szCs w:val="20"/>
                <w:color w:val="auto"/>
              </w:rPr>
            </w:pPr>
            <w:r>
              <w:rPr>
                <w:rFonts w:ascii="Arial" w:cs="Arial" w:eastAsia="Arial" w:hAnsi="Arial"/>
                <w:sz w:val="18"/>
                <w:szCs w:val="18"/>
                <w:color w:val="auto"/>
              </w:rPr>
              <w:t>Total interest expense</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imputed interest income on related party loans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5480" w:type="dxa"/>
            <w:vAlign w:val="bottom"/>
          </w:tcPr>
          <w:p>
            <w:pPr>
              <w:ind w:left="320"/>
              <w:spacing w:after="0"/>
              <w:rPr>
                <w:sz w:val="20"/>
                <w:szCs w:val="20"/>
                <w:color w:val="auto"/>
              </w:rPr>
            </w:pPr>
            <w:r>
              <w:rPr>
                <w:rFonts w:ascii="Arial" w:cs="Arial" w:eastAsia="Arial" w:hAnsi="Arial"/>
                <w:sz w:val="18"/>
                <w:szCs w:val="18"/>
                <w:color w:val="auto"/>
              </w:rPr>
              <w:t>Less: interest income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480" w:type="dxa"/>
            <w:vAlign w:val="bottom"/>
          </w:tcPr>
          <w:p>
            <w:pPr>
              <w:ind w:left="160"/>
              <w:spacing w:after="0"/>
              <w:rPr>
                <w:sz w:val="20"/>
                <w:szCs w:val="20"/>
                <w:color w:val="auto"/>
              </w:rPr>
            </w:pPr>
            <w:r>
              <w:rPr>
                <w:rFonts w:ascii="Arial" w:cs="Arial" w:eastAsia="Arial" w:hAnsi="Arial"/>
                <w:sz w:val="18"/>
                <w:szCs w:val="18"/>
                <w:color w:val="auto"/>
              </w:rPr>
              <w:t>Total interest expense, net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2017, we completed a $4.0 million private placement with Mr.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will receive a 7.5% royalty on sales of licensed products. MainPointe also has options to expand the territory and products covered for additional sums. Included in the reported revenue for the years ended December 31, 2018 and 2017 is $24 thousand and $19 thousand, respectively of royalty revenue from MainPointe (See Note 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4" w:name="page115"/>
    <w:bookmarkEnd w:id="114"/>
    <w:p>
      <w:pPr>
        <w:jc w:val="both"/>
        <w:spacing w:after="0" w:line="269" w:lineRule="auto"/>
        <w:rPr>
          <w:sz w:val="20"/>
          <w:szCs w:val="20"/>
          <w:color w:val="auto"/>
        </w:rPr>
      </w:pPr>
      <w:r>
        <w:rPr>
          <w:rFonts w:ascii="Arial" w:cs="Arial" w:eastAsia="Arial" w:hAnsi="Arial"/>
          <w:sz w:val="17"/>
          <w:szCs w:val="17"/>
          <w:color w:val="auto"/>
        </w:rPr>
        <w:t>As part of the closing of the Transaction, the Company and Essex Woodlands Health Ventures V, L.P. (“Essex”) and Galen Partners III, L.P. (“Galen”) amended and restated the existing Voting Agreement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January 1, 2019 through June 27, 2019 we borrowed $650 thousand from Mr. Schutte. On June 28, 2019 we borrowed $726 thousand from Mr. Schutte and consolidated the loans in a single note along with the accrued interest (See Subsequent Event - Note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during the years 2018 or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2018 and 2017 is shown below (in thousands except price data):</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6"/>
              </w:rPr>
              <w:t>WAvg</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WAvg</w:t>
            </w:r>
          </w:p>
        </w:tc>
        <w:tc>
          <w:tcPr>
            <w:tcW w:w="60" w:type="dxa"/>
            <w:vAlign w:val="bottom"/>
            <w:gridSpan w:val="2"/>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ind w:left="160"/>
              <w:spacing w:after="0"/>
              <w:rPr>
                <w:sz w:val="20"/>
                <w:szCs w:val="20"/>
                <w:color w:val="auto"/>
              </w:rPr>
            </w:pPr>
            <w:r>
              <w:rPr>
                <w:rFonts w:ascii="Arial" w:cs="Arial" w:eastAsia="Arial" w:hAnsi="Arial"/>
                <w:sz w:val="18"/>
                <w:szCs w:val="18"/>
                <w:color w:val="auto"/>
              </w:rPr>
              <w:t>Issued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Outstanding, Dec.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These warrants contain a cashless exercise feature (See Note 7).</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our July 2017 private placement transaction with Mr. Schutte, we issued warrants to purchase 1,782,531 shares of our common stock. The warrants are immediately exercisable at a price of $0.528 per share and expire five years after issuance (See Note 8). We have assigned a relative fair value of $495 thousand to the warrants out of the total $4.0 million proceeds from the private placement transaction and have accounted for these warrants as equity.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2018 and 2017 and for the year then ended consisted of the following (in thousands except exercise price):</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9"/>
              </w:rPr>
              <w:t>Year Ended December 31,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Number of</w:t>
            </w: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8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0.92</w:t>
            </w: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r>
      <w:tr>
        <w:trPr>
          <w:trHeight w:val="210"/>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60" w:type="dxa"/>
            <w:vAlign w:val="bottom"/>
            <w:tcBorders>
              <w:bottom w:val="single" w:sz="8" w:color="CCEEFF"/>
            </w:tcBorders>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 31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stock options outstanding at December 31, 2018 (in thousands except price data):</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4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 Not</w:t>
            </w: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Average Fair</w:t>
            </w:r>
          </w:p>
        </w:tc>
      </w:tr>
      <w:tr>
        <w:trPr>
          <w:trHeight w:val="234"/>
        </w:trPr>
        <w:tc>
          <w:tcPr>
            <w:tcW w:w="44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Exercisable</w:t>
            </w:r>
          </w:p>
        </w:tc>
        <w:tc>
          <w:tcPr>
            <w:tcW w:w="16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 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r>
      <w:tr>
        <w:trPr>
          <w:trHeight w:val="230"/>
        </w:trPr>
        <w:tc>
          <w:tcPr>
            <w:tcW w:w="44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model to determine fair value for the 2018 and 2017 stock option grants were:</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5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5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no intrinsic value contained in the stock option awards which vested and were outstanding at December 31, 2018. The total remaining unrecognized compensation cost on unvested option awards outstanding at December 31, 2018 was approximately $20 thousand, and is expected to be recognized in the Company’s operating expense in varying amounts over the next eleven months remaining in the requisite service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$11 thousand and $41 thousand at December 31, 2018 and 2017,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both"/>
        <w:spacing w:after="0" w:line="264"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December 31, 2018 and 2017, and for the year then ended consisted of the following (in thousands):</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gridSpan w:val="2"/>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0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Vested</w:t>
            </w: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3280" w:type="dxa"/>
            <w:vAlign w:val="bottom"/>
          </w:tcPr>
          <w:p>
            <w:pPr>
              <w:spacing w:after="0"/>
              <w:rPr>
                <w:sz w:val="20"/>
                <w:szCs w:val="20"/>
                <w:color w:val="auto"/>
              </w:rPr>
            </w:pPr>
          </w:p>
        </w:tc>
        <w:tc>
          <w:tcPr>
            <w:tcW w:w="1300" w:type="dxa"/>
            <w:vAlign w:val="bottom"/>
            <w:gridSpan w:val="3"/>
          </w:tcPr>
          <w:p>
            <w:pPr>
              <w:ind w:left="220"/>
              <w:spacing w:after="0"/>
              <w:rPr>
                <w:sz w:val="20"/>
                <w:szCs w:val="20"/>
                <w:color w:val="auto"/>
              </w:rPr>
            </w:pPr>
            <w:r>
              <w:rPr>
                <w:rFonts w:ascii="Arial" w:cs="Arial" w:eastAsia="Arial" w:hAnsi="Arial"/>
                <w:sz w:val="18"/>
                <w:szCs w:val="18"/>
                <w:b w:val="1"/>
                <w:bCs w:val="1"/>
                <w:color w:val="auto"/>
              </w:rPr>
              <w:t>of RSUs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RSUs</w:t>
            </w: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RSUs</w:t>
            </w: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RSUs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Outstanding, Dec.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2017 RSU Plan was approved by shareholders in November 2017 and permits the grant of up to 1.5 million shares of our common stock pursuant to awards under the 2017 RSU Plan. As of December 31, 2018, approximately 552 thousand shares are available for award under the 2017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both"/>
        <w:ind w:left="500" w:hanging="168"/>
        <w:spacing w:after="0" w:line="256"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will vest 100% after one full year of service. Distributions of the vested RSU awards to the employees will be made in three equal installments on the first business day of each of January 2020, 2021, and 2022 or earlier upon a qualifying change of control.</w:t>
      </w:r>
    </w:p>
    <w:p>
      <w:pPr>
        <w:jc w:val="both"/>
        <w:ind w:left="500" w:hanging="168"/>
        <w:spacing w:after="0" w:line="28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January 2018, we awarded approximately 67 thousand RSUs to each of our 4 non-employee directors which also allow for them to receive payment in cash, instead of stock, for up to 40% of each RSU award. Such awards vest 25% at the end of each calendar quarter in 2018. Settlement of this RSU award will occur on January 2, 2019, the first business day of the year after vesting. The portion of the RSU awards which are subject to cash settlement are also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3" w:lineRule="exact"/>
        <w:rPr>
          <w:rFonts w:ascii="Arial" w:cs="Arial" w:eastAsia="Arial" w:hAnsi="Arial"/>
          <w:sz w:val="16"/>
          <w:szCs w:val="16"/>
          <w:color w:val="auto"/>
        </w:rPr>
      </w:pPr>
    </w:p>
    <w:p>
      <w:pPr>
        <w:jc w:val="both"/>
        <w:ind w:left="500" w:hanging="168"/>
        <w:spacing w:after="0" w:line="250"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December 2018, we awarded 488 thousand RSUs to our employees. Such RSU awards will vest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 w:lineRule="exact"/>
        <w:rPr>
          <w:rFonts w:ascii="Arial" w:cs="Arial" w:eastAsia="Arial" w:hAnsi="Arial"/>
          <w:sz w:val="18"/>
          <w:szCs w:val="18"/>
          <w:color w:val="auto"/>
        </w:rPr>
      </w:pPr>
    </w:p>
    <w:p>
      <w:pPr>
        <w:jc w:val="both"/>
        <w:ind w:left="500" w:hanging="168"/>
        <w:spacing w:after="0" w:line="292"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January 2019, we awarded approximately 83 thousand RSUs to each of our 4 non-employee directors which also allow for them to receive payment in cash, instead of stock, for up to 40% of each RSU award. Such awards vest 25% at the end of each calendar quarter in 2019. Settlement of this RSU award will occur on January 2, 2020,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2017 RSU Plan is as follows: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 January 2019, 267 thousand RSUs were distributed and settled in common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December 31, 2018, there are no longer shares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during 2017 and 2018 is as follows:</w:t>
      </w:r>
    </w:p>
    <w:p>
      <w:pPr>
        <w:spacing w:after="0" w:line="23" w:lineRule="exact"/>
        <w:rPr>
          <w:sz w:val="20"/>
          <w:szCs w:val="20"/>
          <w:color w:val="auto"/>
        </w:rPr>
      </w:pPr>
    </w:p>
    <w:p>
      <w:pPr>
        <w:jc w:val="both"/>
        <w:ind w:left="500" w:hanging="168"/>
        <w:spacing w:after="0" w:line="28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January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consolidated balance sheet as an estimate for such cash settlement was $41 thousand at December 31, 2017. The RSU award was settled on January 2, 2018.</w:t>
      </w:r>
    </w:p>
    <w:p>
      <w:pPr>
        <w:spacing w:after="0" w:line="2" w:lineRule="exact"/>
        <w:rPr>
          <w:rFonts w:ascii="Arial" w:cs="Arial" w:eastAsia="Arial" w:hAnsi="Arial"/>
          <w:sz w:val="16"/>
          <w:szCs w:val="16"/>
          <w:color w:val="auto"/>
        </w:rPr>
      </w:pPr>
    </w:p>
    <w:p>
      <w:pPr>
        <w:jc w:val="both"/>
        <w:ind w:left="500" w:hanging="168"/>
        <w:spacing w:after="0" w:line="255"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2018, we awarded 4 thousand RSUs to our employees. Such RSU awards will vest 100% after one full year of service. Distributions of the vested RSU awards to the employees will be made in three equal installments on the first business day of each of January 2021, 2022, and 2023 or earlier upon a qualifying change of 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jc w:val="both"/>
        <w:ind w:left="500" w:hanging="168"/>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January 2017, 1 thousand RSUs from the May 2014 award and 66 thousand RSUs from the January 2016 award were distributed. There were 1 thousand RSUs from the May 1 2014 award and 22 thousand RSUs from the January 2016 award which remained deferred until a future distribution date, which occurred on January 1, 2018. Of the 67 thousand RSUs distributed, 49 thousand RSUs were settled in common stock and 18 thousand RSUs were settled in cash.</w:t>
      </w:r>
    </w:p>
    <w:p>
      <w:pPr>
        <w:spacing w:after="0" w:line="1"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January 2018, 262 thousand RSUs from the 2014 RSU Plan were distributed. Of the approximately 262 thousand RSUs distributed, 238 thousand RSUs were settled in common stock and 24 thousand RSUs were settled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and requiring adjustment to 2017 deferred taxes. The Company has calculated its best estimate of the impact of the Act in its 2017 year-end income tax provision in accordance with its understanding of the Act and guidance available as of that date and as a result had no adjustment to record as an additional income tax expense in the fourth quarter of 2017, the period in which the legislation was enacted.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remeasured its deferred tax assets and liabilities and adjusted its deferred tax balances to reflect the lower enacted U.S. corporate tax rate resulted in an income tax expense of $26.6 million which is included as a discrete item in the 2017 income tax provision. Overall, there was no impact to the tax provision as a result of the offsetting reduction of the valuation allowance. The period for determination of accounting implications of the 2017 Tax Act closed on December 22, 2018. The Company has completed their analysis and does not have any material true-ups on the positions taken in the prior year tax provision.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 (in thousands):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8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84"/>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at U.S. statutory tax rate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tax credits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Federal research and development tax credits</w:t>
            </w: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Federal AMT tax credit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Tax Cuts and Jobs Act of 2017</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Borders>
              <w:top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$171.8 million gross Federal NOLs at December 31, 2018 (of which approximately $167.7 million was generated prior to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 (See Subsequent Event - Note 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The components of our deferred tax assets are as follows (in thousands):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4"/>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Estimated future value of NOLs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Federal</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2,174</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 State</w:t>
            </w:r>
          </w:p>
        </w:tc>
        <w:tc>
          <w:tcPr>
            <w:tcW w:w="8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tax credits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 Federal</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State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Total deferred taxes</w:t>
            </w: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(4,442)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both December 31, 2018 and 2017,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FASB’s statement regarding accounting for uncertainty in income taxes which defined the threshold for recognizing the benefits of tax-return positions in the consolidated financial statements as "more-likely-than-not" to be sustained by the taxing authorities. At each of December 31, 2018 and 2017,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2018, the Company’s tax years of 2015, 2016 and 2017 are subject to examination by the taxing authorities. With few exceptions, we believe the Company is no longer subject to U.S. Federal, State and local examinations by taxing authorities for years before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140"/>
        <w:spacing w:after="0"/>
        <w:rPr>
          <w:sz w:val="20"/>
          <w:szCs w:val="20"/>
          <w:color w:val="auto"/>
        </w:rPr>
      </w:pPr>
      <w:r>
        <w:rPr>
          <w:rFonts w:ascii="Arial" w:cs="Arial" w:eastAsia="Arial" w:hAnsi="Arial"/>
          <w:sz w:val="16"/>
          <w:szCs w:val="16"/>
          <w:color w:val="auto"/>
        </w:rPr>
        <w:t>EPS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jc w:val="center"/>
        <w:ind w:right="6100"/>
        <w:spacing w:after="0"/>
        <w:rPr>
          <w:sz w:val="20"/>
          <w:szCs w:val="20"/>
          <w:color w:val="auto"/>
        </w:rPr>
      </w:pPr>
      <w:r>
        <w:rPr>
          <w:rFonts w:ascii="Arial" w:cs="Arial" w:eastAsia="Arial" w:hAnsi="Arial"/>
          <w:sz w:val="18"/>
          <w:szCs w:val="18"/>
          <w:color w:val="auto"/>
        </w:rPr>
        <w:t>Numerator: net loss</w:t>
      </w:r>
    </w:p>
    <w:p>
      <w:pPr>
        <w:spacing w:after="0" w:line="22" w:lineRule="exact"/>
        <w:rPr>
          <w:sz w:val="20"/>
          <w:szCs w:val="20"/>
          <w:color w:val="auto"/>
        </w:rPr>
      </w:pPr>
    </w:p>
    <w:p>
      <w:pPr>
        <w:jc w:val="center"/>
        <w:ind w:right="6020"/>
        <w:spacing w:after="0"/>
        <w:rPr>
          <w:sz w:val="20"/>
          <w:szCs w:val="20"/>
          <w:color w:val="auto"/>
        </w:rPr>
      </w:pPr>
      <w:r>
        <w:rPr>
          <w:rFonts w:ascii="Arial" w:cs="Arial" w:eastAsia="Arial" w:hAnsi="Arial"/>
          <w:sz w:val="16"/>
          <w:szCs w:val="16"/>
          <w:color w:val="auto"/>
        </w:rPr>
        <w:t>Denominator (weighted):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Common shares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Basic and diluted weighted average shares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EPS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(3,842)</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15,903</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Common shares issuable: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 vested and nonvested</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8"/>
                <w:szCs w:val="18"/>
                <w:color w:val="auto"/>
              </w:rPr>
              <w:t>Nonvested RSUs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purchase warrants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80" w:type="dxa"/>
            <w:vAlign w:val="bottom"/>
            <w:shd w:val="clear" w:color="auto" w:fill="CCEEFF"/>
          </w:tcPr>
          <w:p>
            <w:pPr>
              <w:spacing w:after="0"/>
              <w:rPr>
                <w:sz w:val="19"/>
                <w:szCs w:val="19"/>
                <w:color w:val="auto"/>
              </w:rPr>
            </w:pPr>
          </w:p>
        </w:tc>
      </w:tr>
      <w:tr>
        <w:trPr>
          <w:trHeight w:val="210"/>
        </w:trPr>
        <w:tc>
          <w:tcPr>
            <w:tcW w:w="8580" w:type="dxa"/>
            <w:vAlign w:val="bottom"/>
          </w:tcPr>
          <w:p>
            <w:pPr>
              <w:ind w:left="180"/>
              <w:spacing w:after="0"/>
              <w:rPr>
                <w:sz w:val="20"/>
                <w:szCs w:val="20"/>
                <w:color w:val="auto"/>
              </w:rPr>
            </w:pPr>
            <w:r>
              <w:rPr>
                <w:rFonts w:ascii="Arial" w:cs="Arial" w:eastAsia="Arial" w:hAnsi="Arial"/>
                <w:sz w:val="18"/>
                <w:szCs w:val="18"/>
                <w:color w:val="auto"/>
              </w:rPr>
              <w:t>Total excluded common shares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0" w:name="page121"/>
    <w:bookmarkEnd w:id="120"/>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fourth quarter of 2019. Legal fees related to this matter have been covered by our insurance carrier. Based upon the current status and evaluation, we have not accrued for any potential loss related to these matters as of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Zyla US, Inc. and its parent Zyla Corporation in the United States District Court for the District of Delaware alleging our Oxaydo product infringes Purdue’s U.S. Patent No. 8,389,007 (the “007 patent”). In April 2016, Purdue commenced a second patent infringement lawsuit against us and Zyla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Zyla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Zyla Settlement Product (except generally in an action or interference by Acura or Zyla challenging a Purdue Patent). Acura Settlement Products and Zyla Settlement Products are certain immediate-release and extended-release products, including Oxaydo. In addition, the Settlement Agreement provides that Purdue will not challenge, with certain exceptions, the Acura/Zyla Patents with respect to the Purdue Settlement Products (as defined below) and that Purdue provides Acura and/or Zyla certain waivers of non-patent marketing exclusivity with respect to Purdue Settlement Products.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Settlement Agreement also provides that Acura and Zyla will not, in the future, assert certain Acura and/or Zyla U.S. patents (the “Acura/Zyla Patents”), including Acura’s Aversion® Technology patents, against any Purdue Settlement Products (except generally in an action or interference by Purdue challenging an Acura/Zyla Patent). Purdue Settlement Products are certain immediate-release and extended-release products. In addition, the Settlement Agreement provides that Acura and Zyla will not challenge, with certain exceptions, the Purdue Patents with respect to the Acura Settlement Products and Zyla Settlement Products and that Acura and Zyla provide Purdue certain waivers of non-patent marketing exclusivity with respect to the Acura Settlement Products and Zyla Settlement Products. In addition, Purdue has certain rights to negotiate to exclusively distribute an authorized generic version of certain Zyla Settlement Products, including, in some circumstances, Oxaydo® and other products using Acura’s Aversion® Technology if licensed to Zyla.</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Acura/Zyla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Zyla entered into a Collaboration and License Agreement (the “Zyla Agreement”) to commercialize Aversion Oxycodone (formerly known as Oxecta®)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the Zyla Agreement, we and Zyla have formed a joint steering committee to coordinate commercialization strategies and the development of product line extensions. Zyla is responsible for the fees and expenses relating to the Oxaydo NDA and product line extensions of Oxaydo, provided that Zyla will pay a substantial majority of the expenses and we will pay for the remaining fees and expenses relating to (i) annual NDA PDUFA product fees, (ii) expenses of a post-marketing study for Oxaydo when required by the FDA and conducted by Zyla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 At December 31, 2018 we have accrued approximately $237 thousand for potential cost sharing reimbursable expenses under the Zyla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on a month to month basis at the rate of approximately $2 thousand per month.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 Debt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January 1, 2019 and through June 27, 2019, we borrowed an aggregate of $650 thousand from Mr. Schutte and issued various promissory notes to him with the same terms and conditions from the previous loans. On June 28, 2019 the aggregate principal of the promissory notes was $5.0 million and the accrued interest was $274 thousand. On June 28, 2019 we borrowed $726 thousand from Mr. Schutte, bringing the aggregate principal of the loans and accrued interest to $6.0 million, and consolidated the loans into a single promissory note with a fixed interest rate of 7.5%, maturity date of July 1, 2023, granted conversion rights into 37.5 million shares of our common stock at a price of $0.16 per share, issued a warrant for 10.0 million common shares having an exercise price of $0.01 per share, and granted a security interest in all of the Company’s assets. The $6.0 million promissory note, the common stock purchase warrant and the security agreement were all assigned and transferred by Mr. Schutte to AD Pharma on June 28, 2019. On July 2, 2019 we received the $726 thousand loan proceeds.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 License, Development and Commercialization Agreement with Abuse Deterrent Pharma, LLC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28, 2019, we entered into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Agreement grants AD Pharma exclusive commercialization rights in the United States to LTX-03. Financial arrangements include: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ind w:left="700" w:right="20" w:hanging="327"/>
        <w:spacing w:after="0" w:line="25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$350,000 up to the earlier of 18 months or FDA’s acceptance of a New Drug Application (“NDA”) for LTX-03;</w:t>
      </w:r>
    </w:p>
    <w:p>
      <w:pPr>
        <w:spacing w:after="0" w:line="1" w:lineRule="exact"/>
        <w:rPr>
          <w:rFonts w:ascii="Arial" w:cs="Arial" w:eastAsia="Arial" w:hAnsi="Arial"/>
          <w:sz w:val="18"/>
          <w:szCs w:val="18"/>
          <w:color w:val="auto"/>
        </w:rPr>
      </w:pPr>
    </w:p>
    <w:p>
      <w:pPr>
        <w:ind w:left="700" w:hanging="32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700" w:hanging="32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jc w:val="both"/>
        <w:ind w:left="700" w:hanging="327"/>
        <w:spacing w:after="0" w:line="255"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9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intellectual property. On July 2, 2019, we received the first monthly license payment of $350 thousand and have received subsequent monthly license payments in August 2019 and September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 QUARTERLY RESULTS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quarterly consolidated financial data is shown below (in thousands except per share amounts):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2"/>
              </w:rPr>
              <w:t>For the Three Month Periods Ended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9"/>
              </w:rPr>
              <w:t>Sept. 30,</w:t>
            </w:r>
          </w:p>
        </w:tc>
        <w:tc>
          <w:tcPr>
            <w:tcW w:w="180" w:type="dxa"/>
            <w:vAlign w:val="bottom"/>
          </w:tcPr>
          <w:p>
            <w:pPr>
              <w:spacing w:after="0"/>
              <w:rPr>
                <w:sz w:val="16"/>
                <w:szCs w:val="16"/>
                <w:color w:val="auto"/>
              </w:rPr>
            </w:pPr>
          </w:p>
        </w:tc>
        <w:tc>
          <w:tcPr>
            <w:tcW w:w="10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Dec.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Operating loss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5"/>
              </w:rPr>
              <w:t>For the Three Month Periods Ended</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9"/>
              </w:rPr>
              <w:t>Sept. 30,</w:t>
            </w:r>
          </w:p>
        </w:tc>
        <w:tc>
          <w:tcPr>
            <w:tcW w:w="180" w:type="dxa"/>
            <w:vAlign w:val="bottom"/>
          </w:tcPr>
          <w:p>
            <w:pPr>
              <w:spacing w:after="0"/>
              <w:rPr>
                <w:sz w:val="16"/>
                <w:szCs w:val="16"/>
                <w:color w:val="auto"/>
              </w:rPr>
            </w:pPr>
          </w:p>
        </w:tc>
        <w:tc>
          <w:tcPr>
            <w:tcW w:w="10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(2,062)</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8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Year to date earnings per share may not equal sum of quarters due to rounding.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0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15"/>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32"/>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7"/>
          </w:tcPr>
          <w:p>
            <w:pPr>
              <w:ind w:left="74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top w:val="single" w:sz="8" w:color="auto"/>
              <w:bottom w:val="single" w:sz="8" w:color="0000EE"/>
            </w:tcBorders>
            <w:gridSpan w:val="11"/>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Placement Agency Agreement dated June 30, 2015 between Roth Capital Partners LLC and the Registrant (incorporated by reference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Exhibit 1.1 to our Form 8-K filed July 1, 2015)</w:t>
              </w:r>
            </w:hyperlink>
          </w:p>
        </w:tc>
        <w:tc>
          <w:tcPr>
            <w:tcW w:w="6400" w:type="dxa"/>
            <w:vAlign w:val="bottom"/>
            <w:gridSpan w:val="7"/>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Restated Certificate of Incorporation of the Registrant (incorporated by reference to Exhibit 3.1 to the Registrant’s Form 8-K filed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June 25, 2009).</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7"/>
              </w:rPr>
            </w:pPr>
            <w:hyperlink r:id="rId153">
              <w:r>
                <w:rPr>
                  <w:rFonts w:ascii="Arial" w:cs="Arial" w:eastAsia="Arial" w:hAnsi="Arial"/>
                  <w:sz w:val="18"/>
                  <w:szCs w:val="18"/>
                  <w:color w:val="0000EE"/>
                  <w:w w:val="97"/>
                </w:rPr>
                <w:t>Certificate of Amendment Reverse Splitting Common Stock and restating but not changing text of part of Article III of Restated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Certificate of Incorporation (incorporated by Reference to Exhibit 3.1 to the Form 8-K filed December 4, 2007).</w:t>
              </w:r>
            </w:hyperlink>
          </w:p>
        </w:tc>
        <w:tc>
          <w:tcPr>
            <w:tcW w:w="172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Certificate of Amendment Reverse Splitting Common Stock and restating but not changing text of part of Article III of Restated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Certificate of Incorporation (incorporated by Reference to Exhibit 3.1 to the Form 8-K filed August 27,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0" w:type="dxa"/>
            <w:vAlign w:val="bottom"/>
            <w:tcBorders>
              <w:bottom w:val="single" w:sz="8" w:color="0000EE"/>
            </w:tcBorders>
            <w:gridSpan w:val="7"/>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Restated Bylaws of the Registrant (incorporated by reference to Exhibit 3.2 to the Form 8-K filed on May 14, 2018).</w:t>
              </w:r>
            </w:hyperlink>
          </w:p>
        </w:tc>
        <w:tc>
          <w:tcPr>
            <w:tcW w:w="1400" w:type="dxa"/>
            <w:vAlign w:val="bottom"/>
            <w:gridSpan w:val="4"/>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40" w:type="dxa"/>
            <w:vAlign w:val="bottom"/>
            <w:tcBorders>
              <w:bottom w:val="single" w:sz="8" w:color="0000EE"/>
            </w:tcBorders>
            <w:gridSpan w:val="8"/>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Form of Common Stock Certificate (incorporated by Reference to Exhibit 4.1 to the Form S-3 filed on March 9, 2016)</w:t>
              </w:r>
            </w:hyperlink>
          </w:p>
        </w:tc>
        <w:tc>
          <w:tcPr>
            <w:tcW w:w="1260" w:type="dxa"/>
            <w:vAlign w:val="bottom"/>
            <w:gridSpan w:val="3"/>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Amended and Restated Warrant A-1 issued to Oxford Finance LLC on January 7, 2015 (incorporated by reference to Exhibit 10.9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our Form 10-K filed March 2,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Amended and Restated Warrant A-2 issued to Oxford Finance LLC on January 7, 2015 (incorporated by reference to Exhibit 10.10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our Form 10-K filed March 2,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1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Amended and Restated Warrant A-3 issued to Oxford Finance LLC on January 7, 2015 (incorporated by reference to Exhibit 10.11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our Form 10-K filed March 2, 2015).</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Form of Common Stock Warrant issued to John Schutte on July 24, 2017 (incorporated by reference Exhibit 4.1 to our Form 8-K filed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July 28, 2017)</w:t>
              </w:r>
            </w:hyperlink>
          </w:p>
        </w:tc>
        <w:tc>
          <w:tcPr>
            <w:tcW w:w="8700" w:type="dxa"/>
            <w:vAlign w:val="bottom"/>
            <w:gridSpan w:val="10"/>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Manufacturing Services Agreement dated as of July 19, 2011 between the Registrant and Patheon Pharmaceuticals Inc. (incorporated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by reference to Exhibit 10.1 to our Form 8-K filed July 27, 2011) (confidential treatment has been granted for portions of this Exhibit).</w:t>
              </w:r>
            </w:hyperlink>
          </w:p>
        </w:tc>
        <w:tc>
          <w:tcPr>
            <w:tcW w:w="20" w:type="dxa"/>
            <w:vAlign w:val="bottom"/>
          </w:tcPr>
          <w:p>
            <w:pPr>
              <w:spacing w:after="0"/>
              <w:rPr>
                <w:sz w:val="17"/>
                <w:szCs w:val="17"/>
                <w:color w:val="auto"/>
              </w:rPr>
            </w:pPr>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Securities Purchase Agreement dated as of August 20, 2007 (“PIPE SPA”) among the Registrant, Vivo Ventures Fund VI, L.P., Vivo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Ventures VI Affiliates Fund, L.P., GCE Holdings LLC, and certain other signatories thereto (incorporated by reference to Exhibit 10.1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to the Form 8-K filed on August 21, 2007).</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Subscription Agreement dated as of July 24, 2017 between the Registrant and John Schutte (incorporated by reference to Exhibit 10.1</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to our Form 8-K filed July 28, 2017)</w:t>
              </w:r>
            </w:hyperlink>
          </w:p>
        </w:tc>
      </w:tr>
      <w:tr>
        <w:trPr>
          <w:trHeight w:val="69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7"/>
          </w:tcPr>
          <w:p>
            <w:pPr>
              <w:jc w:val="center"/>
              <w:ind w:right="5000"/>
              <w:spacing w:after="0"/>
              <w:rPr>
                <w:sz w:val="20"/>
                <w:szCs w:val="20"/>
                <w:color w:val="auto"/>
              </w:rPr>
            </w:pPr>
            <w:r>
              <w:rPr>
                <w:rFonts w:ascii="Arial" w:cs="Arial" w:eastAsia="Arial" w:hAnsi="Arial"/>
                <w:sz w:val="22"/>
                <w:szCs w:val="22"/>
                <w:color w:val="auto"/>
                <w:w w:val="93"/>
              </w:rPr>
              <w:t>E-1</w:t>
            </w:r>
          </w:p>
        </w:tc>
      </w:tr>
    </w:tbl>
    <w:p>
      <w:pPr>
        <w:sectPr>
          <w:pgSz w:w="11900" w:h="16838" w:orient="portrait"/>
          <w:cols w:equalWidth="0" w:num="1">
            <w:col w:w="11420"/>
          </w:cols>
          <w:pgMar w:left="240" w:top="904"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32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r:id="rId16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Loan and Security Agreement dated as of December 27, 2013 between Acura Pharmaceuticals, Inc., Acura Pharmaceutical</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Technologies, Inc., and Oxford Finance LLC (incorporated by reference to Exhibit 10.6 to the Form 10-K filed March 3, 2014).</w:t>
              </w:r>
            </w:hyperlink>
          </w:p>
        </w:tc>
        <w:tc>
          <w:tcPr>
            <w:tcW w:w="600" w:type="dxa"/>
            <w:vAlign w:val="bottom"/>
            <w:gridSpan w:val="2"/>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First Amendment to Loan and Security Agreement entered into as of January 7, 2015 between Oxford Finance LLC, the Registrant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Acura Pharmaceutical Technologies, Inc. (incorporated by reference to Exhibit 10.8 to our Form 10-K filed March 2, 2015).</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6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Second Amendment to Loan and Security Agreement entered into as of October 13, 2016 between Oxford Finance LLC, the Registrant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and Acura Pharmaceutical Technologies, Inc. (incorporated by reference to Exhibit 10.6 to the Registration Statement on Form S-1</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filed February 3, 2017, File No. 333-215885)</w:t>
              </w:r>
            </w:hyperlink>
          </w:p>
        </w:tc>
        <w:tc>
          <w:tcPr>
            <w:tcW w:w="6540" w:type="dxa"/>
            <w:vAlign w:val="bottom"/>
            <w:gridSpan w:val="12"/>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tcBorders>
              <w:bottom w:val="single" w:sz="8" w:color="0000EE"/>
            </w:tcBorders>
            <w:gridSpan w:val="10"/>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Form of Mortgage dated December 27, 2013 (incorporated by reference to Exhibit 10.8 to the Form 10-K filed March 3, 2014).</w:t>
              </w:r>
            </w:hyperlink>
          </w:p>
        </w:tc>
        <w:tc>
          <w:tcPr>
            <w:tcW w:w="620" w:type="dxa"/>
            <w:vAlign w:val="bottom"/>
            <w:gridSpan w:val="3"/>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r:id="rId16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Collaboration and License Agreement entered into as of January 7, 2015 between the Registrant, Egalet US, Inc., Egalet Limited and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with respect to Section 17.21, Egalet Corporation (certain information has been omitted and filed separately with the Securities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Exchange Commission and confidential treatment has been granted with respect to the omitted portion) (incorporated by reference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Exhibit 10.13 to the Form 10-K for the year ending December 31, 2014, filed March 2, 2015).</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License and Development Agreement dated as of June 5, 2015 between the Registrant and Bayer HealthCare LLC (certain information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has been omitted and filed separately with the Securities and Exchange Commission and confidential treatment has been granted with</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respect to the omitted portion) (incorporated by reference to Exhibit 10.1 to our Form 10-Q/A filed February 16, 2016).</w:t>
              </w:r>
            </w:hyperlink>
          </w:p>
        </w:tc>
        <w:tc>
          <w:tcPr>
            <w:tcW w:w="1200" w:type="dxa"/>
            <w:vAlign w:val="bottom"/>
            <w:gridSpan w:val="5"/>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17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Amended and Restated Voting Agreement dated as of February 6, 2004 among the Registrant, Care Capital Investments II, LP, Essex</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Woodlands Health Ventures V, L.P., Galen Partners III, L.P., and others (incorporated by reference to Exhibit 10.5 of the Form 8-K filed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on February 10, 2004 (the “February 2004 Form 8-K”)).</w:t>
              </w:r>
            </w:hyperlink>
          </w:p>
        </w:tc>
        <w:tc>
          <w:tcPr>
            <w:tcW w:w="5740" w:type="dxa"/>
            <w:vAlign w:val="bottom"/>
            <w:gridSpan w:val="9"/>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17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Joinder and Amendment to Amended and Restated Voting Agreement dated November 9, 2005 between the Registrant, GCE Holdings,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Essex Woodlands Health Ventures V, L.P., Care Capital Investments II, LP, Galen Partners III, L.P. and others (incorporated by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reference to Exhibit 10.1 to the Form 8-K filed November 10, 2005).</w:t>
              </w:r>
            </w:hyperlink>
          </w:p>
        </w:tc>
        <w:tc>
          <w:tcPr>
            <w:tcW w:w="4840" w:type="dxa"/>
            <w:vAlign w:val="bottom"/>
            <w:gridSpan w:val="8"/>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17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Second Amendment to Amended and Restated Voting Agreement dated as of January 24, 2008 between the Registrant and GCE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Holdings, LLC (incorporated by reference to Exhibit 10.1 to the Form 8-K filed January 28, 2008).</w:t>
              </w:r>
            </w:hyperlink>
          </w:p>
        </w:tc>
        <w:tc>
          <w:tcPr>
            <w:tcW w:w="20" w:type="dxa"/>
            <w:vAlign w:val="bottom"/>
          </w:tcPr>
          <w:p>
            <w:pPr>
              <w:spacing w:after="0"/>
              <w:rPr>
                <w:sz w:val="17"/>
                <w:szCs w:val="17"/>
                <w:color w:val="auto"/>
              </w:rPr>
            </w:pPr>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4"/>
              </w:rPr>
            </w:pPr>
            <w:hyperlink r:id="rId173">
              <w:r>
                <w:rPr>
                  <w:rFonts w:ascii="Arial" w:cs="Arial" w:eastAsia="Arial" w:hAnsi="Arial"/>
                  <w:sz w:val="18"/>
                  <w:szCs w:val="18"/>
                  <w:color w:val="0000EE"/>
                  <w:w w:val="94"/>
                </w:rPr>
                <w:t>Third Amendment to Amended and Restated Voting Agreement dated as of October 1, 2012 between the Registrant, Care Capital</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Investments II, LP, Essex Woodlands Health Ventures V, L.P., Galen Partners III, L.P., and others (incorporated by reference to Exhibit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Form 8-K filed on October 3, 2012).</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Second Amended and Restated Voting Agreement executed July 2017 and dated as of July 24, 2017 (incorporated by reference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Exhibit 10.1 to the 8-K dated filed August 1, 2017)</w:t>
              </w:r>
            </w:hyperlink>
          </w:p>
        </w:tc>
      </w:tr>
      <w:tr>
        <w:trPr>
          <w:trHeight w:val="696"/>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120" w:type="dxa"/>
            <w:vAlign w:val="bottom"/>
            <w:tcBorders>
              <w:bottom w:val="single" w:sz="8" w:color="auto"/>
            </w:tcBorders>
            <w:gridSpan w:val="10"/>
          </w:tcPr>
          <w:p>
            <w:pPr>
              <w:ind w:left="260"/>
              <w:spacing w:after="0"/>
              <w:rPr>
                <w:sz w:val="20"/>
                <w:szCs w:val="20"/>
                <w:color w:val="auto"/>
              </w:rPr>
            </w:pPr>
            <w:r>
              <w:rPr>
                <w:rFonts w:ascii="Arial" w:cs="Arial" w:eastAsia="Arial" w:hAnsi="Arial"/>
                <w:sz w:val="22"/>
                <w:szCs w:val="22"/>
                <w:color w:val="auto"/>
              </w:rPr>
              <w:t>E-2</w:t>
            </w:r>
          </w:p>
        </w:tc>
      </w:tr>
    </w:tbl>
    <w:p>
      <w:pPr>
        <w:sectPr>
          <w:pgSz w:w="11900" w:h="16838" w:orient="portrait"/>
          <w:cols w:equalWidth="0" w:num="1">
            <w:col w:w="11420"/>
          </w:cols>
          <w:pgMar w:left="240" w:top="904"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gridSpan w:val="10"/>
          </w:tcPr>
          <w:p>
            <w:pPr>
              <w:ind w:left="172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620" w:type="dxa"/>
            <w:vAlign w:val="bottom"/>
            <w:gridSpan w:val="3"/>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†10.15</w:t>
              </w:r>
            </w:hyperlink>
          </w:p>
        </w:tc>
        <w:tc>
          <w:tcPr>
            <w:tcW w:w="9800" w:type="dxa"/>
            <w:vAlign w:val="bottom"/>
            <w:gridSpan w:val="15"/>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Registrant’s 1998 Stock Option Plan, as amended (incorporated by reference to Appendix C to the Registrant’s Proxy Statement filed</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on May 12, 2009).</w:t>
              </w:r>
            </w:hyperlink>
          </w:p>
        </w:tc>
        <w:tc>
          <w:tcPr>
            <w:tcW w:w="8460" w:type="dxa"/>
            <w:vAlign w:val="bottom"/>
            <w:tcBorders>
              <w:top w:val="single" w:sz="8" w:color="0000EE"/>
            </w:tcBorders>
            <w:gridSpan w:val="13"/>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†10.16</w:t>
              </w:r>
            </w:hyperlink>
          </w:p>
        </w:tc>
        <w:tc>
          <w:tcPr>
            <w:tcW w:w="9800" w:type="dxa"/>
            <w:vAlign w:val="bottom"/>
            <w:gridSpan w:val="15"/>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Registrant’s 2005 Restricted Stock Unit Award Plan, as amended (incorporated by reference to Appendix B to the Registrant’s Proxy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Statement filed on April 2, 2008).</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7">
              <w:r>
                <w:rPr>
                  <w:rFonts w:ascii="Arial" w:cs="Arial" w:eastAsia="Arial" w:hAnsi="Arial"/>
                  <w:sz w:val="18"/>
                  <w:szCs w:val="18"/>
                  <w:color w:val="0000EE"/>
                </w:rPr>
                <w:t>†10.17</w:t>
              </w:r>
            </w:hyperlink>
          </w:p>
        </w:tc>
        <w:tc>
          <w:tcPr>
            <w:tcW w:w="9800" w:type="dxa"/>
            <w:vAlign w:val="bottom"/>
            <w:gridSpan w:val="15"/>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Registrant’s 2014 Restricted Stock Unit Award Plan, (incorporated by reference to Appendix A to the Registrant’s Proxy Statement</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filed on March 12, 2014).</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8">
              <w:r>
                <w:rPr>
                  <w:rFonts w:ascii="Arial" w:cs="Arial" w:eastAsia="Arial" w:hAnsi="Arial"/>
                  <w:sz w:val="18"/>
                  <w:szCs w:val="18"/>
                  <w:color w:val="0000EE"/>
                </w:rPr>
                <w:t>†10.18</w:t>
              </w:r>
            </w:hyperlink>
          </w:p>
        </w:tc>
        <w:tc>
          <w:tcPr>
            <w:tcW w:w="9800" w:type="dxa"/>
            <w:vAlign w:val="bottom"/>
            <w:gridSpan w:val="15"/>
          </w:tcPr>
          <w:p>
            <w:pPr>
              <w:spacing w:after="0"/>
              <w:rPr>
                <w:rFonts w:ascii="Arial" w:cs="Arial" w:eastAsia="Arial" w:hAnsi="Arial"/>
                <w:sz w:val="18"/>
                <w:szCs w:val="18"/>
                <w:color w:val="0000EE"/>
                <w:w w:val="96"/>
              </w:rPr>
            </w:pPr>
            <w:hyperlink r:id="rId178">
              <w:r>
                <w:rPr>
                  <w:rFonts w:ascii="Arial" w:cs="Arial" w:eastAsia="Arial" w:hAnsi="Arial"/>
                  <w:sz w:val="18"/>
                  <w:szCs w:val="18"/>
                  <w:color w:val="0000EE"/>
                  <w:w w:val="96"/>
                </w:rPr>
                <w:t>Registrant’s 2017 Restricted Stock Unit Award Plan, (incorporated by reference to Exhibit 10.1 to the 8-K filed on November 14,</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2017).</w:t>
              </w:r>
            </w:hyperlink>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†10.19</w:t>
              </w:r>
            </w:hyperlink>
          </w:p>
        </w:tc>
        <w:tc>
          <w:tcPr>
            <w:tcW w:w="9800" w:type="dxa"/>
            <w:vAlign w:val="bottom"/>
            <w:gridSpan w:val="15"/>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Registrant’s 2008 Stock Option Plan, as amended on June 25, 2009 (incorporated by reference to Appendix B to our Proxy Statement</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filed on May 12, 2009).</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9">
              <w:r>
                <w:rPr>
                  <w:rFonts w:ascii="Arial" w:cs="Arial" w:eastAsia="Arial" w:hAnsi="Arial"/>
                  <w:sz w:val="18"/>
                  <w:szCs w:val="18"/>
                  <w:color w:val="0000EE"/>
                </w:rPr>
                <w:t>†10.20</w:t>
              </w:r>
            </w:hyperlink>
          </w:p>
        </w:tc>
        <w:tc>
          <w:tcPr>
            <w:tcW w:w="9800" w:type="dxa"/>
            <w:vAlign w:val="bottom"/>
            <w:gridSpan w:val="15"/>
          </w:tcPr>
          <w:p>
            <w:pPr>
              <w:spacing w:after="0"/>
              <w:rPr>
                <w:rFonts w:ascii="Arial" w:cs="Arial" w:eastAsia="Arial" w:hAnsi="Arial"/>
                <w:sz w:val="18"/>
                <w:szCs w:val="18"/>
                <w:color w:val="0000EE"/>
              </w:rPr>
            </w:pPr>
            <w:hyperlink r:id="rId179">
              <w:r>
                <w:rPr>
                  <w:rFonts w:ascii="Arial" w:cs="Arial" w:eastAsia="Arial" w:hAnsi="Arial"/>
                  <w:sz w:val="18"/>
                  <w:szCs w:val="18"/>
                  <w:color w:val="0000EE"/>
                </w:rPr>
                <w:t>Registrant’s 2016 Stock Option Plan (incorporated by reference to Exhibit 10.1 to our Form 8-K filed on April 28, 2016).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0">
              <w:r>
                <w:rPr>
                  <w:rFonts w:ascii="Arial" w:cs="Arial" w:eastAsia="Arial" w:hAnsi="Arial"/>
                  <w:sz w:val="18"/>
                  <w:szCs w:val="18"/>
                  <w:color w:val="0000EE"/>
                </w:rPr>
                <w:t>†10.21</w:t>
              </w:r>
            </w:hyperlink>
          </w:p>
        </w:tc>
        <w:tc>
          <w:tcPr>
            <w:tcW w:w="9800" w:type="dxa"/>
            <w:vAlign w:val="bottom"/>
            <w:gridSpan w:val="15"/>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Employment Agreement dated as of March 10, 1998 between the Registrant and Peter Clemens (“Clemens”) (incorporated by reference</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to Exhibit 10.44 to the Form 10-K for the period ending December 31, 2007, filed on April 15, 1998).</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1">
              <w:r>
                <w:rPr>
                  <w:rFonts w:ascii="Arial" w:cs="Arial" w:eastAsia="Arial" w:hAnsi="Arial"/>
                  <w:sz w:val="18"/>
                  <w:szCs w:val="18"/>
                  <w:color w:val="0000EE"/>
                </w:rPr>
                <w:t>†10.22</w:t>
              </w:r>
            </w:hyperlink>
          </w:p>
        </w:tc>
        <w:tc>
          <w:tcPr>
            <w:tcW w:w="9800" w:type="dxa"/>
            <w:vAlign w:val="bottom"/>
            <w:gridSpan w:val="15"/>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First Amendment to Employment Agreement made as of June 28, 2000 between the Registrant and Clemens (incorporated by reference</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to Exhibit 10.44A to the Registrant’s Form 10-K filed on February 21, 2006).</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2">
              <w:r>
                <w:rPr>
                  <w:rFonts w:ascii="Arial" w:cs="Arial" w:eastAsia="Arial" w:hAnsi="Arial"/>
                  <w:sz w:val="18"/>
                  <w:szCs w:val="18"/>
                  <w:color w:val="0000EE"/>
                </w:rPr>
                <w:t>†10.23</w:t>
              </w:r>
            </w:hyperlink>
          </w:p>
        </w:tc>
        <w:tc>
          <w:tcPr>
            <w:tcW w:w="9800" w:type="dxa"/>
            <w:vAlign w:val="bottom"/>
            <w:gridSpan w:val="15"/>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Second Amendment to Executive Employment Agreement between Registrant and Clemens, dated as of January 5, 2005 (incorporated</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by reference to Exhibit 99.1 to the Registrant's Form 8-K filed January 31, 2005).</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3">
              <w:r>
                <w:rPr>
                  <w:rFonts w:ascii="Arial" w:cs="Arial" w:eastAsia="Arial" w:hAnsi="Arial"/>
                  <w:sz w:val="18"/>
                  <w:szCs w:val="18"/>
                  <w:color w:val="0000EE"/>
                </w:rPr>
                <w:t>†10.24</w:t>
              </w:r>
            </w:hyperlink>
          </w:p>
        </w:tc>
        <w:tc>
          <w:tcPr>
            <w:tcW w:w="9800" w:type="dxa"/>
            <w:vAlign w:val="bottom"/>
            <w:gridSpan w:val="15"/>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Third Amendment to Executive Employment Agreement dated December 22, 2005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reference to Exhibit 10.3 to the Registrant’s Form 8-K filed December 23, 2005).</w:t>
              </w:r>
            </w:hyperlink>
          </w:p>
        </w:tc>
        <w:tc>
          <w:tcPr>
            <w:tcW w:w="3940" w:type="dxa"/>
            <w:vAlign w:val="bottom"/>
            <w:tcBorders>
              <w:top w:val="single" w:sz="8" w:color="0000EE"/>
            </w:tcBorders>
            <w:gridSpan w:val="7"/>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4">
              <w:r>
                <w:rPr>
                  <w:rFonts w:ascii="Arial" w:cs="Arial" w:eastAsia="Arial" w:hAnsi="Arial"/>
                  <w:sz w:val="18"/>
                  <w:szCs w:val="18"/>
                  <w:color w:val="0000EE"/>
                </w:rPr>
                <w:t>†10.25</w:t>
              </w:r>
            </w:hyperlink>
          </w:p>
        </w:tc>
        <w:tc>
          <w:tcPr>
            <w:tcW w:w="9800" w:type="dxa"/>
            <w:vAlign w:val="bottom"/>
            <w:gridSpan w:val="15"/>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Fourth Amendment to Executive Employment Agreement dated December 16, 2007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reference to Exhibit 10.28 to the Form 10-K for the year ending December 31, 2007, filed on March 5, 2008).</w:t>
              </w:r>
            </w:hyperlink>
          </w:p>
        </w:tc>
        <w:tc>
          <w:tcPr>
            <w:tcW w:w="1900" w:type="dxa"/>
            <w:vAlign w:val="bottom"/>
            <w:tcBorders>
              <w:top w:val="single" w:sz="8" w:color="0000EE"/>
            </w:tcBorders>
            <w:gridSpan w:val="4"/>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5">
              <w:r>
                <w:rPr>
                  <w:rFonts w:ascii="Arial" w:cs="Arial" w:eastAsia="Arial" w:hAnsi="Arial"/>
                  <w:sz w:val="18"/>
                  <w:szCs w:val="18"/>
                  <w:color w:val="0000EE"/>
                </w:rPr>
                <w:t>†10.26</w:t>
              </w:r>
            </w:hyperlink>
          </w:p>
        </w:tc>
        <w:tc>
          <w:tcPr>
            <w:tcW w:w="9800" w:type="dxa"/>
            <w:vAlign w:val="bottom"/>
            <w:gridSpan w:val="15"/>
          </w:tcPr>
          <w:p>
            <w:pPr>
              <w:spacing w:after="0"/>
              <w:rPr>
                <w:rFonts w:ascii="Arial" w:cs="Arial" w:eastAsia="Arial" w:hAnsi="Arial"/>
                <w:sz w:val="18"/>
                <w:szCs w:val="18"/>
                <w:color w:val="0000EE"/>
                <w:w w:val="95"/>
              </w:rPr>
            </w:pPr>
            <w:hyperlink r:id="rId185">
              <w:r>
                <w:rPr>
                  <w:rFonts w:ascii="Arial" w:cs="Arial" w:eastAsia="Arial" w:hAnsi="Arial"/>
                  <w:sz w:val="18"/>
                  <w:szCs w:val="18"/>
                  <w:color w:val="0000EE"/>
                  <w:w w:val="95"/>
                </w:rPr>
                <w:t>Fifth Amendment to Executive Employment Agreement executed July 9, 2008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reference to Exhibit 10.4 to our Form 8-K filed on July 10, 2008).</w:t>
              </w:r>
            </w:hyperlink>
          </w:p>
        </w:tc>
        <w:tc>
          <w:tcPr>
            <w:tcW w:w="5060" w:type="dxa"/>
            <w:vAlign w:val="bottom"/>
            <w:tcBorders>
              <w:top w:val="single" w:sz="8" w:color="0000EE"/>
            </w:tcBorders>
            <w:gridSpan w:val="9"/>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6">
              <w:r>
                <w:rPr>
                  <w:rFonts w:ascii="Arial" w:cs="Arial" w:eastAsia="Arial" w:hAnsi="Arial"/>
                  <w:sz w:val="18"/>
                  <w:szCs w:val="18"/>
                  <w:color w:val="0000EE"/>
                </w:rPr>
                <w:t>†10.27</w:t>
              </w:r>
            </w:hyperlink>
          </w:p>
        </w:tc>
        <w:tc>
          <w:tcPr>
            <w:tcW w:w="9800" w:type="dxa"/>
            <w:vAlign w:val="bottom"/>
            <w:gridSpan w:val="15"/>
          </w:tcPr>
          <w:p>
            <w:pPr>
              <w:spacing w:after="0"/>
              <w:rPr>
                <w:rFonts w:ascii="Arial" w:cs="Arial" w:eastAsia="Arial" w:hAnsi="Arial"/>
                <w:sz w:val="18"/>
                <w:szCs w:val="18"/>
                <w:color w:val="0000EE"/>
                <w:w w:val="99"/>
              </w:rPr>
            </w:pPr>
            <w:hyperlink r:id="rId186">
              <w:r>
                <w:rPr>
                  <w:rFonts w:ascii="Arial" w:cs="Arial" w:eastAsia="Arial" w:hAnsi="Arial"/>
                  <w:sz w:val="18"/>
                  <w:szCs w:val="18"/>
                  <w:color w:val="0000EE"/>
                  <w:w w:val="99"/>
                </w:rPr>
                <w:t>Sixth Amendment to Executive Employment Agreement executed December 14, 2012 between the Registrant and Clemens</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(incorporated by reference to Exhibit 10.2 to our Form 8-K filed on December 17, 2012).</w:t>
              </w:r>
            </w:hyperlink>
          </w:p>
        </w:tc>
        <w:tc>
          <w:tcPr>
            <w:tcW w:w="33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7">
              <w:r>
                <w:rPr>
                  <w:rFonts w:ascii="Arial" w:cs="Arial" w:eastAsia="Arial" w:hAnsi="Arial"/>
                  <w:sz w:val="18"/>
                  <w:szCs w:val="18"/>
                  <w:color w:val="0000EE"/>
                </w:rPr>
                <w:t>†10.28</w:t>
              </w:r>
            </w:hyperlink>
          </w:p>
        </w:tc>
        <w:tc>
          <w:tcPr>
            <w:tcW w:w="9800" w:type="dxa"/>
            <w:vAlign w:val="bottom"/>
            <w:gridSpan w:val="15"/>
          </w:tcPr>
          <w:p>
            <w:pPr>
              <w:spacing w:after="0"/>
              <w:rPr>
                <w:rFonts w:ascii="Arial" w:cs="Arial" w:eastAsia="Arial" w:hAnsi="Arial"/>
                <w:sz w:val="18"/>
                <w:szCs w:val="18"/>
                <w:color w:val="0000EE"/>
                <w:w w:val="96"/>
              </w:rPr>
            </w:pPr>
            <w:hyperlink r:id="rId187">
              <w:r>
                <w:rPr>
                  <w:rFonts w:ascii="Arial" w:cs="Arial" w:eastAsia="Arial" w:hAnsi="Arial"/>
                  <w:sz w:val="18"/>
                  <w:szCs w:val="18"/>
                  <w:color w:val="0000EE"/>
                  <w:w w:val="96"/>
                </w:rPr>
                <w:t>Seventh Amendment to Executive Employment Agreement executed December 12, 2013 between the Registrant and Clemens</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(incorporated by reference to Exhibit 10.24 to the Form 10-K for the year ending December 31, 2013 filed on March 3, 2014).</w:t>
              </w:r>
            </w:hyperlink>
          </w:p>
        </w:tc>
      </w:tr>
      <w:tr>
        <w:trPr>
          <w:trHeight w:val="723"/>
        </w:trPr>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0000EE"/>
              <w:bottom w:val="single" w:sz="8" w:color="auto"/>
            </w:tcBorders>
            <w:gridSpan w:val="8"/>
          </w:tcPr>
          <w:p>
            <w:pPr>
              <w:ind w:left="1520"/>
              <w:spacing w:after="0"/>
              <w:rPr>
                <w:sz w:val="20"/>
                <w:szCs w:val="20"/>
                <w:color w:val="auto"/>
              </w:rPr>
            </w:pPr>
            <w:r>
              <w:rPr>
                <w:rFonts w:ascii="Arial" w:cs="Arial" w:eastAsia="Arial" w:hAnsi="Arial"/>
                <w:sz w:val="22"/>
                <w:szCs w:val="22"/>
                <w:color w:val="auto"/>
              </w:rPr>
              <w:t>E-3</w:t>
            </w:r>
          </w:p>
        </w:tc>
        <w:tc>
          <w:tcPr>
            <w:tcW w:w="720" w:type="dxa"/>
            <w:vAlign w:val="bottom"/>
            <w:tcBorders>
              <w:bottom w:val="single" w:sz="8" w:color="auto"/>
            </w:tcBorders>
            <w:gridSpan w:val="2"/>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360" w:type="dxa"/>
            <w:vAlign w:val="bottom"/>
            <w:tcBorders>
              <w:bottom w:val="single" w:sz="8" w:color="auto"/>
            </w:tcBorders>
            <w:gridSpan w:val="8"/>
          </w:tcPr>
          <w:p>
            <w:pPr>
              <w:ind w:left="70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620" w:type="dxa"/>
            <w:vAlign w:val="bottom"/>
            <w:gridSpan w:val="4"/>
          </w:tcPr>
          <w:p>
            <w:pPr>
              <w:spacing w:after="0"/>
              <w:rPr>
                <w:rFonts w:ascii="Arial" w:cs="Arial" w:eastAsia="Arial" w:hAnsi="Arial"/>
                <w:sz w:val="18"/>
                <w:szCs w:val="18"/>
                <w:color w:val="0000EE"/>
              </w:rPr>
            </w:pPr>
            <w:hyperlink r:id="rId188">
              <w:r>
                <w:rPr>
                  <w:rFonts w:ascii="Arial" w:cs="Arial" w:eastAsia="Arial" w:hAnsi="Arial"/>
                  <w:sz w:val="18"/>
                  <w:szCs w:val="18"/>
                  <w:color w:val="0000EE"/>
                </w:rPr>
                <w:t>†10.29</w:t>
              </w:r>
            </w:hyperlink>
          </w:p>
        </w:tc>
        <w:tc>
          <w:tcPr>
            <w:tcW w:w="9800" w:type="dxa"/>
            <w:vAlign w:val="bottom"/>
            <w:gridSpan w:val="11"/>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Employment Agreement dated as of March 18, 2008 between the Registrant and Robert B. Jones (incorporated by reference to Exhibit</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our Form 8-K filed on March 24, 2008).</w:t>
              </w:r>
            </w:hyperlink>
          </w:p>
        </w:tc>
        <w:tc>
          <w:tcPr>
            <w:tcW w:w="6360" w:type="dxa"/>
            <w:vAlign w:val="bottom"/>
            <w:tcBorders>
              <w:top w:val="single" w:sz="8" w:color="0000EE"/>
            </w:tcBorders>
            <w:gridSpan w:val="8"/>
          </w:tcPr>
          <w:p>
            <w:pPr>
              <w:spacing w:after="0"/>
              <w:rPr>
                <w:sz w:val="17"/>
                <w:szCs w:val="17"/>
                <w:color w:val="auto"/>
              </w:rPr>
            </w:pPr>
          </w:p>
        </w:tc>
      </w:tr>
      <w:tr>
        <w:trPr>
          <w:trHeight w:val="412"/>
        </w:trPr>
        <w:tc>
          <w:tcPr>
            <w:tcW w:w="1620" w:type="dxa"/>
            <w:vAlign w:val="bottom"/>
            <w:gridSpan w:val="4"/>
          </w:tcPr>
          <w:p>
            <w:pPr>
              <w:spacing w:after="0"/>
              <w:rPr>
                <w:rFonts w:ascii="Arial" w:cs="Arial" w:eastAsia="Arial" w:hAnsi="Arial"/>
                <w:sz w:val="18"/>
                <w:szCs w:val="18"/>
                <w:color w:val="0000EE"/>
              </w:rPr>
            </w:pPr>
            <w:hyperlink r:id="rId189">
              <w:r>
                <w:rPr>
                  <w:rFonts w:ascii="Arial" w:cs="Arial" w:eastAsia="Arial" w:hAnsi="Arial"/>
                  <w:sz w:val="18"/>
                  <w:szCs w:val="18"/>
                  <w:color w:val="0000EE"/>
                </w:rPr>
                <w:t>†10.30</w:t>
              </w:r>
            </w:hyperlink>
          </w:p>
        </w:tc>
        <w:tc>
          <w:tcPr>
            <w:tcW w:w="9800" w:type="dxa"/>
            <w:vAlign w:val="bottom"/>
            <w:gridSpan w:val="11"/>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Amendment to Executive Employment Agreement dated as of April 28, 2011 between the Registrant and Robert B. Jones (incorporated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by reference to Exhibit 10.1 to our Form 10-Q filed July 28, 2011).</w:t>
              </w:r>
            </w:hyperlink>
          </w:p>
        </w:tc>
      </w:tr>
      <w:tr>
        <w:trPr>
          <w:trHeight w:val="20"/>
        </w:trPr>
        <w:tc>
          <w:tcPr>
            <w:tcW w:w="4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4"/>
          </w:tcPr>
          <w:p>
            <w:pPr>
              <w:spacing w:after="0"/>
              <w:rPr>
                <w:rFonts w:ascii="Arial" w:cs="Arial" w:eastAsia="Arial" w:hAnsi="Arial"/>
                <w:sz w:val="18"/>
                <w:szCs w:val="18"/>
                <w:color w:val="0000EE"/>
              </w:rPr>
            </w:pPr>
            <w:hyperlink r:id="rId190">
              <w:r>
                <w:rPr>
                  <w:rFonts w:ascii="Arial" w:cs="Arial" w:eastAsia="Arial" w:hAnsi="Arial"/>
                  <w:sz w:val="18"/>
                  <w:szCs w:val="18"/>
                  <w:color w:val="0000EE"/>
                </w:rPr>
                <w:t>†10.31</w:t>
              </w:r>
            </w:hyperlink>
          </w:p>
        </w:tc>
        <w:tc>
          <w:tcPr>
            <w:tcW w:w="9800" w:type="dxa"/>
            <w:vAlign w:val="bottom"/>
            <w:gridSpan w:val="11"/>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Amendment to Executive Employment Agreement between Registrant and Robert B. Jones made as of July 7, 2011 (incorporated by</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reference to Exhibit 10.2 to our Form 10-Q filed July 28, 2011).</w:t>
              </w:r>
            </w:hyperlink>
          </w:p>
        </w:tc>
        <w:tc>
          <w:tcPr>
            <w:tcW w:w="5200" w:type="dxa"/>
            <w:vAlign w:val="bottom"/>
            <w:tcBorders>
              <w:top w:val="single" w:sz="8" w:color="0000EE"/>
            </w:tcBorders>
            <w:gridSpan w:val="7"/>
          </w:tcPr>
          <w:p>
            <w:pPr>
              <w:spacing w:after="0"/>
              <w:rPr>
                <w:sz w:val="17"/>
                <w:szCs w:val="17"/>
                <w:color w:val="auto"/>
              </w:rPr>
            </w:pPr>
          </w:p>
        </w:tc>
      </w:tr>
      <w:tr>
        <w:trPr>
          <w:trHeight w:val="412"/>
        </w:trPr>
        <w:tc>
          <w:tcPr>
            <w:tcW w:w="1620" w:type="dxa"/>
            <w:vAlign w:val="bottom"/>
            <w:gridSpan w:val="4"/>
          </w:tcPr>
          <w:p>
            <w:pPr>
              <w:spacing w:after="0"/>
              <w:rPr>
                <w:rFonts w:ascii="Arial" w:cs="Arial" w:eastAsia="Arial" w:hAnsi="Arial"/>
                <w:sz w:val="18"/>
                <w:szCs w:val="18"/>
                <w:color w:val="0000EE"/>
              </w:rPr>
            </w:pPr>
            <w:hyperlink r:id="rId191">
              <w:r>
                <w:rPr>
                  <w:rFonts w:ascii="Arial" w:cs="Arial" w:eastAsia="Arial" w:hAnsi="Arial"/>
                  <w:sz w:val="18"/>
                  <w:szCs w:val="18"/>
                  <w:color w:val="0000EE"/>
                </w:rPr>
                <w:t>†10.32</w:t>
              </w:r>
            </w:hyperlink>
          </w:p>
        </w:tc>
        <w:tc>
          <w:tcPr>
            <w:tcW w:w="9800" w:type="dxa"/>
            <w:vAlign w:val="bottom"/>
            <w:gridSpan w:val="11"/>
          </w:tcPr>
          <w:p>
            <w:pPr>
              <w:spacing w:after="0"/>
              <w:rPr>
                <w:rFonts w:ascii="Arial" w:cs="Arial" w:eastAsia="Arial" w:hAnsi="Arial"/>
                <w:sz w:val="18"/>
                <w:szCs w:val="18"/>
                <w:color w:val="0000EE"/>
                <w:w w:val="94"/>
              </w:rPr>
            </w:pPr>
            <w:hyperlink r:id="rId191">
              <w:r>
                <w:rPr>
                  <w:rFonts w:ascii="Arial" w:cs="Arial" w:eastAsia="Arial" w:hAnsi="Arial"/>
                  <w:sz w:val="18"/>
                  <w:szCs w:val="18"/>
                  <w:color w:val="0000EE"/>
                  <w:w w:val="94"/>
                </w:rPr>
                <w:t>Second Amendment to Executive Employment Agreement between Registrant and Robert B. Jones executed December 14, 2012</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(incorporated by reference to Exhibit 10.1 to our Form 8-K filed December 17, 2012).</w:t>
              </w:r>
            </w:hyperlink>
          </w:p>
        </w:tc>
        <w:tc>
          <w:tcPr>
            <w:tcW w:w="3600" w:type="dxa"/>
            <w:vAlign w:val="bottom"/>
            <w:tcBorders>
              <w:top w:val="single" w:sz="8" w:color="0000EE"/>
            </w:tcBorders>
            <w:gridSpan w:val="4"/>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92">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Form of Securities Purchase Agreement entered into between the Registrant and institutional investors on June 30, 2015 (incorporated</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by reference to Exhibit 10.1 of our Form 8-K filed July 1, 2015).</w:t>
              </w:r>
            </w:hyperlink>
          </w:p>
        </w:tc>
        <w:tc>
          <w:tcPr>
            <w:tcW w:w="5140" w:type="dxa"/>
            <w:vAlign w:val="bottom"/>
            <w:tcBorders>
              <w:top w:val="single" w:sz="8" w:color="0000EE"/>
            </w:tcBorders>
            <w:gridSpan w:val="6"/>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93">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3"/>
              </w:rPr>
            </w:pPr>
            <w:hyperlink r:id="rId193">
              <w:r>
                <w:rPr>
                  <w:rFonts w:ascii="Arial" w:cs="Arial" w:eastAsia="Arial" w:hAnsi="Arial"/>
                  <w:sz w:val="18"/>
                  <w:szCs w:val="18"/>
                  <w:color w:val="0000EE"/>
                  <w:w w:val="93"/>
                </w:rPr>
                <w:t>Consent and Third Amendment to Loan and Security Agreement entered into as of May 12, 2017 between Oxford Finance LLC, the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Registrant and Acura Pharmaceutical Technologies, Inc. (incorporated by reference to Exhibit 10.2 to our Form 10-Q filed May 12,</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2017).</w:t>
              </w:r>
            </w:hyperlink>
          </w:p>
        </w:tc>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94">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6"/>
              </w:rPr>
            </w:pPr>
            <w:hyperlink r:id="rId194">
              <w:r>
                <w:rPr>
                  <w:rFonts w:ascii="Arial" w:cs="Arial" w:eastAsia="Arial" w:hAnsi="Arial"/>
                  <w:sz w:val="18"/>
                  <w:szCs w:val="18"/>
                  <w:color w:val="0000EE"/>
                  <w:w w:val="96"/>
                </w:rPr>
                <w:t>License, Commercialization and Option Agreement is made and entered into as of March 16, 2017 by and between MainPointe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Pharmaceuticals, LLC (incorporated by reference to Exhibit 10.34 to our Form 10-K filed June 7, 2018).</w:t>
              </w:r>
            </w:hyperlink>
          </w:p>
        </w:tc>
      </w:tr>
      <w:tr>
        <w:trPr>
          <w:trHeight w:val="20"/>
        </w:trPr>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780" w:type="dxa"/>
            <w:vAlign w:val="bottom"/>
            <w:gridSpan w:val="6"/>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rPr>
            </w:pPr>
            <w:hyperlink r:id="rId195">
              <w:r>
                <w:rPr>
                  <w:rFonts w:ascii="Arial" w:cs="Arial" w:eastAsia="Arial" w:hAnsi="Arial"/>
                  <w:sz w:val="18"/>
                  <w:szCs w:val="18"/>
                  <w:color w:val="0000EE"/>
                </w:rPr>
                <w:t>10.</w:t>
              </w:r>
              <w:r>
                <w:rPr>
                  <w:rFonts w:ascii="Arial" w:cs="Arial" w:eastAsia="Arial" w:hAnsi="Arial"/>
                  <w:sz w:val="18"/>
                  <w:szCs w:val="18"/>
                  <w:u w:val="single" w:color="auto"/>
                  <w:color w:val="0000EE"/>
                </w:rPr>
                <w:t>36</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Promissory Note dated May 7, 2018 issued to John Schutte (incorporated by reference to Exhibit 10.35 to our Form 10-Q filed August</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95">
              <w:r>
                <w:rPr>
                  <w:rFonts w:ascii="Arial" w:cs="Arial" w:eastAsia="Arial" w:hAnsi="Arial"/>
                  <w:sz w:val="18"/>
                  <w:szCs w:val="18"/>
                  <w:color w:val="0000EE"/>
                  <w:w w:val="88"/>
                </w:rPr>
                <w:t>14, 2018).</w:t>
              </w:r>
            </w:hyperlink>
          </w:p>
        </w:tc>
        <w:tc>
          <w:tcPr>
            <w:tcW w:w="27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420" w:type="dxa"/>
            <w:vAlign w:val="bottom"/>
          </w:tcPr>
          <w:p>
            <w:pPr>
              <w:spacing w:after="0"/>
              <w:rPr>
                <w:rFonts w:ascii="Arial" w:cs="Arial" w:eastAsia="Arial" w:hAnsi="Arial"/>
                <w:sz w:val="18"/>
                <w:szCs w:val="18"/>
                <w:color w:val="0000EE"/>
                <w:w w:val="88"/>
              </w:rPr>
            </w:pPr>
            <w:hyperlink r:id="rId1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Subordination Agreement dated as of May 7, 2018 between John Schutte and Oxford Finance, LLC, approved by Registrant and Acura</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Pharmaceutical Technologies, Inc. (incorporated by reference to Exhibit 10.36 to our Form 10-Q filed August 14, 2018).</w:t>
              </w:r>
            </w:hyperlink>
          </w:p>
        </w:tc>
        <w:tc>
          <w:tcPr>
            <w:tcW w:w="1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Exhibit Number</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940" w:type="dxa"/>
            <w:vAlign w:val="bottom"/>
            <w:gridSpan w:val="8"/>
          </w:tcPr>
          <w:p>
            <w:pPr>
              <w:ind w:left="128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420" w:type="dxa"/>
            <w:vAlign w:val="bottom"/>
            <w:tcBorders>
              <w:top w:val="single" w:sz="8" w:color="auto"/>
              <w:bottom w:val="single" w:sz="8" w:color="0000EE"/>
            </w:tcBorders>
            <w:gridSpan w:val="3"/>
          </w:tcPr>
          <w:p>
            <w:pPr>
              <w:spacing w:after="0"/>
              <w:rPr>
                <w:rFonts w:ascii="Arial" w:cs="Arial" w:eastAsia="Arial" w:hAnsi="Arial"/>
                <w:sz w:val="18"/>
                <w:szCs w:val="18"/>
                <w:color w:val="0000EE"/>
                <w:w w:val="88"/>
              </w:rPr>
            </w:pPr>
            <w:hyperlink r:id="rId19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top w:val="single" w:sz="8" w:color="auto"/>
              <w:bottom w:val="single" w:sz="8" w:color="0000EE"/>
            </w:tcBorders>
            <w:gridSpan w:val="14"/>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Fourth Amendment dated as of June 6, 2018 to Loan and Security Agreement dated as of December 27, 2013, as amended, between the</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Registrant, Acura Pharmaceutical Technologies, Inc. and Oxford Finance, LLC (incorporated by reference to Exhibit 10.37 to our Form</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4"/>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10-Q filed August 14, 2018).</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1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Promissory Note dated June 28, 2018 issued to John Schutte (incorporated by reference to Exhibit 10.38 to our Form 10-Q filed August</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14, 2018).</w:t>
              </w:r>
            </w:hyperlink>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2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5"/>
              </w:rPr>
            </w:pPr>
            <w:hyperlink r:id="rId200">
              <w:r>
                <w:rPr>
                  <w:rFonts w:ascii="Arial" w:cs="Arial" w:eastAsia="Arial" w:hAnsi="Arial"/>
                  <w:sz w:val="18"/>
                  <w:szCs w:val="18"/>
                  <w:color w:val="0000EE"/>
                  <w:w w:val="95"/>
                </w:rPr>
                <w:t>Promissory Note dated August 2, 2018 issued to John Schutte (incorporated by reference to Exhibit 10.39 to our Form 10-Q filed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November 27, 2018).</w:t>
              </w:r>
            </w:hyperlink>
          </w:p>
        </w:tc>
        <w:tc>
          <w:tcPr>
            <w:tcW w:w="8260" w:type="dxa"/>
            <w:vAlign w:val="bottom"/>
            <w:gridSpan w:val="11"/>
          </w:tcPr>
          <w:p>
            <w:pPr>
              <w:spacing w:after="0"/>
              <w:rPr>
                <w:sz w:val="17"/>
                <w:szCs w:val="17"/>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2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Promissory Note dated September 13, 2018 issued to John Schutte (incorporated by reference to Exhibit 10.40 to our Form 10-Q filed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November 27, 2018).</w:t>
              </w:r>
            </w:hyperlink>
          </w:p>
        </w:tc>
        <w:tc>
          <w:tcPr>
            <w:tcW w:w="8260" w:type="dxa"/>
            <w:vAlign w:val="bottom"/>
            <w:gridSpan w:val="11"/>
          </w:tcPr>
          <w:p>
            <w:pPr>
              <w:spacing w:after="0"/>
              <w:rPr>
                <w:sz w:val="17"/>
                <w:szCs w:val="17"/>
                <w:color w:val="auto"/>
              </w:rPr>
            </w:pPr>
          </w:p>
        </w:tc>
      </w:tr>
      <w:tr>
        <w:trPr>
          <w:trHeight w:val="412"/>
        </w:trPr>
        <w:tc>
          <w:tcPr>
            <w:tcW w:w="500" w:type="dxa"/>
            <w:vAlign w:val="bottom"/>
            <w:gridSpan w:val="4"/>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42*</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Promissory Note dated October 5, 2018 issued to John Schutte.</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43*</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Promissory Note dated November 21, 2018 issued to John Schutte.</w:t>
              </w:r>
            </w:hyperlink>
          </w:p>
        </w:tc>
        <w:tc>
          <w:tcPr>
            <w:tcW w:w="4980" w:type="dxa"/>
            <w:vAlign w:val="bottom"/>
            <w:gridSpan w:val="3"/>
          </w:tcPr>
          <w:p>
            <w:pPr>
              <w:spacing w:after="0"/>
              <w:rPr>
                <w:sz w:val="24"/>
                <w:szCs w:val="24"/>
                <w:color w:val="auto"/>
              </w:rPr>
            </w:pPr>
          </w:p>
        </w:tc>
      </w:tr>
      <w:tr>
        <w:trPr>
          <w:trHeight w:val="412"/>
        </w:trPr>
        <w:tc>
          <w:tcPr>
            <w:tcW w:w="5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44*</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6">
              <w:r>
                <w:rPr>
                  <w:rFonts w:ascii="Arial" w:cs="Arial" w:eastAsia="Arial" w:hAnsi="Arial"/>
                  <w:sz w:val="18"/>
                  <w:szCs w:val="18"/>
                  <w:color w:val="0000EE"/>
                  <w:w w:val="88"/>
                </w:rPr>
                <w:t>Promissory Note dated December 20, 2018 issued to John Schutte.</w:t>
              </w:r>
            </w:hyperlink>
          </w:p>
        </w:tc>
        <w:tc>
          <w:tcPr>
            <w:tcW w:w="5000" w:type="dxa"/>
            <w:vAlign w:val="bottom"/>
            <w:gridSpan w:val="4"/>
          </w:tcPr>
          <w:p>
            <w:pPr>
              <w:spacing w:after="0"/>
              <w:rPr>
                <w:sz w:val="24"/>
                <w:szCs w:val="24"/>
                <w:color w:val="auto"/>
              </w:rPr>
            </w:pPr>
          </w:p>
        </w:tc>
      </w:tr>
      <w:tr>
        <w:trPr>
          <w:trHeight w:val="412"/>
        </w:trPr>
        <w:tc>
          <w:tcPr>
            <w:tcW w:w="5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45*</w:t>
              </w:r>
            </w:hyperlink>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39">
              <w:r>
                <w:rPr>
                  <w:rFonts w:ascii="Arial" w:cs="Arial" w:eastAsia="Arial" w:hAnsi="Arial"/>
                  <w:sz w:val="18"/>
                  <w:szCs w:val="18"/>
                  <w:color w:val="0000EE"/>
                  <w:w w:val="88"/>
                </w:rPr>
                <w:t>Promissory Note dated January 28, 2019 issued to John Schutte.</w:t>
              </w:r>
            </w:hyperlink>
          </w:p>
        </w:tc>
        <w:tc>
          <w:tcPr>
            <w:tcW w:w="5180" w:type="dxa"/>
            <w:vAlign w:val="bottom"/>
            <w:gridSpan w:val="5"/>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202">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r:id="rId202">
              <w:r>
                <w:rPr>
                  <w:rFonts w:ascii="Arial" w:cs="Arial" w:eastAsia="Arial" w:hAnsi="Arial"/>
                  <w:sz w:val="18"/>
                  <w:szCs w:val="18"/>
                  <w:color w:val="0000EE"/>
                </w:rPr>
                <w:t>Code of Ethics (incorporated by reference to Exhibit 14.1 of the Form 8-K filed on December 10, 2007).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r:id="rId203">
              <w:r>
                <w:rPr>
                  <w:rFonts w:ascii="Arial" w:cs="Arial" w:eastAsia="Arial" w:hAnsi="Arial"/>
                  <w:sz w:val="18"/>
                  <w:szCs w:val="18"/>
                  <w:color w:val="0000EE"/>
                  <w:w w:val="7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2"/>
              </w:rPr>
            </w:pPr>
            <w:hyperlink r:id="rId203">
              <w:r>
                <w:rPr>
                  <w:rFonts w:ascii="Arial" w:cs="Arial" w:eastAsia="Arial" w:hAnsi="Arial"/>
                  <w:sz w:val="18"/>
                  <w:szCs w:val="18"/>
                  <w:color w:val="0000EE"/>
                  <w:w w:val="92"/>
                </w:rPr>
                <w:t>Subsidiaries of the Registrant (incorporated by reference to Exhibit 21 to the Form 10-K for the fiscal year ended December 31, 2006</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4"/>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filed on March 15, 2007).</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Consent of Independent Registered Public Accounting Firm.</w:t>
              </w:r>
            </w:hyperlink>
          </w:p>
        </w:tc>
        <w:tc>
          <w:tcPr>
            <w:tcW w:w="5440" w:type="dxa"/>
            <w:vAlign w:val="bottom"/>
            <w:gridSpan w:val="7"/>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Certification of Periodic Report by Chief Executive Officer pursuant to Rule 13a-14 and 15d-14 of the Securities Exchange Act of</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43">
              <w:r>
                <w:rPr>
                  <w:rFonts w:ascii="Arial" w:cs="Arial" w:eastAsia="Arial" w:hAnsi="Arial"/>
                  <w:sz w:val="18"/>
                  <w:szCs w:val="18"/>
                  <w:color w:val="0000EE"/>
                  <w:w w:val="84"/>
                </w:rPr>
                <w:t>1934.</w:t>
              </w:r>
            </w:hyperlink>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95"/>
              </w:rPr>
            </w:pPr>
            <w:hyperlink w:anchor="page144">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69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32*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906 of the Sarbanes-Oxley Act of 2002.</w:t>
              </w:r>
            </w:hyperlink>
          </w:p>
        </w:tc>
      </w:tr>
      <w:tr>
        <w:trPr>
          <w:trHeight w:val="723"/>
        </w:trPr>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940" w:type="dxa"/>
            <w:vAlign w:val="bottom"/>
            <w:tcBorders>
              <w:bottom w:val="single" w:sz="8" w:color="auto"/>
            </w:tcBorders>
            <w:gridSpan w:val="8"/>
          </w:tcPr>
          <w:p>
            <w:pPr>
              <w:ind w:left="1080"/>
              <w:spacing w:after="0"/>
              <w:rPr>
                <w:sz w:val="20"/>
                <w:szCs w:val="20"/>
                <w:color w:val="auto"/>
              </w:rPr>
            </w:pPr>
            <w:r>
              <w:rPr>
                <w:rFonts w:ascii="Arial" w:cs="Arial" w:eastAsia="Arial" w:hAnsi="Arial"/>
                <w:sz w:val="22"/>
                <w:szCs w:val="22"/>
                <w:color w:val="auto"/>
              </w:rPr>
              <w:t>E-5</w:t>
            </w:r>
          </w:p>
        </w:tc>
      </w:tr>
    </w:tbl>
    <w:p>
      <w:pPr>
        <w:sectPr>
          <w:pgSz w:w="11900" w:h="16838" w:orient="portrait"/>
          <w:cols w:equalWidth="0" w:num="1">
            <w:col w:w="11420"/>
          </w:cols>
          <w:pgMar w:left="240" w:top="931"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62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tcPr>
          <w:p>
            <w:pPr>
              <w:spacing w:after="0"/>
              <w:rPr>
                <w:sz w:val="20"/>
                <w:szCs w:val="20"/>
                <w:color w:val="auto"/>
              </w:rPr>
            </w:pPr>
            <w:r>
              <w:rPr>
                <w:rFonts w:ascii="Arial" w:cs="Arial" w:eastAsia="Arial" w:hAnsi="Arial"/>
                <w:sz w:val="18"/>
                <w:szCs w:val="18"/>
                <w:color w:val="auto"/>
              </w:rPr>
              <w:t>XBRL Extension Calculation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9800" w:type="dxa"/>
            <w:vAlign w:val="bottom"/>
          </w:tcPr>
          <w:p>
            <w:pPr>
              <w:spacing w:after="0"/>
              <w:rPr>
                <w:sz w:val="20"/>
                <w:szCs w:val="20"/>
                <w:color w:val="auto"/>
              </w:rPr>
            </w:pPr>
            <w:r>
              <w:rPr>
                <w:rFonts w:ascii="Arial" w:cs="Arial" w:eastAsia="Arial" w:hAnsi="Arial"/>
                <w:sz w:val="18"/>
                <w:szCs w:val="18"/>
                <w:color w:val="auto"/>
              </w:rPr>
              <w:t>XBRL Extension Label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9800" w:type="dxa"/>
            <w:vAlign w:val="bottom"/>
          </w:tcPr>
          <w:p>
            <w:pPr>
              <w:spacing w:after="0"/>
              <w:rPr>
                <w:sz w:val="20"/>
                <w:szCs w:val="20"/>
                <w:color w:val="auto"/>
              </w:rPr>
            </w:pPr>
            <w:r>
              <w:rPr>
                <w:rFonts w:ascii="Arial" w:cs="Arial" w:eastAsia="Arial" w:hAnsi="Arial"/>
                <w:sz w:val="18"/>
                <w:szCs w:val="18"/>
                <w:color w:val="auto"/>
              </w:rPr>
              <w:t>XBRL Extension Presentation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10.42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8"/>
          <w:szCs w:val="18"/>
          <w:b w:val="1"/>
          <w:bCs w:val="1"/>
          <w:color w:val="auto"/>
        </w:rPr>
        <w:t>“Noteholder”</w:t>
      </w:r>
      <w:r>
        <w:rPr>
          <w:rFonts w:ascii="Arial" w:cs="Arial" w:eastAsia="Arial" w:hAnsi="Arial"/>
          <w:sz w:val="18"/>
          <w:szCs w:val="18"/>
          <w:color w:val="auto"/>
        </w:rPr>
        <w:t xml:space="preserve">), the principal amount of </w:t>
      </w:r>
      <w:r>
        <w:rPr>
          <w:rFonts w:ascii="Arial" w:cs="Arial" w:eastAsia="Arial" w:hAnsi="Arial"/>
          <w:sz w:val="18"/>
          <w:szCs w:val="18"/>
          <w:b w:val="1"/>
          <w:bCs w:val="1"/>
          <w:color w:val="auto"/>
        </w:rPr>
        <w:t>ONE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MILLION EIGHT HUNDRED THOUSAND DOLLARS ($1,800,000) </w:t>
      </w:r>
      <w:r>
        <w:rPr>
          <w:rFonts w:ascii="Arial" w:cs="Arial" w:eastAsia="Arial" w:hAnsi="Arial"/>
          <w:sz w:val="18"/>
          <w:szCs w:val="18"/>
          <w:color w:val="auto"/>
        </w:rPr>
        <w:t>together with all accrued interest thereon, as provided in this Promissory Note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8" w:lineRule="exact"/>
        <w:rPr>
          <w:sz w:val="20"/>
          <w:szCs w:val="20"/>
          <w:color w:val="auto"/>
        </w:rPr>
      </w:pPr>
    </w:p>
    <w:p>
      <w:pPr>
        <w:ind w:left="960" w:hanging="62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ind w:left="340"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ind w:left="340" w:right="30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960" w:hanging="62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$1,800,000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960" w:hanging="62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340" w:right="16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340" w:right="40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ind w:left="340" w:right="8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81" w:lineRule="exact"/>
        <w:rPr>
          <w:sz w:val="20"/>
          <w:szCs w:val="20"/>
          <w:color w:val="auto"/>
        </w:rPr>
      </w:pPr>
    </w:p>
    <w:p>
      <w:pPr>
        <w:ind w:right="260" w:firstLine="332"/>
        <w:spacing w:after="0" w:line="342" w:lineRule="auto"/>
        <w:tabs>
          <w:tab w:leader="none" w:pos="99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0" w:name="page131"/>
    <w:bookmarkEnd w:id="130"/>
    <w:p>
      <w:pPr>
        <w:ind w:left="940" w:hanging="628"/>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ind w:left="320" w:right="2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ind w:left="320" w:right="100" w:firstLine="64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ind w:left="-20" w:right="140" w:firstLine="332"/>
        <w:spacing w:after="0" w:line="279" w:lineRule="auto"/>
        <w:tabs>
          <w:tab w:leader="none" w:pos="93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940" w:hanging="628"/>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320" w:right="20"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320" w:right="4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Note is non-negotiable but may be assigned or transferred by the Noteholder,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consent is not required if the Noteholder assigns or transfers this Note to an Affiliate. </w:t>
      </w:r>
      <w:r>
        <w:rPr>
          <w:rFonts w:ascii="Arial" w:cs="Arial" w:eastAsia="Arial" w:hAnsi="Arial"/>
          <w:sz w:val="18"/>
          <w:szCs w:val="18"/>
          <w:u w:val="single" w:color="auto"/>
          <w:color w:val="auto"/>
        </w:rPr>
        <w:t>Waiver of Notice</w:t>
      </w:r>
      <w:r>
        <w:rPr>
          <w:rFonts w:ascii="Arial" w:cs="Arial" w:eastAsia="Arial" w:hAnsi="Arial"/>
          <w:sz w:val="18"/>
          <w:szCs w:val="18"/>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87" w:lineRule="exact"/>
        <w:rPr>
          <w:sz w:val="20"/>
          <w:szCs w:val="20"/>
          <w:color w:val="auto"/>
        </w:rPr>
      </w:pPr>
    </w:p>
    <w:p>
      <w:pPr>
        <w:ind w:left="320" w:right="22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ind w:left="320" w:firstLine="648"/>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ind w:left="320" w:right="120" w:firstLine="648"/>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Security</w:t>
      </w:r>
      <w:r>
        <w:rPr>
          <w:rFonts w:ascii="Arial" w:cs="Arial" w:eastAsia="Arial" w:hAnsi="Arial"/>
          <w:sz w:val="16"/>
          <w:szCs w:val="16"/>
          <w:color w:val="auto"/>
        </w:rPr>
        <w:t>.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IN WITNESS WHEREOF, the Borrower has executed this Note as of October 5, 2018.</w:t>
      </w: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Pete A. Clemens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-130810</wp:posOffset>
            </wp:positionV>
            <wp:extent cx="3327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Sr. VP &amp; CFO</w:t>
      </w:r>
    </w:p>
    <w:p>
      <w:pPr>
        <w:spacing w:after="0" w:line="200" w:lineRule="exact"/>
        <w:rPr>
          <w:sz w:val="20"/>
          <w:szCs w:val="20"/>
          <w:color w:val="auto"/>
        </w:rPr>
      </w:pPr>
    </w:p>
    <w:p>
      <w:pPr>
        <w:spacing w:after="0" w:line="2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79"/>
          </w:cols>
          <w:pgMar w:left="580" w:top="908" w:right="1440" w:bottom="1440" w:gutter="0" w:footer="0" w:header="0"/>
        </w:sectPr>
      </w:pPr>
    </w:p>
    <w:bookmarkStart w:id="132" w:name="page133"/>
    <w:bookmarkEnd w:id="132"/>
    <w:p>
      <w:pPr>
        <w:ind w:left="10200"/>
        <w:spacing w:after="0"/>
        <w:rPr>
          <w:sz w:val="20"/>
          <w:szCs w:val="20"/>
          <w:color w:val="auto"/>
        </w:rPr>
      </w:pPr>
      <w:r>
        <w:rPr>
          <w:rFonts w:ascii="Arial" w:cs="Arial" w:eastAsia="Arial" w:hAnsi="Arial"/>
          <w:sz w:val="18"/>
          <w:szCs w:val="18"/>
          <w:b w:val="1"/>
          <w:bCs w:val="1"/>
          <w:color w:val="auto"/>
        </w:rPr>
        <w:t>EXHIBIT 10.43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6"/>
          <w:szCs w:val="16"/>
          <w:b w:val="1"/>
          <w:bCs w:val="1"/>
          <w:color w:val="auto"/>
        </w:rPr>
        <w:t>“Noteholder”</w:t>
      </w:r>
      <w:r>
        <w:rPr>
          <w:rFonts w:ascii="Arial" w:cs="Arial" w:eastAsia="Arial" w:hAnsi="Arial"/>
          <w:sz w:val="16"/>
          <w:szCs w:val="16"/>
          <w:color w:val="auto"/>
        </w:rPr>
        <w:t xml:space="preserve">), the principal amount of </w:t>
      </w:r>
      <w:r>
        <w:rPr>
          <w:rFonts w:ascii="Arial" w:cs="Arial" w:eastAsia="Arial" w:hAnsi="Arial"/>
          <w:sz w:val="16"/>
          <w:szCs w:val="16"/>
          <w:b w:val="1"/>
          <w:bCs w:val="1"/>
          <w:color w:val="auto"/>
        </w:rPr>
        <w:t>ONE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HUNDRED FIFTY THOUSAND DOLLARS ($150,000) </w:t>
      </w:r>
      <w:r>
        <w:rPr>
          <w:rFonts w:ascii="Arial" w:cs="Arial" w:eastAsia="Arial" w:hAnsi="Arial"/>
          <w:sz w:val="16"/>
          <w:szCs w:val="16"/>
          <w:color w:val="auto"/>
        </w:rPr>
        <w:t>together with all accrued interest thereon, as provided in this Promissory Note (this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154" w:lineRule="exact"/>
        <w:rPr>
          <w:sz w:val="20"/>
          <w:szCs w:val="20"/>
          <w:color w:val="auto"/>
        </w:rPr>
      </w:pPr>
    </w:p>
    <w:p>
      <w:pPr>
        <w:ind w:left="960" w:hanging="628"/>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340"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3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960" w:hanging="62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$150,000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960" w:hanging="628"/>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34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81" w:lineRule="exact"/>
        <w:rPr>
          <w:sz w:val="20"/>
          <w:szCs w:val="20"/>
          <w:color w:val="auto"/>
        </w:rPr>
      </w:pPr>
    </w:p>
    <w:p>
      <w:pPr>
        <w:ind w:left="340" w:hanging="8"/>
        <w:spacing w:after="0" w:line="342" w:lineRule="auto"/>
        <w:tabs>
          <w:tab w:leader="none" w:pos="105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19" w:lineRule="exact"/>
        <w:rPr>
          <w:rFonts w:ascii="Arial" w:cs="Arial" w:eastAsia="Arial" w:hAnsi="Arial"/>
          <w:sz w:val="16"/>
          <w:szCs w:val="16"/>
          <w:color w:val="auto"/>
        </w:rPr>
      </w:pPr>
    </w:p>
    <w:p>
      <w:pPr>
        <w:ind w:left="960" w:hanging="628"/>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3" w:name="page134"/>
    <w:bookmarkEnd w:id="133"/>
    <w:p>
      <w:pPr>
        <w:jc w:val="both"/>
        <w:ind w:left="8"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8" w:firstLine="64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left="8" w:hanging="8"/>
        <w:spacing w:after="0" w:line="279" w:lineRule="auto"/>
        <w:tabs>
          <w:tab w:leader="none" w:pos="867"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628" w:hanging="628"/>
        <w:spacing w:after="0"/>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8" w:right="20"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jc w:val="both"/>
        <w:ind w:left="8" w:firstLine="64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Note is non-negotiable but may be assigned or transferred by the Noteholder, with the prior written consent of the Collateral Agent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not required if the Noteholder assigns or transfers this Note to an Affiliate. The Borrower must provide prior written notice to the Collateral Agent of any assignment or transfer this Note or any of its rights hereunder.</w:t>
      </w:r>
    </w:p>
    <w:p>
      <w:pPr>
        <w:spacing w:after="0" w:line="147" w:lineRule="exact"/>
        <w:rPr>
          <w:sz w:val="20"/>
          <w:szCs w:val="20"/>
          <w:color w:val="auto"/>
        </w:rPr>
      </w:pPr>
    </w:p>
    <w:p>
      <w:pPr>
        <w:jc w:val="both"/>
        <w:ind w:left="8" w:right="2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8"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term of this Note may be waived, modified or amended except by an instrument in writing signed the Noteholder and Borrower, and with the prior written consent of the Collateral Agent (as defined below). Any waiver of the terms hereof shall be effective only in the specific instance and for the specific purpose given.</w:t>
      </w:r>
    </w:p>
    <w:p>
      <w:pPr>
        <w:spacing w:after="0" w:line="181" w:lineRule="exact"/>
        <w:rPr>
          <w:sz w:val="20"/>
          <w:szCs w:val="20"/>
          <w:color w:val="auto"/>
        </w:rPr>
      </w:pPr>
    </w:p>
    <w:p>
      <w:pPr>
        <w:jc w:val="both"/>
        <w:ind w:left="8" w:firstLine="64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3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34" w:name="page135"/>
    <w:bookmarkEnd w:id="134"/>
    <w:p>
      <w:pPr>
        <w:jc w:val="both"/>
        <w:ind w:firstLine="648"/>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Borrower has executed this Note as of November 21, 2018.</w:t>
      </w: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Pete A. Clemens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-130810</wp:posOffset>
            </wp:positionV>
            <wp:extent cx="3327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Sr. VP &amp; CFO</w:t>
      </w: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35" w:name="page136"/>
    <w:bookmarkEnd w:id="135"/>
    <w:p>
      <w:pPr>
        <w:ind w:left="10200"/>
        <w:spacing w:after="0"/>
        <w:rPr>
          <w:sz w:val="20"/>
          <w:szCs w:val="20"/>
          <w:color w:val="auto"/>
        </w:rPr>
      </w:pPr>
      <w:r>
        <w:rPr>
          <w:rFonts w:ascii="Arial" w:cs="Arial" w:eastAsia="Arial" w:hAnsi="Arial"/>
          <w:sz w:val="18"/>
          <w:szCs w:val="18"/>
          <w:b w:val="1"/>
          <w:bCs w:val="1"/>
          <w:color w:val="auto"/>
        </w:rPr>
        <w:t>EXHIBIT 10.44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TWO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($200,000)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900" w:hanging="50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900" w:hanging="50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$200,000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900" w:hanging="50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jc w:val="both"/>
        <w:ind w:left="400" w:right="2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jc w:val="both"/>
        <w:ind w:left="400" w:right="2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400" w:firstLine="51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81" w:lineRule="exact"/>
        <w:rPr>
          <w:sz w:val="20"/>
          <w:szCs w:val="20"/>
          <w:color w:val="auto"/>
        </w:rPr>
      </w:pPr>
    </w:p>
    <w:p>
      <w:pPr>
        <w:ind w:left="420" w:hanging="23"/>
        <w:spacing w:after="0" w:line="342" w:lineRule="auto"/>
        <w:tabs>
          <w:tab w:leader="none" w:pos="91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19" w:lineRule="exact"/>
        <w:rPr>
          <w:rFonts w:ascii="Arial" w:cs="Arial" w:eastAsia="Arial" w:hAnsi="Arial"/>
          <w:sz w:val="16"/>
          <w:szCs w:val="16"/>
          <w:color w:val="auto"/>
        </w:rPr>
      </w:pPr>
    </w:p>
    <w:p>
      <w:pPr>
        <w:ind w:left="900" w:hanging="50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6" w:name="page137"/>
    <w:bookmarkEnd w:id="136"/>
    <w:p>
      <w:pPr>
        <w:jc w:val="both"/>
        <w:ind w:left="3" w:right="20" w:firstLine="502"/>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3" w:firstLine="502"/>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left="23" w:hanging="23"/>
        <w:spacing w:after="0" w:line="279" w:lineRule="auto"/>
        <w:tabs>
          <w:tab w:leader="none" w:pos="70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503" w:hanging="503"/>
        <w:spacing w:after="0"/>
        <w:tabs>
          <w:tab w:leader="none" w:pos="50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3"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523"/>
        <w:spacing w:after="0"/>
        <w:tabs>
          <w:tab w:leader="none" w:pos="1223"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is non-negotiable but may be assigned or transferred by the Noteholder.</w:t>
      </w:r>
    </w:p>
    <w:p>
      <w:pPr>
        <w:spacing w:after="0" w:line="225" w:lineRule="exact"/>
        <w:rPr>
          <w:sz w:val="20"/>
          <w:szCs w:val="20"/>
          <w:color w:val="auto"/>
        </w:rPr>
      </w:pPr>
    </w:p>
    <w:p>
      <w:pPr>
        <w:jc w:val="both"/>
        <w:ind w:left="3"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3" w:firstLine="518"/>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jc w:val="both"/>
        <w:ind w:left="3"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left="3" w:firstLine="518"/>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367" w:lineRule="exact"/>
        <w:rPr>
          <w:sz w:val="20"/>
          <w:szCs w:val="20"/>
          <w:color w:val="auto"/>
        </w:rPr>
      </w:pPr>
    </w:p>
    <w:p>
      <w:pPr>
        <w:jc w:val="center"/>
        <w:ind w:right="377"/>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7620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3"/>
          </w:cols>
          <w:pgMar w:left="637" w:top="909"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IN WITNESS WHEREOF, the Borrower has executed this Note as of December 20,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Pete A. Clemens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Title:  Senior Vice President &amp; CFO</w:t>
      </w: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10.45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90"/>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TWO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($200,000)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880" w:hanging="496"/>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880" w:hanging="496"/>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$200,000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880" w:hanging="496"/>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jc w:val="both"/>
        <w:ind w:left="380" w:right="20" w:firstLine="519"/>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jc w:val="both"/>
        <w:ind w:left="380" w:right="20" w:firstLine="519"/>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380" w:firstLine="519"/>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 Mechanics</w:t>
      </w:r>
      <w:r>
        <w:rPr>
          <w:rFonts w:ascii="Arial" w:cs="Arial" w:eastAsia="Arial" w:hAnsi="Arial"/>
          <w:sz w:val="18"/>
          <w:szCs w:val="18"/>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81" w:lineRule="exact"/>
        <w:rPr>
          <w:sz w:val="20"/>
          <w:szCs w:val="20"/>
          <w:color w:val="auto"/>
        </w:rPr>
      </w:pPr>
    </w:p>
    <w:p>
      <w:pPr>
        <w:ind w:left="420" w:hanging="23"/>
        <w:spacing w:after="0" w:line="342" w:lineRule="auto"/>
        <w:tabs>
          <w:tab w:leader="none" w:pos="91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119" w:lineRule="exact"/>
        <w:rPr>
          <w:rFonts w:ascii="Arial" w:cs="Arial" w:eastAsia="Arial" w:hAnsi="Arial"/>
          <w:sz w:val="16"/>
          <w:szCs w:val="16"/>
          <w:color w:val="auto"/>
        </w:rPr>
      </w:pPr>
    </w:p>
    <w:p>
      <w:pPr>
        <w:ind w:left="900" w:hanging="503"/>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ind w:left="380" w:firstLine="519"/>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9" w:name="page140"/>
    <w:bookmarkEnd w:id="139"/>
    <w:p>
      <w:pPr>
        <w:jc w:val="both"/>
        <w:ind w:firstLine="519"/>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left="40" w:hanging="23"/>
        <w:spacing w:after="0" w:line="279" w:lineRule="auto"/>
        <w:tabs>
          <w:tab w:leader="none" w:pos="721"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500" w:hanging="496"/>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is non-negotiable but may be assigned or transferred by the Noteholder.</w:t>
      </w:r>
    </w:p>
    <w:p>
      <w:pPr>
        <w:spacing w:after="0" w:line="225" w:lineRule="exact"/>
        <w:rPr>
          <w:sz w:val="20"/>
          <w:szCs w:val="20"/>
          <w:color w:val="auto"/>
        </w:rPr>
      </w:pPr>
    </w:p>
    <w:p>
      <w:pPr>
        <w:jc w:val="both"/>
        <w:ind w:firstLine="519"/>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firstLine="519"/>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jc w:val="both"/>
        <w:ind w:firstLine="519"/>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firstLine="519"/>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37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8"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IN WITNESS WHEREOF, the Borrower has executed this Note as of January 28,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Pete A. Clemens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Sr. VP &amp; CFO</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333-221645, 333-213017, 333-195612, 333-151653, 333-151620, 333-133172, 333-123615, 333-63288, and 33-98396), and on Form S-3 (Nos. 333-210039 and 333-146416) of Acura Pharmaceuticals, Inc. of our report dated September 16, 2019, relating to the consolidated financial statements, which appear in this Form 10-K. Our report contains an explanatory paragraph regarding the Acura Pharmaceuticals, Inc.’s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/s/Peter A. Clemens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2018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September 16,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2018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September 16,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/s/Peter A. Clemens</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bullet"/>
      <w:start w:val="1"/>
    </w:lvl>
  </w:abstractNum>
  <w:abstractNum w:abstractNumId="6">
    <w:nsid w:val="419AC241"/>
    <w:multiLevelType w:val="hybridMultilevel"/>
    <w:lvl w:ilvl="0">
      <w:lvlJc w:val="left"/>
      <w:lvlText w:val="2"/>
      <w:numFmt w:val="bullet"/>
      <w:start w:val="1"/>
    </w:lvl>
  </w:abstractNum>
  <w:abstractNum w:abstractNumId="7">
    <w:nsid w:val="5577F8E1"/>
    <w:multiLevelType w:val="hybridMultilevel"/>
    <w:lvl w:ilvl="0">
      <w:lvlJc w:val="left"/>
      <w:lvlText w:val="1"/>
      <w:numFmt w:val="bullet"/>
      <w:start w:val="1"/>
    </w:lvl>
  </w:abstractNum>
  <w:abstractNum w:abstractNumId="8">
    <w:nsid w:val="440BADFC"/>
    <w:multiLevelType w:val="hybridMultilevel"/>
    <w:lvl w:ilvl="0">
      <w:lvlJc w:val="left"/>
      <w:lvlText w:val="1"/>
      <w:numFmt w:val="bullet"/>
      <w:start w:val="1"/>
    </w:lvl>
  </w:abstractNum>
  <w:abstractNum w:abstractNumId="9">
    <w:nsid w:val="5072367"/>
    <w:multiLevelType w:val="hybridMultilevel"/>
    <w:lvl w:ilvl="0">
      <w:lvlJc w:val="left"/>
      <w:lvlText w:val="2"/>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lvl w:ilvl="1">
      <w:lvlJc w:val="left"/>
      <w:lvlText w:val="(%2)"/>
      <w:numFmt w:val="decimal"/>
      <w:start w:val="1"/>
    </w:lvl>
  </w:abstractNum>
  <w:abstractNum w:abstractNumId="32">
    <w:nsid w:val="38437FDB"/>
    <w:multiLevelType w:val="hybridMultilevel"/>
    <w:lvl w:ilvl="0">
      <w:lvlJc w:val="left"/>
      <w:lvlText w:val="(%1)"/>
      <w:numFmt w:val="lowerLetter"/>
      <w:start w:val="1"/>
    </w:lvl>
    <w:lvl w:ilvl="1">
      <w:lvlJc w:val="left"/>
      <w:lvlText w:val="%2."/>
      <w:numFmt w:val="decimal"/>
      <w:start w:val="1"/>
    </w:lvl>
  </w:abstractNum>
  <w:abstractNum w:abstractNumId="33">
    <w:nsid w:val="7644A45C"/>
    <w:multiLevelType w:val="hybridMultilevel"/>
    <w:lvl w:ilvl="0">
      <w:lvlJc w:val="left"/>
      <w:lvlText w:val="(%1)"/>
      <w:numFmt w:val="decimal"/>
      <w:start w:val="223"/>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lowerRoman"/>
      <w:start w:val="2"/>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
    </w:lvl>
  </w:abstractNum>
  <w:abstractNum w:abstractNumId="44">
    <w:nsid w:val="520EEDD1"/>
    <w:multiLevelType w:val="hybridMultilevel"/>
    <w:lvl w:ilvl="0">
      <w:lvlJc w:val="left"/>
      <w:lvlText w:val="%1."/>
      <w:numFmt w:val="decimal"/>
      <w:start w:val="4"/>
    </w:lvl>
  </w:abstractNum>
  <w:abstractNum w:abstractNumId="45">
    <w:nsid w:val="374A3FE6"/>
    <w:multiLevelType w:val="hybridMultilevel"/>
    <w:lvl w:ilvl="0">
      <w:lvlJc w:val="left"/>
      <w:lvlText w:val="%1."/>
      <w:numFmt w:val="decimal"/>
      <w:start w:val="5"/>
    </w:lvl>
  </w:abstractNum>
  <w:abstractNum w:abstractNumId="46">
    <w:nsid w:val="4F4EF005"/>
    <w:multiLevelType w:val="hybridMultilevel"/>
    <w:lvl w:ilvl="0">
      <w:lvlJc w:val="left"/>
      <w:lvlText w:val="%1."/>
      <w:numFmt w:val="decimal"/>
      <w:start w:val="6"/>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2"/>
    </w:lvl>
  </w:abstractNum>
  <w:abstractNum w:abstractNumId="49">
    <w:nsid w:val="275AC794"/>
    <w:multiLevelType w:val="hybridMultilevel"/>
    <w:lvl w:ilvl="0">
      <w:lvlJc w:val="left"/>
      <w:lvlText w:val="%1."/>
      <w:numFmt w:val="decimal"/>
      <w:start w:val="4"/>
    </w:lvl>
  </w:abstractNum>
  <w:abstractNum w:abstractNumId="50">
    <w:nsid w:val="39386575"/>
    <w:multiLevelType w:val="hybridMultilevel"/>
    <w:lvl w:ilvl="0">
      <w:lvlJc w:val="left"/>
      <w:lvlText w:val="%1."/>
      <w:numFmt w:val="decimal"/>
      <w:start w:val="6"/>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2"/>
    </w:lvl>
  </w:abstractNum>
  <w:abstractNum w:abstractNumId="53">
    <w:nsid w:val="235BA861"/>
    <w:multiLevelType w:val="hybridMultilevel"/>
    <w:lvl w:ilvl="0">
      <w:lvlJc w:val="left"/>
      <w:lvlText w:val="%1."/>
      <w:numFmt w:val="decimal"/>
      <w:start w:val="4"/>
    </w:lvl>
  </w:abstractNum>
  <w:abstractNum w:abstractNumId="54">
    <w:nsid w:val="47398C89"/>
    <w:multiLevelType w:val="hybridMultilevel"/>
    <w:lvl w:ilvl="0">
      <w:lvlJc w:val="left"/>
      <w:lvlText w:val="%1."/>
      <w:numFmt w:val="decimal"/>
      <w:start w:val="6"/>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2"/>
    </w:lvl>
  </w:abstractNum>
  <w:abstractNum w:abstractNumId="57">
    <w:nsid w:val="741226BB"/>
    <w:multiLevelType w:val="hybridMultilevel"/>
    <w:lvl w:ilvl="0">
      <w:lvlJc w:val="left"/>
      <w:lvlText w:val="%1."/>
      <w:numFmt w:val="decimal"/>
      <w:start w:val="4"/>
    </w:lvl>
  </w:abstractNum>
  <w:abstractNum w:abstractNumId="58">
    <w:nsid w:val="D34B6A8"/>
    <w:multiLevelType w:val="hybridMultilevel"/>
    <w:lvl w:ilvl="0">
      <w:lvlJc w:val="left"/>
      <w:lvlText w:val="%1"/>
      <w:numFmt w:val="decimal"/>
      <w:start w:val="1"/>
    </w:lvl>
    <w:lvl w:ilvl="1">
      <w:lvlJc w:val="left"/>
      <w:lvlText w:val="%2."/>
      <w:numFmt w:val="decimal"/>
      <w:start w:val="6"/>
    </w:lvl>
  </w:abstractNum>
  <w:abstractNum w:abstractNumId="59">
    <w:nsid w:val="10233C99"/>
    <w:multiLevelType w:val="hybridMultilevel"/>
    <w:lvl w:ilvl="0">
      <w:lvlJc w:val="left"/>
      <w:lvlText w:val="%1."/>
      <w:numFmt w:val="decimal"/>
      <w:start w:val="7"/>
    </w:lvl>
    <w:lvl w:ilvl="1">
      <w:lvlJc w:val="left"/>
      <w:lvlText w:val="%2"/>
      <w:numFmt w:val="decimal"/>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97"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151" Type="http://schemas.openxmlformats.org/officeDocument/2006/relationships/hyperlink" Target="http://www.sec.gov/Archives/edgar/data/786947/000114420415040397/v414486_ex1-1.htm" TargetMode="External"/><Relationship Id="rId152" Type="http://schemas.openxmlformats.org/officeDocument/2006/relationships/hyperlink" Target="http://www.sec.gov/Archives/edgar/data/786947/000114420409034341/v153020_ex3-1.htm" TargetMode="External"/><Relationship Id="rId153" Type="http://schemas.openxmlformats.org/officeDocument/2006/relationships/hyperlink" Target="http://www.sec.gov/Archives/edgar/data/786947/000114420407065762/v096320_ex3-1.htm" TargetMode="External"/><Relationship Id="rId154" Type="http://schemas.openxmlformats.org/officeDocument/2006/relationships/hyperlink" Target="http://www.sec.gov/Archives/edgar/data/786947/000114420415052383/v419250_ex3-1.htm" TargetMode="External"/><Relationship Id="rId155" Type="http://schemas.openxmlformats.org/officeDocument/2006/relationships/hyperlink" Target="http://www.sec.gov/Archives/edgar/data/786947/000114420418028166/tv493947_ex3-2.htm" TargetMode="External"/><Relationship Id="rId156" Type="http://schemas.openxmlformats.org/officeDocument/2006/relationships/hyperlink" Target="http://www.sec.gov/Archives/edgar/data/786947/000114420416086913/v433718_ex4-1.htm" TargetMode="External"/><Relationship Id="rId157" Type="http://schemas.openxmlformats.org/officeDocument/2006/relationships/hyperlink" Target="http://www.sec.gov/Archives/edgar/data/786947/000114420415013292/v400005_ex10-9.htm" TargetMode="External"/><Relationship Id="rId158" Type="http://schemas.openxmlformats.org/officeDocument/2006/relationships/hyperlink" Target="http://www.sec.gov/Archives/edgar/data/786947/000114420415013292/v400005_ex10-10.htm" TargetMode="External"/><Relationship Id="rId159" Type="http://schemas.openxmlformats.org/officeDocument/2006/relationships/hyperlink" Target="http://www.sec.gov/Archives/edgar/data/786947/000114420415013292/v400005_ex10-11.htm" TargetMode="External"/><Relationship Id="rId160" Type="http://schemas.openxmlformats.org/officeDocument/2006/relationships/hyperlink" Target="http://www.sec.gov/Archives/edgar/data/786947/000114420417038822/v471679_ex4-1.htm" TargetMode="External"/><Relationship Id="rId161" Type="http://schemas.openxmlformats.org/officeDocument/2006/relationships/hyperlink" Target="http://www.sec.gov/Archives/edgar/data/786947/000114420411042215/v229537_ex10-1.htm" TargetMode="External"/><Relationship Id="rId162" Type="http://schemas.openxmlformats.org/officeDocument/2006/relationships/hyperlink" Target="http://www.sec.gov/Archives/edgar/data/786947/000114420407045483/v085726_ex10-1.htm" TargetMode="External"/><Relationship Id="rId163" Type="http://schemas.openxmlformats.org/officeDocument/2006/relationships/hyperlink" Target="http://www.sec.gov/Archives/edgar/data/786947/000114420417038822/v471679_ex10-1.htm" TargetMode="External"/><Relationship Id="rId164" Type="http://schemas.openxmlformats.org/officeDocument/2006/relationships/hyperlink" Target="http://www.sec.gov/Archives/edgar/data/786947/000114420414012919/v367838_ex10-6.htm" TargetMode="External"/><Relationship Id="rId165" Type="http://schemas.openxmlformats.org/officeDocument/2006/relationships/hyperlink" Target="http://www.sec.gov/Archives/edgar/data/786947/000114420415013292/v400005_ex10-8.htm" TargetMode="External"/><Relationship Id="rId166" Type="http://schemas.openxmlformats.org/officeDocument/2006/relationships/hyperlink" Target="http://www.sec.gov/Archives/edgar/data/786947/000114420417005960/v457956_ex10-6.htm" TargetMode="External"/><Relationship Id="rId167" Type="http://schemas.openxmlformats.org/officeDocument/2006/relationships/hyperlink" Target="http://www.sec.gov/Archives/edgar/data/786947/000114420414012919/v367838_ex10-8.htm" TargetMode="External"/><Relationship Id="rId168" Type="http://schemas.openxmlformats.org/officeDocument/2006/relationships/hyperlink" Target="http://www.sec.gov/Archives/edgar/data/786947/000114420415013292/v400005_ex10-13.htm" TargetMode="External"/><Relationship Id="rId169" Type="http://schemas.openxmlformats.org/officeDocument/2006/relationships/hyperlink" Target="http://www.sec.gov/Archives/edgar/data/786947/000114420416082837/v431764_ex10-1.htm" TargetMode="External"/><Relationship Id="rId170" Type="http://schemas.openxmlformats.org/officeDocument/2006/relationships/hyperlink" Target="http://www.sec.gov/Archives/edgar/data/786947/000095012304001491/y93872exv10w5.txt" TargetMode="External"/><Relationship Id="rId171" Type="http://schemas.openxmlformats.org/officeDocument/2006/relationships/hyperlink" Target="http://www.sec.gov/Archives/edgar/data/786947/000114420405034837/v028675_ex10-5.htm" TargetMode="External"/><Relationship Id="rId172" Type="http://schemas.openxmlformats.org/officeDocument/2006/relationships/hyperlink" Target="http://www.sec.gov/Archives/edgar/data/786947/000114420408004376/v100684_ex10-1.htm" TargetMode="External"/><Relationship Id="rId173" Type="http://schemas.openxmlformats.org/officeDocument/2006/relationships/hyperlink" Target="http://www.sec.gov/Archives/edgar/data/786947/000114420412054488/v324997_ex10-1.htm" TargetMode="External"/><Relationship Id="rId174" Type="http://schemas.openxmlformats.org/officeDocument/2006/relationships/hyperlink" Target="http://www.sec.gov/Archives/edgar/data/786947/000114420417039478/v471981_ex10-1.htm" TargetMode="External"/><Relationship Id="rId175" Type="http://schemas.openxmlformats.org/officeDocument/2006/relationships/hyperlink" Target="http://www.sec.gov/Archives/edgar/data/786947/000114420409025736/v148764_def14a.htm" TargetMode="External"/><Relationship Id="rId176" Type="http://schemas.openxmlformats.org/officeDocument/2006/relationships/hyperlink" Target="http://www.sec.gov/Archives/edgar/data/786947/000114420408020214/v109215_def14a.htm" TargetMode="External"/><Relationship Id="rId177" Type="http://schemas.openxmlformats.org/officeDocument/2006/relationships/hyperlink" Target="http://www.sec.gov/Archives/edgar/data/786947/000114420414015111/v370843_def14a.htm#tAPPA" TargetMode="External"/><Relationship Id="rId178" Type="http://schemas.openxmlformats.org/officeDocument/2006/relationships/hyperlink" Target="http://www.sec.gov/Archives/edgar/data/786947/000114420417058998/tv479450_ex10-1.htm" TargetMode="External"/><Relationship Id="rId179" Type="http://schemas.openxmlformats.org/officeDocument/2006/relationships/hyperlink" Target="http://www.sec.gov/Archives/edgar/data/786947/000114420416097159/v438308_ex10-1.htm" TargetMode="External"/><Relationship Id="rId180" Type="http://schemas.openxmlformats.org/officeDocument/2006/relationships/hyperlink" Target="http://www.sec.gov/Archives/edgar/data/786947/0000950123-98-003851.txt" TargetMode="External"/><Relationship Id="rId181" Type="http://schemas.openxmlformats.org/officeDocument/2006/relationships/hyperlink" Target="http://www.sec.gov/Archives/edgar/data/786947/000114420406007151/ex10-44.htm" TargetMode="External"/><Relationship Id="rId182" Type="http://schemas.openxmlformats.org/officeDocument/2006/relationships/hyperlink" Target="http://www.sec.gov/Archives/edgar/data/786947/000114420405002824/v011996_ex99-1.htm" TargetMode="External"/><Relationship Id="rId183" Type="http://schemas.openxmlformats.org/officeDocument/2006/relationships/hyperlink" Target="http://www.sec.gov/Archives/edgar/data/786947/000114420405040948/v031958_ex99-2.htm" TargetMode="External"/><Relationship Id="rId184" Type="http://schemas.openxmlformats.org/officeDocument/2006/relationships/hyperlink" Target="http://www.sec.gov/Archives/edgar/data/786947/000114420408013490/v105388_ex10-28.htm" TargetMode="External"/><Relationship Id="rId185" Type="http://schemas.openxmlformats.org/officeDocument/2006/relationships/hyperlink" Target="http://www.sec.gov/Archives/edgar/data/786947/000114420408039398/v119471_ex10-4.htm" TargetMode="External"/><Relationship Id="rId186" Type="http://schemas.openxmlformats.org/officeDocument/2006/relationships/hyperlink" Target="http://www.sec.gov/Archives/edgar/data/786947/000114420412068117/v330396_ex10-2.htm" TargetMode="External"/><Relationship Id="rId187" Type="http://schemas.openxmlformats.org/officeDocument/2006/relationships/hyperlink" Target="http://www.sec.gov/Archives/edgar/data/786947/000114420414012919/v367838_ex10-24.htm" TargetMode="External"/><Relationship Id="rId188" Type="http://schemas.openxmlformats.org/officeDocument/2006/relationships/hyperlink" Target="http://www.sec.gov/Archives/edgar/data/786947/000114420408016872/v107633_ex10-1.htm" TargetMode="External"/><Relationship Id="rId189" Type="http://schemas.openxmlformats.org/officeDocument/2006/relationships/hyperlink" Target="http://www.sec.gov/Archives/edgar/data/786947/000114420411042613/v227897_ex10-1.htm" TargetMode="External"/><Relationship Id="rId190" Type="http://schemas.openxmlformats.org/officeDocument/2006/relationships/hyperlink" Target="http://www.sec.gov/Archives/edgar/data/786947/000114420411042613/v227897_ex10-2.htm" TargetMode="External"/><Relationship Id="rId191" Type="http://schemas.openxmlformats.org/officeDocument/2006/relationships/hyperlink" Target="http://www.sec.gov/Archives/edgar/data/786947/000114420412068117/v330396_ex10-1.htm" TargetMode="External"/><Relationship Id="rId192" Type="http://schemas.openxmlformats.org/officeDocument/2006/relationships/hyperlink" Target="http://www.sec.gov/Archives/edgar/data/786947/000114420415040397/v414486_ex10-1.htm" TargetMode="External"/><Relationship Id="rId193" Type="http://schemas.openxmlformats.org/officeDocument/2006/relationships/hyperlink" Target="http://www.sec.gov/Archives/edgar/data/786947/000114420417026909/v464992_ex10-2.htm" TargetMode="External"/><Relationship Id="rId194" Type="http://schemas.openxmlformats.org/officeDocument/2006/relationships/hyperlink" Target="http://www.sec.gov/Archives/edgar/data/786947/000114420418033269/tv490022_ex10-34.htm" TargetMode="External"/><Relationship Id="rId195" Type="http://schemas.openxmlformats.org/officeDocument/2006/relationships/hyperlink" Target="http://www.sec.gov/Archives/edgar/data/786947/000114420418044691/tv500081_ex10-35.htm" TargetMode="External"/><Relationship Id="rId196" Type="http://schemas.openxmlformats.org/officeDocument/2006/relationships/hyperlink" Target="http://www.sec.gov/Archives/edgar/data/786947/000114420418044691/tv500081_ex10-36.htm" TargetMode="External"/><Relationship Id="rId198" Type="http://schemas.openxmlformats.org/officeDocument/2006/relationships/hyperlink" Target="http://www.sec.gov/Archives/edgar/data/786947/000114420418044691/tv500081_ex10-37.htm" TargetMode="External"/><Relationship Id="rId199" Type="http://schemas.openxmlformats.org/officeDocument/2006/relationships/hyperlink" Target="http://www.sec.gov/Archives/edgar/data/786947/000114420418044691/tv500081_ex10-38.htm" TargetMode="External"/><Relationship Id="rId200" Type="http://schemas.openxmlformats.org/officeDocument/2006/relationships/hyperlink" Target="http://www.sec.gov/Archives/edgar/data/786947/000114420418061732/tv506170_ex10-39.htm" TargetMode="External"/><Relationship Id="rId201" Type="http://schemas.openxmlformats.org/officeDocument/2006/relationships/hyperlink" Target="http://www.sec.gov/Archives/edgar/data/786947/000114420418061732/tv506170_ex10-40.htm" TargetMode="External"/><Relationship Id="rId202" Type="http://schemas.openxmlformats.org/officeDocument/2006/relationships/hyperlink" Target="http://www.sec.gov/Archives/edgar/data/786947/000114420407066585/v096766_ex14-1.htm" TargetMode="External"/><Relationship Id="rId203" Type="http://schemas.openxmlformats.org/officeDocument/2006/relationships/hyperlink" Target="http://www.sec.gov/Archives/edgar/data/786947/000114420407012867/v06837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2019-12-28T06:06:16Z</dcterms:created>
  <dcterms:modified xsi:type="dcterms:W3CDTF">2019-12-28T06:06:16Z</dcterms:modified>
</cp:coreProperties>
</file>