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ACURA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p>
      <w:pPr>
        <w:spacing w:after="0" w:line="200" w:lineRule="exact"/>
        <w:rPr>
          <w:sz w:val="24"/>
          <w:szCs w:val="24"/>
          <w:color w:val="auto"/>
        </w:rPr>
      </w:pPr>
    </w:p>
    <w:p>
      <w:pPr>
        <w:spacing w:after="0" w:line="366"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1-10113</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11-0853640</w:t>
      </w:r>
    </w:p>
    <w:p>
      <w:pPr>
        <w:spacing w:after="0" w:line="3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0" w:lineRule="exact"/>
        <w:rPr>
          <w:sz w:val="24"/>
          <w:szCs w:val="24"/>
          <w:color w:val="auto"/>
        </w:rPr>
      </w:pPr>
    </w:p>
    <w:p>
      <w:pPr>
        <w:sectPr>
          <w:pgSz w:w="11900" w:h="16838" w:orient="portrait"/>
          <w:cols w:equalWidth="0" w:num="3">
            <w:col w:w="3920" w:space="720"/>
            <w:col w:w="3200" w:space="720"/>
            <w:col w:w="2680"/>
          </w:cols>
          <w:pgMar w:left="320" w:top="718"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616 N. North Court, Suite 120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Palatine, Illinois 60067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705-7709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18" w:right="339" w:bottom="1440" w:gutter="0" w:footer="0" w:header="0"/>
          <w:type w:val="continuous"/>
        </w:sect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4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ACUR</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OTC Market – OTC Expert Market</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(17CFR240.14d-2(b))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each of December 31, 2025, January 2, 2026 and January 16, 2026 we received loans of $100,000 from Abuse Deterrent Pharma, LLC (“AD Pharma”). These loans combined with previous loans made to the Company and combined with the $2,319,279 under the November 10, 2022 Amended Consolidated and Restated Secured Promissory Note, now has a principal balance of $9,594,279 with accrued interest of approximately $980,000 as of January 15, 2026, and bears interest at 5.25% (“Note”). The Events of default under the Note include, among other items, bankruptcy events, failure to pay interest and principal when due and such failure continues for 5 days, and if Acura is generally not, or is unable to, or admits in writing its inability to, pay its debts as those debts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non-payment until such amount is paid in full.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funding provided by AD Pharma will be used to meet day-to-day operation activity. There can be no assurance we will be successful in receiving additional financing. In the absence of the receipt of additional financing by end of January 2026, we will be required to scale back our operations, including the furlough and lay-off of employees, or to terminate operations and/or seek protection under applicable bankruptcy laws. This could result in a complete loss of shareholder value in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Note under Item 1.01 of this Current Report on Form 8-K shall not be deemed an acknowledgement that the Note is a material agreement not made, or deemed not to be made, in the ordinary course of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January 15, 2026, AD Pharma directly owns approximately 65% of the outstanding common stock of the Company. The ownership percentage of the Company held by AD Pharma does not include their warrant to purchase 10.0 million shares of common stock of the Company. AD Pharma is an entity controlled by Mr. Schutte, of which Mr. Schutte is the managing partner and investor. At January 15, 2026, Mr. Schutte directly owns approximately 13% of the outstanding common stock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 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all Items 1.01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all Items 1.01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Statements in this Current Report constitute forward-looking statements within the meaning of the Private Securities Litigation Reform Act of 1995 and these forward-looking statements are made in reliance on the safe harbor provisions of Section 27A of the Securities Act of 1933, as amended, and Section 21E of the Securities Exchange Act of 1934, as amended.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may include, but are not limited to:</w:t>
      </w:r>
    </w:p>
    <w:p>
      <w:pPr>
        <w:spacing w:after="0" w:line="252" w:lineRule="exact"/>
        <w:rPr>
          <w:sz w:val="20"/>
          <w:szCs w:val="20"/>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will agree with or accept the results of our studies for our product candidates;</w:t>
      </w:r>
    </w:p>
    <w:p>
      <w:pPr>
        <w:spacing w:after="0" w:line="27" w:lineRule="exact"/>
        <w:rPr>
          <w:rFonts w:ascii="Times New Roman" w:cs="Times New Roman" w:eastAsia="Times New Roman" w:hAnsi="Times New Roman"/>
          <w:sz w:val="18"/>
          <w:szCs w:val="18"/>
          <w:color w:val="auto"/>
        </w:rPr>
      </w:pPr>
    </w:p>
    <w:p>
      <w:pPr>
        <w:ind w:left="540" w:right="20" w:hanging="262"/>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Times New Roman" w:cs="Times New Roman" w:eastAsia="Times New Roman" w:hAnsi="Times New Roman"/>
          <w:sz w:val="18"/>
          <w:szCs w:val="18"/>
          <w:color w:val="auto"/>
        </w:rPr>
      </w:pPr>
    </w:p>
    <w:p>
      <w:pPr>
        <w:ind w:left="540" w:right="280" w:hanging="262"/>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successfully submit a New Drug Application for LTX-03, request a priority review and whether such filings and requests will be accepted by the FDA;</w:t>
      </w:r>
    </w:p>
    <w:p>
      <w:pPr>
        <w:ind w:left="540" w:right="240" w:hanging="262"/>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from Abuse Deterrent Pharma, LLC or other parties for our continuing operations, including the development of our products utilizing our LIMITx™ and Impede® technologies;</w:t>
      </w:r>
    </w:p>
    <w:p>
      <w:pPr>
        <w:ind w:left="540" w:right="200" w:hanging="262"/>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renegotiate the date by which we are required to obtain FDA acceptance, currently June 30, 2026, for an NDA for LTX-03 by our agreement with Abuse Deterrent Pharma, LLC on which we depend to finance operations;</w:t>
      </w:r>
    </w:p>
    <w:p>
      <w:pPr>
        <w:ind w:left="540" w:right="520" w:hanging="262"/>
        <w:spacing w:after="0" w:line="26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renegotiate the date by which we are required to pay off the secured promissory note and accrued interest to Abuse Deterrent Pharma, LLC, currently June 30, 2026;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licensing partners will develop any additional products and utilize Acura for such development;</w:t>
      </w:r>
    </w:p>
    <w:p>
      <w:pPr>
        <w:spacing w:after="0" w:line="27" w:lineRule="exact"/>
        <w:rPr>
          <w:rFonts w:ascii="Times New Roman" w:cs="Times New Roman" w:eastAsia="Times New Roman" w:hAnsi="Times New Roman"/>
          <w:sz w:val="18"/>
          <w:szCs w:val="18"/>
          <w:color w:val="auto"/>
        </w:rPr>
      </w:pPr>
    </w:p>
    <w:p>
      <w:pPr>
        <w:ind w:left="540" w:right="18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Times New Roman" w:cs="Times New Roman" w:eastAsia="Times New Roman" w:hAnsi="Times New Roman"/>
          <w:sz w:val="18"/>
          <w:szCs w:val="18"/>
          <w:color w:val="auto"/>
        </w:rPr>
      </w:pPr>
    </w:p>
    <w:p>
      <w:pPr>
        <w:ind w:left="540" w:right="78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p>
      <w:pPr>
        <w:spacing w:after="0" w:line="1"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LIMITx will retard the release of opioid active ingredients as dose levels increase;</w:t>
      </w:r>
    </w:p>
    <w:p>
      <w:pPr>
        <w:spacing w:after="0" w:line="9" w:lineRule="exact"/>
        <w:rPr>
          <w:rFonts w:ascii="Times New Roman" w:cs="Times New Roman" w:eastAsia="Times New Roman" w:hAnsi="Times New Roman"/>
          <w:sz w:val="18"/>
          <w:szCs w:val="18"/>
          <w:color w:val="auto"/>
        </w:rPr>
      </w:pPr>
    </w:p>
    <w:p>
      <w:pPr>
        <w:ind w:left="540" w:right="26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extent to which products formulated with the LIMITx Technology reduce respiratory depression will be determined sufficient by the FDA to support approval or labelling describing safety features;</w:t>
      </w: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licensee’s ability to successfully launch and commercialize our products and technologies;</w:t>
      </w:r>
    </w:p>
    <w:p>
      <w:pPr>
        <w:spacing w:after="0" w:line="9" w:lineRule="exact"/>
        <w:rPr>
          <w:rFonts w:ascii="Times New Roman" w:cs="Times New Roman" w:eastAsia="Times New Roman" w:hAnsi="Times New Roman"/>
          <w:sz w:val="18"/>
          <w:szCs w:val="18"/>
          <w:color w:val="auto"/>
        </w:rPr>
      </w:pPr>
    </w:p>
    <w:p>
      <w:pPr>
        <w:ind w:left="540" w:right="32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and timing of our development of our LIMITx Technology, including, but not limited to, the submission of a NDA and/or FDA filing acceptance;</w:t>
      </w: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licensees’ ability to obtain necessary regulatory approvals and commercialize products utilizing our technologies;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acceptance of, timing of commercial launch and competitive environment for any of our products;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potential market share for our products;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enter into additional license agreements for our product candidates using our technologies;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product liability and other lawsuits in connection with the commercialization of our products;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 of insurance and the availability of product liability insurance coverage;</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avoid infringement of patents, trademarks and other proprietary rights of third parties;</w:t>
      </w:r>
    </w:p>
    <w:p>
      <w:pPr>
        <w:spacing w:after="0" w:line="9" w:lineRule="exact"/>
        <w:rPr>
          <w:rFonts w:ascii="Times New Roman" w:cs="Times New Roman" w:eastAsia="Times New Roman" w:hAnsi="Times New Roman"/>
          <w:sz w:val="18"/>
          <w:szCs w:val="18"/>
          <w:color w:val="auto"/>
        </w:rPr>
      </w:pPr>
    </w:p>
    <w:p>
      <w:pPr>
        <w:ind w:left="540" w:right="18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patents to protect our products from generic competition and our ability to protect and enforce our patent rights in any paragraph IV patent infringement litigation;</w:t>
      </w:r>
    </w:p>
    <w:p>
      <w:pPr>
        <w:ind w:left="540" w:right="8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development program for our product candidates, including whether additional clinical studies will be required to support FDA approval of our product candidates;</w:t>
      </w: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safety findings relating to our commercialized products or product candidates in development;</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will agree with our analysis of our clinical and laboratory studies;</w:t>
      </w:r>
    </w:p>
    <w:p>
      <w:pPr>
        <w:spacing w:after="0" w:line="9" w:lineRule="exact"/>
        <w:rPr>
          <w:rFonts w:ascii="Times New Roman" w:cs="Times New Roman" w:eastAsia="Times New Roman" w:hAnsi="Times New Roman"/>
          <w:sz w:val="18"/>
          <w:szCs w:val="18"/>
          <w:color w:val="auto"/>
        </w:rPr>
      </w:pPr>
    </w:p>
    <w:p>
      <w:pPr>
        <w:ind w:left="540" w:right="32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when we are able to obtain FDA approval of labeling for our product candidates for the proposed indications and whether we will be able to promote the features of our technologies; and</w:t>
      </w: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will ultimately perform as intended in commercial settings.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“aim”, "anticipate", "believe", "could", "design", "estimate", "expect", "forecast", "goal", "guidance", "imply", “indicate”, "intend", "may", "objective", "opportunity", "outlook", "plan", "position", "potential", "predict", "project", "prospective", "pursue", "seek", "should", "strategy", "target", "would", "will", and other words of similar meaning, expressions, derivations of such words and the use of future dates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Acura’s Annual Report on Form 10-K and Quarterly Reports on Form 10-Q filed with the U.S. Securities and Exchange Commission ("SEC") and in other filings Acura makes with the SEC from time to time. Investors and potential investors are urged not to place undue reliance on forward-looking statements in this communication, which speak only as of this date of the Current Report and are based on the Company’s current beliefs, assumptions, and expectations. While Acura may elect to update these forward-looking statements at some point in the future, it specifically disclaims any obligation to update or revise any forward-looking statements contained in this Current Report whether as a result of new information or future events, except as may be required by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Number Description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Amended Loan Schedule dated January 16, 2026 to the November 10, 2022 Amended, Consolidated and Restated Secured Promissory</w:t>
            </w:r>
          </w:p>
        </w:tc>
      </w:tr>
      <w:tr>
        <w:trPr>
          <w:trHeight w:val="196"/>
        </w:trPr>
        <w:tc>
          <w:tcPr>
            <w:tcW w:w="320" w:type="dxa"/>
            <w:vAlign w:val="bottom"/>
            <w:tcBorders>
              <w:top w:val="single" w:sz="8" w:color="0000EE"/>
            </w:tcBorders>
          </w:tcPr>
          <w:p>
            <w:pPr>
              <w:spacing w:after="0"/>
              <w:rPr>
                <w:sz w:val="17"/>
                <w:szCs w:val="17"/>
                <w:color w:val="auto"/>
              </w:rPr>
            </w:pPr>
          </w:p>
        </w:tc>
        <w:tc>
          <w:tcPr>
            <w:tcW w:w="1040" w:type="dxa"/>
            <w:vAlign w:val="bottom"/>
          </w:tcPr>
          <w:p>
            <w:pPr>
              <w:spacing w:after="0"/>
              <w:rPr>
                <w:sz w:val="17"/>
                <w:szCs w:val="17"/>
                <w:color w:val="auto"/>
              </w:rPr>
            </w:pPr>
          </w:p>
        </w:tc>
        <w:tc>
          <w:tcPr>
            <w:tcW w:w="98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Note with Abuse Deterrent Pharma, LLC</w:t>
            </w:r>
          </w:p>
        </w:tc>
      </w:tr>
      <w:tr>
        <w:trPr>
          <w:trHeight w:val="20"/>
        </w:trPr>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bl>
    <w:p>
      <w:pPr>
        <w:spacing w:after="0" w:line="22" w:lineRule="exact"/>
        <w:rPr>
          <w:sz w:val="20"/>
          <w:szCs w:val="20"/>
          <w:color w:val="auto"/>
        </w:rPr>
      </w:pPr>
    </w:p>
    <w:p>
      <w:pPr>
        <w:ind w:left="5580" w:right="4380" w:hanging="5572"/>
        <w:spacing w:after="0" w:line="814" w:lineRule="auto"/>
        <w:tabs>
          <w:tab w:leader="none" w:pos="13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Robert A. Seiser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January 20,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Loan Schedule to Secured Promissory Note dated November 10, 2022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 Acura Pharmaceuticals, Inc. and Abuse Deterrent Pharma, LLC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Aggregated</w:t>
            </w:r>
          </w:p>
        </w:tc>
      </w:tr>
      <w:tr>
        <w:trPr>
          <w:trHeight w:val="234"/>
        </w:trPr>
        <w:tc>
          <w:tcPr>
            <w:tcW w:w="7200" w:type="dxa"/>
            <w:vAlign w:val="bottom"/>
          </w:tcPr>
          <w:p>
            <w:pPr>
              <w:spacing w:after="0"/>
              <w:rPr>
                <w:sz w:val="20"/>
                <w:szCs w:val="20"/>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Principal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Principal</w:t>
            </w:r>
          </w:p>
        </w:tc>
      </w:tr>
      <w:tr>
        <w:trPr>
          <w:trHeight w:val="209"/>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Original Secured Promissory Note</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11/10/2022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Loans to be included: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#1 dated 12/22/2022 through Loan #38 dated 6/20/2025</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8,194,279</w:t>
            </w:r>
          </w:p>
        </w:tc>
      </w:tr>
      <w:tr>
        <w:trPr>
          <w:trHeight w:val="216"/>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#39</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7/03/2025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8,294,279</w:t>
            </w:r>
          </w:p>
        </w:tc>
      </w:tr>
      <w:tr>
        <w:trPr>
          <w:trHeight w:val="216"/>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#40</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8,394,279</w:t>
            </w:r>
          </w:p>
        </w:tc>
      </w:tr>
      <w:tr>
        <w:trPr>
          <w:trHeight w:val="216"/>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#41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8/01/2025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8,494,279</w:t>
            </w:r>
          </w:p>
        </w:tc>
      </w:tr>
      <w:tr>
        <w:trPr>
          <w:trHeight w:val="216"/>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#42</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8,594,279</w:t>
            </w:r>
          </w:p>
        </w:tc>
      </w:tr>
      <w:tr>
        <w:trPr>
          <w:trHeight w:val="216"/>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#43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9/03/2025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8,694,279</w:t>
            </w:r>
          </w:p>
        </w:tc>
      </w:tr>
      <w:tr>
        <w:trPr>
          <w:trHeight w:val="216"/>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#44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9/12/2025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8,794,279</w:t>
            </w:r>
          </w:p>
        </w:tc>
      </w:tr>
      <w:tr>
        <w:trPr>
          <w:trHeight w:val="216"/>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#45</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10/06/2025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8,894,279</w:t>
            </w:r>
          </w:p>
        </w:tc>
      </w:tr>
      <w:tr>
        <w:trPr>
          <w:trHeight w:val="216"/>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#46</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10/23/2025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8,994,279</w:t>
            </w:r>
          </w:p>
        </w:tc>
      </w:tr>
      <w:tr>
        <w:trPr>
          <w:trHeight w:val="216"/>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#47</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11/12/2025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9,094,279</w:t>
            </w:r>
          </w:p>
        </w:tc>
      </w:tr>
      <w:tr>
        <w:trPr>
          <w:trHeight w:val="216"/>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#48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11/21/2025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9,194,279</w:t>
            </w:r>
          </w:p>
        </w:tc>
      </w:tr>
      <w:tr>
        <w:trPr>
          <w:trHeight w:val="216"/>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#49</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12/12/2025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9,294,279</w:t>
            </w:r>
          </w:p>
        </w:tc>
      </w:tr>
      <w:tr>
        <w:trPr>
          <w:trHeight w:val="216"/>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#50</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12/31/2025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9,394,279</w:t>
            </w:r>
          </w:p>
        </w:tc>
      </w:tr>
      <w:tr>
        <w:trPr>
          <w:trHeight w:val="216"/>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#51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9,494,279</w:t>
            </w:r>
          </w:p>
        </w:tc>
      </w:tr>
      <w:tr>
        <w:trPr>
          <w:trHeight w:val="216"/>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#52</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1/16/2026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9,594,279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Seiser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&amp;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2026-01-20T16:33:20Z</dcterms:created>
  <dcterms:modified xsi:type="dcterms:W3CDTF">2026-01-20T16:33:20Z</dcterms:modified>
</cp:coreProperties>
</file>