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18, 2025</w:t>
      </w:r>
    </w:p>
    <w:p>
      <w:pPr>
        <w:spacing w:after="0" w:line="31"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w:t>
      </w:r>
    </w:p>
    <w:p>
      <w:pPr>
        <w:sectPr>
          <w:pgSz w:w="11900" w:h="16838" w:orient="portrait"/>
          <w:cols w:equalWidth="0" w:num="1">
            <w:col w:w="11240"/>
          </w:cols>
          <w:pgMar w:left="320" w:top="718" w:right="339" w:bottom="1440" w:gutter="0" w:footer="0" w:header="0"/>
        </w:sectPr>
      </w:pPr>
    </w:p>
    <w:p>
      <w:pPr>
        <w:spacing w:after="0" w:line="20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April 4, 2025 and April 18, 2025 we received loans of $100,000 from Abuse Deterrent Pharma, LLC (“AD Pharma”). These loans combined with previous loans made to the Company and combined with the $2,319,279 under the November 10, 2022 Amended Consolidated and Restated Secured Promissory Note, now has a principal balance of $7,794,279 with accrued interest of approximately $650,000 as of April 18, 2025, and bears interest at 5.25% (“Note”). The maturity date of the Note is May 31, 2025, at which time all principal and interest is due.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was used and will continue to be used to meet day-to-day operation activity. There can be no assurance we will be successful in receiving additional financing. In the absence of the receipt of additional financing by mid-May 2025, we will be required to scale back our operations, including the furlough or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March 31, 2025,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Item 1.01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Item 1.01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obtain FDA acceptance, currently May 31, 2025, for an NDA for LTX-03 by our agreement with Abuse Deterrent Pharma, LLC on which we depend to finance operations;</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May 31, 2025;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17"/>
                <w:szCs w:val="17"/>
                <w:color w:val="auto"/>
              </w:rPr>
            </w:pPr>
          </w:p>
        </w:tc>
        <w:tc>
          <w:tcPr>
            <w:tcW w:w="9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Loan Schedule dated April 18, 2025 to the November 10, 2022 Amended, Consolidated and Restated Secured Promissory</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 with Abuse Deterrent Pharma, LLC</w:t>
            </w:r>
          </w:p>
        </w:tc>
      </w:tr>
      <w:tr>
        <w:trPr>
          <w:trHeight w:val="20"/>
        </w:trPr>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gridSpan w:val="3"/>
          </w:tcPr>
          <w:p>
            <w:pPr>
              <w:ind w:left="38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23,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Aggregated</w:t>
            </w:r>
          </w:p>
        </w:tc>
      </w:tr>
      <w:tr>
        <w:trPr>
          <w:trHeight w:val="234"/>
        </w:trPr>
        <w:tc>
          <w:tcPr>
            <w:tcW w:w="6980" w:type="dxa"/>
            <w:vAlign w:val="bottom"/>
          </w:tcPr>
          <w:p>
            <w:pPr>
              <w:spacing w:after="0"/>
              <w:rPr>
                <w:sz w:val="20"/>
                <w:szCs w:val="20"/>
                <w:color w:val="auto"/>
              </w:rPr>
            </w:pP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Principal</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#1 dated 12/22/2022 through Loan #26 dated 12/12/2024</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6,944,279</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#27</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7,069,279</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#28</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7,169,279</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#29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7,294,279</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#30</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7,394,279</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#31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7,494,279</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#32</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7,594,279</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#33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7,694,279</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#34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7,794,279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2025-04-23T15:00:13Z</dcterms:created>
  <dcterms:modified xsi:type="dcterms:W3CDTF">2025-04-23T15:00:13Z</dcterms:modified>
</cp:coreProperties>
</file>