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40" w:right="1380" w:hanging="132"/>
        <w:spacing w:after="0" w:line="501"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40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New York</w:t>
            </w:r>
          </w:p>
        </w:tc>
        <w:tc>
          <w:tcPr>
            <w:tcW w:w="410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400" w:type="dxa"/>
            <w:vAlign w:val="bottom"/>
          </w:tcPr>
          <w:p>
            <w:pPr>
              <w:jc w:val="center"/>
              <w:ind w:right="1410"/>
              <w:spacing w:after="0"/>
              <w:rPr>
                <w:sz w:val="20"/>
                <w:szCs w:val="20"/>
                <w:color w:val="auto"/>
              </w:rPr>
            </w:pPr>
            <w:r>
              <w:rPr>
                <w:rFonts w:ascii="Arial" w:cs="Arial" w:eastAsia="Arial" w:hAnsi="Arial"/>
                <w:sz w:val="18"/>
                <w:szCs w:val="18"/>
                <w:i w:val="1"/>
                <w:iCs w:val="1"/>
                <w:color w:val="auto"/>
                <w:w w:val="92"/>
              </w:rPr>
              <w:t>(State or other Jurisdiction of</w:t>
            </w:r>
          </w:p>
        </w:tc>
        <w:tc>
          <w:tcPr>
            <w:tcW w:w="4100" w:type="dxa"/>
            <w:vAlign w:val="bottom"/>
          </w:tcPr>
          <w:p>
            <w:pPr>
              <w:jc w:val="center"/>
              <w:ind w:left="14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0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incorporation or organization)</w:t>
            </w:r>
          </w:p>
        </w:tc>
        <w:tc>
          <w:tcPr>
            <w:tcW w:w="4100" w:type="dxa"/>
            <w:vAlign w:val="bottom"/>
          </w:tcPr>
          <w:p>
            <w:pPr>
              <w:spacing w:after="0"/>
              <w:rPr>
                <w:sz w:val="20"/>
                <w:szCs w:val="20"/>
                <w:color w:val="auto"/>
              </w:rPr>
            </w:pPr>
          </w:p>
        </w:tc>
      </w:tr>
      <w:tr>
        <w:trPr>
          <w:trHeight w:val="414"/>
        </w:trPr>
        <w:tc>
          <w:tcPr>
            <w:tcW w:w="440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616 N. North Court, Suite 120</w:t>
            </w:r>
          </w:p>
        </w:tc>
        <w:tc>
          <w:tcPr>
            <w:tcW w:w="4100" w:type="dxa"/>
            <w:vAlign w:val="bottom"/>
          </w:tcPr>
          <w:p>
            <w:pPr>
              <w:spacing w:after="0"/>
              <w:rPr>
                <w:sz w:val="24"/>
                <w:szCs w:val="24"/>
                <w:color w:val="auto"/>
              </w:rPr>
            </w:pPr>
          </w:p>
        </w:tc>
      </w:tr>
      <w:tr>
        <w:trPr>
          <w:trHeight w:val="220"/>
        </w:trPr>
        <w:tc>
          <w:tcPr>
            <w:tcW w:w="440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Palatine, Illinois</w:t>
            </w:r>
          </w:p>
        </w:tc>
        <w:tc>
          <w:tcPr>
            <w:tcW w:w="410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440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100" w:type="dxa"/>
            <w:vAlign w:val="bottom"/>
          </w:tcPr>
          <w:p>
            <w:pPr>
              <w:jc w:val="center"/>
              <w:ind w:left="143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firstLine="13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13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40"/>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13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14" w:lineRule="exact"/>
        <w:rPr>
          <w:sz w:val="24"/>
          <w:szCs w:val="24"/>
          <w:color w:val="auto"/>
        </w:rPr>
      </w:pPr>
    </w:p>
    <w:p>
      <w:pPr>
        <w:ind w:left="1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þ</w:t>
      </w:r>
    </w:p>
    <w:p>
      <w:pPr>
        <w:spacing w:after="0" w:line="199" w:lineRule="exact"/>
        <w:rPr>
          <w:sz w:val="24"/>
          <w:szCs w:val="24"/>
          <w:color w:val="auto"/>
        </w:rPr>
      </w:pPr>
    </w:p>
    <w:p>
      <w:pPr>
        <w:sectPr>
          <w:pgSz w:w="11900" w:h="16838" w:orient="portrait"/>
          <w:cols w:equalWidth="0" w:num="2">
            <w:col w:w="3060" w:space="720"/>
            <w:col w:w="7640"/>
          </w:cols>
          <w:pgMar w:left="240" w:top="472" w:right="239" w:bottom="1440" w:gutter="0" w:footer="0" w:header="0"/>
          <w:type w:val="continuous"/>
        </w:sectPr>
      </w:pPr>
    </w:p>
    <w:p>
      <w:pPr>
        <w:ind w:left="1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As of May 5, 2017 the registrant had 11,883,339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2017 and December 31, 2016 (unaudited)</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6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Three months Ended March 31, 2017</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940" w:type="dxa"/>
            <w:vAlign w:val="bottom"/>
            <w:gridSpan w:val="1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March 31, 2016 (unaudited)</w:t>
              </w:r>
            </w:hyperlink>
          </w:p>
        </w:tc>
        <w:tc>
          <w:tcPr>
            <w:tcW w:w="100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Three months Ended March 31, 2017 (unaudited)</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Three months Ended March 31, 2017 and March 31, 2016 (unaudited)</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320" w:type="dxa"/>
            <w:vAlign w:val="bottom"/>
            <w:shd w:val="clear" w:color="auto" w:fill="CCEEFF"/>
          </w:tcPr>
          <w:p>
            <w:pPr>
              <w:spacing w:after="0"/>
              <w:rPr>
                <w:sz w:val="17"/>
                <w:szCs w:val="17"/>
                <w:color w:val="auto"/>
              </w:rPr>
            </w:pPr>
          </w:p>
        </w:tc>
        <w:tc>
          <w:tcPr>
            <w:tcW w:w="8940" w:type="dxa"/>
            <w:vAlign w:val="bottom"/>
            <w:gridSpan w:val="1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rPr>
              <w:t>ACURA PHARMACEUTICALS, INC.</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3,843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equivalents (Note 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allowances of $27 and $7)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 receivable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Royalty receivable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of allowances of $- and $32) (Note 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 (Note 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Intangible asset, net of accumulated amortization of $621 and $569 (Note 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8,856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expenses (Note 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Debt - current (Note 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 non-current portion, net of discounts (Note 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interest – non-current portion</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 $.01 par value per share; 100,000 shares authorized, 11,883 and 11,834 shares issued and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at March 31, 2017 and December 31, 2016,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375,887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(374,293)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revenues, net</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and expenses: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1,296</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costs and expenses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Interest expense (Note 9)</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expense, net</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on securities</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(loss) per share: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Basic</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11,907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520" w:type="dxa"/>
            <w:vAlign w:val="bottom"/>
            <w:gridSpan w:val="3"/>
          </w:tcPr>
          <w:p>
            <w:pPr>
              <w:jc w:val="right"/>
              <w:ind w:right="4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Accumulated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Arial" w:cs="Arial" w:eastAsia="Arial" w:hAnsi="Arial"/>
                <w:sz w:val="18"/>
                <w:szCs w:val="18"/>
                <w:color w:val="auto"/>
              </w:rPr>
              <w:t>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Par Value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(374,698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distribution of common stock pursuant to restricted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(374,293)</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40" w:type="dxa"/>
            <w:vAlign w:val="bottom"/>
            <w:gridSpan w:val="8"/>
          </w:tcPr>
          <w:p>
            <w:pPr>
              <w:jc w:val="right"/>
              <w:ind w:right="7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4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Adjustments to reconcile net income (loss) to net cash provided by (used in) operating activities: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sales returns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debt discount and deferred debt issue costs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Amortization of bond premium in marketable securities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Loss on sales of marketable securities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Trade accounts receivable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Collaboration revenue receivable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Royalty receivable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investment income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Accrued interest</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Sales returns liability</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sales and maturities of marketable securities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Proceeds from transfer of equipment to licensee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transfer of inventory to licensee</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Capital expenditures</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Principal payments on debt</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6,343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w:t>
            </w:r>
          </w:p>
        </w:tc>
        <w:tc>
          <w:tcPr>
            <w:tcW w:w="14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6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such amounts shown in the consolidated statements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March 31,</w:t>
            </w:r>
          </w:p>
        </w:tc>
      </w:tr>
      <w:tr>
        <w:trPr>
          <w:trHeight w:val="230"/>
        </w:trPr>
        <w:tc>
          <w:tcPr>
            <w:tcW w:w="8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8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3,843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 in the consolidated statements of cash flows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6,343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AND MARCH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w:t>
      </w:r>
    </w:p>
    <w:p>
      <w:pPr>
        <w:spacing w:after="0" w:line="188" w:lineRule="exact"/>
        <w:rPr>
          <w:sz w:val="20"/>
          <w:szCs w:val="20"/>
          <w:color w:val="auto"/>
        </w:rPr>
      </w:pPr>
    </w:p>
    <w:p>
      <w:pPr>
        <w:jc w:val="both"/>
        <w:ind w:left="6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(see Note 4).</w:t>
      </w:r>
    </w:p>
    <w:p>
      <w:pPr>
        <w:spacing w:after="0" w:line="3"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Nexafed® Tablets (30mg pseudoephedrine) and Nexafed® Sinus Pressure + Pain Tablets (30/325mg pseudoephedrine and acetaminophen), utilizing the Impede Technology, were launched by us into the United States market in December 2012 and February 2015, respectively. We have multiple pseudoephedrine products in development utilizing our Impede Technology. On June 15, 2015, we and Bayer Healthcare LLC entered into a License and Development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On March 16, 2017, we and MainPointe Pharmaceuticals, LLC (“MainPointe”), entered into a License, Commercialization and Option Agreement (“MainPointe Agreement”), pursuant to which we granted MainPointe an exclusive license to our Impede technology in the United States and Canada to commercialize our Nexafed products. The MainPointe Agreement also grants MainPointe the option to expand the licensed territory to the European Union, Japan and South Korea and to add additional pseudoephedrine-containing products utilizing our Impede technology. (see Note 4).</w:t>
      </w:r>
    </w:p>
    <w:p>
      <w:pPr>
        <w:spacing w:after="0" w:line="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development program for LTX-04 as Fast Track, which is designed to facilitate the development, and expedite the review of drugs to treat serious conditions and fill an unmet medical need. We are also developing an immediate-release hydrocodone bitartrate with acetaminophen product utilizing our Limitx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in accordance with accounting principles generally accepted in the United States of America (“GAAP”). The going concern basis of presentation assumes that we will continue in operation for the next twelve months and will be able to realize our assets and discharge our liabilities and commitments in the normal course of business and does not include any adjustments to reflect the possible future effects on the recoverability and classification of assets or the amounts and classification of liabilities that may result from our inability to continue as a going concern. At March 31, 2017, we had unrestricted cash and cash equivalents of $3.8 million, working capital deficit of $0.2 million and an accumulated deficit of $374.3 million. Though we had income from operations of $0.6 million and net income of $0.4 million for the three months ended March 31, 2017, we have suffered annual losses from operations in prior years and have not generated or have generated limited annual positive cash flows from operations. Our current unrestricted cash and cash equivalents will not be sufficient to fund the development of our products and our related operating expenses beyond mid-2017 while maintaining compliance with the $2.5 million compensating balance requirement under our term loan with Oxford Finance LLC or Oxford.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t>In addition to our $2.5 million cash reserve requirement, 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However, these factors, among others, raise substantial doubt about the Company's ability to continue as a going concern. To fund further operations and product development activities beyond mid-2017,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and Bayer Agreements.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supersedes nearly all existing revenue recognition guidance under U.S. GAAP. The core principle of ASU 2014-09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related disclosures and have not yet determined the transition method we will utilize to adopt the standard for use in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FASB issued ASU No. 2015-11, which amended Accounting Standards Codification (“ASC”) Topic 330 Inventory. The amendment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were effective for annual and interim periods, within those fiscal years, beginning after December 15, 2016. The Company adopted the guidance of the standard in the first quarter of 2017 which did not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ASU 2016-02, Leases, which will require most leases (with the exception of leases with terms of one year or less) to be recognized on the balance sheet as an asset and a lease liability.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method beginning with the earliest comparative period presented. The Company is currently evaluating the impact that the standard will have on the consolidated financial statements and related footnote disclosures, and has not yet determined what effect, if any, the impact of adoption will be.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Share-Based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Accounting Standards Update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provides for simplification of certain aspects of employee share-based payment accounting including income taxes, classification of awards as either equity or liabilities, accounting for forfeitures and classification on the statement of cash flows. ASU 2016-09 is to be applied either prospectively, retrospectively or using a modified retrospective transition approach depending on the area covered in this update. The new standard was effective for annual and interim periods, within those fiscal years, beginning after December 15, 2016. The Company adopted the guidance in the first quarter of 2017 which did not have a material impact on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Intra-Entity Transfers of Assets Other Than Inventory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Accounting Standards Update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ASU 2016-16 eliminates from Topic 740, Income Taxes, the recognition exception for intra-entity asset transfers other than inventory so that an entity’s consolidated financial statements reflect the current and deferred tax consequences of those intra-entity asset transfers when they occur. The new standard will be effective for annual and interim periods, within those fiscal years, beginning after December 15, 2017 but early adoption is permitted. The Company is currently evaluating the impact that the standard will have on the consolidated financial statements and related footnote disclosures, and has not yet determined what effect, if any, the impact of adoption will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Statement of Cash Flows - Restricted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Accounting Standards Update (“ASU”) 2016-18, </w:t>
      </w:r>
      <w:r>
        <w:rPr>
          <w:rFonts w:ascii="Arial" w:cs="Arial" w:eastAsia="Arial" w:hAnsi="Arial"/>
          <w:sz w:val="18"/>
          <w:szCs w:val="18"/>
          <w:i w:val="1"/>
          <w:iCs w:val="1"/>
          <w:color w:val="auto"/>
        </w:rPr>
        <w:t>Statements of Cash Flows (Topic 230): Restricted Cash</w:t>
      </w:r>
      <w:r>
        <w:rPr>
          <w:rFonts w:ascii="Arial" w:cs="Arial" w:eastAsia="Arial" w:hAnsi="Arial"/>
          <w:sz w:val="18"/>
          <w:szCs w:val="18"/>
          <w:color w:val="auto"/>
        </w:rPr>
        <w:t>. ASU 2016-18 requires that at statement of cash flows explain the change during the period in the total of cash, cash equivalents, and amounts generally described as restricted cash or restricted cash equivalents. The new standard will be effective for annual and interim periods, within those fiscal years, beginning after December 15, 2017 but early adoption is permitted. The Company early adopted the guidance in the first quarter of 2017 which did not have a material impact on the Company’s consolidated financial statements or related footnote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signing the MainPointe Agreement, MainPointe paid us an upfront licensing fee of $2.5 million plus approximately $309 thousand for inventories and equipment being transferred to them. They also paid us $117 thousand for Nexafed inventory under manufacture by one of our contract manufacturing organizations.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MainPointe has the option to expand the licensed territory beyond the United States and Canada to the European Union (and the United Kingdom), Japan and South Korea for payments of $1 million, $500 thousand and $250 thousand, respectively. In addition, MainPointe has the option to add to the MainPointe Agreement certain additional products, or Option Products, containing pseudoephedrine (“PSE”) and utilizing the Impede technology for a fee of $500 thousand per product (for all product strengths).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13,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The Bayer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are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the Bayer Agreement with respect to each country expires when royalties are no longer payable with respect to such country. After expiration of the term Bayer retains a license to sell the Bayer Licensed Product on a royalty free basis. Either party may terminate the Bayer Agreement in its entirety if the other party materially breaches the Bayer Agreement, subject to an applicable cure period, or in the event the other party makes an assignment for the benefit of creditors, files a petition in bankruptcy or otherwise seeks relief under applicable bankruptcy laws. Bayer may terminate the Bayer Agreement immediately prior to completion of our development obligations or at any time upon six (6) months prior written notice thereafter. We may terminate the Bayer Agreement with respect to the U.S. if Bayer ceases or suspends development or commercialization of the Bayer Licensed Product for a certain period of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two letter agreements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which is 9.7 years. During each of the three months ended March 31, 2017 and 2016, we recorded amortization expense of $52 thousand. Annual amortization of the patent for years 2017 through 2021 is expected to approximate $207 thousand.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signing the MainPointe Agreement, MainPointe paid us an upfront licensing fee of $2.5 million. The payment was non-refundable and non-creditable when made and we had no further requirements to earn the payment. The amount was recognized as revenue when received (see Note 3).</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research and development services we provide, such as under our agreement with Bayer, and are recognized when those services are incurred pursuant to the agreements. The ongoing research and development services being provided under the collaboration are priced at fair value based upon the service’s hourly rates pursuant to the collaboration agreement. We recognized $36 thousand and $100 thousand of collaboration revenue during the three months ended March 31,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We have recorded royalties of $72 thousand and $17 thousand on net sales for the three months ended March 31, 2017 and 2016, respectively. (see Note 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License, Commercialization and Option Agreement with MainPointe, which occurred on March 16, 2017, we will receive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$2 thousand on net sales for the three months ended March 31, 2017 (see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Prior to entering into the MainPointe Agreement,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Prior to entering into the MainPointe Agreement, we recognized revenue from our Nexafed product line sales when the price was fixed and determinable at the date of sale, title and risk of ownership were transferred to the customer, and returns could be reasonably estimated, which generally occurred at the time of product shipment.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the Nexafed product line during each of the three month periods ended March 31, 2017 and 2016 were not material. As of mid-March 2017 we no longer manufacture, distribute or sell the Nexafed product line as the Company granted MainPointe an exclusive license to our Impede technology to commercialize our Nexafed products in the U.S. and Canada.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commercially available Nexafed 30mg tablet while moving supply to an alternate contract manufacturer. Approximately $50 thousand was remaining under this agreement at both March 31, 2017 and December 31, 2016. At March 31, 2017 our remaining obligations under cancelable CRO arrangements were approximately $0.1 million, for services to be incurred as subjects are enrolled and progress through the studies and the final study reports are completed. We did not have prepaid CRO costs or prepaid clinical trial study expenses at either March 31, 2017 or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We write down inventories to net realizable value based on forecasted demand and market conditions, which may differ from actual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Inventories at December 31, 2016 are summarized as follows: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2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December 31,</w:t>
            </w:r>
          </w:p>
        </w:tc>
      </w:tr>
      <w:tr>
        <w:trPr>
          <w:trHeight w:val="230"/>
        </w:trPr>
        <w:tc>
          <w:tcPr>
            <w:tcW w:w="28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CCEEFF"/>
            </w:tcBorders>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0"/>
        </w:trPr>
        <w:tc>
          <w:tcPr>
            <w:tcW w:w="288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inventories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March 31, 2017 and December 31, 2016 are summarized as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March 31,</w:t>
            </w:r>
          </w:p>
        </w:tc>
        <w:tc>
          <w:tcPr>
            <w:tcW w:w="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Scientific equipment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2,807</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reserve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(1,858)</w:t>
            </w:r>
          </w:p>
        </w:tc>
      </w:tr>
      <w:tr>
        <w:trPr>
          <w:trHeight w:val="210"/>
        </w:trPr>
        <w:tc>
          <w:tcPr>
            <w:tcW w:w="5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impairment reserve of $82 thousand is for our remaining Nexafed production machinery and other equipment which was not conveyed to MainPointe under the MainPointe Agreement. 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w w:val="98"/>
              </w:rPr>
              <w:t>Accrued expenses at March 31, 2017 and December 31, 2016 are summarized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17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March 31,</w:t>
            </w: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gridSpan w:val="2"/>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Advanced expense reimbursements under license agreements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services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Payroll, payroll taxes and benefits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Marketing, advertising, and promotion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Property taxes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27, 2013, we entered into a Loan and Security Agreement (the “Loan Agreement”) with Oxford Finance LLC (“Oxford” or the “Lender”), for a term loan to the Company in the principal amount of $10.0 million (the “Term Loan”).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Loan Agreement (prior to the Third Amendment),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13, 2016, we and Oxford entered into a second amendment to the Loan Agreement (the “Second Amendment”). Pursuant to the Second Amendment, (i) the requirement that we maintain a $2.5 million cash balance reserve until such time as $5.0 million in principal was repaid under the Term Loan has been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Oxford entered into a third amendment to the Loan Agreement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Under the Loan Agreement, an audit opinion with an explanatory paragraph noting substantial doubt about the Company’s ability to continue in business is deemed to violate the Unqualified Audit Opinion Covenant.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March 31, 2017 and December 31, 2016, we have accumulated and accrued $598 thousand and $559 thousand, respectively, of additional interest.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(including breach of the Unqualified Audit Opinion Covenant), a material adverse change in the Company, bankruptcy and insolvency defaults and material judgment defaults.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Our debt at March 31, 2017 is summarized below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5860" w:type="dxa"/>
            <w:vAlign w:val="bottom"/>
            <w:gridSpan w:val="2"/>
          </w:tcPr>
          <w:p>
            <w:pPr>
              <w:ind w:left="980"/>
              <w:spacing w:after="0"/>
              <w:rPr>
                <w:sz w:val="20"/>
                <w:szCs w:val="20"/>
                <w:color w:val="auto"/>
              </w:rPr>
            </w:pPr>
            <w:r>
              <w:rPr>
                <w:rFonts w:ascii="Arial" w:cs="Arial" w:eastAsia="Arial" w:hAnsi="Arial"/>
                <w:sz w:val="18"/>
                <w:szCs w:val="18"/>
                <w:color w:val="auto"/>
              </w:rPr>
              <w:t>Current Debt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Current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Long-term</w:t>
            </w:r>
          </w:p>
        </w:tc>
        <w:tc>
          <w:tcPr>
            <w:tcW w:w="180" w:type="dxa"/>
            <w:vAlign w:val="bottom"/>
          </w:tcPr>
          <w:p>
            <w:pPr>
              <w:spacing w:after="0"/>
              <w:rPr>
                <w:sz w:val="24"/>
                <w:szCs w:val="2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Total</w:t>
            </w:r>
          </w:p>
        </w:tc>
      </w:tr>
      <w:tr>
        <w:trPr>
          <w:trHeight w:val="210"/>
        </w:trPr>
        <w:tc>
          <w:tcPr>
            <w:tcW w:w="98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980" w:type="dxa"/>
            <w:vAlign w:val="bottom"/>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Balance at Mar. 31, 2017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tbl>
      <w:tblPr>
        <w:tblLayout w:type="fixed"/>
        <w:tblInd w:w="98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Debt Discount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Current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Long-term</w:t>
            </w:r>
          </w:p>
        </w:tc>
        <w:tc>
          <w:tcPr>
            <w:tcW w:w="18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Total</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Balance at Mar. 31, 2017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488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Current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Long-term</w:t>
            </w:r>
          </w:p>
        </w:tc>
        <w:tc>
          <w:tcPr>
            <w:tcW w:w="180" w:type="dxa"/>
            <w:vAlign w:val="bottom"/>
          </w:tcPr>
          <w:p>
            <w:pPr>
              <w:spacing w:after="0"/>
              <w:rPr>
                <w:sz w:val="24"/>
                <w:szCs w:val="2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Total</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 31, 2017</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Current Debt, net at Mar 31, 2017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months ended March 31, 2017 and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March 31,</w:t>
            </w:r>
          </w:p>
        </w:tc>
        <w:tc>
          <w:tcPr>
            <w:tcW w:w="840" w:type="dxa"/>
            <w:vAlign w:val="bottom"/>
            <w:gridSpan w:val="4"/>
          </w:tcPr>
          <w:p>
            <w:pPr>
              <w:ind w:left="20"/>
              <w:spacing w:after="0"/>
              <w:rPr>
                <w:sz w:val="20"/>
                <w:szCs w:val="20"/>
                <w:color w:val="auto"/>
              </w:rPr>
            </w:pPr>
            <w:r>
              <w:rPr>
                <w:rFonts w:ascii="Arial" w:cs="Arial" w:eastAsia="Arial" w:hAnsi="Arial"/>
                <w:sz w:val="18"/>
                <w:szCs w:val="18"/>
                <w:color w:val="auto"/>
                <w:w w:val="99"/>
              </w:rPr>
              <w:t>March 31,</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Debt discount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issue costs</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520" w:type="dxa"/>
            <w:vAlign w:val="bottom"/>
            <w:gridSpan w:val="4"/>
          </w:tcPr>
          <w:p>
            <w:pPr>
              <w:spacing w:after="0"/>
              <w:rPr>
                <w:sz w:val="20"/>
                <w:szCs w:val="20"/>
                <w:color w:val="auto"/>
              </w:rPr>
            </w:pPr>
            <w:r>
              <w:rPr>
                <w:rFonts w:ascii="Arial" w:cs="Arial" w:eastAsia="Arial" w:hAnsi="Arial"/>
                <w:sz w:val="18"/>
                <w:szCs w:val="18"/>
                <w:color w:val="auto"/>
                <w:w w:val="92"/>
              </w:rPr>
              <w:t>The annual principal payments of the debt outstanding at March 31, 2017 are as follows: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Annual</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Year</w:t>
            </w:r>
          </w:p>
        </w:tc>
        <w:tc>
          <w:tcPr>
            <w:tcW w:w="1440" w:type="dxa"/>
            <w:vAlign w:val="bottom"/>
            <w:gridSpan w:val="6"/>
          </w:tcPr>
          <w:p>
            <w:pPr>
              <w:spacing w:after="0"/>
              <w:rPr>
                <w:sz w:val="20"/>
                <w:szCs w:val="20"/>
                <w:color w:val="auto"/>
              </w:rPr>
            </w:pPr>
            <w:r>
              <w:rPr>
                <w:rFonts w:ascii="Arial" w:cs="Arial" w:eastAsia="Arial" w:hAnsi="Arial"/>
                <w:sz w:val="18"/>
                <w:szCs w:val="18"/>
                <w:color w:val="auto"/>
                <w:w w:val="90"/>
              </w:rPr>
              <w:t>Principal Payments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220" w:type="dxa"/>
            <w:vAlign w:val="bottom"/>
            <w:tcBorders>
              <w:top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ind w:left="500"/>
              <w:spacing w:after="0"/>
              <w:rPr>
                <w:sz w:val="20"/>
                <w:szCs w:val="20"/>
                <w:color w:val="auto"/>
              </w:rPr>
            </w:pPr>
            <w:r>
              <w:rPr>
                <w:rFonts w:ascii="Arial" w:cs="Arial" w:eastAsia="Arial" w:hAnsi="Arial"/>
                <w:sz w:val="18"/>
                <w:szCs w:val="18"/>
                <w:color w:val="auto"/>
                <w:w w:val="84"/>
              </w:rPr>
              <w:t>2,077</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ind w:left="500"/>
              <w:spacing w:after="0"/>
              <w:rPr>
                <w:sz w:val="20"/>
                <w:szCs w:val="20"/>
                <w:color w:val="auto"/>
              </w:rPr>
            </w:pPr>
            <w:r>
              <w:rPr>
                <w:rFonts w:ascii="Arial" w:cs="Arial" w:eastAsia="Arial" w:hAnsi="Arial"/>
                <w:sz w:val="18"/>
                <w:szCs w:val="18"/>
                <w:color w:val="auto"/>
                <w:w w:val="93"/>
              </w:rPr>
              <w:t>2,978</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ind w:left="500"/>
              <w:spacing w:after="0"/>
              <w:rPr>
                <w:sz w:val="20"/>
                <w:szCs w:val="20"/>
                <w:color w:val="auto"/>
              </w:rPr>
            </w:pPr>
            <w:r>
              <w:rPr>
                <w:rFonts w:ascii="Arial" w:cs="Arial" w:eastAsia="Arial" w:hAnsi="Arial"/>
                <w:sz w:val="18"/>
                <w:szCs w:val="18"/>
                <w:color w:val="auto"/>
                <w:w w:val="84"/>
              </w:rPr>
              <w:t>5,055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both March 31, 2017 and 2016, we have outstanding common stock purchase warrants (“warrants”) exercisable for 60 thousand shares of our common stock having an exercise price of $2.52 per share (after giving effect to our one-for-five reverse stock split) with an expiration date in December 2020. See Note 9 for a discussion of the reduction of the exercise price of these warrants to $2.52 per share which were originally issued to the Lender in connection with the issuance of the $10.0 million secured promissory notes in December 2013. The warrants contain a cashless exercise feature.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issued instruments comprised the following (in thousands):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gridSpan w:val="7"/>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980" w:type="dxa"/>
            <w:vAlign w:val="bottom"/>
            <w:gridSpan w:val="7"/>
          </w:tcPr>
          <w:p>
            <w:pPr>
              <w:jc w:val="center"/>
              <w:ind w:right="8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620" w:type="dxa"/>
            <w:vAlign w:val="bottom"/>
          </w:tcPr>
          <w:p>
            <w:pPr>
              <w:jc w:val="right"/>
              <w:ind w:right="459"/>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6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Subtotal</w:t>
            </w:r>
          </w:p>
        </w:tc>
        <w:tc>
          <w:tcPr>
            <w:tcW w:w="62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Subtotal</w:t>
            </w:r>
          </w:p>
        </w:tc>
        <w:tc>
          <w:tcPr>
            <w:tcW w:w="6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4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three month periods ending March 31, 2017 and 2016 is shown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114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rPr>
              <w:t>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(000’s)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(0.92)</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 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March 31, 2017 (in thousands except price data):</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 1, 2017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 31, 2017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assumptions used in the Black-Scholes model to determine fair value for the 2016 stock option grant were:</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Expected term (years)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of the option awards which were vested and outstanding at March 31, 2017 and 2016 was $0 thousand and $70 thousand, respectively. The total remaining unrecognized compensation cost on unvested option awards outstanding at March 31, 2017 was $309 thousand, and is expected to be recognized in operating expense in varying amounts over the 20 months remaining in the requisite service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w w:val="96"/>
              </w:rPr>
              <w:t>A summary of the grants under the RSU Plans consisted of the following: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Three months Ended March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5"/>
              </w:rPr>
              <w:t>Number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Vested</w:t>
            </w:r>
          </w:p>
        </w:tc>
      </w:t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of RSUs</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RSUs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RSUs</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RSUs</w:t>
            </w:r>
          </w:p>
        </w:tc>
      </w:tr>
      <w:tr>
        <w:trPr>
          <w:trHeight w:val="210"/>
        </w:trPr>
        <w:tc>
          <w:tcPr>
            <w:tcW w:w="11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Distributed</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Mar. 31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2014 RSU Plan was approved by shareholders on May 1, 2014 and permits the grant of up to 400 thousand shares of our common stock pursuant to awards under the 2014 RSU Plan. As of March 31, 2017, three thousand shares are available for award under the 2014 RSU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2, 2015, we awarded approximately 10 thousand RSUs to each of our four non-employee directors which also allow for them to receive payment in cash, instead of stock, for up to 40% of each RSU award. Such awards vest 25% at the end of each calendar quarter in 2015. The RSU awards subject to cash settlement are subject to marked-to market accounting. Distributions of stock under the January 2, 2015 award cannot be deferred until a later date and the stock under such awards were distributed on January 4, 2016.</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4, 2016, we awarded approximately 22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$27 thousand at December 31, 2016. Distributions of stock under the January 4, 2016 award are generally distributed on the first business day of the year after vesting, but such distribution can be deferred until a later date at the election of the non-employee director.</w:t>
      </w:r>
    </w:p>
    <w:p>
      <w:pPr>
        <w:spacing w:after="0" w:line="2" w:lineRule="exact"/>
        <w:rPr>
          <w:rFonts w:ascii="Arial" w:cs="Arial" w:eastAsia="Arial" w:hAnsi="Arial"/>
          <w:sz w:val="18"/>
          <w:szCs w:val="18"/>
          <w:color w:val="auto"/>
        </w:rPr>
      </w:pPr>
    </w:p>
    <w:p>
      <w:pPr>
        <w:jc w:val="both"/>
        <w:ind w:left="500" w:hanging="168"/>
        <w:spacing w:after="0" w:line="252"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3,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balance sheet as an estimate for such cash settlement was $19 thousand at March 31, 2017. Distributions of stock under the January 3, 2017 award are generally distributed on the first business day of the year after vesting, but such distribution can be deferred until a later date at the election of the non-employee director.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500" w:hanging="168"/>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4, 2016, 1 thousand RSUs from the May 1, 2014 award and 41 thousand RSUs from the January 2, 2015 award were distributed. There are 2 thousand RSUs from the May 1, 2014 award which remain deferred until a future distribution date. Of the 42 thousand RSUs distributed, 33 thousand RSUs were distributed in common stock and 9 thousand RSUs were settled in cash.</w:t>
      </w:r>
    </w:p>
    <w:p>
      <w:pPr>
        <w:jc w:val="both"/>
        <w:ind w:left="500" w:hanging="168"/>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3, 2017, 1 thousand RSUs from the May 1, 2014 award and 66 thousand RSUs from the January 4, 2016 award were distributed. There are 1 thousand RSUs from the May 1, 2014 award and 22 thousand RSUs from the January 4, 2016 award which remain deferred until a future distribution date. Of the 67 thousand RSUs distributed, 49 thousand RSUs were distributed in common stock and 18 thousand RSUs were settled in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2017 and December 31, 2016,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$47.2 million federal income tax benefits at December 31, 2016 derived from $138.8 million Federal NOLs at the U.S. statutory tax rate of 34% and $2.1 million state NOLs, available to offset future taxable income, some of which already have limitations for future use as prescribed under IRC Section 382. Our Federal and State NOLs will expire in varying amounts between 2017 and 2036 if not used, and those expirations will cause fluctuations in our valuation allowances. As of December 31, 2016 we had federal research and development tax credits of approximately $1.2 million, which expire in the years 2024 through 2034. We also had approximately $0.2 million of Indiana state research and development tax credits, which will expire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(“EPS”)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EPS is computed by dividing net income or loss by the weighted average common shares outstanding during a period, including shares weighted related to vested Restricted Stock Units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2016 as the Company reported a net loss for the three month period, and including the effects of the common stock equivalents in the diluted EPS calculations would have been antidilutive. The weighted-average common shares outstanding (diluted) computation is not impacted during any period where the exercise price of a stock option is greater than the average market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(in thousands except per share data)</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1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1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diluted</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Common stock issuable: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Common stock warrants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w:t>
            </w:r>
          </w:p>
        </w:tc>
        <w:tc>
          <w:tcPr>
            <w:tcW w:w="1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1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were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Mensing (“Mensing </w:t>
      </w:r>
      <w:r>
        <w:rPr>
          <w:rFonts w:ascii="Arial" w:cs="Arial" w:eastAsia="Arial" w:hAnsi="Arial"/>
          <w:sz w:val="17"/>
          <w:szCs w:val="17"/>
          <w:color w:val="auto"/>
        </w:rPr>
        <w:t>decision”) holding that state tort law failure to warn claims against generic drug companies are pre-empted by the 1984 Hatch-Waxman</w:t>
      </w:r>
      <w:r>
        <w:rPr>
          <w:rFonts w:ascii="Arial" w:cs="Arial" w:eastAsia="Arial" w:hAnsi="Arial"/>
          <w:sz w:val="17"/>
          <w:szCs w:val="17"/>
          <w:i w:val="1"/>
          <w:iCs w:val="1"/>
          <w:color w:val="auto"/>
        </w:rPr>
        <w:t xml:space="preserve"> </w:t>
      </w:r>
      <w:r>
        <w:rPr>
          <w:rFonts w:ascii="Arial" w:cs="Arial" w:eastAsia="Arial" w:hAnsi="Arial"/>
          <w:sz w:val="17"/>
          <w:szCs w:val="17"/>
          <w:color w:val="auto"/>
        </w:rPr>
        <w:t>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us,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8"/>
          <w:szCs w:val="18"/>
          <w:i w:val="1"/>
          <w:iCs w:val="1"/>
          <w:color w:val="auto"/>
        </w:rPr>
        <w:t>Teva Pharmaceuticals USA, Inc. et al. v. Dorothy</w:t>
      </w:r>
      <w:r>
        <w:rPr>
          <w:rFonts w:ascii="Arial" w:cs="Arial" w:eastAsia="Arial" w:hAnsi="Arial"/>
          <w:sz w:val="18"/>
          <w:szCs w:val="18"/>
          <w:color w:val="auto"/>
        </w:rPr>
        <w:t xml:space="preserve"> </w:t>
      </w:r>
      <w:r>
        <w:rPr>
          <w:rFonts w:ascii="Arial" w:cs="Arial" w:eastAsia="Arial" w:hAnsi="Arial"/>
          <w:sz w:val="18"/>
          <w:szCs w:val="18"/>
          <w:i w:val="1"/>
          <w:iCs w:val="1"/>
          <w:color w:val="auto"/>
        </w:rPr>
        <w:t>Bentley, et al.</w:t>
      </w:r>
      <w:r>
        <w:rPr>
          <w:rFonts w:ascii="Arial" w:cs="Arial" w:eastAsia="Arial" w:hAnsi="Arial"/>
          <w:sz w:val="18"/>
          <w:szCs w:val="18"/>
          <w:color w:val="auto"/>
        </w:rPr>
        <w:t>, No. 14-711 (U.S.) seeking reversal of the Pennsylvania state court decision. On April 27, 2015, the U.S. Supreme Court denied this 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matter has been returned to the trial court for further proceedings.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July, 2015 to date, the court has taken procedural steps to narrow this litigation, including requests for plaintiffs to voluntarily discontinue cases, such as those filed against us, where there is no case-specific product identification. The trial court proceedings were stayed on January 12, 2017. We are in the process of obtaining voluntary dismissal without prejudice of all of the Pennsylvania cases pending against us. We expect that the Court will approve these dismissals during the second quarter of 2017 and should finally dismiss the Pennsylvania-based litigation against us with prejudice later this year. Legal fees related to this matter are currently covered by our insurance carrier.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 xml:space="preserve">Bartlett </w:t>
      </w:r>
      <w:r>
        <w:rPr>
          <w:rFonts w:ascii="Arial" w:cs="Arial" w:eastAsia="Arial" w:hAnsi="Arial"/>
          <w:sz w:val="17"/>
          <w:szCs w:val="17"/>
          <w:color w:val="auto"/>
        </w:rPr>
        <w:t>decision. Thus far, we and most Generic Defendants have not been required to file answers or other responsive pleadings in each individual case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they are named defendants. On May 24, 2016, the Court entered an Order approving a stipulation which stays the individual cases against us and provides for an agreed upon dismissal protocol for all cases where there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within the next three to six months. Legal fees related to this matter are currently covered by our insurance carrier.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March 31, 2017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March 31, 2017 and December 31, 2016, we have accrued approximately $269 thousand and $150 thousand, respectively, of these cost sharing expenses under the Egalet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administrative office space in Palatine, Illinois under a lease for $25 thousand annually. Such lease expired March 31, 2017, and effective April 1, 2017, the office space is leased on a month to month basis.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the date by which such study results will be available and whether LTX-04 will ultimately receive FDA approval;</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LTX-04 to provide an efficacious level of drug when one or two tablets are taken;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LTX-04 to improve its abuse deterrent performance;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2016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or Bayer, entered into a License and Development Agreement, or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On March 16, 2017, we and MainPointe Pharmaceuticals, LLC (“MainPointe”), entered into a License, Commercialization and Option Agreement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We have completed our first clinical study, Study AP-LTX-400, or Study 400, of our lead Limitx immediate release oral abuse deterrent drug candidate using the opioid hydromorphone HCI (LTX-04). Study 400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maximum drug concentration, or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After addressing certain excipient issues in our LTX-04 tablet formulation and developing a new, faster releasing micro-particle formulation for LTX-04, we expect to initiate enrollment in a second pharmacokinetic study, AP-LTX-401 in May 2017. We intend to develop LTX-04 through proof of concept and then rapidly advance a formulation of a product with greater prevalence of oral excessive tablet abuse, or ETA, such as immediate-release hydrocodone with acetaminophen.</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222 million prescriptions dispensed in 2016.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208 million prescriptions and $2.7 billion, of which approximately 98% was attributable to generic products. Immediate-release oxycodone tablets represent 20.1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6,000 opioid prescribing physicians.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At March 15, 2017, Nexafed, our 30mg pseudoephedrine hydrochloride immediate-release tablet, were stocked in approximately 21% of the estimated 65,000 U.S. pharmacies. Many of these pharmacies are either actively recommending Nexafed to their patients or carry Nexafed as their only 30mg pseudoephedrine product.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development program to develop an extended-release version of our Impede Technology to capitalize on higher sales products in the category. We also have investigated new technologies that would improve on our meth-resistant capabilities. 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right="20" w:hanging="24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 although an FDA Advisory Committee recently recommended an opioid analgesic product for approval that did not meet the FDA’s bioequivalence standard.</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have initiated formulation development of a hydrocodone/APAP product candidate utilizing our Limitx Technology (LTX-03). In August 2015, the United States Patent and Trademark Office, or USPTO, issued to us patent 9,101,636 covering, among other things, our Limitx Technology.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right="20"/>
        <w:spacing w:after="0" w:line="342" w:lineRule="auto"/>
        <w:rPr>
          <w:sz w:val="20"/>
          <w:szCs w:val="20"/>
          <w:color w:val="auto"/>
        </w:rPr>
      </w:pPr>
      <w:r>
        <w:rPr>
          <w:rFonts w:ascii="Arial" w:cs="Arial" w:eastAsia="Arial" w:hAnsi="Arial"/>
          <w:sz w:val="16"/>
          <w:szCs w:val="16"/>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ind w:right="1340" w:firstLine="1806"/>
        <w:spacing w:after="0" w:line="365" w:lineRule="auto"/>
        <w:rPr>
          <w:sz w:val="20"/>
          <w:szCs w:val="20"/>
          <w:color w:val="auto"/>
        </w:rPr>
      </w:pPr>
      <w:r>
        <w:rPr>
          <w:rFonts w:ascii="Arial" w:cs="Arial" w:eastAsia="Arial" w:hAnsi="Arial"/>
          <w:sz w:val="16"/>
          <w:szCs w:val="16"/>
          <w:b w:val="1"/>
          <w:bCs w:val="1"/>
          <w:color w:val="auto"/>
        </w:rPr>
        <w:t xml:space="preserve">Limitx Technology Product </w:t>
      </w:r>
      <w:r>
        <w:rPr>
          <w:rFonts w:ascii="Arial" w:cs="Arial" w:eastAsia="Arial" w:hAnsi="Arial"/>
          <w:sz w:val="16"/>
          <w:szCs w:val="16"/>
          <w:color w:val="auto"/>
        </w:rPr>
        <w:t>Immediate-release hydromorphone HCI (LTX-04)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Status</w:t>
      </w:r>
    </w:p>
    <w:p>
      <w:pPr>
        <w:spacing w:after="0" w:line="27"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Phase I exploratory pharmacokinetic study completed; Follow-on pharmacokinetic study expected to commence in May 2017 Formulation development in process Formulation development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-566420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260" w:space="560"/>
            <w:col w:w="5600"/>
          </w:cols>
          <w:pgMar w:left="240" w:top="908" w:right="239" w:bottom="1440" w:gutter="0" w:footer="0" w:header="0"/>
          <w:type w:val="continuous"/>
        </w:sectPr>
      </w:pPr>
    </w:p>
    <w:p>
      <w:pPr>
        <w:jc w:val="both"/>
        <w:spacing w:after="0" w:line="273" w:lineRule="auto"/>
        <w:rPr>
          <w:sz w:val="20"/>
          <w:szCs w:val="20"/>
          <w:color w:val="auto"/>
        </w:rPr>
      </w:pPr>
      <w:r>
        <w:rPr>
          <w:rFonts w:ascii="Arial" w:cs="Arial" w:eastAsia="Arial" w:hAnsi="Arial"/>
          <w:sz w:val="17"/>
          <w:szCs w:val="17"/>
          <w:color w:val="auto"/>
        </w:rPr>
        <w:t>The initial LTX-04 clinical study,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topline interim results from Study 400 test formulation LTX-04P, successfully demonstrated the release of the active opioid ingredient was reduced when three or more intact tablets were ingested, but that additional formulation development will be required for LTX-04P to deliver a sufficient amount of the active ingredient to patients when one or two tablets are administered. Specifically, the topline interim results of Study 400 demonstrated: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9" w:name="page30"/>
    <w:bookmarkEnd w:id="29"/>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Subjects in Study 400 had an average 22% reduction in relative Cmax when 3 or more tablets were ingested as shown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gridSpan w:val="4"/>
          </w:tcPr>
          <w:p>
            <w:pPr>
              <w:ind w:left="3420"/>
              <w:spacing w:after="0"/>
              <w:rPr>
                <w:sz w:val="20"/>
                <w:szCs w:val="20"/>
                <w:color w:val="auto"/>
              </w:rPr>
            </w:pPr>
            <w:r>
              <w:rPr>
                <w:rFonts w:ascii="Arial" w:cs="Arial" w:eastAsia="Arial" w:hAnsi="Arial"/>
                <w:sz w:val="18"/>
                <w:szCs w:val="18"/>
                <w:b w:val="1"/>
                <w:bCs w:val="1"/>
                <w:color w:val="auto"/>
              </w:rPr>
              <w:t>Study 400 – Mean Ratio of Cmax (ng/mL) by Dosing Group</w:t>
            </w:r>
          </w:p>
        </w:tc>
        <w:tc>
          <w:tcPr>
            <w:tcW w:w="1720" w:type="dxa"/>
            <w:vAlign w:val="bottom"/>
          </w:tcPr>
          <w:p>
            <w:pPr>
              <w:spacing w:after="0"/>
              <w:rPr>
                <w:sz w:val="18"/>
                <w:szCs w:val="18"/>
                <w:color w:val="auto"/>
              </w:rPr>
            </w:pPr>
          </w:p>
        </w:tc>
      </w:tr>
      <w:tr>
        <w:trPr>
          <w:trHeight w:val="220"/>
        </w:trPr>
        <w:tc>
          <w:tcPr>
            <w:tcW w:w="8000" w:type="dxa"/>
            <w:vAlign w:val="bottom"/>
            <w:gridSpan w:val="3"/>
          </w:tcPr>
          <w:p>
            <w:pPr>
              <w:ind w:left="3440"/>
              <w:spacing w:after="0"/>
              <w:rPr>
                <w:sz w:val="20"/>
                <w:szCs w:val="20"/>
                <w:color w:val="auto"/>
              </w:rPr>
            </w:pPr>
            <w:r>
              <w:rPr>
                <w:rFonts w:ascii="Arial" w:cs="Arial" w:eastAsia="Arial" w:hAnsi="Arial"/>
                <w:sz w:val="18"/>
                <w:szCs w:val="18"/>
                <w:b w:val="1"/>
                <w:bCs w:val="1"/>
                <w:color w:val="auto"/>
                <w:w w:val="91"/>
              </w:rPr>
              <w:t>Compared to the 1 Tablet Group for the Same Formulation</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900" w:type="dxa"/>
            <w:vAlign w:val="bottom"/>
          </w:tcPr>
          <w:p>
            <w:pPr>
              <w:ind w:left="3760"/>
              <w:spacing w:after="0"/>
              <w:rPr>
                <w:sz w:val="20"/>
                <w:szCs w:val="20"/>
                <w:color w:val="auto"/>
              </w:rPr>
            </w:pPr>
            <w:r>
              <w:rPr>
                <w:rFonts w:ascii="Arial" w:cs="Arial" w:eastAsia="Arial" w:hAnsi="Arial"/>
                <w:sz w:val="18"/>
                <w:szCs w:val="18"/>
                <w:color w:val="auto"/>
              </w:rPr>
              <w:t>Dosing in mg</w:t>
            </w:r>
          </w:p>
        </w:tc>
        <w:tc>
          <w:tcPr>
            <w:tcW w:w="660" w:type="dxa"/>
            <w:vAlign w:val="bottom"/>
          </w:tcPr>
          <w:p>
            <w:pPr>
              <w:spacing w:after="0"/>
              <w:rPr>
                <w:sz w:val="20"/>
                <w:szCs w:val="20"/>
                <w:color w:val="auto"/>
              </w:rPr>
            </w:pPr>
          </w:p>
        </w:tc>
        <w:tc>
          <w:tcPr>
            <w:tcW w:w="2440" w:type="dxa"/>
            <w:vAlign w:val="bottom"/>
          </w:tcPr>
          <w:p>
            <w:pPr>
              <w:ind w:left="300"/>
              <w:spacing w:after="0"/>
              <w:rPr>
                <w:sz w:val="20"/>
                <w:szCs w:val="20"/>
                <w:color w:val="auto"/>
              </w:rPr>
            </w:pPr>
            <w:r>
              <w:rPr>
                <w:rFonts w:ascii="Arial" w:cs="Arial" w:eastAsia="Arial" w:hAnsi="Arial"/>
                <w:sz w:val="18"/>
                <w:szCs w:val="18"/>
                <w:color w:val="auto"/>
              </w:rPr>
              <w:t>DILAUDID</w:t>
            </w:r>
          </w:p>
        </w:tc>
        <w:tc>
          <w:tcPr>
            <w:tcW w:w="1700" w:type="dxa"/>
            <w:vAlign w:val="bottom"/>
          </w:tcPr>
          <w:p>
            <w:pPr>
              <w:spacing w:after="0"/>
              <w:rPr>
                <w:sz w:val="20"/>
                <w:szCs w:val="20"/>
                <w:color w:val="auto"/>
              </w:rPr>
            </w:pPr>
            <w:r>
              <w:rPr>
                <w:rFonts w:ascii="Arial" w:cs="Arial" w:eastAsia="Arial" w:hAnsi="Arial"/>
                <w:sz w:val="18"/>
                <w:szCs w:val="18"/>
                <w:color w:val="auto"/>
              </w:rPr>
              <w:t>LTX-04P</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Change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 Tablet Group</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2x</w:t>
            </w:r>
          </w:p>
        </w:tc>
        <w:tc>
          <w:tcPr>
            <w:tcW w:w="24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1.9x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2.2x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3 Tablet Group</w:t>
            </w:r>
          </w:p>
        </w:tc>
        <w:tc>
          <w:tcPr>
            <w:tcW w:w="660" w:type="dxa"/>
            <w:vAlign w:val="bottom"/>
          </w:tcPr>
          <w:p>
            <w:pPr>
              <w:ind w:left="180"/>
              <w:spacing w:after="0"/>
              <w:rPr>
                <w:sz w:val="20"/>
                <w:szCs w:val="20"/>
                <w:color w:val="auto"/>
              </w:rPr>
            </w:pPr>
            <w:r>
              <w:rPr>
                <w:rFonts w:ascii="Arial" w:cs="Arial" w:eastAsia="Arial" w:hAnsi="Arial"/>
                <w:sz w:val="18"/>
                <w:szCs w:val="18"/>
                <w:color w:val="auto"/>
              </w:rPr>
              <w:t>3x</w:t>
            </w:r>
          </w:p>
        </w:tc>
        <w:tc>
          <w:tcPr>
            <w:tcW w:w="2440" w:type="dxa"/>
            <w:vAlign w:val="bottom"/>
          </w:tcPr>
          <w:p>
            <w:pPr>
              <w:ind w:left="1420"/>
              <w:spacing w:after="0"/>
              <w:rPr>
                <w:sz w:val="20"/>
                <w:szCs w:val="20"/>
                <w:color w:val="auto"/>
              </w:rPr>
            </w:pPr>
            <w:r>
              <w:rPr>
                <w:rFonts w:ascii="Arial" w:cs="Arial" w:eastAsia="Arial" w:hAnsi="Arial"/>
                <w:sz w:val="18"/>
                <w:szCs w:val="18"/>
                <w:color w:val="auto"/>
              </w:rPr>
              <w:t>4.8x</w:t>
            </w:r>
          </w:p>
        </w:tc>
        <w:tc>
          <w:tcPr>
            <w:tcW w:w="1700" w:type="dxa"/>
            <w:vAlign w:val="bottom"/>
          </w:tcPr>
          <w:p>
            <w:pPr>
              <w:ind w:left="1000"/>
              <w:spacing w:after="0"/>
              <w:rPr>
                <w:sz w:val="20"/>
                <w:szCs w:val="20"/>
                <w:color w:val="auto"/>
              </w:rPr>
            </w:pPr>
            <w:r>
              <w:rPr>
                <w:rFonts w:ascii="Arial" w:cs="Arial" w:eastAsia="Arial" w:hAnsi="Arial"/>
                <w:sz w:val="18"/>
                <w:szCs w:val="18"/>
                <w:color w:val="auto"/>
              </w:rPr>
              <w:t>3.8x</w:t>
            </w: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4 Tablet Group</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4x</w:t>
            </w:r>
          </w:p>
        </w:tc>
        <w:tc>
          <w:tcPr>
            <w:tcW w:w="24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6.4x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4.8x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6 Tablet Group</w:t>
            </w:r>
          </w:p>
        </w:tc>
        <w:tc>
          <w:tcPr>
            <w:tcW w:w="660" w:type="dxa"/>
            <w:vAlign w:val="bottom"/>
          </w:tcPr>
          <w:p>
            <w:pPr>
              <w:ind w:left="180"/>
              <w:spacing w:after="0"/>
              <w:rPr>
                <w:sz w:val="20"/>
                <w:szCs w:val="20"/>
                <w:color w:val="auto"/>
              </w:rPr>
            </w:pPr>
            <w:r>
              <w:rPr>
                <w:rFonts w:ascii="Arial" w:cs="Arial" w:eastAsia="Arial" w:hAnsi="Arial"/>
                <w:sz w:val="18"/>
                <w:szCs w:val="18"/>
                <w:color w:val="auto"/>
              </w:rPr>
              <w:t>6x</w:t>
            </w:r>
          </w:p>
        </w:tc>
        <w:tc>
          <w:tcPr>
            <w:tcW w:w="2440" w:type="dxa"/>
            <w:vAlign w:val="bottom"/>
          </w:tcPr>
          <w:p>
            <w:pPr>
              <w:ind w:left="1420"/>
              <w:spacing w:after="0"/>
              <w:rPr>
                <w:sz w:val="20"/>
                <w:szCs w:val="20"/>
                <w:color w:val="auto"/>
              </w:rPr>
            </w:pPr>
            <w:r>
              <w:rPr>
                <w:rFonts w:ascii="Arial" w:cs="Arial" w:eastAsia="Arial" w:hAnsi="Arial"/>
                <w:sz w:val="18"/>
                <w:szCs w:val="18"/>
                <w:color w:val="auto"/>
              </w:rPr>
              <w:t>6.2x</w:t>
            </w:r>
          </w:p>
        </w:tc>
        <w:tc>
          <w:tcPr>
            <w:tcW w:w="1700" w:type="dxa"/>
            <w:vAlign w:val="bottom"/>
          </w:tcPr>
          <w:p>
            <w:pPr>
              <w:ind w:left="1000"/>
              <w:spacing w:after="0"/>
              <w:rPr>
                <w:sz w:val="20"/>
                <w:szCs w:val="20"/>
                <w:color w:val="auto"/>
              </w:rPr>
            </w:pPr>
            <w:r>
              <w:rPr>
                <w:rFonts w:ascii="Arial" w:cs="Arial" w:eastAsia="Arial" w:hAnsi="Arial"/>
                <w:sz w:val="18"/>
                <w:szCs w:val="18"/>
                <w:color w:val="auto"/>
              </w:rPr>
              <w:t>5.2x</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8 Tablet Group</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8x</w:t>
            </w:r>
          </w:p>
        </w:tc>
        <w:tc>
          <w:tcPr>
            <w:tcW w:w="24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8.4x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6.8x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Average 3-8</w:t>
            </w: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87"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Subjects in cohort 2 had extent of drug absorption (measured by AUC) for LTX-04P comparable to Dilaudid when the same number of tablets were ingested. Likewise, the time to maximum plasma concentration, or Tmax, was comparable at all doses to Dilaudid.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taking one or two tablets of both LTX-04 test formulations had comparable extent of drug absorption (measured by AUC) as the same number of tablets of Dilaudid. However, these tablets delivered approximately 50% less peak plasma concentration (Cmax) than Dilaudid. As such, the LTX-04 test formulations were considered to not have achieved equivalent blood levels of drug and will require further development. All study drugs were generally well tolerated and no serious adverse events were observed.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analysis of the 3, 4, 6 and 8 tablet subgroups in Study 400 identified a subpopulation of patients in which LTX-04P appeared to demonstrate enhanced reduction in drug absorption as compared to Dilaudid. This subpopulation is characterized by their propensity to absorb the opioid in Dilaudid quickly, reaching maximum drug concentration in the blood in 30 minutes or less, while, on average, having maximum blood levels of drug 1.8 times that of the slower drug absorbing subjects. This subpopulation may represent a more vulnerable abuse population as speed of drug absorption and higher peak drug levels in the blood are typically associated with more drug abuse and possibly addiction.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faster absorbing subpopulation of subjects, assuming each subject should have an expected Cmax for LTX-04P consistent with the average seen in the 1 and 2 tablets subgroups of 53% of Dilaudid, the subpopulations demonstrated:</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82% of subjects had an estimated reduction in Cmax associated with Limitx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38% average estimated reduction in Cmax associated with Limitx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66% maximum reduction in estimated Cmax observed in two of 17 subjects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1.6x average increase in Tmax associated with Limitx</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7"/>
          <w:szCs w:val="17"/>
          <w:color w:val="auto"/>
        </w:rPr>
        <w:t>We have completed reformulation work on the Limitx Technology micro-particles and have two candidates which we believe will improve the drug delivery with one and two tablet dosing. We have also addressed stability issues experienced in an earlier formulation. After addressing certain excipient issues in our LTX-04 tablet formulation and developing a new, faster releasing micro-particle formulation for LTX-04, we expect to initiate enrollment in a second pharmacokinetic study, AP-LTX-401 in May 2017. We intend to develop LTX-04 through proof of concept and then rapidly advance a formulation of a product with greater prevalence of oral ETA, such as immediate-release hydrocodone with acetaminophen.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 On September 15, 2016, Egalet announced that a new 15 mg strength of Oxaydo that they are developing achieved bioequivalence to a reference dose in support of a potential NDA supplement filing.</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2015 market for immediate-release oxycodone products was 20.1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Egalet has advised us that it has commenced formulation work on a 15mg dosage strength for Oxaydo, has achieved bioequivalence of this new strength to a reference formulation, and has set a target date for submission of this new dosage strength to the FDA in the second half of 2017. Egalet has also advised that late in the fourth quarter of 2016 it filed a supplemental NDA for Oxaydo with the FDA to support an abuse-deterrent label claim for the intravenous route of abuse.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advised that Egalet commenced promoting Oxaydo in September 2015 and is targeting approximately 6,000 immediate-release opioid prescribing physicians using approximately 50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Meth Resistant</w:t>
            </w: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w w:val="93"/>
              </w:rPr>
              <w:t>Meth Recovery</w:t>
            </w:r>
            <w:r>
              <w:rPr>
                <w:rFonts w:ascii="Arial" w:cs="Arial" w:eastAsia="Arial" w:hAnsi="Arial"/>
                <w:sz w:val="30"/>
                <w:szCs w:val="30"/>
                <w:color w:val="auto"/>
                <w:w w:val="93"/>
                <w:vertAlign w:val="superscript"/>
              </w:rPr>
              <w:t>1</w:t>
            </w: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1520" w:type="dxa"/>
            <w:vAlign w:val="bottom"/>
            <w:gridSpan w:val="3"/>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vMerge w:val="continue"/>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Impede® 1.0</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Tarex®</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Impede® 2.0</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0" w:lineRule="auto"/>
        <w:tabs>
          <w:tab w:leader="none" w:pos="7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expect that MainPointe will complete process validation on this new formulation in the first half of 2017 and that it will introduce the new formulation into the market pursuant to the MainPointe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Nexafed products currently marketed consist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the MainPointe Agreement, we capitalized on this consumer-pharmacist interaction at the point of sale by soliciting distribution to pharmacies and educating and encouraging pharmacists to recommend Nexafed to their customers. We also used telemarketing, direct mail, and online and journal advertising to educate pharmacists about Nexafed and encourage pharmacists to recommend Nexafed to their customers. Under the terms of the MainPointe Agreement, MainPointe will control the marketing and sale of our Nexafed products.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Prior to the MainPointe Agreement, we distributed our Nexafed products through several regional and national drug wholesalers for redistribution to pharmacies, which included the three largest U.S. drug wholesalers: McKesson, Cardinal Health and AmerisourceBergen. We also shipped directly to the warehouses of certain pharmacy chains. At March 15, 2017,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at March 15, 2017, approximately 56%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understand that in 2014, a majority of pharmacies in West Virginia voluntarily began selling only meth-resistant products for the single-ingredient immediate-release PSE offerings. In 2015, newspapers reported about 60% of single-ingredient immediate-release PSE sales in West Virginia were for meth-resistant formulations. In March 2016, Indiana enacted legislation, subject to adoption of rule and policy making by the Indiana Board of Pharmacy, to require state pharmacists to use professional discretion when selling PSE-containing cold and allergy products, including encouraging the use of new meth-resistant formulations, in an effort to help reduce local methamphetamine production. According to media reports, Rite Aid pharmacies and many independent pharmacies in small a geographic region in Maine have, at the request of local authorities and community leaders, removed all traditional pseudoephedrine-containing products from their shelves and stock only meth-resistant formulations such as Nexafed.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$425,000 for the net book value of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 million, $500,000 and $250,000, respectively. In addition, MainPointe has the option to add to the MainPointe Agreement certain additional products, or Option Products, containing PSE and utilizing the Impede technology for a fee of $500,000 per product (for all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ind w:left="300" w:right="1520" w:firstLine="1635"/>
        <w:spacing w:after="0" w:line="360" w:lineRule="auto"/>
        <w:rPr>
          <w:sz w:val="20"/>
          <w:szCs w:val="20"/>
          <w:color w:val="auto"/>
        </w:rPr>
      </w:pPr>
      <w:r>
        <w:rPr>
          <w:rFonts w:ascii="Arial" w:cs="Arial" w:eastAsia="Arial" w:hAnsi="Arial"/>
          <w:sz w:val="16"/>
          <w:szCs w:val="16"/>
          <w:color w:val="auto"/>
        </w:rPr>
        <w:t>Impede Technology Product 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-203835</wp:posOffset>
            </wp:positionV>
            <wp:extent cx="3370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Immediate-release pseudoephedrine HCl in combination with other cold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allergy active ingredients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Extended-release combination products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Transferring to alternate supplier and scaling-up to commercial supply for MainPointe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-281940</wp:posOffset>
            </wp:positionV>
            <wp:extent cx="3361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right="660"/>
        <w:spacing w:after="0" w:line="250" w:lineRule="auto"/>
        <w:rPr>
          <w:sz w:val="20"/>
          <w:szCs w:val="20"/>
          <w:color w:val="auto"/>
        </w:rPr>
      </w:pPr>
      <w:r>
        <w:rPr>
          <w:rFonts w:ascii="Arial" w:cs="Arial" w:eastAsia="Arial" w:hAnsi="Arial"/>
          <w:sz w:val="18"/>
          <w:szCs w:val="18"/>
          <w:color w:val="auto"/>
        </w:rPr>
        <w:t>Nexafed Sinus Pressure + Pain launched and licensed to MainPointe Other formulations being considered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pursuant to Bayer Agreement</w:t>
      </w:r>
    </w:p>
    <w:p>
      <w:pPr>
        <w:spacing w:after="0" w:line="200" w:lineRule="exact"/>
        <w:rPr>
          <w:sz w:val="20"/>
          <w:szCs w:val="20"/>
          <w:color w:val="auto"/>
        </w:rPr>
      </w:pPr>
    </w:p>
    <w:p>
      <w:pPr>
        <w:sectPr>
          <w:pgSz w:w="11900" w:h="16838" w:orient="portrait"/>
          <w:cols w:equalWidth="0" w:num="2">
            <w:col w:w="5500" w:space="340"/>
            <w:col w:w="5580"/>
          </w:cols>
          <w:pgMar w:left="240" w:top="904" w:right="23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6" w:name="page37"/>
    <w:bookmarkEnd w:id="36"/>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Bayer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40" w:type="dxa"/>
            <w:vAlign w:val="bottom"/>
            <w:vMerge w:val="restart"/>
          </w:tcPr>
          <w:p>
            <w:pPr>
              <w:ind w:left="62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Active</w:t>
            </w:r>
          </w:p>
        </w:tc>
        <w:tc>
          <w:tcPr>
            <w:tcW w:w="30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2014 Retail Sales</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Ingredient(s)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Bayer</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0"/>
                <w:szCs w:val="20"/>
                <w:color w:val="auto"/>
              </w:rPr>
            </w:pPr>
            <w:r>
              <w:rPr>
                <w:rFonts w:ascii="Arial" w:cs="Arial" w:eastAsia="Arial" w:hAnsi="Arial"/>
                <w:sz w:val="18"/>
                <w:szCs w:val="18"/>
                <w:color w:val="auto"/>
              </w:rPr>
              <w:t>Allegra-D</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Chattem</w:t>
            </w:r>
          </w:p>
        </w:tc>
        <w:tc>
          <w:tcPr>
            <w:tcW w:w="246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Pfizer</w:t>
            </w:r>
          </w:p>
        </w:tc>
        <w:tc>
          <w:tcPr>
            <w:tcW w:w="2460" w:type="dxa"/>
            <w:vAlign w:val="bottom"/>
            <w:gridSpan w:val="3"/>
            <w:shd w:val="clear" w:color="auto" w:fill="CCEEFF"/>
          </w:tcPr>
          <w:p>
            <w:pPr>
              <w:ind w:left="1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Advil Sinus</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Pfizer</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PSE &amp; Ibuprofen</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J&amp;J</w:t>
            </w:r>
          </w:p>
        </w:tc>
        <w:tc>
          <w:tcPr>
            <w:tcW w:w="2460" w:type="dxa"/>
            <w:vAlign w:val="bottom"/>
            <w:gridSpan w:val="3"/>
            <w:shd w:val="clear" w:color="auto" w:fill="CCEEFF"/>
          </w:tcPr>
          <w:p>
            <w:pPr>
              <w:ind w:left="1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Sudafed 30mg</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J&amp;J</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PSE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Prior to the MainPointe Agreement, Nexafed was priced at $4.39 for a box of 24 tablets and Nexafed Sinus Pressure + Pain at $7.95 for a box of 24 tablets. MainPointe will control the price of Nexafed and Nexafed Sinus under the terms of the MainPointe Agreement.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misuse and abuse of controlled prescription drugs, or CPDs, in general, and opioid analgesics in particular, continues to constitute a dynamic and challenging threat to the United States and is the nation’s fastest growing drug problem. Results from the 2013 National Drug Threat Assessment conducted by the U.S. Drug Enforcement Administration, or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222 million tablet and capsule prescriptions dispensed in 2016 of which approximately 208 million were for IR opioid products and 14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93"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2016 US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Prescriptions</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356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3620" w:type="dxa"/>
            <w:vAlign w:val="bottom"/>
            <w:gridSpan w:val="2"/>
          </w:tcPr>
          <w:p>
            <w:pPr>
              <w:ind w:left="160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-8255</wp:posOffset>
            </wp:positionV>
            <wp:extent cx="1217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 w:lineRule="exact"/>
        <w:rPr>
          <w:sz w:val="20"/>
          <w:szCs w:val="20"/>
          <w:color w:val="auto"/>
        </w:rPr>
      </w:pPr>
    </w:p>
    <w:p>
      <w:pPr>
        <w:ind w:left="2280" w:right="4260" w:hanging="165"/>
        <w:spacing w:after="0" w:line="221" w:lineRule="auto"/>
        <w:tabs>
          <w:tab w:leader="none" w:pos="223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220" w:hanging="105"/>
        <w:spacing w:after="0" w:line="192" w:lineRule="auto"/>
        <w:tabs>
          <w:tab w:leader="none" w:pos="222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IMS Health, 2016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Patent No. (Jurisdiction)</w:t>
            </w:r>
          </w:p>
        </w:tc>
        <w:tc>
          <w:tcPr>
            <w:tcW w:w="6640" w:type="dxa"/>
            <w:vAlign w:val="bottom"/>
            <w:gridSpan w:val="2"/>
          </w:tcPr>
          <w:p>
            <w:pPr>
              <w:ind w:left="2680"/>
              <w:spacing w:after="0"/>
              <w:rPr>
                <w:sz w:val="20"/>
                <w:szCs w:val="20"/>
                <w:color w:val="auto"/>
              </w:rPr>
            </w:pPr>
            <w:r>
              <w:rPr>
                <w:rFonts w:ascii="Arial" w:cs="Arial" w:eastAsia="Arial" w:hAnsi="Arial"/>
                <w:sz w:val="18"/>
                <w:szCs w:val="18"/>
                <w:color w:val="auto"/>
              </w:rPr>
              <w:t>Subject matter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9,101,636</w:t>
            </w:r>
          </w:p>
        </w:tc>
        <w:tc>
          <w:tcPr>
            <w:tcW w:w="13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87"/>
              </w:rPr>
              <w:t>9,320,796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w w:val="95"/>
              </w:rPr>
              <w:t>Abuse deterrent products wherein the release of active ingredient is retarded when 3 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87"/>
              </w:rPr>
              <w:t>2,892,908</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87"/>
              </w:rPr>
              <w:t>5,922,851</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products wherein the release of active ingredient is retarded when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Patent No. (Jurisdiction)</w:t>
            </w:r>
          </w:p>
        </w:tc>
        <w:tc>
          <w:tcPr>
            <w:tcW w:w="6640" w:type="dxa"/>
            <w:vAlign w:val="bottom"/>
            <w:gridSpan w:val="2"/>
          </w:tcPr>
          <w:p>
            <w:pPr>
              <w:ind w:left="2680"/>
              <w:spacing w:after="0"/>
              <w:rPr>
                <w:sz w:val="20"/>
                <w:szCs w:val="20"/>
                <w:color w:val="auto"/>
              </w:rPr>
            </w:pPr>
            <w:r>
              <w:rPr>
                <w:rFonts w:ascii="Arial" w:cs="Arial" w:eastAsia="Arial" w:hAnsi="Arial"/>
                <w:sz w:val="18"/>
                <w:szCs w:val="18"/>
                <w:color w:val="auto"/>
              </w:rPr>
              <w:t>Subject Matter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7,201,920</w:t>
            </w:r>
          </w:p>
        </w:tc>
        <w:tc>
          <w:tcPr>
            <w:tcW w:w="13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Pharmaceutical compositions including a mixture of functional inactive ingredients and</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specific opioid analgesics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7,510,726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7,981,439</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including any water soluble drug susceptible to abuse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Jul. 2011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8,409,616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rPr>
              <w:t>Pharmaceutical compositions of immediate-release abuse deterrent dosage forms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8,637,540</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of immediate-release abuse deterrent opioid products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Jan.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9,492,443</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of immediate-release abuse deterrent opioid products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Nov.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8940" w:type="dxa"/>
            <w:vAlign w:val="bottom"/>
            <w:gridSpan w:val="6"/>
          </w:tcPr>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Patent No. (Jurisdiction)</w:t>
            </w:r>
          </w:p>
        </w:tc>
        <w:tc>
          <w:tcPr>
            <w:tcW w:w="6640" w:type="dxa"/>
            <w:vAlign w:val="bottom"/>
            <w:gridSpan w:val="2"/>
          </w:tcPr>
          <w:p>
            <w:pPr>
              <w:ind w:left="2680"/>
              <w:spacing w:after="0"/>
              <w:rPr>
                <w:sz w:val="20"/>
                <w:szCs w:val="20"/>
                <w:color w:val="auto"/>
              </w:rPr>
            </w:pPr>
            <w:r>
              <w:rPr>
                <w:rFonts w:ascii="Arial" w:cs="Arial" w:eastAsia="Arial" w:hAnsi="Arial"/>
                <w:sz w:val="18"/>
                <w:szCs w:val="18"/>
                <w:color w:val="auto"/>
              </w:rPr>
              <w:t>Subject Matter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7,476,402</w:t>
            </w:r>
          </w:p>
        </w:tc>
        <w:tc>
          <w:tcPr>
            <w:tcW w:w="13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Pharmaceutical compositions of certain combinations of kappa and mu opioid receptor</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Jan. 2009</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w w:val="97"/>
              </w:rPr>
              <w:t>agonists and other ingredients intended to deter opioid analgesic product misuse and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abuse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8,822,489</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64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of certain abuse deterrent products that contain polymers,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Jul.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surfactant and polysorb 80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2,004,294,953 (AUS)</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Apr.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2,010,200,979 (AUS)</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2,547,334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2,647,360</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175,863 (ISR)</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Nov. 2004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221,018 (ISR)</w:t>
            </w:r>
          </w:p>
        </w:tc>
        <w:tc>
          <w:tcPr>
            <w:tcW w:w="664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Nov. 2004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432"/>
        </w:trPr>
        <w:tc>
          <w:tcPr>
            <w:tcW w:w="10280" w:type="dxa"/>
            <w:vAlign w:val="bottom"/>
            <w:gridSpan w:val="8"/>
          </w:tcPr>
          <w:p>
            <w:pPr>
              <w:spacing w:after="0"/>
              <w:rPr>
                <w:sz w:val="20"/>
                <w:szCs w:val="20"/>
                <w:color w:val="auto"/>
              </w:rPr>
            </w:pPr>
            <w:r>
              <w:rPr>
                <w:rFonts w:ascii="Arial" w:cs="Arial" w:eastAsia="Arial" w:hAnsi="Arial"/>
                <w:sz w:val="18"/>
                <w:szCs w:val="18"/>
                <w:color w:val="auto"/>
                <w:w w:val="98"/>
              </w:rPr>
              <w:t>We have the following issued patent covering, among other things, our Nexafed product line and Impede 1.0 and 2.0 technologies:</w:t>
            </w: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Patent No. (Jurisdiction)</w:t>
            </w:r>
          </w:p>
        </w:tc>
        <w:tc>
          <w:tcPr>
            <w:tcW w:w="6640" w:type="dxa"/>
            <w:vAlign w:val="bottom"/>
            <w:gridSpan w:val="2"/>
          </w:tcPr>
          <w:p>
            <w:pPr>
              <w:ind w:left="2680"/>
              <w:spacing w:after="0"/>
              <w:rPr>
                <w:sz w:val="20"/>
                <w:szCs w:val="20"/>
                <w:color w:val="auto"/>
              </w:rPr>
            </w:pPr>
            <w:r>
              <w:rPr>
                <w:rFonts w:ascii="Arial" w:cs="Arial" w:eastAsia="Arial" w:hAnsi="Arial"/>
                <w:sz w:val="18"/>
                <w:szCs w:val="18"/>
                <w:color w:val="auto"/>
              </w:rPr>
              <w:t>Subject Matter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8,901,113 (US)</w:t>
            </w:r>
          </w:p>
        </w:tc>
        <w:tc>
          <w:tcPr>
            <w:tcW w:w="220" w:type="dxa"/>
            <w:vAlign w:val="bottom"/>
          </w:tcPr>
          <w:p>
            <w:pPr>
              <w:spacing w:after="0"/>
              <w:rPr>
                <w:sz w:val="16"/>
                <w:szCs w:val="16"/>
                <w:color w:val="auto"/>
              </w:rPr>
            </w:pPr>
          </w:p>
        </w:tc>
        <w:tc>
          <w:tcPr>
            <w:tcW w:w="6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Pharmaceutical compositions suitable for reducing the chemical conversion of precursor</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2010300641 (AUS)</w:t>
            </w:r>
          </w:p>
        </w:tc>
        <w:tc>
          <w:tcPr>
            <w:tcW w:w="664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Jun.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2,775,890</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64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Jun.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2,488,029</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(EUR)</w:t>
            </w:r>
          </w:p>
        </w:tc>
        <w:tc>
          <w:tcPr>
            <w:tcW w:w="664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218533 (ISR)</w:t>
            </w:r>
          </w:p>
        </w:tc>
        <w:tc>
          <w:tcPr>
            <w:tcW w:w="6640" w:type="dxa"/>
            <w:vAlign w:val="bottom"/>
            <w:gridSpan w:val="2"/>
          </w:tcPr>
          <w:p>
            <w:pPr>
              <w:spacing w:after="0"/>
              <w:rPr>
                <w:sz w:val="20"/>
                <w:szCs w:val="20"/>
                <w:color w:val="auto"/>
              </w:rPr>
            </w:pPr>
            <w:r>
              <w:rPr>
                <w:rFonts w:ascii="Arial" w:cs="Arial" w:eastAsia="Arial" w:hAnsi="Arial"/>
                <w:sz w:val="18"/>
                <w:szCs w:val="18"/>
                <w:color w:val="auto"/>
                <w:w w:val="94"/>
              </w:rPr>
              <w:t>Pharmaceutical compositions suitable for reducing the chemical conversion of precursor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Jan.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the Bayer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7"/>
          <w:szCs w:val="17"/>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The Settlement Agreement specifically excludes our patents related to our Impede and Limitx technologies from the scope of our patents subject to the Settlement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2016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March 31, 2017, we had unrestricted cash and cash equivalents of $3.8 million compared to $2.7 million of unrestricted cash and cash equivalents at December 31, 2016, (which is after the deduction of the $2.5 million compensating balance requirement under our term loan with Oxford). Under our term loan with Oxford Finance LLC, we are required to maintain a $2.5 million compensating balance until such time as we raise, as of March 31, 2017, an additional approximately $3.5 million through the issuance of equity securities and from upfront payments under license, joint venture, collaboration or other partnering transactions. We had an accumulated deficit of approximately $374.3 million at March 31, 2017. Though we had income from operations of $0.6 million and net income of $0.4 million for the three months ended March 31, 2017, we had a net loss from operations of $6.6 million and net loss of $7.4 million for the year ended December 31, 2016. Our current unrestricted cash and cash equivalents will be sufficient to fund the development of our products and our related operating expenses only through mid-2017 while maintaining compliance with the $2.5 million compensating balance requirement under our term loan with Oxford Finance LLC.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 line advertising, salaries and other personnel-related costs include the stock-based compensation associated with stock options and restricted stock units granted to employees and non-employee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2017 Compared to Three months Ended March 31, 2016</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4"/>
          </w:tcPr>
          <w:p>
            <w:pPr>
              <w:jc w:val="right"/>
              <w:ind w:right="1140"/>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9"/>
                <w:szCs w:val="19"/>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8"/>
                <w:szCs w:val="18"/>
                <w:color w:val="auto"/>
                <w:w w:val="94"/>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$000’s</w:t>
            </w:r>
          </w:p>
        </w:tc>
        <w:tc>
          <w:tcPr>
            <w:tcW w:w="7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2,135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3,362</w:t>
            </w: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Income (loss) before provision for income taxes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entered into a License Agreement (the “MainPointe Agreement”) pursuant to which we granted MainPointe an exclusive license to our Impede technology to commercialize our Nexafed products in the U.S. and Canada. On signing the MainPointe Agreement, MainPointe paid us an upfront licensing fee of $2.5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$36 thousand and $100 thousand of collaboration revenue during the three months ended March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We recognized $72 thousand and $17 thousand of royalty revenue during the three months ended March 31, 2017 and 2016,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License, Commercialization and Option Agreement with MainPointe on March 16, 2017, we will receive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$2 on net sales for the three months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was launched in December 2012. Nexafed® Sinus Pressure + Pain was launched in February 2015. Prior to the MainPointe Agreement, the Company sold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 Our net product sales for the three months ended March 31, 2017 and 2016 were $107 thousand and $107 thousand, respectively. As of March 16, 2017, our licensee, MainPointe Pharmaceuticals LLC, is manufacturing, distributing, and selling the Nexafed product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sales includes third-party acquisition costs, third-party warehousing and product distribution charges and inventory reserve expense for the Nexafed product line. Our cost of sales for the three months ended March 31, 2017 and 2016 were $128 thousand and $102 thousand, respectively. As of March 16, 2017, our licensee, MainPointe Pharmaceuticals LLC, is manufacturing, distributing, and selling the Nexafed product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expense (R&amp;D) for the three months ended March 31, 2017 includes costs of preclinical and non-clinical, clinical trials, clinical supplies and related formulation and design costs, salaries and other personnel related expenses, and facility costs as well as approximately $86 thousand of cost sharing expenses of clinical studies for product line extensions (additional strengths) of Oxaydo for the United States under the Egalet Agreement and approximately $23 thousand of cost sharing expenses of the FDA required post-marketing study for Oxaydo under the Egalet Agreement. R&amp;D expense for the three months ended March 31, 2016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2017 and 2016 quarterly results are non-cash share-based compensation expenses of approximately $34 thousand and $43 thousand, respectively. Excluding the share-based compensation expense, our R&amp;D expenses decreased approximately $300 thousand between reporting periods. The initial LTX-04 clinical study, Study AP-LTX-400 or Study 400, was completed during 2016. During the first quarter 2017, our activities were addressing certain excipient issues in our LTX-04 tablet formulation and developing a new, faster releasing micro-particle formulation for LTX-04. We expect to initiate enrollment in a second pharmacokinetic study, AP-LTX-401 in May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and marketing expenses for the three months ended March 31, 2017 was primarily of advertising and marketing activities on the Nexafed product line. Our general and administrative expenses primarily consisted of legal, audit and other professional services, corporate insurance, and payroll. Included in each of the March 31, 2017 and 2016 quarterly results are non-cash share-based compensation expenses of approximately $83 thousand and $107 thousand, respectively. Excluding the share-based compensation expense our selling, marketing, general and administrative expenses decreased by approximately $900 thousand between reporting periods, resulting primarily from decreases in advertising and marketing activities as well as patent and general legal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2017 and 2016, non-operating expense consisted principally of interest expense on our term loan from Oxford Finance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2017 and 2016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2017, we had unrestricted cash and cash equivalents of $3.8 million compared to unrestricted cash and cash equivalents of $2.7 million at December 31, 2016. Under our term loan with Oxford, we are required to maintain a $2.5 million compensating balance. As of April 30, 2017, our unrestricted cash and cash equivalents was $3.0 million (which is after the deduction of the $2.5 million compensating balance requirement under our term loan with Oxford). We estimate that our unrestricted working capital, together with milestone and royalty payments, if any, that may be made under the Egalet Agreement, the KemPharm Agreement, the Bayer Agreement and the MainPointe Agreement, will be sufficient to fund our continuing operations only through mid-2017 while maintaining compliance with the $2.5 million compensating balance requirement under our term loan with Oxford.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fund further operations and product development activities beyond mid-2017,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potential private offerings of common stock to institutional and/or accredited investors. The Company is also actively seeking a licensing partner for its Limitx Technology, with the objective of receiving an upfront license fee, development milestone payments and royalties on the net sales of products utilizing the Limitx Technology, similar to the Egalet and Bayer Agreements.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2016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Bayer Agreement, the KemPharm Agreement, the MainPointe Agreement and similar agreements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2016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2016 Annual Report are also applicable to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90"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277" w:lineRule="auto"/>
        <w:tabs>
          <w:tab w:leader="none" w:pos="327"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17,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2016 Annual Report on Form 10-K:</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We require additional funding; if we fail to raise additional funding we will cease operations and/or seek protection under applicable bankruptcy laws.</w:t>
      </w:r>
    </w:p>
    <w:p>
      <w:pPr>
        <w:spacing w:after="0" w:line="248" w:lineRule="exact"/>
        <w:rPr>
          <w:sz w:val="20"/>
          <w:szCs w:val="20"/>
          <w:color w:val="auto"/>
        </w:rPr>
      </w:pPr>
    </w:p>
    <w:p>
      <w:pPr>
        <w:jc w:val="both"/>
        <w:ind w:firstLine="130"/>
        <w:spacing w:after="0" w:line="287" w:lineRule="auto"/>
        <w:rPr>
          <w:sz w:val="20"/>
          <w:szCs w:val="20"/>
          <w:color w:val="auto"/>
        </w:rPr>
      </w:pPr>
      <w:r>
        <w:rPr>
          <w:rFonts w:ascii="Arial" w:cs="Arial" w:eastAsia="Arial" w:hAnsi="Arial"/>
          <w:sz w:val="16"/>
          <w:szCs w:val="16"/>
          <w:color w:val="auto"/>
        </w:rPr>
        <w:t>We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Under our term loan with Oxford Finance LLC, we are required to maintain a $2.5 million compensating balance. Our auditors have included in their report relating to our 2016 financial statements a “going concern” explanatory paragraph as to substantial doubt of our ability to continue as a going concern. Giving effect to our term loan compensating balance requirement, we believe we have unrestricted cash sufficient to fund operations only through mid-2017. In the absence of the receipt of additional financing or payments under third-party license or collaborative agreements prior to such time, we will be required to scale back or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tcPr>
          <w:p>
            <w:pPr>
              <w:ind w:left="520"/>
              <w:spacing w:after="0"/>
              <w:rPr>
                <w:sz w:val="20"/>
                <w:szCs w:val="20"/>
                <w:color w:val="auto"/>
              </w:rPr>
            </w:pPr>
            <w:r>
              <w:rPr>
                <w:rFonts w:ascii="Arial" w:cs="Arial" w:eastAsia="Arial" w:hAnsi="Arial"/>
                <w:sz w:val="18"/>
                <w:szCs w:val="18"/>
                <w:color w:val="auto"/>
              </w:rPr>
              <w:t>Intellectual Property Security Agreement entered into as of March 15, 2017 between the Company, Acura Pharmaceutical</w:t>
            </w:r>
          </w:p>
        </w:tc>
      </w:tr>
      <w:tr>
        <w:trPr>
          <w:trHeight w:val="216"/>
        </w:trPr>
        <w:tc>
          <w:tcPr>
            <w:tcW w:w="1200" w:type="dxa"/>
            <w:vAlign w:val="bottom"/>
          </w:tcPr>
          <w:p>
            <w:pPr>
              <w:spacing w:after="0"/>
              <w:rPr>
                <w:sz w:val="18"/>
                <w:szCs w:val="18"/>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w w:val="97"/>
              </w:rPr>
              <w:t>Technologies, Inc. and Oxford Finance LLC (certain information has been omitted and filed separately with the Securities and</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Exchange Commission and confidential treatment has been requested with respect to the omitted portion).</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10220" w:type="dxa"/>
            <w:vAlign w:val="bottom"/>
          </w:tcPr>
          <w:p>
            <w:pPr>
              <w:ind w:left="520"/>
              <w:spacing w:after="0"/>
              <w:rPr>
                <w:sz w:val="20"/>
                <w:szCs w:val="20"/>
                <w:color w:val="auto"/>
              </w:rPr>
            </w:pPr>
            <w:r>
              <w:rPr>
                <w:rFonts w:ascii="Arial" w:cs="Arial" w:eastAsia="Arial" w:hAnsi="Arial"/>
                <w:sz w:val="18"/>
                <w:szCs w:val="18"/>
                <w:color w:val="auto"/>
                <w:w w:val="92"/>
              </w:rPr>
              <w:t>Consent and Third Amendment entered into as of March 15, 2017 between the Company, Acura Pharmaceutical Technologies, Inc.</w:t>
            </w:r>
          </w:p>
        </w:tc>
      </w:tr>
      <w:tr>
        <w:trPr>
          <w:trHeight w:val="216"/>
        </w:trPr>
        <w:tc>
          <w:tcPr>
            <w:tcW w:w="1200" w:type="dxa"/>
            <w:vAlign w:val="bottom"/>
          </w:tcPr>
          <w:p>
            <w:pPr>
              <w:spacing w:after="0"/>
              <w:rPr>
                <w:sz w:val="18"/>
                <w:szCs w:val="18"/>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w w:val="93"/>
              </w:rPr>
              <w:t>and Oxford Finance LLC (certain information has been omitted and filed separately with the Securities and Exchange Commission</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and confidential treatment has been requested with respect to the omitted portion).</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Definition Linkbase</w:t>
            </w:r>
          </w:p>
        </w:tc>
      </w:tr>
      <w:tr>
        <w:trPr>
          <w:trHeight w:val="675"/>
        </w:trPr>
        <w:tc>
          <w:tcPr>
            <w:tcW w:w="12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400"/>
              <w:spacing w:after="0"/>
              <w:rPr>
                <w:sz w:val="20"/>
                <w:szCs w:val="20"/>
                <w:color w:val="auto"/>
              </w:rPr>
            </w:pPr>
            <w:r>
              <w:rPr>
                <w:rFonts w:ascii="Arial" w:cs="Arial" w:eastAsia="Arial" w:hAnsi="Arial"/>
                <w:sz w:val="22"/>
                <w:szCs w:val="22"/>
                <w:color w:val="auto"/>
              </w:rPr>
              <w:t>45</w:t>
            </w:r>
          </w:p>
        </w:tc>
      </w:tr>
    </w:tbl>
    <w:p>
      <w:pPr>
        <w:sectPr>
          <w:pgSz w:w="11900" w:h="16838" w:orient="portrait"/>
          <w:cols w:equalWidth="0" w:num="1">
            <w:col w:w="11420"/>
          </w:cols>
          <w:pgMar w:left="240" w:top="908" w:right="239" w:bottom="1440" w:gutter="0" w:footer="0" w:header="0"/>
        </w:sectPr>
      </w:pPr>
    </w:p>
    <w:bookmarkStart w:id="46" w:name="page47"/>
    <w:bookmarkEnd w:id="46"/>
    <w:p>
      <w:pPr>
        <w:ind w:left="4400"/>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May 12, 2017</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0"/>
          </w:cols>
          <w:pgMar w:left="1160" w:top="909" w:right="25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SECURITY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Intellectual Property Security Agreement is entered into as of March 15, 2017, by and among OXFORD FINANCE LLC, a Delaware limited liability company with an office located at 133 North Fairfax Street, Alexandria, Virginia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the Lenders listed on Schedule 1.1 of the Loan Agreement (as defined below) or otherwise a party thereto from time to time including Oxford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capacity as a Lender (each a “Lender”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ACURA PHARMACEUTICALS, INC., a New York corporation with offices located at 616 N. North Court, Suite 120, Palatine, Illinois and ACURA PHARMACEUTICAL TECHNOLOGIES, INC., an Indiana corporation with offices locates at 16235 State Road 17, Culver, IN 46511 (individually and collectively, jointly and severally, “</w:t>
      </w:r>
      <w:r>
        <w:rPr>
          <w:rFonts w:ascii="Arial" w:cs="Arial" w:eastAsia="Arial" w:hAnsi="Arial"/>
          <w:sz w:val="17"/>
          <w:szCs w:val="17"/>
          <w:b w:val="1"/>
          <w:bCs w:val="1"/>
          <w:color w:val="auto"/>
        </w:rPr>
        <w:t>Grantor</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jc w:val="both"/>
        <w:ind w:firstLine="656"/>
        <w:spacing w:after="0" w:line="256" w:lineRule="auto"/>
        <w:tabs>
          <w:tab w:leader="none" w:pos="15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agreed to make certain advances of money and to extend certain financial accommodations to Grantor (the “</w:t>
      </w:r>
      <w:r>
        <w:rPr>
          <w:rFonts w:ascii="Arial" w:cs="Arial" w:eastAsia="Arial" w:hAnsi="Arial"/>
          <w:sz w:val="18"/>
          <w:szCs w:val="18"/>
          <w:b w:val="1"/>
          <w:bCs w:val="1"/>
          <w:color w:val="auto"/>
        </w:rPr>
        <w:t>Loans</w:t>
      </w:r>
      <w:r>
        <w:rPr>
          <w:rFonts w:ascii="Arial" w:cs="Arial" w:eastAsia="Arial" w:hAnsi="Arial"/>
          <w:sz w:val="18"/>
          <w:szCs w:val="18"/>
          <w:color w:val="auto"/>
        </w:rPr>
        <w:t>”) in the amounts and manner set forth in that certain Loan and Security Agreement by and among the Collateral Agent, Lenders and Grantor dated as of December 27, 2013 (as the same may be, and may have been, amended, modified or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herein are used as defined in the Loan Agreement). In accordance with the terms of the Loan Agreement, Grantor is granting to Collateral Agent, for the ratable benefit of the Lenders, a security interest in certain Copyrights, Trademarks, Patents, and Mask Works (as each term is described below) to secure the obligations of Grantor under the Loan Agreement.</w:t>
      </w:r>
    </w:p>
    <w:p>
      <w:pPr>
        <w:spacing w:after="0" w:line="191" w:lineRule="exact"/>
        <w:rPr>
          <w:rFonts w:ascii="Arial" w:cs="Arial" w:eastAsia="Arial" w:hAnsi="Arial"/>
          <w:sz w:val="18"/>
          <w:szCs w:val="18"/>
          <w:color w:val="auto"/>
        </w:rPr>
      </w:pPr>
    </w:p>
    <w:p>
      <w:pPr>
        <w:jc w:val="both"/>
        <w:ind w:firstLine="656"/>
        <w:spacing w:after="0" w:line="264" w:lineRule="auto"/>
        <w:tabs>
          <w:tab w:leader="none" w:pos="13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Grantor has already granted to Collateral Agent, for the ratable benefit of the Lenders, a security interest in all of Grantor’s right, title and interest, whether presently existing or hereafter acquired, in, to and under all of the Collateral (other than the Intellectual Property Collateral (as defined herein below)).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for good and valuable consideration, receipt of which is hereby acknowledged, and intending to be legally bound, as collateral security for the prompt and complete payment when due of its obligations under the Loan Agreement, Grantor hereby represents, warrants, covenants and agrees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secure its obligations under the Loan Agreement, effective as of the date hereof, Grantor hereby grants and pledges to Collateral Agent, for the ratable benefit of the Lenders, a security interest in all of Grantor’s right, title and interest in, to and under its intellectual property (all of which shall collectively be called the “</w:t>
      </w:r>
      <w:r>
        <w:rPr>
          <w:rFonts w:ascii="Arial" w:cs="Arial" w:eastAsia="Arial" w:hAnsi="Arial"/>
          <w:sz w:val="18"/>
          <w:szCs w:val="18"/>
          <w:b w:val="1"/>
          <w:bCs w:val="1"/>
          <w:color w:val="auto"/>
        </w:rPr>
        <w:t>Intellectual Property Collateral</w:t>
      </w:r>
      <w:r>
        <w:rPr>
          <w:rFonts w:ascii="Arial" w:cs="Arial" w:eastAsia="Arial" w:hAnsi="Arial"/>
          <w:sz w:val="18"/>
          <w:szCs w:val="18"/>
          <w:color w:val="auto"/>
        </w:rPr>
        <w:t>”), including, without limitation, the following:</w:t>
      </w:r>
    </w:p>
    <w:p>
      <w:pPr>
        <w:spacing w:after="0" w:line="181" w:lineRule="exact"/>
        <w:rPr>
          <w:sz w:val="20"/>
          <w:szCs w:val="20"/>
          <w:color w:val="auto"/>
        </w:rPr>
      </w:pPr>
    </w:p>
    <w:p>
      <w:pPr>
        <w:jc w:val="both"/>
        <w:ind w:firstLine="980"/>
        <w:spacing w:after="0" w:line="286" w:lineRule="auto"/>
        <w:tabs>
          <w:tab w:leader="none" w:pos="18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 including without limitation those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color w:val="auto"/>
        </w:rPr>
        <w:t>Copyrights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980"/>
        <w:spacing w:after="0" w:line="277" w:lineRule="auto"/>
        <w:tabs>
          <w:tab w:leader="none" w:pos="17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and all trade secrets, and any and all intellectual property rights in computer software and computer software products now or hereafter existing, created, acquired or held;</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 w:name="page49"/>
    <w:bookmarkEnd w:id="48"/>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and all design rights that may be available to Grantor now or hereafter existing, created, acquired or held;</w:t>
      </w:r>
    </w:p>
    <w:p>
      <w:pPr>
        <w:spacing w:after="0" w:line="225" w:lineRule="exact"/>
        <w:rPr>
          <w:rFonts w:ascii="Arial" w:cs="Arial" w:eastAsia="Arial" w:hAnsi="Arial"/>
          <w:sz w:val="18"/>
          <w:szCs w:val="18"/>
          <w:color w:val="auto"/>
        </w:rPr>
      </w:pPr>
    </w:p>
    <w:p>
      <w:pPr>
        <w:jc w:val="both"/>
        <w:ind w:firstLine="980"/>
        <w:spacing w:after="0" w:line="264" w:lineRule="auto"/>
        <w:tabs>
          <w:tab w:leader="none" w:pos="17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Patents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980"/>
        <w:spacing w:after="0" w:line="264" w:lineRule="auto"/>
        <w:tabs>
          <w:tab w:leader="none" w:pos="18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Any trademark and servicemark rights, whether registered or not, applications to register and registrations of the same and like protections, and the entire goodwill of the business of Grantor connected with and symbolized by such trademarks, including without limitation those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Trademarks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80"/>
        <w:spacing w:after="0" w:line="277" w:lineRule="auto"/>
        <w:tabs>
          <w:tab w:leader="none" w:pos="17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All mask works or similar rights available for the protection of semiconductor chips, now owned or hereafter acquired, including, without limitation those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Mask Works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80"/>
        <w:spacing w:after="0" w:line="308" w:lineRule="auto"/>
        <w:tabs>
          <w:tab w:leader="none" w:pos="163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infringements of any of the rights included above, with the right, but not the obligation, to sue for and collect such damages for said use or infringement of the intellectual property rights identified above;</w:t>
      </w:r>
    </w:p>
    <w:p>
      <w:pPr>
        <w:spacing w:after="0" w:line="146" w:lineRule="exact"/>
        <w:rPr>
          <w:rFonts w:ascii="Arial" w:cs="Arial" w:eastAsia="Arial" w:hAnsi="Arial"/>
          <w:sz w:val="17"/>
          <w:szCs w:val="17"/>
          <w:color w:val="auto"/>
        </w:rPr>
      </w:pPr>
    </w:p>
    <w:p>
      <w:pPr>
        <w:ind w:firstLine="980"/>
        <w:spacing w:after="0" w:line="277" w:lineRule="auto"/>
        <w:tabs>
          <w:tab w:leader="none" w:pos="16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licenses or other rights to use any of the Copyrights, Patents, Trademarks, or Mask Works and all license fees and royalties arising from such use to the extent permitted by such license or rights;</w:t>
      </w:r>
    </w:p>
    <w:p>
      <w:pPr>
        <w:spacing w:after="0" w:line="170" w:lineRule="exact"/>
        <w:rPr>
          <w:rFonts w:ascii="Arial" w:cs="Arial" w:eastAsia="Arial" w:hAnsi="Arial"/>
          <w:sz w:val="18"/>
          <w:szCs w:val="18"/>
          <w:color w:val="auto"/>
        </w:rPr>
      </w:pPr>
    </w:p>
    <w:p>
      <w:pPr>
        <w:ind w:left="1600" w:hanging="620"/>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amendments, extensions, renewals and extensions of any of the Copyrights, Trademarks, Patents, or Mask Works; and</w:t>
      </w:r>
    </w:p>
    <w:p>
      <w:pPr>
        <w:spacing w:after="0" w:line="225" w:lineRule="exact"/>
        <w:rPr>
          <w:rFonts w:ascii="Arial" w:cs="Arial" w:eastAsia="Arial" w:hAnsi="Arial"/>
          <w:sz w:val="18"/>
          <w:szCs w:val="18"/>
          <w:color w:val="auto"/>
        </w:rPr>
      </w:pPr>
    </w:p>
    <w:p>
      <w:pPr>
        <w:ind w:firstLine="980"/>
        <w:spacing w:after="0" w:line="277" w:lineRule="auto"/>
        <w:tabs>
          <w:tab w:leader="none" w:pos="1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proceeds and products of the foregoing, including without limitation all payments under insurance or any indemnity or warranty payable in respect of any of the foregoing.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Grantor hereby represents and warrants that the Copyrights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Patents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the Trademarks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include all Copyrights, Patents and Trademarks of Grantor and its Subsidiaries that are either registered, or for which applications for registration or grant, as applicable, are pending, on the date hereof. Grantor hereby covenants to provide prompt notice of (A) any material change in the composition of the Intellectual Property, and (B) any new the Copyrights, Trademarks, Patents, or Mask Works of Grantor or any of its Subsidiaries that are either registered or for which an application for registration or grant is filed.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security interest is granted in conjunction with the security interest granted to Collateral Agent, for the ratable benefit of the Lenders under the Loan Agreement, and shall become effective upon the date hereof. The rights and remedies of Collateral Agent with respect to the security interest granted hereby are in addition to those set forth in the Loan Agreement and the other Loan Documents, and those which are now or hereafter available to Collateral Agent as a matter of law or equity. Each right, power and remedy of Collateral Agent provided for herein or in the Loan Agreement or any of the Loan Documents, or now or hereafter existing at law or in equity shall be cumulative and concurrent and shall be in addition to every right, power or remedy provided for herein and the exercise by Collateral Agent of any one or more of the rights, powers or remedies provided for in this Intellectual Property Security Agreement, the Loan Agreement or any of the other Loan Documents, or now or hereafter existing at law or in equity, shall not preclude the simultaneous or later exercise by any person, including Collateral Agent, of any or all other rights, powers or remedies.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the Liens granted by this Intellectual Property Security Agreement are subject to any and all existing licenses, rights and remedies granted by Grantor on or prior to the date hereof in accordance with the provisions of the Loan Agreement, including those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with respect to the Intellectual Property Collateral. Any Intellectual Property Collateral Transferred in accordance with the provisions of the Loan Agreement shall be deemed to have been Transferred free of Collateral Agent’s Lien (upon consummation of the applicable Transfer in accordance with the terms of the applicable agreement(s) between the Grantor and the party(ies) to which such Transfer is made); provided, however, the proceeds of such Intellectual Property Collateral shall be, and for all purposes shall be deemed to be, automatically included in the Collateral and subject to the Lien and first priority perfected security interest of Collateral Agent.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Intellectual Property Security Agreement to be duly executed by its officers thereunto duly authorized as of the first date written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GRANTOR:</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Address of Grantor:</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ACURA PHARMACEUTICALS, INC.</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616 N. North Court, Suite 120, Palatine, Illinois</w:t>
            </w:r>
          </w:p>
        </w:tc>
        <w:tc>
          <w:tcPr>
            <w:tcW w:w="16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Attn: Chief Financial Officer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426"/>
        </w:trPr>
        <w:tc>
          <w:tcPr>
            <w:tcW w:w="46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r>
        <w:trPr>
          <w:trHeight w:val="426"/>
        </w:trPr>
        <w:tc>
          <w:tcPr>
            <w:tcW w:w="4600" w:type="dxa"/>
            <w:vAlign w:val="bottom"/>
          </w:tcPr>
          <w:p>
            <w:pPr>
              <w:spacing w:after="0"/>
              <w:rPr>
                <w:sz w:val="24"/>
                <w:szCs w:val="24"/>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GRANTOR:</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Address of Grantor:</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ACURA PHARMACEUTICAL TECHNOLOGIES, INC.</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16235 State Road 17, Culver, IN 46511</w:t>
            </w:r>
          </w:p>
        </w:tc>
        <w:tc>
          <w:tcPr>
            <w:tcW w:w="16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Attn: Chief Financial Officer</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426"/>
        </w:trPr>
        <w:tc>
          <w:tcPr>
            <w:tcW w:w="46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26"/>
        </w:trPr>
        <w:tc>
          <w:tcPr>
            <w:tcW w:w="4600" w:type="dxa"/>
            <w:vAlign w:val="bottom"/>
          </w:tcPr>
          <w:p>
            <w:pPr>
              <w:spacing w:after="0"/>
              <w:rPr>
                <w:sz w:val="24"/>
                <w:szCs w:val="24"/>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LENDER AND COLLATERAL AGENT:</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Address of Lender:</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w w:val="99"/>
              </w:rPr>
              <w:t>OXFORD FINANCE LLC, AS COLLATERAL AGENT AND AS LENDER</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133 North Fairfax Street</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r>
      <w:tr>
        <w:trPr>
          <w:trHeight w:val="195"/>
        </w:trPr>
        <w:tc>
          <w:tcPr>
            <w:tcW w:w="4600" w:type="dxa"/>
            <w:vAlign w:val="bottom"/>
          </w:tcPr>
          <w:p>
            <w:pPr>
              <w:spacing w:after="0" w:line="195" w:lineRule="exact"/>
              <w:rPr>
                <w:sz w:val="20"/>
                <w:szCs w:val="20"/>
                <w:color w:val="auto"/>
              </w:rPr>
            </w:pPr>
            <w:r>
              <w:rPr>
                <w:rFonts w:ascii="Arial" w:cs="Arial" w:eastAsia="Arial" w:hAnsi="Arial"/>
                <w:sz w:val="18"/>
                <w:szCs w:val="18"/>
                <w:color w:val="auto"/>
              </w:rPr>
              <w:t>Alexandria, Virginia 22314</w:t>
            </w:r>
          </w:p>
        </w:tc>
        <w:tc>
          <w:tcPr>
            <w:tcW w:w="168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Attn: Legal Department</w:t>
            </w: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 Finance, Secretary &amp; Treasurer</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80" w:type="dxa"/>
            <w:vAlign w:val="bottom"/>
            <w:gridSpan w:val="5"/>
          </w:tcPr>
          <w:p>
            <w:pPr>
              <w:jc w:val="center"/>
              <w:ind w:right="2980"/>
              <w:spacing w:after="0"/>
              <w:rPr>
                <w:sz w:val="20"/>
                <w:szCs w:val="20"/>
                <w:color w:val="auto"/>
              </w:rPr>
            </w:pPr>
            <w:r>
              <w:rPr>
                <w:rFonts w:ascii="Arial" w:cs="Arial" w:eastAsia="Arial" w:hAnsi="Arial"/>
                <w:sz w:val="18"/>
                <w:szCs w:val="18"/>
                <w:color w:val="auto"/>
              </w:rPr>
              <w:t>EXHIBIT A</w:t>
            </w:r>
          </w:p>
        </w:tc>
        <w:tc>
          <w:tcPr>
            <w:tcW w:w="2280" w:type="dxa"/>
            <w:vAlign w:val="bottom"/>
          </w:tcPr>
          <w:p>
            <w:pPr>
              <w:spacing w:after="0"/>
              <w:rPr>
                <w:sz w:val="17"/>
                <w:szCs w:val="17"/>
                <w:color w:val="auto"/>
              </w:rPr>
            </w:pPr>
          </w:p>
        </w:tc>
      </w:tr>
      <w:tr>
        <w:trPr>
          <w:trHeight w:val="453"/>
        </w:trPr>
        <w:tc>
          <w:tcPr>
            <w:tcW w:w="3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Copyrights</w:t>
            </w:r>
          </w:p>
        </w:tc>
        <w:tc>
          <w:tcPr>
            <w:tcW w:w="2980" w:type="dxa"/>
            <w:vAlign w:val="bottom"/>
            <w:gridSpan w:val="4"/>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3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228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3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Application</w:t>
            </w:r>
          </w:p>
        </w:tc>
        <w:tc>
          <w:tcPr>
            <w:tcW w:w="228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Description</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280" w:type="dxa"/>
            <w:vAlign w:val="bottom"/>
          </w:tcPr>
          <w:p>
            <w:pPr>
              <w:spacing w:after="0"/>
              <w:rPr>
                <w:sz w:val="20"/>
                <w:szCs w:val="20"/>
                <w:color w:val="auto"/>
              </w:rPr>
            </w:pPr>
            <w:r>
              <w:rPr>
                <w:rFonts w:ascii="Arial" w:cs="Arial" w:eastAsia="Arial" w:hAnsi="Arial"/>
                <w:sz w:val="18"/>
                <w:szCs w:val="18"/>
                <w:color w:val="auto"/>
              </w:rPr>
              <w:t>Date</w:t>
            </w:r>
          </w:p>
        </w:tc>
      </w:tr>
      <w:tr>
        <w:trPr>
          <w:trHeight w:val="426"/>
        </w:trPr>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2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gridSpan w:val="4"/>
          </w:tcPr>
          <w:p>
            <w:pPr>
              <w:jc w:val="center"/>
              <w:ind w:left="4690"/>
              <w:spacing w:after="0"/>
              <w:rPr>
                <w:sz w:val="20"/>
                <w:szCs w:val="20"/>
                <w:color w:val="auto"/>
              </w:rPr>
            </w:pPr>
            <w:r>
              <w:rPr>
                <w:rFonts w:ascii="Arial" w:cs="Arial" w:eastAsia="Arial" w:hAnsi="Arial"/>
                <w:sz w:val="18"/>
                <w:szCs w:val="18"/>
                <w:color w:val="auto"/>
              </w:rPr>
              <w:t>EXHIBIT B</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Patents</w:t>
            </w:r>
          </w:p>
        </w:tc>
        <w:tc>
          <w:tcPr>
            <w:tcW w:w="48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228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Application</w:t>
            </w:r>
          </w:p>
        </w:tc>
        <w:tc>
          <w:tcPr>
            <w:tcW w:w="228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6640" w:type="dxa"/>
            <w:vAlign w:val="bottom"/>
            <w:gridSpan w:val="5"/>
          </w:tcPr>
          <w:p>
            <w:pPr>
              <w:spacing w:after="0"/>
              <w:rPr>
                <w:sz w:val="20"/>
                <w:szCs w:val="20"/>
                <w:color w:val="auto"/>
              </w:rPr>
            </w:pPr>
            <w:r>
              <w:rPr>
                <w:rFonts w:ascii="Arial" w:cs="Arial" w:eastAsia="Arial" w:hAnsi="Arial"/>
                <w:sz w:val="18"/>
                <w:szCs w:val="18"/>
                <w:color w:val="auto"/>
              </w:rPr>
              <w:t>Description</w:t>
            </w:r>
          </w:p>
        </w:tc>
        <w:tc>
          <w:tcPr>
            <w:tcW w:w="25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280" w:type="dxa"/>
            <w:vAlign w:val="bottom"/>
          </w:tcPr>
          <w:p>
            <w:pPr>
              <w:spacing w:after="0"/>
              <w:rPr>
                <w:sz w:val="20"/>
                <w:szCs w:val="20"/>
                <w:color w:val="auto"/>
              </w:rPr>
            </w:pPr>
            <w:r>
              <w:rPr>
                <w:rFonts w:ascii="Arial" w:cs="Arial" w:eastAsia="Arial" w:hAnsi="Arial"/>
                <w:sz w:val="18"/>
                <w:szCs w:val="18"/>
                <w:color w:val="auto"/>
              </w:rPr>
              <w:t>Date</w:t>
            </w:r>
          </w:p>
        </w:tc>
      </w:tr>
      <w:tr>
        <w:trPr>
          <w:trHeight w:val="195"/>
        </w:trPr>
        <w:tc>
          <w:tcPr>
            <w:tcW w:w="20" w:type="dxa"/>
            <w:vAlign w:val="bottom"/>
          </w:tcPr>
          <w:p>
            <w:pPr>
              <w:spacing w:after="0"/>
              <w:rPr>
                <w:sz w:val="16"/>
                <w:szCs w:val="16"/>
                <w:color w:val="auto"/>
              </w:rPr>
            </w:pPr>
          </w:p>
        </w:tc>
        <w:tc>
          <w:tcPr>
            <w:tcW w:w="63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8"/>
              </w:rPr>
              <w:t>Methods and compositions for deterring abuse of opioid containing dosage forms</w:t>
            </w:r>
          </w:p>
        </w:tc>
        <w:tc>
          <w:tcPr>
            <w:tcW w:w="24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 7,201,920</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4/10/2007</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7,476,402</w:t>
            </w:r>
          </w:p>
        </w:tc>
        <w:tc>
          <w:tcPr>
            <w:tcW w:w="2280" w:type="dxa"/>
            <w:vAlign w:val="bottom"/>
          </w:tcPr>
          <w:p>
            <w:pPr>
              <w:spacing w:after="0"/>
              <w:rPr>
                <w:sz w:val="20"/>
                <w:szCs w:val="20"/>
                <w:color w:val="auto"/>
              </w:rPr>
            </w:pPr>
            <w:r>
              <w:rPr>
                <w:rFonts w:ascii="Arial" w:cs="Arial" w:eastAsia="Arial" w:hAnsi="Arial"/>
                <w:sz w:val="18"/>
                <w:szCs w:val="18"/>
                <w:color w:val="auto"/>
              </w:rPr>
              <w:t>1/13/2009</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7,510,726</w:t>
            </w:r>
          </w:p>
        </w:tc>
        <w:tc>
          <w:tcPr>
            <w:tcW w:w="2280" w:type="dxa"/>
            <w:vAlign w:val="bottom"/>
          </w:tcPr>
          <w:p>
            <w:pPr>
              <w:spacing w:after="0"/>
              <w:rPr>
                <w:sz w:val="20"/>
                <w:szCs w:val="20"/>
                <w:color w:val="auto"/>
              </w:rPr>
            </w:pPr>
            <w:r>
              <w:rPr>
                <w:rFonts w:ascii="Arial" w:cs="Arial" w:eastAsia="Arial" w:hAnsi="Arial"/>
                <w:sz w:val="18"/>
                <w:szCs w:val="18"/>
                <w:color w:val="auto"/>
              </w:rPr>
              <w:t>3/31/2009</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7,981,439</w:t>
            </w:r>
          </w:p>
        </w:tc>
        <w:tc>
          <w:tcPr>
            <w:tcW w:w="2280" w:type="dxa"/>
            <w:vAlign w:val="bottom"/>
          </w:tcPr>
          <w:p>
            <w:pPr>
              <w:spacing w:after="0"/>
              <w:rPr>
                <w:sz w:val="20"/>
                <w:szCs w:val="20"/>
                <w:color w:val="auto"/>
              </w:rPr>
            </w:pPr>
            <w:r>
              <w:rPr>
                <w:rFonts w:ascii="Arial" w:cs="Arial" w:eastAsia="Arial" w:hAnsi="Arial"/>
                <w:sz w:val="18"/>
                <w:szCs w:val="18"/>
                <w:color w:val="auto"/>
              </w:rPr>
              <w:t>7/19/2011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8,409,616</w:t>
            </w:r>
          </w:p>
        </w:tc>
        <w:tc>
          <w:tcPr>
            <w:tcW w:w="2280" w:type="dxa"/>
            <w:vAlign w:val="bottom"/>
          </w:tcPr>
          <w:p>
            <w:pPr>
              <w:spacing w:after="0"/>
              <w:rPr>
                <w:sz w:val="20"/>
                <w:szCs w:val="20"/>
                <w:color w:val="auto"/>
              </w:rPr>
            </w:pPr>
            <w:r>
              <w:rPr>
                <w:rFonts w:ascii="Arial" w:cs="Arial" w:eastAsia="Arial" w:hAnsi="Arial"/>
                <w:sz w:val="18"/>
                <w:szCs w:val="18"/>
                <w:color w:val="auto"/>
              </w:rPr>
              <w:t>4/2/2013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8,822,489</w:t>
            </w:r>
          </w:p>
        </w:tc>
        <w:tc>
          <w:tcPr>
            <w:tcW w:w="2280" w:type="dxa"/>
            <w:vAlign w:val="bottom"/>
          </w:tcPr>
          <w:p>
            <w:pPr>
              <w:spacing w:after="0"/>
              <w:rPr>
                <w:sz w:val="20"/>
                <w:szCs w:val="20"/>
                <w:color w:val="auto"/>
              </w:rPr>
            </w:pPr>
            <w:r>
              <w:rPr>
                <w:rFonts w:ascii="Arial" w:cs="Arial" w:eastAsia="Arial" w:hAnsi="Arial"/>
                <w:sz w:val="18"/>
                <w:szCs w:val="18"/>
                <w:color w:val="auto"/>
              </w:rPr>
              <w:t>7/24/2014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8,637,540</w:t>
            </w:r>
          </w:p>
        </w:tc>
        <w:tc>
          <w:tcPr>
            <w:tcW w:w="2280" w:type="dxa"/>
            <w:vAlign w:val="bottom"/>
          </w:tcPr>
          <w:p>
            <w:pPr>
              <w:spacing w:after="0"/>
              <w:rPr>
                <w:sz w:val="20"/>
                <w:szCs w:val="20"/>
                <w:color w:val="auto"/>
              </w:rPr>
            </w:pPr>
            <w:r>
              <w:rPr>
                <w:rFonts w:ascii="Arial" w:cs="Arial" w:eastAsia="Arial" w:hAnsi="Arial"/>
                <w:sz w:val="18"/>
                <w:szCs w:val="18"/>
                <w:color w:val="auto"/>
              </w:rPr>
              <w:t>1/28/2014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9,492,443</w:t>
            </w:r>
          </w:p>
        </w:tc>
        <w:tc>
          <w:tcPr>
            <w:tcW w:w="2280" w:type="dxa"/>
            <w:vAlign w:val="bottom"/>
          </w:tcPr>
          <w:p>
            <w:pPr>
              <w:spacing w:after="0"/>
              <w:rPr>
                <w:sz w:val="20"/>
                <w:szCs w:val="20"/>
                <w:color w:val="auto"/>
              </w:rPr>
            </w:pPr>
            <w:r>
              <w:rPr>
                <w:rFonts w:ascii="Arial" w:cs="Arial" w:eastAsia="Arial" w:hAnsi="Arial"/>
                <w:sz w:val="18"/>
                <w:szCs w:val="18"/>
                <w:color w:val="auto"/>
              </w:rPr>
              <w:t>11/15/2016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2004294953</w:t>
            </w:r>
          </w:p>
        </w:tc>
        <w:tc>
          <w:tcPr>
            <w:tcW w:w="2280" w:type="dxa"/>
            <w:vAlign w:val="bottom"/>
          </w:tcPr>
          <w:p>
            <w:pPr>
              <w:spacing w:after="0"/>
              <w:rPr>
                <w:sz w:val="20"/>
                <w:szCs w:val="20"/>
                <w:color w:val="auto"/>
              </w:rPr>
            </w:pPr>
            <w:r>
              <w:rPr>
                <w:rFonts w:ascii="Arial" w:cs="Arial" w:eastAsia="Arial" w:hAnsi="Arial"/>
                <w:sz w:val="18"/>
                <w:szCs w:val="18"/>
                <w:color w:val="auto"/>
              </w:rPr>
              <w:t>4/1/2010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2010200979</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 2,547,334</w:t>
            </w:r>
          </w:p>
        </w:tc>
        <w:tc>
          <w:tcPr>
            <w:tcW w:w="2280" w:type="dxa"/>
            <w:vAlign w:val="bottom"/>
          </w:tcPr>
          <w:p>
            <w:pPr>
              <w:spacing w:after="0"/>
              <w:rPr>
                <w:sz w:val="20"/>
                <w:szCs w:val="20"/>
                <w:color w:val="auto"/>
              </w:rPr>
            </w:pPr>
            <w:r>
              <w:rPr>
                <w:rFonts w:ascii="Arial" w:cs="Arial" w:eastAsia="Arial" w:hAnsi="Arial"/>
                <w:sz w:val="18"/>
                <w:szCs w:val="18"/>
                <w:color w:val="auto"/>
              </w:rPr>
              <w:t>8/10/2010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IL 175863</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IL 221018</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4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2010200979</w:t>
            </w:r>
          </w:p>
        </w:tc>
        <w:tc>
          <w:tcPr>
            <w:tcW w:w="2280" w:type="dxa"/>
            <w:vAlign w:val="bottom"/>
          </w:tcPr>
          <w:p>
            <w:pPr>
              <w:spacing w:after="0"/>
              <w:rPr>
                <w:sz w:val="20"/>
                <w:szCs w:val="20"/>
                <w:color w:val="auto"/>
              </w:rPr>
            </w:pPr>
            <w:r>
              <w:rPr>
                <w:rFonts w:ascii="Arial" w:cs="Arial" w:eastAsia="Arial" w:hAnsi="Arial"/>
                <w:sz w:val="18"/>
                <w:szCs w:val="18"/>
                <w:color w:val="auto"/>
              </w:rPr>
              <w:t>3/15/2010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2013206525</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04812083.6</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11158284.7</w:t>
            </w:r>
          </w:p>
        </w:tc>
        <w:tc>
          <w:tcPr>
            <w:tcW w:w="2280" w:type="dxa"/>
            <w:vAlign w:val="bottom"/>
          </w:tcPr>
          <w:p>
            <w:pPr>
              <w:spacing w:after="0"/>
              <w:rPr>
                <w:sz w:val="20"/>
                <w:szCs w:val="20"/>
                <w:color w:val="auto"/>
              </w:rPr>
            </w:pPr>
            <w:r>
              <w:rPr>
                <w:rFonts w:ascii="Arial" w:cs="Arial" w:eastAsia="Arial" w:hAnsi="Arial"/>
                <w:sz w:val="18"/>
                <w:szCs w:val="18"/>
                <w:color w:val="auto"/>
              </w:rPr>
              <w:t>11/23/2011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HK 12106471.1</w:t>
            </w:r>
          </w:p>
        </w:tc>
        <w:tc>
          <w:tcPr>
            <w:tcW w:w="228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Process to manufacture oxycodone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6,864,370</w:t>
            </w:r>
          </w:p>
        </w:tc>
        <w:tc>
          <w:tcPr>
            <w:tcW w:w="2280" w:type="dxa"/>
            <w:vAlign w:val="bottom"/>
          </w:tcPr>
          <w:p>
            <w:pPr>
              <w:spacing w:after="0"/>
              <w:rPr>
                <w:sz w:val="20"/>
                <w:szCs w:val="20"/>
                <w:color w:val="auto"/>
              </w:rPr>
            </w:pPr>
            <w:r>
              <w:rPr>
                <w:rFonts w:ascii="Arial" w:cs="Arial" w:eastAsia="Arial" w:hAnsi="Arial"/>
                <w:sz w:val="18"/>
                <w:szCs w:val="18"/>
                <w:color w:val="auto"/>
              </w:rPr>
              <w:t>3/8/2005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Process for manufacturing thebaine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6,790,959</w:t>
            </w:r>
          </w:p>
        </w:tc>
        <w:tc>
          <w:tcPr>
            <w:tcW w:w="2280" w:type="dxa"/>
            <w:vAlign w:val="bottom"/>
          </w:tcPr>
          <w:p>
            <w:pPr>
              <w:spacing w:after="0"/>
              <w:rPr>
                <w:sz w:val="20"/>
                <w:szCs w:val="20"/>
                <w:color w:val="auto"/>
              </w:rPr>
            </w:pPr>
            <w:r>
              <w:rPr>
                <w:rFonts w:ascii="Arial" w:cs="Arial" w:eastAsia="Arial" w:hAnsi="Arial"/>
                <w:sz w:val="18"/>
                <w:szCs w:val="18"/>
                <w:color w:val="auto"/>
              </w:rPr>
              <w:t>9/14/2004</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Process for manufacturing codeine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6,972,332</w:t>
            </w:r>
          </w:p>
        </w:tc>
        <w:tc>
          <w:tcPr>
            <w:tcW w:w="2280" w:type="dxa"/>
            <w:vAlign w:val="bottom"/>
          </w:tcPr>
          <w:p>
            <w:pPr>
              <w:spacing w:after="0"/>
              <w:rPr>
                <w:sz w:val="20"/>
                <w:szCs w:val="20"/>
                <w:color w:val="auto"/>
              </w:rPr>
            </w:pPr>
            <w:r>
              <w:rPr>
                <w:rFonts w:ascii="Arial" w:cs="Arial" w:eastAsia="Arial" w:hAnsi="Arial"/>
                <w:sz w:val="18"/>
                <w:szCs w:val="18"/>
                <w:color w:val="auto"/>
              </w:rPr>
              <w:t>12/6/2005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Process for manufacturing codeine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6,949,645</w:t>
            </w:r>
          </w:p>
        </w:tc>
        <w:tc>
          <w:tcPr>
            <w:tcW w:w="2280" w:type="dxa"/>
            <w:vAlign w:val="bottom"/>
          </w:tcPr>
          <w:p>
            <w:pPr>
              <w:spacing w:after="0"/>
              <w:rPr>
                <w:sz w:val="20"/>
                <w:szCs w:val="20"/>
                <w:color w:val="auto"/>
              </w:rPr>
            </w:pPr>
            <w:r>
              <w:rPr>
                <w:rFonts w:ascii="Arial" w:cs="Arial" w:eastAsia="Arial" w:hAnsi="Arial"/>
                <w:sz w:val="18"/>
                <w:szCs w:val="18"/>
                <w:color w:val="auto"/>
              </w:rPr>
              <w:t>9/27/2005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Process for preparing dihydrocodeine from codeine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6,887,999</w:t>
            </w:r>
          </w:p>
        </w:tc>
        <w:tc>
          <w:tcPr>
            <w:tcW w:w="2280" w:type="dxa"/>
            <w:vAlign w:val="bottom"/>
          </w:tcPr>
          <w:p>
            <w:pPr>
              <w:spacing w:after="0"/>
              <w:rPr>
                <w:sz w:val="20"/>
                <w:szCs w:val="20"/>
                <w:color w:val="auto"/>
              </w:rPr>
            </w:pPr>
            <w:r>
              <w:rPr>
                <w:rFonts w:ascii="Arial" w:cs="Arial" w:eastAsia="Arial" w:hAnsi="Arial"/>
                <w:sz w:val="18"/>
                <w:szCs w:val="18"/>
                <w:color w:val="auto"/>
              </w:rPr>
              <w:t>5/3/2005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Preparation of opioid analgesics by a one-pot process</w:t>
            </w:r>
          </w:p>
        </w:tc>
        <w:tc>
          <w:tcPr>
            <w:tcW w:w="2500" w:type="dxa"/>
            <w:vAlign w:val="bottom"/>
            <w:gridSpan w:val="2"/>
          </w:tcPr>
          <w:p>
            <w:pPr>
              <w:spacing w:after="0"/>
              <w:rPr>
                <w:sz w:val="20"/>
                <w:szCs w:val="20"/>
                <w:color w:val="auto"/>
              </w:rPr>
            </w:pPr>
            <w:r>
              <w:rPr>
                <w:rFonts w:ascii="Arial" w:cs="Arial" w:eastAsia="Arial" w:hAnsi="Arial"/>
                <w:sz w:val="18"/>
                <w:szCs w:val="18"/>
                <w:color w:val="auto"/>
              </w:rPr>
              <w:t>US 6,946,556</w:t>
            </w:r>
          </w:p>
        </w:tc>
        <w:tc>
          <w:tcPr>
            <w:tcW w:w="2280" w:type="dxa"/>
            <w:vAlign w:val="bottom"/>
          </w:tcPr>
          <w:p>
            <w:pPr>
              <w:spacing w:after="0"/>
              <w:rPr>
                <w:sz w:val="20"/>
                <w:szCs w:val="20"/>
                <w:color w:val="auto"/>
              </w:rPr>
            </w:pPr>
            <w:r>
              <w:rPr>
                <w:rFonts w:ascii="Arial" w:cs="Arial" w:eastAsia="Arial" w:hAnsi="Arial"/>
                <w:sz w:val="18"/>
                <w:szCs w:val="18"/>
                <w:color w:val="auto"/>
              </w:rPr>
              <w:t>9/20/2005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Preparation of oxycodone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7,071,336</w:t>
            </w:r>
          </w:p>
        </w:tc>
        <w:tc>
          <w:tcPr>
            <w:tcW w:w="2280" w:type="dxa"/>
            <w:vAlign w:val="bottom"/>
          </w:tcPr>
          <w:p>
            <w:pPr>
              <w:spacing w:after="0"/>
              <w:rPr>
                <w:sz w:val="20"/>
                <w:szCs w:val="20"/>
                <w:color w:val="auto"/>
              </w:rPr>
            </w:pPr>
            <w:r>
              <w:rPr>
                <w:rFonts w:ascii="Arial" w:cs="Arial" w:eastAsia="Arial" w:hAnsi="Arial"/>
                <w:sz w:val="18"/>
                <w:szCs w:val="18"/>
                <w:color w:val="auto"/>
              </w:rPr>
              <w:t>7/4/2006</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Preparation of a 4,5-epoxymorphinan</w:t>
            </w:r>
          </w:p>
        </w:tc>
        <w:tc>
          <w:tcPr>
            <w:tcW w:w="2500" w:type="dxa"/>
            <w:vAlign w:val="bottom"/>
            <w:gridSpan w:val="2"/>
          </w:tcPr>
          <w:p>
            <w:pPr>
              <w:spacing w:after="0"/>
              <w:rPr>
                <w:sz w:val="20"/>
                <w:szCs w:val="20"/>
                <w:color w:val="auto"/>
              </w:rPr>
            </w:pPr>
            <w:r>
              <w:rPr>
                <w:rFonts w:ascii="Arial" w:cs="Arial" w:eastAsia="Arial" w:hAnsi="Arial"/>
                <w:sz w:val="18"/>
                <w:szCs w:val="18"/>
                <w:color w:val="auto"/>
              </w:rPr>
              <w:t>US 7,348,430</w:t>
            </w:r>
          </w:p>
        </w:tc>
        <w:tc>
          <w:tcPr>
            <w:tcW w:w="2280" w:type="dxa"/>
            <w:vAlign w:val="bottom"/>
          </w:tcPr>
          <w:p>
            <w:pPr>
              <w:spacing w:after="0"/>
              <w:rPr>
                <w:sz w:val="20"/>
                <w:szCs w:val="20"/>
                <w:color w:val="auto"/>
              </w:rPr>
            </w:pPr>
            <w:r>
              <w:rPr>
                <w:rFonts w:ascii="Arial" w:cs="Arial" w:eastAsia="Arial" w:hAnsi="Arial"/>
                <w:sz w:val="18"/>
                <w:szCs w:val="18"/>
                <w:color w:val="auto"/>
              </w:rPr>
              <w:t>3/25/2008</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Methods and compositions for deterring abuse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8,901,113</w:t>
            </w:r>
          </w:p>
        </w:tc>
        <w:tc>
          <w:tcPr>
            <w:tcW w:w="2280" w:type="dxa"/>
            <w:vAlign w:val="bottom"/>
          </w:tcPr>
          <w:p>
            <w:pPr>
              <w:spacing w:after="0"/>
              <w:rPr>
                <w:sz w:val="20"/>
                <w:szCs w:val="20"/>
                <w:color w:val="auto"/>
              </w:rPr>
            </w:pPr>
            <w:r>
              <w:rPr>
                <w:rFonts w:ascii="Arial" w:cs="Arial" w:eastAsia="Arial" w:hAnsi="Arial"/>
                <w:sz w:val="18"/>
                <w:szCs w:val="18"/>
                <w:color w:val="auto"/>
              </w:rPr>
              <w:t>12/2/[2014]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2010300641</w:t>
            </w:r>
          </w:p>
        </w:tc>
        <w:tc>
          <w:tcPr>
            <w:tcW w:w="2280" w:type="dxa"/>
            <w:vAlign w:val="bottom"/>
          </w:tcPr>
          <w:p>
            <w:pPr>
              <w:spacing w:after="0"/>
              <w:rPr>
                <w:sz w:val="20"/>
                <w:szCs w:val="20"/>
                <w:color w:val="auto"/>
              </w:rPr>
            </w:pPr>
            <w:r>
              <w:rPr>
                <w:rFonts w:ascii="Arial" w:cs="Arial" w:eastAsia="Arial" w:hAnsi="Arial"/>
                <w:sz w:val="18"/>
                <w:szCs w:val="18"/>
                <w:color w:val="auto"/>
              </w:rPr>
              <w:t>6/3/2016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 2,775,890</w:t>
            </w:r>
          </w:p>
        </w:tc>
        <w:tc>
          <w:tcPr>
            <w:tcW w:w="2280" w:type="dxa"/>
            <w:vAlign w:val="bottom"/>
          </w:tcPr>
          <w:p>
            <w:pPr>
              <w:spacing w:after="0"/>
              <w:rPr>
                <w:sz w:val="20"/>
                <w:szCs w:val="20"/>
                <w:color w:val="auto"/>
              </w:rPr>
            </w:pPr>
            <w:r>
              <w:rPr>
                <w:rFonts w:ascii="Arial" w:cs="Arial" w:eastAsia="Arial" w:hAnsi="Arial"/>
                <w:sz w:val="18"/>
                <w:szCs w:val="18"/>
                <w:color w:val="auto"/>
              </w:rPr>
              <w:t>6/21/2016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2,488,029</w:t>
            </w:r>
          </w:p>
        </w:tc>
        <w:tc>
          <w:tcPr>
            <w:tcW w:w="2280" w:type="dxa"/>
            <w:vAlign w:val="bottom"/>
          </w:tcPr>
          <w:p>
            <w:pPr>
              <w:spacing w:after="0"/>
              <w:rPr>
                <w:sz w:val="20"/>
                <w:szCs w:val="20"/>
                <w:color w:val="auto"/>
              </w:rPr>
            </w:pPr>
            <w:r>
              <w:rPr>
                <w:rFonts w:ascii="Arial" w:cs="Arial" w:eastAsia="Arial" w:hAnsi="Arial"/>
                <w:sz w:val="18"/>
                <w:szCs w:val="18"/>
                <w:color w:val="auto"/>
              </w:rPr>
              <w:t>3/23/2016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HK 13102020.5</w:t>
            </w:r>
          </w:p>
        </w:tc>
        <w:tc>
          <w:tcPr>
            <w:tcW w:w="2280" w:type="dxa"/>
            <w:vAlign w:val="bottom"/>
          </w:tcPr>
          <w:p>
            <w:pPr>
              <w:spacing w:after="0"/>
              <w:rPr>
                <w:sz w:val="20"/>
                <w:szCs w:val="20"/>
                <w:color w:val="auto"/>
              </w:rPr>
            </w:pPr>
            <w:r>
              <w:rPr>
                <w:rFonts w:ascii="Arial" w:cs="Arial" w:eastAsia="Arial" w:hAnsi="Arial"/>
                <w:sz w:val="18"/>
                <w:szCs w:val="18"/>
                <w:color w:val="auto"/>
              </w:rPr>
              <w:t>10/14/2016</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IL 218533</w:t>
            </w:r>
          </w:p>
        </w:tc>
        <w:tc>
          <w:tcPr>
            <w:tcW w:w="2280" w:type="dxa"/>
            <w:vAlign w:val="bottom"/>
          </w:tcPr>
          <w:p>
            <w:pPr>
              <w:spacing w:after="0"/>
              <w:rPr>
                <w:sz w:val="20"/>
                <w:szCs w:val="20"/>
                <w:color w:val="auto"/>
              </w:rPr>
            </w:pPr>
            <w:r>
              <w:rPr>
                <w:rFonts w:ascii="Arial" w:cs="Arial" w:eastAsia="Arial" w:hAnsi="Arial"/>
                <w:sz w:val="18"/>
                <w:szCs w:val="18"/>
                <w:color w:val="auto"/>
              </w:rPr>
              <w:t>9/29/2016</w:t>
            </w:r>
          </w:p>
        </w:tc>
      </w:tr>
      <w:tr>
        <w:trPr>
          <w:trHeight w:val="41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14/552,067</w:t>
            </w:r>
          </w:p>
        </w:tc>
        <w:tc>
          <w:tcPr>
            <w:tcW w:w="2280" w:type="dxa"/>
            <w:vAlign w:val="bottom"/>
          </w:tcPr>
          <w:p>
            <w:pPr>
              <w:spacing w:after="0"/>
              <w:rPr>
                <w:sz w:val="20"/>
                <w:szCs w:val="20"/>
                <w:color w:val="auto"/>
              </w:rPr>
            </w:pPr>
            <w:r>
              <w:rPr>
                <w:rFonts w:ascii="Arial" w:cs="Arial" w:eastAsia="Arial" w:hAnsi="Arial"/>
                <w:sz w:val="18"/>
                <w:szCs w:val="18"/>
                <w:color w:val="auto"/>
              </w:rPr>
              <w:t>11/24/2014</w:t>
            </w:r>
          </w:p>
        </w:tc>
      </w:tr>
      <w:tr>
        <w:trPr>
          <w:trHeight w:val="22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 2,775,890</w:t>
            </w:r>
          </w:p>
        </w:tc>
        <w:tc>
          <w:tcPr>
            <w:tcW w:w="228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2016204065</w:t>
            </w:r>
          </w:p>
        </w:tc>
        <w:tc>
          <w:tcPr>
            <w:tcW w:w="228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16161681.8</w:t>
            </w:r>
          </w:p>
        </w:tc>
        <w:tc>
          <w:tcPr>
            <w:tcW w:w="228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HK 13102020.5</w:t>
            </w:r>
          </w:p>
        </w:tc>
        <w:tc>
          <w:tcPr>
            <w:tcW w:w="228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IL 245734</w:t>
            </w:r>
          </w:p>
        </w:tc>
        <w:tc>
          <w:tcPr>
            <w:tcW w:w="228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w w:val="94"/>
              </w:rPr>
              <w:t>Methods and compositions for self-regulated release of active pharmaceutical ingredient</w:t>
            </w:r>
          </w:p>
        </w:tc>
        <w:tc>
          <w:tcPr>
            <w:tcW w:w="2500" w:type="dxa"/>
            <w:vAlign w:val="bottom"/>
            <w:gridSpan w:val="2"/>
          </w:tcPr>
          <w:p>
            <w:pPr>
              <w:spacing w:after="0"/>
              <w:rPr>
                <w:sz w:val="20"/>
                <w:szCs w:val="20"/>
                <w:color w:val="auto"/>
              </w:rPr>
            </w:pPr>
            <w:r>
              <w:rPr>
                <w:rFonts w:ascii="Arial" w:cs="Arial" w:eastAsia="Arial" w:hAnsi="Arial"/>
                <w:sz w:val="18"/>
                <w:szCs w:val="18"/>
                <w:color w:val="auto"/>
              </w:rPr>
              <w:t>US 9,101,636</w:t>
            </w:r>
          </w:p>
        </w:tc>
        <w:tc>
          <w:tcPr>
            <w:tcW w:w="2280" w:type="dxa"/>
            <w:vAlign w:val="bottom"/>
          </w:tcPr>
          <w:p>
            <w:pPr>
              <w:spacing w:after="0"/>
              <w:rPr>
                <w:sz w:val="20"/>
                <w:szCs w:val="20"/>
                <w:color w:val="auto"/>
              </w:rPr>
            </w:pPr>
            <w:r>
              <w:rPr>
                <w:rFonts w:ascii="Arial" w:cs="Arial" w:eastAsia="Arial" w:hAnsi="Arial"/>
                <w:sz w:val="18"/>
                <w:szCs w:val="18"/>
                <w:color w:val="auto"/>
              </w:rPr>
              <w:t>8/11/2015</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US 9,320,796</w:t>
            </w:r>
          </w:p>
        </w:tc>
        <w:tc>
          <w:tcPr>
            <w:tcW w:w="2280" w:type="dxa"/>
            <w:vAlign w:val="bottom"/>
          </w:tcPr>
          <w:p>
            <w:pPr>
              <w:spacing w:after="0"/>
              <w:rPr>
                <w:sz w:val="20"/>
                <w:szCs w:val="20"/>
                <w:color w:val="auto"/>
              </w:rPr>
            </w:pPr>
            <w:r>
              <w:rPr>
                <w:rFonts w:ascii="Arial" w:cs="Arial" w:eastAsia="Arial" w:hAnsi="Arial"/>
                <w:sz w:val="18"/>
                <w:szCs w:val="18"/>
                <w:color w:val="auto"/>
              </w:rPr>
              <w:t>4/26/2016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 2,892,908</w:t>
            </w:r>
          </w:p>
        </w:tc>
        <w:tc>
          <w:tcPr>
            <w:tcW w:w="2280" w:type="dxa"/>
            <w:vAlign w:val="bottom"/>
          </w:tcPr>
          <w:p>
            <w:pPr>
              <w:spacing w:after="0"/>
              <w:rPr>
                <w:sz w:val="20"/>
                <w:szCs w:val="20"/>
                <w:color w:val="auto"/>
              </w:rPr>
            </w:pPr>
            <w:r>
              <w:rPr>
                <w:rFonts w:ascii="Arial" w:cs="Arial" w:eastAsia="Arial" w:hAnsi="Arial"/>
                <w:sz w:val="18"/>
                <w:szCs w:val="18"/>
                <w:color w:val="auto"/>
              </w:rPr>
              <w:t>4/12/2016</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JP 5,922,851</w:t>
            </w:r>
          </w:p>
        </w:tc>
        <w:tc>
          <w:tcPr>
            <w:tcW w:w="2280" w:type="dxa"/>
            <w:vAlign w:val="bottom"/>
          </w:tcPr>
          <w:p>
            <w:pPr>
              <w:spacing w:after="0"/>
              <w:rPr>
                <w:sz w:val="20"/>
                <w:szCs w:val="20"/>
                <w:color w:val="auto"/>
              </w:rPr>
            </w:pPr>
            <w:r>
              <w:rPr>
                <w:rFonts w:ascii="Arial" w:cs="Arial" w:eastAsia="Arial" w:hAnsi="Arial"/>
                <w:sz w:val="18"/>
                <w:szCs w:val="18"/>
                <w:color w:val="auto"/>
              </w:rPr>
              <w:t>4/22/2016</w:t>
            </w:r>
          </w:p>
        </w:tc>
      </w:tr>
      <w:tr>
        <w:trPr>
          <w:trHeight w:val="4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WO PCT/US13/72249</w:t>
            </w:r>
          </w:p>
        </w:tc>
        <w:tc>
          <w:tcPr>
            <w:tcW w:w="2280" w:type="dxa"/>
            <w:vAlign w:val="bottom"/>
          </w:tcPr>
          <w:p>
            <w:pPr>
              <w:spacing w:after="0"/>
              <w:rPr>
                <w:sz w:val="20"/>
                <w:szCs w:val="20"/>
                <w:color w:val="auto"/>
              </w:rPr>
            </w:pPr>
            <w:r>
              <w:rPr>
                <w:rFonts w:ascii="Arial" w:cs="Arial" w:eastAsia="Arial" w:hAnsi="Arial"/>
                <w:sz w:val="18"/>
                <w:szCs w:val="18"/>
                <w:color w:val="auto"/>
              </w:rPr>
              <w:t>11/27/2013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RU 2015124694</w:t>
            </w:r>
          </w:p>
        </w:tc>
        <w:tc>
          <w:tcPr>
            <w:tcW w:w="2280" w:type="dxa"/>
            <w:vAlign w:val="bottom"/>
          </w:tcPr>
          <w:p>
            <w:pPr>
              <w:spacing w:after="0"/>
              <w:rPr>
                <w:sz w:val="20"/>
                <w:szCs w:val="20"/>
                <w:color w:val="auto"/>
              </w:rPr>
            </w:pPr>
            <w:r>
              <w:rPr>
                <w:rFonts w:ascii="Arial" w:cs="Arial" w:eastAsia="Arial" w:hAnsi="Arial"/>
                <w:sz w:val="18"/>
                <w:szCs w:val="18"/>
                <w:color w:val="auto"/>
              </w:rPr>
              <w:t>6/23/2015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Methods and Compositions for Deterring Abuse</w:t>
            </w:r>
          </w:p>
        </w:tc>
        <w:tc>
          <w:tcPr>
            <w:tcW w:w="2500" w:type="dxa"/>
            <w:vAlign w:val="bottom"/>
            <w:gridSpan w:val="2"/>
          </w:tcPr>
          <w:p>
            <w:pPr>
              <w:spacing w:after="0"/>
              <w:rPr>
                <w:sz w:val="20"/>
                <w:szCs w:val="20"/>
                <w:color w:val="auto"/>
              </w:rPr>
            </w:pPr>
            <w:r>
              <w:rPr>
                <w:rFonts w:ascii="Arial" w:cs="Arial" w:eastAsia="Arial" w:hAnsi="Arial"/>
                <w:sz w:val="18"/>
                <w:szCs w:val="18"/>
                <w:color w:val="auto"/>
              </w:rPr>
              <w:t>US 14/322,596</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CA 2,916,973</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2014284333</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14820721.0</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IL 242880</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CH 201480037082.5</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NZ 716482</w:t>
            </w:r>
          </w:p>
        </w:tc>
        <w:tc>
          <w:tcPr>
            <w:tcW w:w="228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Methods and compositions for interfering with extraction or conversion of a drug</w:t>
            </w:r>
          </w:p>
        </w:tc>
        <w:tc>
          <w:tcPr>
            <w:tcW w:w="2500" w:type="dxa"/>
            <w:vAlign w:val="bottom"/>
            <w:gridSpan w:val="2"/>
          </w:tcPr>
          <w:p>
            <w:pPr>
              <w:spacing w:after="0"/>
              <w:rPr>
                <w:sz w:val="20"/>
                <w:szCs w:val="20"/>
                <w:color w:val="auto"/>
              </w:rPr>
            </w:pPr>
            <w:r>
              <w:rPr>
                <w:rFonts w:ascii="Arial" w:cs="Arial" w:eastAsia="Arial" w:hAnsi="Arial"/>
                <w:sz w:val="18"/>
                <w:szCs w:val="18"/>
                <w:color w:val="auto"/>
              </w:rPr>
              <w:t>US 14/734,364</w:t>
            </w:r>
          </w:p>
        </w:tc>
        <w:tc>
          <w:tcPr>
            <w:tcW w:w="228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6640" w:type="dxa"/>
            <w:vAlign w:val="bottom"/>
            <w:gridSpan w:val="5"/>
          </w:tcPr>
          <w:p>
            <w:pPr>
              <w:spacing w:after="0"/>
              <w:rPr>
                <w:sz w:val="20"/>
                <w:szCs w:val="20"/>
                <w:color w:val="auto"/>
              </w:rPr>
            </w:pPr>
            <w:r>
              <w:rPr>
                <w:rFonts w:ascii="Arial" w:cs="Arial" w:eastAsia="Arial" w:hAnsi="Arial"/>
                <w:sz w:val="18"/>
                <w:szCs w:val="18"/>
                <w:color w:val="auto"/>
              </w:rPr>
              <w:t>susceptible to abuse</w:t>
            </w:r>
          </w:p>
        </w:tc>
        <w:tc>
          <w:tcPr>
            <w:tcW w:w="2500" w:type="dxa"/>
            <w:vAlign w:val="bottom"/>
            <w:gridSpan w:val="2"/>
          </w:tcPr>
          <w:p>
            <w:pPr>
              <w:spacing w:after="0"/>
              <w:rPr>
                <w:sz w:val="20"/>
                <w:szCs w:val="20"/>
                <w:color w:val="auto"/>
              </w:rPr>
            </w:pPr>
            <w:r>
              <w:rPr>
                <w:rFonts w:ascii="Arial" w:cs="Arial" w:eastAsia="Arial" w:hAnsi="Arial"/>
                <w:sz w:val="18"/>
                <w:szCs w:val="18"/>
                <w:color w:val="auto"/>
              </w:rPr>
              <w:t>CA 2,951,563</w:t>
            </w:r>
          </w:p>
        </w:tc>
        <w:tc>
          <w:tcPr>
            <w:tcW w:w="228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AU 2015274936</w:t>
            </w:r>
          </w:p>
        </w:tc>
        <w:tc>
          <w:tcPr>
            <w:tcW w:w="228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EP 15807096.1</w:t>
            </w:r>
          </w:p>
        </w:tc>
        <w:tc>
          <w:tcPr>
            <w:tcW w:w="2280" w:type="dxa"/>
            <w:vAlign w:val="bottom"/>
          </w:tcPr>
          <w:p>
            <w:pPr>
              <w:spacing w:after="0"/>
              <w:rPr>
                <w:sz w:val="20"/>
                <w:szCs w:val="20"/>
                <w:color w:val="auto"/>
              </w:rPr>
            </w:pPr>
            <w:r>
              <w:rPr>
                <w:rFonts w:ascii="Arial" w:cs="Arial" w:eastAsia="Arial" w:hAnsi="Arial"/>
                <w:sz w:val="18"/>
                <w:szCs w:val="18"/>
                <w:color w:val="auto"/>
              </w:rPr>
              <w:t>6/9/2015</w:t>
            </w: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CH 201580030318.7</w:t>
            </w:r>
          </w:p>
        </w:tc>
        <w:tc>
          <w:tcPr>
            <w:tcW w:w="228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220"/>
        </w:trPr>
        <w:tc>
          <w:tcPr>
            <w:tcW w:w="52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0"/>
        </w:trPr>
        <w:tc>
          <w:tcPr>
            <w:tcW w:w="6640" w:type="dxa"/>
            <w:vAlign w:val="bottom"/>
            <w:gridSpan w:val="5"/>
          </w:tcPr>
          <w:p>
            <w:pPr>
              <w:spacing w:after="0"/>
              <w:rPr>
                <w:sz w:val="20"/>
                <w:szCs w:val="20"/>
                <w:color w:val="auto"/>
              </w:rPr>
            </w:pPr>
            <w:r>
              <w:rPr>
                <w:rFonts w:ascii="Arial" w:cs="Arial" w:eastAsia="Arial" w:hAnsi="Arial"/>
                <w:sz w:val="18"/>
                <w:szCs w:val="18"/>
                <w:color w:val="auto"/>
              </w:rPr>
              <w:t>Pharmaceutical Compositions for Deterring Misuse, Abuse, and Diversion</w:t>
            </w:r>
          </w:p>
        </w:tc>
        <w:tc>
          <w:tcPr>
            <w:tcW w:w="2500" w:type="dxa"/>
            <w:vAlign w:val="bottom"/>
            <w:gridSpan w:val="2"/>
          </w:tcPr>
          <w:p>
            <w:pPr>
              <w:spacing w:after="0"/>
              <w:rPr>
                <w:sz w:val="20"/>
                <w:szCs w:val="20"/>
                <w:color w:val="auto"/>
              </w:rPr>
            </w:pPr>
            <w:r>
              <w:rPr>
                <w:rFonts w:ascii="Arial" w:cs="Arial" w:eastAsia="Arial" w:hAnsi="Arial"/>
                <w:sz w:val="18"/>
                <w:szCs w:val="18"/>
                <w:color w:val="auto"/>
              </w:rPr>
              <w:t>WO PCT/US2010/061331</w:t>
            </w:r>
          </w:p>
        </w:tc>
        <w:tc>
          <w:tcPr>
            <w:tcW w:w="2280" w:type="dxa"/>
            <w:vAlign w:val="bottom"/>
          </w:tcPr>
          <w:p>
            <w:pPr>
              <w:spacing w:after="0"/>
              <w:rPr>
                <w:sz w:val="20"/>
                <w:szCs w:val="20"/>
                <w:color w:val="auto"/>
              </w:rPr>
            </w:pPr>
            <w:r>
              <w:rPr>
                <w:rFonts w:ascii="Arial" w:cs="Arial" w:eastAsia="Arial" w:hAnsi="Arial"/>
                <w:sz w:val="18"/>
                <w:szCs w:val="18"/>
                <w:color w:val="auto"/>
              </w:rPr>
              <w:t>12/20/2010</w:t>
            </w:r>
          </w:p>
        </w:tc>
      </w:tr>
    </w:tbl>
    <w:p>
      <w:pPr>
        <w:sectPr>
          <w:pgSz w:w="11900" w:h="16838" w:orient="portrait"/>
          <w:cols w:equalWidth="0" w:num="1">
            <w:col w:w="11420"/>
          </w:cols>
          <w:pgMar w:left="240" w:top="891" w:right="239" w:bottom="0" w:gutter="0" w:footer="0" w:header="0"/>
        </w:sectPr>
      </w:pPr>
    </w:p>
    <w:bookmarkStart w:id="53" w:name="page54"/>
    <w:bookmarkEnd w:id="53"/>
    <w:p>
      <w:pP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5120" w:type="dxa"/>
            <w:vAlign w:val="bottom"/>
            <w:gridSpan w:val="6"/>
          </w:tcPr>
          <w:p>
            <w:pPr>
              <w:ind w:left="1260"/>
              <w:spacing w:after="0"/>
              <w:rPr>
                <w:sz w:val="20"/>
                <w:szCs w:val="20"/>
                <w:color w:val="auto"/>
              </w:rPr>
            </w:pPr>
            <w:r>
              <w:rPr>
                <w:rFonts w:ascii="Arial" w:cs="Arial" w:eastAsia="Arial" w:hAnsi="Arial"/>
                <w:sz w:val="18"/>
                <w:szCs w:val="18"/>
                <w:color w:val="auto"/>
              </w:rPr>
              <w:t>EXHIBIT C</w:t>
            </w:r>
          </w:p>
        </w:tc>
        <w:tc>
          <w:tcPr>
            <w:tcW w:w="2280" w:type="dxa"/>
            <w:vAlign w:val="bottom"/>
          </w:tcPr>
          <w:p>
            <w:pPr>
              <w:spacing w:after="0"/>
              <w:rPr>
                <w:sz w:val="17"/>
                <w:szCs w:val="17"/>
                <w:color w:val="auto"/>
              </w:rPr>
            </w:pPr>
          </w:p>
        </w:tc>
      </w:tr>
      <w:tr>
        <w:trPr>
          <w:trHeight w:val="453"/>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Trademarks</w:t>
            </w:r>
          </w:p>
        </w:tc>
        <w:tc>
          <w:tcPr>
            <w:tcW w:w="2980" w:type="dxa"/>
            <w:vAlign w:val="bottom"/>
            <w:gridSpan w:val="4"/>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228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4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Application</w:t>
            </w:r>
          </w:p>
        </w:tc>
        <w:tc>
          <w:tcPr>
            <w:tcW w:w="228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6"/>
        </w:trPr>
        <w:tc>
          <w:tcPr>
            <w:tcW w:w="4020" w:type="dxa"/>
            <w:vAlign w:val="bottom"/>
          </w:tcPr>
          <w:p>
            <w:pPr>
              <w:spacing w:after="0"/>
              <w:rPr>
                <w:sz w:val="20"/>
                <w:szCs w:val="20"/>
                <w:color w:val="auto"/>
              </w:rPr>
            </w:pPr>
            <w:r>
              <w:rPr>
                <w:rFonts w:ascii="Arial" w:cs="Arial" w:eastAsia="Arial" w:hAnsi="Arial"/>
                <w:sz w:val="18"/>
                <w:szCs w:val="18"/>
                <w:color w:val="auto"/>
              </w:rPr>
              <w:t>US- ACURA PHARMACEUTICALS</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3114970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7/11/2006</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US- OXAYDO</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4847742</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11/3/2015</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US- NEXAFED</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4151083</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4/24/2012</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US- IMPEDE</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4289295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2/12/2013</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US- AVERSION</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3059542</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2/14/2006</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MEX- ACURACET</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1087322</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2/26/2009</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MEX- IMPEDE</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1130279</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11/13/2009</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MEX- ACUROX</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1070309</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11/4/2008</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MEX- AVERSION</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1182320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9/30/2010</w:t>
            </w:r>
          </w:p>
        </w:tc>
      </w:tr>
      <w:tr>
        <w:trPr>
          <w:trHeight w:val="230"/>
        </w:trPr>
        <w:tc>
          <w:tcPr>
            <w:tcW w:w="4020" w:type="dxa"/>
            <w:vAlign w:val="bottom"/>
          </w:tcPr>
          <w:p>
            <w:pPr>
              <w:spacing w:after="0"/>
              <w:rPr>
                <w:sz w:val="20"/>
                <w:szCs w:val="20"/>
                <w:color w:val="auto"/>
              </w:rPr>
            </w:pP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1087323</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2/26/2009</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MEX- VYCAVERT</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1109785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7/9/2009</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CAN- OXAYDO</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1724857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5/23/2016</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CAN- AVERSION</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832700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9/25/2012</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CAN- ACUROX</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757997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2/17/2010</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CAN- VYCAVERT</w:t>
            </w:r>
          </w:p>
        </w:tc>
        <w:tc>
          <w:tcPr>
            <w:tcW w:w="4900" w:type="dxa"/>
            <w:vAlign w:val="bottom"/>
            <w:gridSpan w:val="5"/>
          </w:tcPr>
          <w:p>
            <w:pPr>
              <w:ind w:left="2620"/>
              <w:spacing w:after="0"/>
              <w:rPr>
                <w:sz w:val="20"/>
                <w:szCs w:val="20"/>
                <w:color w:val="auto"/>
              </w:rPr>
            </w:pPr>
            <w:r>
              <w:rPr>
                <w:rFonts w:ascii="Arial" w:cs="Arial" w:eastAsia="Arial" w:hAnsi="Arial"/>
                <w:sz w:val="18"/>
                <w:szCs w:val="18"/>
                <w:color w:val="auto"/>
              </w:rPr>
              <w:t>825294</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6/1/2012</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EU- OXAYDO</w:t>
            </w:r>
          </w:p>
        </w:tc>
        <w:tc>
          <w:tcPr>
            <w:tcW w:w="4900" w:type="dxa"/>
            <w:vAlign w:val="bottom"/>
            <w:gridSpan w:val="5"/>
          </w:tcPr>
          <w:p>
            <w:pPr>
              <w:ind w:left="2620"/>
              <w:spacing w:after="0"/>
              <w:rPr>
                <w:sz w:val="20"/>
                <w:szCs w:val="20"/>
                <w:color w:val="auto"/>
              </w:rPr>
            </w:pPr>
            <w:r>
              <w:rPr>
                <w:rFonts w:ascii="Arial" w:cs="Arial" w:eastAsia="Arial" w:hAnsi="Arial"/>
                <w:sz w:val="18"/>
                <w:szCs w:val="18"/>
                <w:i w:val="1"/>
                <w:iCs w:val="1"/>
                <w:color w:val="auto"/>
              </w:rPr>
              <w:t>13955935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8/19/2015</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EXHIBIT D</w:t>
            </w:r>
          </w:p>
        </w:tc>
        <w:tc>
          <w:tcPr>
            <w:tcW w:w="228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53"/>
        </w:trPr>
        <w:tc>
          <w:tcPr>
            <w:tcW w:w="3060" w:type="dxa"/>
            <w:vAlign w:val="bottom"/>
          </w:tcPr>
          <w:p>
            <w:pPr>
              <w:spacing w:after="0"/>
              <w:rPr>
                <w:sz w:val="24"/>
                <w:szCs w:val="24"/>
                <w:color w:val="auto"/>
              </w:rPr>
            </w:pPr>
          </w:p>
        </w:tc>
        <w:tc>
          <w:tcPr>
            <w:tcW w:w="6080" w:type="dxa"/>
            <w:vAlign w:val="bottom"/>
            <w:gridSpan w:val="6"/>
          </w:tcPr>
          <w:p>
            <w:pPr>
              <w:ind w:left="2200"/>
              <w:spacing w:after="0"/>
              <w:rPr>
                <w:sz w:val="20"/>
                <w:szCs w:val="20"/>
                <w:color w:val="auto"/>
              </w:rPr>
            </w:pPr>
            <w:r>
              <w:rPr>
                <w:rFonts w:ascii="Arial" w:cs="Arial" w:eastAsia="Arial" w:hAnsi="Arial"/>
                <w:sz w:val="18"/>
                <w:szCs w:val="18"/>
                <w:color w:val="auto"/>
              </w:rPr>
              <w:t>Mask Works</w:t>
            </w:r>
          </w:p>
        </w:tc>
        <w:tc>
          <w:tcPr>
            <w:tcW w:w="2280" w:type="dxa"/>
            <w:vAlign w:val="bottom"/>
          </w:tcPr>
          <w:p>
            <w:pPr>
              <w:spacing w:after="0"/>
              <w:rPr>
                <w:sz w:val="24"/>
                <w:szCs w:val="24"/>
                <w:color w:val="auto"/>
              </w:rPr>
            </w:pPr>
          </w:p>
        </w:tc>
      </w:tr>
      <w:tr>
        <w:trPr>
          <w:trHeight w:val="418"/>
        </w:trPr>
        <w:tc>
          <w:tcPr>
            <w:tcW w:w="3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Registration/</w:t>
            </w:r>
          </w:p>
        </w:tc>
        <w:tc>
          <w:tcPr>
            <w:tcW w:w="228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3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Application</w:t>
            </w:r>
          </w:p>
        </w:tc>
        <w:tc>
          <w:tcPr>
            <w:tcW w:w="228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Description</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280" w:type="dxa"/>
            <w:vAlign w:val="bottom"/>
          </w:tcPr>
          <w:p>
            <w:pPr>
              <w:spacing w:after="0"/>
              <w:rPr>
                <w:sz w:val="20"/>
                <w:szCs w:val="20"/>
                <w:color w:val="auto"/>
              </w:rPr>
            </w:pPr>
            <w:r>
              <w:rPr>
                <w:rFonts w:ascii="Arial" w:cs="Arial" w:eastAsia="Arial" w:hAnsi="Arial"/>
                <w:sz w:val="18"/>
                <w:szCs w:val="18"/>
                <w:color w:val="auto"/>
              </w:rPr>
              <w:t>Date</w:t>
            </w:r>
          </w:p>
        </w:tc>
      </w:tr>
      <w:tr>
        <w:trPr>
          <w:trHeight w:val="426"/>
        </w:trPr>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2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Agreements potentially transferring Intellectual Property Collateral</w:t>
      </w:r>
    </w:p>
    <w:p>
      <w:pPr>
        <w:spacing w:after="0" w:line="225" w:lineRule="exact"/>
        <w:rPr>
          <w:sz w:val="20"/>
          <w:szCs w:val="20"/>
          <w:color w:val="auto"/>
        </w:rPr>
      </w:pPr>
    </w:p>
    <w:p>
      <w:pPr>
        <w:ind w:left="520" w:right="7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Commercialization and Option Agreement dated on or about March 15, 2017 between Mainpointe Pharmaceuticals, LLC and Acura Pharmaceuticals, Inc. (“Acura”).</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 and License Agreement entered into as of January 7, 2015 between Acura, Egalet US, Inc., Egalet Limited and with respect to Section 17.21, Egalet Corporation.</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and Development Agreement dated as of June 5, 2015 between the Registrant and Bayer HealthCare LLC.</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Agreement dated as of October 13, 2016 between Acura and Kempharm Inc.</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and Settlement Agreement dated September 27, 2013 between Acura and Impax Laboratories, Inc.</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Agreement dated September 27, 2013 between Acura and Par Pharmaceutical, Inc.</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 and Settlement Agreement dated May 20, 2014 between Acura and Sandoz, Inc.</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Settlement and Patent license Agreement between Highland Pharmaceutical LLC and Acura dated as August 1, 2014</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AND THIRD AMENDMENT TO LOAN AND SECURITY AGREEMENT</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THIS CONSENT AND THIRD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15th March, 2017 (the “</w:t>
      </w:r>
      <w:r>
        <w:rPr>
          <w:rFonts w:ascii="Arial" w:cs="Arial" w:eastAsia="Arial" w:hAnsi="Arial"/>
          <w:sz w:val="18"/>
          <w:szCs w:val="18"/>
          <w:b w:val="1"/>
          <w:bCs w:val="1"/>
          <w:color w:val="auto"/>
        </w:rPr>
        <w:t>Third Amendment Date</w:t>
      </w:r>
      <w:r>
        <w:rPr>
          <w:rFonts w:ascii="Arial" w:cs="Arial" w:eastAsia="Arial" w:hAnsi="Arial"/>
          <w:sz w:val="18"/>
          <w:szCs w:val="18"/>
          <w:color w:val="auto"/>
        </w:rPr>
        <w:t>”), by and among OXFORD FINANCE LLC, a Delaware limited liability company with an office located at 133 North Fairfax Street, Alexandria, Virginia 22314 (in its individual capacity, “</w:t>
      </w:r>
      <w:r>
        <w:rPr>
          <w:rFonts w:ascii="Arial" w:cs="Arial" w:eastAsia="Arial" w:hAnsi="Arial"/>
          <w:sz w:val="18"/>
          <w:szCs w:val="18"/>
          <w:b w:val="1"/>
          <w:bCs w:val="1"/>
          <w:color w:val="auto"/>
        </w:rPr>
        <w:t>Oxford</w:t>
      </w:r>
      <w:r>
        <w:rPr>
          <w:rFonts w:ascii="Arial" w:cs="Arial" w:eastAsia="Arial" w:hAnsi="Arial"/>
          <w:sz w:val="18"/>
          <w:szCs w:val="18"/>
          <w:color w:val="auto"/>
        </w:rPr>
        <w:t>”; and in its capacity as Collateral Agent, “</w:t>
      </w:r>
      <w:r>
        <w:rPr>
          <w:rFonts w:ascii="Arial" w:cs="Arial" w:eastAsia="Arial" w:hAnsi="Arial"/>
          <w:sz w:val="18"/>
          <w:szCs w:val="18"/>
          <w:b w:val="1"/>
          <w:bCs w:val="1"/>
          <w:color w:val="auto"/>
        </w:rPr>
        <w:t>Collateral Agent</w:t>
      </w:r>
      <w:r>
        <w:rPr>
          <w:rFonts w:ascii="Arial" w:cs="Arial" w:eastAsia="Arial" w:hAnsi="Arial"/>
          <w:sz w:val="18"/>
          <w:szCs w:val="18"/>
          <w:color w:val="auto"/>
        </w:rPr>
        <w:t>”), the Lenders listed on Schedule 1.1 thereof from time to time including Oxford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ACURA PHARMACEUTICALS, INC., a New York corporation with offices located at 616 N. North Court, Suite 120, Palatine, Illinois (“</w:t>
      </w:r>
      <w:r>
        <w:rPr>
          <w:rFonts w:ascii="Arial" w:cs="Arial" w:eastAsia="Arial" w:hAnsi="Arial"/>
          <w:sz w:val="18"/>
          <w:szCs w:val="18"/>
          <w:b w:val="1"/>
          <w:bCs w:val="1"/>
          <w:color w:val="auto"/>
        </w:rPr>
        <w:t>Parent</w:t>
      </w:r>
      <w:r>
        <w:rPr>
          <w:rFonts w:ascii="Arial" w:cs="Arial" w:eastAsia="Arial" w:hAnsi="Arial"/>
          <w:sz w:val="18"/>
          <w:szCs w:val="18"/>
          <w:color w:val="auto"/>
        </w:rPr>
        <w:t>”) and ACURA PHARMACEUTICAL TECHNOLOGIES, INC., an Indiana corporation with offices locates at 16235 State Road 17, Culver, IN 46511 (“</w:t>
      </w:r>
      <w:r>
        <w:rPr>
          <w:rFonts w:ascii="Arial" w:cs="Arial" w:eastAsia="Arial" w:hAnsi="Arial"/>
          <w:sz w:val="18"/>
          <w:szCs w:val="18"/>
          <w:b w:val="1"/>
          <w:bCs w:val="1"/>
          <w:color w:val="auto"/>
        </w:rPr>
        <w:t>APT</w:t>
      </w:r>
      <w:r>
        <w:rPr>
          <w:rFonts w:ascii="Arial" w:cs="Arial" w:eastAsia="Arial" w:hAnsi="Arial"/>
          <w:sz w:val="18"/>
          <w:szCs w:val="18"/>
          <w:color w:val="auto"/>
        </w:rPr>
        <w:t>”, and along with Parent,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WHEREAS, Collateral Agent, Borrower and Lenders party thereto from time to time have entered into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Borrower anticipates entering into a License, Commercialization and Option Agreement on or about March 15th, 2017 with MainPointe Pharmaceuticals, LLC, (“</w:t>
      </w:r>
      <w:r>
        <w:rPr>
          <w:rFonts w:ascii="Arial" w:cs="Arial" w:eastAsia="Arial" w:hAnsi="Arial"/>
          <w:sz w:val="17"/>
          <w:szCs w:val="17"/>
          <w:b w:val="1"/>
          <w:bCs w:val="1"/>
          <w:color w:val="auto"/>
        </w:rPr>
        <w:t>MainPointe</w:t>
      </w:r>
      <w:r>
        <w:rPr>
          <w:rFonts w:ascii="Arial" w:cs="Arial" w:eastAsia="Arial" w:hAnsi="Arial"/>
          <w:sz w:val="17"/>
          <w:szCs w:val="17"/>
          <w:color w:val="auto"/>
        </w:rPr>
        <w:t>”), in the form provided to Collateral Agent prior to the execution hereof (the “</w:t>
      </w:r>
      <w:r>
        <w:rPr>
          <w:rFonts w:ascii="Arial" w:cs="Arial" w:eastAsia="Arial" w:hAnsi="Arial"/>
          <w:sz w:val="17"/>
          <w:szCs w:val="17"/>
          <w:b w:val="1"/>
          <w:bCs w:val="1"/>
          <w:color w:val="auto"/>
        </w:rPr>
        <w:t>License Agreement</w:t>
      </w:r>
      <w:r>
        <w:rPr>
          <w:rFonts w:ascii="Arial" w:cs="Arial" w:eastAsia="Arial" w:hAnsi="Arial"/>
          <w:sz w:val="17"/>
          <w:szCs w:val="17"/>
          <w:color w:val="auto"/>
        </w:rPr>
        <w:t>”);</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Loan Agreement requires Borrower to obtain the consent of Required Lenders prior to granting certain licenses and consummating the Transfers contemplated in the License Agreement;</w:t>
      </w:r>
    </w:p>
    <w:p>
      <w:pPr>
        <w:spacing w:after="0" w:line="1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WHEREAS, Borrower has requested that Collateral Agent and Lenders consent to grant of certain licenses and Transfers by Borrower to MainPointe, pursuant to the License Agreement, as described herein below; and</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WHEREAS, in connection with and in consideration for providing the aforementioned consent, Borrower, Lenders and Collateral Agent desire to amend certain provisions of the Loan Agreement as provided herein and subject to the terms and conditions set forth herein.</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Capitalized terms used herein but not otherwise defined shall have the respective meanings given to them in the Loan Agreement.</w:t>
      </w:r>
    </w:p>
    <w:p>
      <w:pPr>
        <w:spacing w:after="0" w:line="225" w:lineRule="exact"/>
        <w:rPr>
          <w:rFonts w:ascii="Arial" w:cs="Arial" w:eastAsia="Arial" w:hAnsi="Arial"/>
          <w:sz w:val="18"/>
          <w:szCs w:val="18"/>
          <w:color w:val="auto"/>
        </w:rPr>
      </w:pPr>
    </w:p>
    <w:p>
      <w:pPr>
        <w:ind w:left="660" w:right="60" w:hanging="328"/>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the Collateral Agent and the Required Lenders hereby consent to the Borrower’s entry into the License Agreement in the form, and only in the form, provided to Collateral Agent prior to the execution hereof, and consummation of the transactions contemplated therein; provided, however, Borrower may enter into and deliver any amendment to the License Agreement and consummate the transactions as contemplated by the License Agreement after giving effect to such amendment if, and only if, such amendments to the terms of the License Agreement: (i) would not require the consent of the Required Lenders under Section 7 of the Loan Agreement, (ii) are not be adverse to the interests of Borrower, (iii) do not reduce the amount or change the form of consideration due to Borrower under the License Agreement and (iv) do not postpone any payment due to Borrower under the License Agreement. Concurrently with the execution of the Mainpointe Agreement, Collateral Agent shall have been deemed to release its Lien (granted to it under the Loan Agreement) only on the Collateral described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b w:val="1"/>
          <w:bCs w:val="1"/>
          <w:color w:val="auto"/>
        </w:rPr>
        <w:t>Described Collateral</w:t>
      </w:r>
      <w:r>
        <w:rPr>
          <w:rFonts w:ascii="Arial" w:cs="Arial" w:eastAsia="Arial" w:hAnsi="Arial"/>
          <w:sz w:val="16"/>
          <w:szCs w:val="16"/>
          <w:color w:val="auto"/>
        </w:rPr>
        <w:t>”); provided, however, all proceeds of the Described Collateral are and shall be included in the Collateral in which Collateral Agent has a continuing Lien and perfected security interest under the Loan Agreement and nothing herein shall be deemed to be a release of Collateral Agent’s Lien in the proceeds of the Described Collateral or any other Collateral.</w:t>
      </w:r>
    </w:p>
    <w:p>
      <w:pPr>
        <w:spacing w:after="0" w:line="16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8" w:name="page59"/>
    <w:bookmarkEnd w:id="58"/>
    <w:p>
      <w:pPr>
        <w:ind w:left="640" w:right="60" w:hanging="328"/>
        <w:spacing w:after="0" w:line="270"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Borrower hereby reaffirms the security interest granted by Borrower previously in Section 4.1 of the Agreement with respect to the Collateral (as defined herein) and hereby grants Collateral Agent, for the ratable benefit of the Lenders, to secure the payment and performance in full of all of the Obligations, a continuing security interest in, and pledges to Collateral Agent, for the ratable benefit of the Lenders, such part of the Collateral that was not pledged previously or in which security interest was not granted prior to the Third Amendment Date, wherever located, whether now owned or hereafter acquired or arising, and all proceeds and products thereof. Furthermore, Borrower hereby authorizes Collateral Agent to file financing statements or take any other 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81" w:lineRule="exact"/>
        <w:rPr>
          <w:rFonts w:ascii="Arial" w:cs="Arial" w:eastAsia="Arial" w:hAnsi="Arial"/>
          <w:sz w:val="17"/>
          <w:szCs w:val="17"/>
          <w:color w:val="auto"/>
        </w:rPr>
      </w:pPr>
    </w:p>
    <w:p>
      <w:pPr>
        <w:ind w:left="640" w:hanging="32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5.2(d) of the Loan Agreement is hereby amended and restated as follows:</w:t>
      </w:r>
    </w:p>
    <w:p>
      <w:pPr>
        <w:spacing w:after="0" w:line="225" w:lineRule="exact"/>
        <w:rPr>
          <w:rFonts w:ascii="Arial" w:cs="Arial" w:eastAsia="Arial" w:hAnsi="Arial"/>
          <w:sz w:val="18"/>
          <w:szCs w:val="18"/>
          <w:color w:val="auto"/>
        </w:rPr>
      </w:pPr>
    </w:p>
    <w:p>
      <w:pPr>
        <w:ind w:left="640" w:hanging="4"/>
        <w:spacing w:after="0" w:line="269" w:lineRule="auto"/>
        <w:tabs>
          <w:tab w:leader="none" w:pos="1345" w:val="left"/>
        </w:tabs>
        <w:numPr>
          <w:ilvl w:val="1"/>
          <w:numId w:val="24"/>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(i) No part of Borrower’s or its Subsidiaries’ Intellectual Property has been judged invalid or unenforceable, in whole or in part, and to the best of Borrower’s knowledge, each of Borrower’s and its Subsidiaries’ Copyrights, Trademarks and issued Patents are valid and enforceable and, and (ii) to the best of Borrower’s knowledge, no claim has been made that any part of the Intellectual Property or any practice by Borrower or its Subsidiaries violates the rights of any third party except to the extent such claim could not reasonably be expected to have a Material Adverse Change.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 the counter software that is commercially available to the public).</w:t>
      </w:r>
    </w:p>
    <w:p>
      <w:pPr>
        <w:spacing w:after="0" w:line="179" w:lineRule="exact"/>
        <w:rPr>
          <w:rFonts w:ascii="Arial" w:cs="Arial" w:eastAsia="Arial" w:hAnsi="Arial"/>
          <w:sz w:val="17"/>
          <w:szCs w:val="17"/>
          <w:color w:val="auto"/>
        </w:rPr>
      </w:pPr>
    </w:p>
    <w:p>
      <w:pPr>
        <w:ind w:left="640" w:hanging="32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6.2(a)(ii) of the Loan Agreement is hereby amended and restated in its entirety as follows:</w:t>
      </w:r>
    </w:p>
    <w:p>
      <w:pPr>
        <w:spacing w:after="0" w:line="225" w:lineRule="exact"/>
        <w:rPr>
          <w:rFonts w:ascii="Arial" w:cs="Arial" w:eastAsia="Arial" w:hAnsi="Arial"/>
          <w:sz w:val="18"/>
          <w:szCs w:val="18"/>
          <w:color w:val="auto"/>
        </w:rPr>
      </w:pPr>
    </w:p>
    <w:p>
      <w:pPr>
        <w:ind w:left="640" w:right="140" w:hanging="4"/>
        <w:spacing w:after="0" w:line="257" w:lineRule="auto"/>
        <w:tabs>
          <w:tab w:leader="none" w:pos="13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soon as available, but no later than one hundred twenty (120) days after the last day of Borrower’s fiscal year or within five (5) days of filing with the SEC, audited consolidated financial statements prepared under GAAP, consistently applied, together with an unqualified opinion (provided, however, that for the fiscal year 2016, such opinion may be qualified strictly with respect to Borrower and its Subsidiary as a going concern and unqualified otherwise) on the financial statements from an independent certified public accounting firm acceptable to Collateral Agent in its reasonable discretion;</w:t>
      </w:r>
    </w:p>
    <w:p>
      <w:pPr>
        <w:spacing w:after="0" w:line="188" w:lineRule="exact"/>
        <w:rPr>
          <w:rFonts w:ascii="Arial" w:cs="Arial" w:eastAsia="Arial" w:hAnsi="Arial"/>
          <w:sz w:val="18"/>
          <w:szCs w:val="18"/>
          <w:color w:val="auto"/>
        </w:rPr>
      </w:pPr>
    </w:p>
    <w:p>
      <w:pPr>
        <w:ind w:left="640" w:hanging="32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6.2(a)(vii) of the Loan Agreement is hereby amended and restated in its entirety as follows:</w:t>
      </w:r>
    </w:p>
    <w:p>
      <w:pPr>
        <w:spacing w:after="0" w:line="225" w:lineRule="exact"/>
        <w:rPr>
          <w:sz w:val="20"/>
          <w:szCs w:val="20"/>
          <w:color w:val="auto"/>
        </w:rPr>
      </w:pPr>
    </w:p>
    <w:p>
      <w:pPr>
        <w:ind w:left="640" w:right="160" w:hanging="4"/>
        <w:spacing w:after="0" w:line="312" w:lineRule="auto"/>
        <w:tabs>
          <w:tab w:leader="none" w:pos="14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prompt notice of (A) any material change in the composition of the Intellectual Property, (B) the registration of any copyright, including any subsequent ownership right of Borrower or any of its Subsidiaries in or to any copyright, patent or trademark, including a copy of any such registration, and (C) any event that could reasonably be expected to materially and adversely affect the value of the Intellectual Property;</w:t>
      </w:r>
    </w:p>
    <w:p>
      <w:pPr>
        <w:spacing w:after="0" w:line="143"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9" w:name="page60"/>
    <w:bookmarkEnd w:id="59"/>
    <w:p>
      <w:pPr>
        <w:ind w:left="640" w:hanging="32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6.7 of the Loan Agreement is hereby amended and restated in its entirety as follows:</w:t>
      </w:r>
    </w:p>
    <w:p>
      <w:pPr>
        <w:spacing w:after="0" w:line="221" w:lineRule="exact"/>
        <w:rPr>
          <w:rFonts w:ascii="Arial" w:cs="Arial" w:eastAsia="Arial" w:hAnsi="Arial"/>
          <w:sz w:val="18"/>
          <w:szCs w:val="18"/>
          <w:color w:val="auto"/>
        </w:rPr>
      </w:pPr>
    </w:p>
    <w:p>
      <w:pPr>
        <w:ind w:left="640" w:right="40"/>
        <w:spacing w:after="0" w:line="287" w:lineRule="auto"/>
        <w:rPr>
          <w:rFonts w:ascii="Arial" w:cs="Arial" w:eastAsia="Arial" w:hAnsi="Arial"/>
          <w:sz w:val="18"/>
          <w:szCs w:val="18"/>
          <w:color w:val="auto"/>
        </w:rPr>
      </w:pP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 Borrower and each of its Subsidiaries shall: (a) use commercially reasonable efforts to protect, defend</w:t>
      </w:r>
      <w:r>
        <w:rPr>
          <w:rFonts w:ascii="Arial" w:cs="Arial" w:eastAsia="Arial" w:hAnsi="Arial"/>
          <w:sz w:val="16"/>
          <w:szCs w:val="16"/>
          <w:b w:val="1"/>
          <w:bCs w:val="1"/>
          <w:color w:val="auto"/>
        </w:rPr>
        <w:t xml:space="preserve"> </w:t>
      </w:r>
      <w:r>
        <w:rPr>
          <w:rFonts w:ascii="Arial" w:cs="Arial" w:eastAsia="Arial" w:hAnsi="Arial"/>
          <w:sz w:val="16"/>
          <w:szCs w:val="16"/>
          <w:color w:val="auto"/>
        </w:rPr>
        <w:t>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If Borrower or any of its Subsidiaries</w:t>
      </w:r>
    </w:p>
    <w:p>
      <w:pPr>
        <w:spacing w:after="0" w:line="2" w:lineRule="exact"/>
        <w:rPr>
          <w:rFonts w:ascii="Arial" w:cs="Arial" w:eastAsia="Arial" w:hAnsi="Arial"/>
          <w:sz w:val="18"/>
          <w:szCs w:val="18"/>
          <w:color w:val="auto"/>
        </w:rPr>
      </w:pPr>
    </w:p>
    <w:p>
      <w:pPr>
        <w:ind w:left="640" w:right="20"/>
        <w:spacing w:after="0" w:line="284" w:lineRule="auto"/>
        <w:rPr>
          <w:rFonts w:ascii="Arial" w:cs="Arial" w:eastAsia="Arial" w:hAnsi="Arial"/>
          <w:sz w:val="18"/>
          <w:szCs w:val="18"/>
          <w:color w:val="auto"/>
        </w:rPr>
      </w:pPr>
      <w:r>
        <w:rPr>
          <w:rFonts w:ascii="Arial" w:cs="Arial" w:eastAsia="Arial" w:hAnsi="Arial"/>
          <w:sz w:val="16"/>
          <w:szCs w:val="16"/>
          <w:color w:val="auto"/>
        </w:rPr>
        <w:t>(i)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or such Subsidiary shall substantially contemporaneously provide written notice thereof to Collateral Agent and each Lender 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If Borrower or any of its Subsidiaries decides to register any copyrights or mask works in the United States Copyright Office, Borrower or such Subsidiary shall: (x) provide Collateral Agent and each Lender with at least fifteen (15) days prior written notice of Borrower’s or such Subsidiary’s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or such Subsidiary shall promptly provide to Collateral Agent and each Lender with evidence of the recording of the intellectual property security agreement necessary for Collateral Agent to perfect and maintain a first priority perfected security interest in such property.</w:t>
      </w:r>
    </w:p>
    <w:p>
      <w:pPr>
        <w:spacing w:after="0" w:line="177" w:lineRule="exact"/>
        <w:rPr>
          <w:rFonts w:ascii="Arial" w:cs="Arial" w:eastAsia="Arial" w:hAnsi="Arial"/>
          <w:sz w:val="18"/>
          <w:szCs w:val="18"/>
          <w:color w:val="auto"/>
        </w:rPr>
      </w:pPr>
    </w:p>
    <w:p>
      <w:pPr>
        <w:ind w:left="640" w:hanging="32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13.1 of the Loan Agreement is hereby amended by amending and restating the following definition therein as follows:</w:t>
      </w:r>
    </w:p>
    <w:p>
      <w:pPr>
        <w:spacing w:after="0" w:line="221" w:lineRule="exact"/>
        <w:rPr>
          <w:rFonts w:ascii="Arial" w:cs="Arial" w:eastAsia="Arial" w:hAnsi="Arial"/>
          <w:sz w:val="18"/>
          <w:szCs w:val="18"/>
          <w:color w:val="auto"/>
        </w:rPr>
      </w:pPr>
    </w:p>
    <w:p>
      <w:pPr>
        <w:ind w:left="640" w:right="280" w:hanging="328"/>
        <w:spacing w:after="0" w:line="281"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the Warrants, the Perfection Certificates, each Compliance Certificate, each Disbursement Letter, Mortgage, the Post Closing Letter and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68" w:lineRule="exact"/>
        <w:rPr>
          <w:rFonts w:ascii="Arial" w:cs="Arial" w:eastAsia="Arial" w:hAnsi="Arial"/>
          <w:sz w:val="17"/>
          <w:szCs w:val="17"/>
          <w:color w:val="auto"/>
        </w:rPr>
      </w:pPr>
    </w:p>
    <w:p>
      <w:pPr>
        <w:ind w:left="640" w:right="1500" w:hanging="328"/>
        <w:spacing w:after="0" w:line="498"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13.1 of the Loan Agreement is hereby further amended by adding the following definitions thereto in alphabetical order: “</w:t>
      </w:r>
      <w:r>
        <w:rPr>
          <w:rFonts w:ascii="Arial" w:cs="Arial" w:eastAsia="Arial" w:hAnsi="Arial"/>
          <w:sz w:val="18"/>
          <w:szCs w:val="18"/>
          <w:b w:val="1"/>
          <w:bCs w:val="1"/>
          <w:color w:val="auto"/>
        </w:rPr>
        <w:t>Third Amendment Date</w:t>
      </w:r>
      <w:r>
        <w:rPr>
          <w:rFonts w:ascii="Arial" w:cs="Arial" w:eastAsia="Arial" w:hAnsi="Arial"/>
          <w:sz w:val="18"/>
          <w:szCs w:val="18"/>
          <w:color w:val="auto"/>
        </w:rPr>
        <w:t>” is March 15th, 2017.</w:t>
      </w:r>
    </w:p>
    <w:p>
      <w:pPr>
        <w:spacing w:after="0" w:line="1" w:lineRule="exact"/>
        <w:rPr>
          <w:rFonts w:ascii="Arial" w:cs="Arial" w:eastAsia="Arial" w:hAnsi="Arial"/>
          <w:sz w:val="18"/>
          <w:szCs w:val="18"/>
          <w:color w:val="auto"/>
        </w:rPr>
      </w:pPr>
    </w:p>
    <w:p>
      <w:pPr>
        <w:ind w:left="640" w:right="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w:t>
      </w:r>
      <w:r>
        <w:rPr>
          <w:rFonts w:ascii="Arial" w:cs="Arial" w:eastAsia="Arial" w:hAnsi="Arial"/>
          <w:sz w:val="18"/>
          <w:szCs w:val="18"/>
          <w:color w:val="auto"/>
        </w:rPr>
        <w:t>” is that certain Intellectual Property Security Agreement entered into by and between Borrower and Collateral Agent dated as of the Third Amendment Date, as such may be amended from time to time.</w:t>
      </w:r>
    </w:p>
    <w:p>
      <w:pPr>
        <w:spacing w:after="0" w:line="165" w:lineRule="exact"/>
        <w:rPr>
          <w:rFonts w:ascii="Arial" w:cs="Arial" w:eastAsia="Arial" w:hAnsi="Arial"/>
          <w:sz w:val="18"/>
          <w:szCs w:val="18"/>
          <w:color w:val="auto"/>
        </w:rPr>
      </w:pPr>
    </w:p>
    <w:p>
      <w:pPr>
        <w:ind w:left="640" w:hanging="32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Loan Agreement is hereby amended and restated in its entirety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60" w:name="page61"/>
    <w:bookmarkEnd w:id="60"/>
    <w:p>
      <w:pPr>
        <w:ind w:left="640" w:right="680" w:hanging="328"/>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Borrower hereby represents and warrants that a complete and accurate list of its Copyright registrations, Patents, applications to register and registrations of Trademarks, as of the Third Amendment Date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220" w:hanging="328"/>
        <w:spacing w:after="0" w:line="25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Borrower hereby authorizes Collateral Agent to file financing statements, amendments to financing statements or take any other action required to perfect Collateral Agent’s security interests in the Collateral (as such term has been amended pursuant to this Amendment) ,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88" w:lineRule="exact"/>
        <w:rPr>
          <w:rFonts w:ascii="Arial" w:cs="Arial" w:eastAsia="Arial" w:hAnsi="Arial"/>
          <w:sz w:val="18"/>
          <w:szCs w:val="18"/>
          <w:color w:val="auto"/>
        </w:rPr>
      </w:pPr>
    </w:p>
    <w:p>
      <w:pPr>
        <w:ind w:left="640" w:hanging="32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 of Amendment.</w:t>
      </w:r>
    </w:p>
    <w:p>
      <w:pPr>
        <w:spacing w:after="0" w:line="225" w:lineRule="exact"/>
        <w:rPr>
          <w:rFonts w:ascii="Arial" w:cs="Arial" w:eastAsia="Arial" w:hAnsi="Arial"/>
          <w:sz w:val="18"/>
          <w:szCs w:val="18"/>
          <w:color w:val="auto"/>
        </w:rPr>
      </w:pPr>
    </w:p>
    <w:p>
      <w:pPr>
        <w:ind w:left="1280" w:right="40" w:hanging="320"/>
        <w:spacing w:after="0" w:line="259"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amendments and the consent set forth in Sections 2 through 13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86" w:lineRule="exact"/>
        <w:rPr>
          <w:rFonts w:ascii="Arial" w:cs="Arial" w:eastAsia="Arial" w:hAnsi="Arial"/>
          <w:sz w:val="18"/>
          <w:szCs w:val="18"/>
          <w:color w:val="auto"/>
        </w:rPr>
      </w:pPr>
    </w:p>
    <w:p>
      <w:pPr>
        <w:ind w:left="1280" w:right="260" w:hanging="320"/>
        <w:spacing w:after="0" w:line="264"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81" w:lineRule="exact"/>
        <w:rPr>
          <w:rFonts w:ascii="Arial" w:cs="Arial" w:eastAsia="Arial" w:hAnsi="Arial"/>
          <w:sz w:val="18"/>
          <w:szCs w:val="18"/>
          <w:color w:val="auto"/>
        </w:rPr>
      </w:pPr>
    </w:p>
    <w:p>
      <w:pPr>
        <w:ind w:left="640" w:right="120" w:hanging="328"/>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induce Collateral Agent and Lenders to enter into this Amendment, Borrower hereby represents and warrants to Collateral Agent and Lenders as follows:</w:t>
      </w:r>
    </w:p>
    <w:p>
      <w:pPr>
        <w:spacing w:after="0" w:line="170" w:lineRule="exact"/>
        <w:rPr>
          <w:rFonts w:ascii="Arial" w:cs="Arial" w:eastAsia="Arial" w:hAnsi="Arial"/>
          <w:sz w:val="18"/>
          <w:szCs w:val="18"/>
          <w:color w:val="auto"/>
        </w:rPr>
      </w:pPr>
    </w:p>
    <w:p>
      <w:pPr>
        <w:ind w:left="1280" w:right="360" w:hanging="320"/>
        <w:spacing w:after="0" w:line="312" w:lineRule="auto"/>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46" w:lineRule="exact"/>
        <w:rPr>
          <w:rFonts w:ascii="Arial" w:cs="Arial" w:eastAsia="Arial" w:hAnsi="Arial"/>
          <w:sz w:val="16"/>
          <w:szCs w:val="16"/>
          <w:color w:val="auto"/>
        </w:rPr>
      </w:pPr>
    </w:p>
    <w:p>
      <w:pPr>
        <w:ind w:left="1280" w:right="20" w:hanging="320"/>
        <w:spacing w:after="0" w:line="277"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Borrower has the power and due authority to execute and deliver this Amendment and to perform its obligations under the Loan Agreement, as amended by this Amendment;</w:t>
      </w:r>
    </w:p>
    <w:p>
      <w:pPr>
        <w:spacing w:after="0" w:line="170" w:lineRule="exact"/>
        <w:rPr>
          <w:rFonts w:ascii="Arial" w:cs="Arial" w:eastAsia="Arial" w:hAnsi="Arial"/>
          <w:sz w:val="18"/>
          <w:szCs w:val="18"/>
          <w:color w:val="auto"/>
        </w:rPr>
      </w:pPr>
    </w:p>
    <w:p>
      <w:pPr>
        <w:ind w:left="1280" w:right="560" w:hanging="320"/>
        <w:spacing w:after="0" w:line="264" w:lineRule="auto"/>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organizational documents of Borrower delivered to Collateral Agent on the Effective Date, and updated pursuant to subsequent deliveries by the Borrower to the Collateral Agent, remain true, accurate and complete and have not been amended, supplemented or restated and are and continue to be in full force and effect;</w:t>
      </w:r>
    </w:p>
    <w:p>
      <w:pPr>
        <w:spacing w:after="0" w:line="181" w:lineRule="exact"/>
        <w:rPr>
          <w:rFonts w:ascii="Arial" w:cs="Arial" w:eastAsia="Arial" w:hAnsi="Arial"/>
          <w:sz w:val="18"/>
          <w:szCs w:val="18"/>
          <w:color w:val="auto"/>
        </w:rPr>
      </w:pPr>
    </w:p>
    <w:p>
      <w:pPr>
        <w:ind w:left="1280" w:hanging="320"/>
        <w:spacing w:after="0" w:line="279" w:lineRule="auto"/>
        <w:tabs>
          <w:tab w:leader="none" w:pos="12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execution and delivery by Borrower of this Amendment and the performance by Borrower of its obligations under the Loan Agreement, as amended by this Amendment, do not and will not contravene (i) any law or regulation binding on or affecting Borrower, (ii) any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16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1" w:name="page62"/>
    <w:bookmarkEnd w:id="61"/>
    <w:p>
      <w:pPr>
        <w:ind w:left="1280" w:hanging="320"/>
        <w:spacing w:after="0" w:line="259"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6" w:lineRule="exact"/>
        <w:rPr>
          <w:rFonts w:ascii="Arial" w:cs="Arial" w:eastAsia="Arial" w:hAnsi="Arial"/>
          <w:sz w:val="18"/>
          <w:szCs w:val="18"/>
          <w:color w:val="auto"/>
        </w:rPr>
      </w:pPr>
    </w:p>
    <w:p>
      <w:pPr>
        <w:ind w:left="1280" w:right="100" w:hanging="320"/>
        <w:spacing w:after="0" w:line="286" w:lineRule="auto"/>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5" w:lineRule="exact"/>
        <w:rPr>
          <w:rFonts w:ascii="Arial" w:cs="Arial" w:eastAsia="Arial" w:hAnsi="Arial"/>
          <w:sz w:val="17"/>
          <w:szCs w:val="17"/>
          <w:color w:val="auto"/>
        </w:rPr>
      </w:pPr>
    </w:p>
    <w:p>
      <w:pPr>
        <w:ind w:left="640" w:hanging="32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Collateral Agent represents and warrants to Borrower that all Required Lenders have executed this Amendment.</w:t>
      </w:r>
    </w:p>
    <w:p>
      <w:pPr>
        <w:spacing w:after="0" w:line="225" w:lineRule="exact"/>
        <w:rPr>
          <w:rFonts w:ascii="Arial" w:cs="Arial" w:eastAsia="Arial" w:hAnsi="Arial"/>
          <w:sz w:val="18"/>
          <w:szCs w:val="18"/>
          <w:color w:val="auto"/>
        </w:rPr>
      </w:pPr>
    </w:p>
    <w:p>
      <w:pPr>
        <w:ind w:left="640" w:right="200" w:hanging="328"/>
        <w:spacing w:after="0" w:line="342"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expressly set forth herein, the Loan Agreement shall continue in full force and effect without alteration or amendment. This Amendment and the Loan Documents represent the entire agreement about this subject matter and supersede prior negotiations or agreements.</w:t>
      </w:r>
    </w:p>
    <w:p>
      <w:pPr>
        <w:spacing w:after="0" w:line="123" w:lineRule="exact"/>
        <w:rPr>
          <w:rFonts w:ascii="Arial" w:cs="Arial" w:eastAsia="Arial" w:hAnsi="Arial"/>
          <w:sz w:val="16"/>
          <w:szCs w:val="16"/>
          <w:color w:val="auto"/>
        </w:rPr>
      </w:pPr>
    </w:p>
    <w:p>
      <w:pPr>
        <w:ind w:left="640" w:right="80" w:hanging="328"/>
        <w:spacing w:after="0" w:line="259"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shall be deemed effective as of the Amendment Date upon (a) the due execution and delivery to Collateral Agent of this Amendment by each party hereto, (b) the due execution and delivery to Collateral Agent of the IP Agreement by each party thereto, (c) Collateral Agent’s receipt of the fully executed License Agreement and (d) Borrower’s payment of all Lenders’ Expenses incurred through the date hereof (not to exceed $7,500.00), which may be debited from any of Borrower’s accounts with Lenders.</w:t>
      </w:r>
    </w:p>
    <w:p>
      <w:pPr>
        <w:spacing w:after="0" w:line="186" w:lineRule="exact"/>
        <w:rPr>
          <w:rFonts w:ascii="Arial" w:cs="Arial" w:eastAsia="Arial" w:hAnsi="Arial"/>
          <w:sz w:val="18"/>
          <w:szCs w:val="18"/>
          <w:color w:val="auto"/>
        </w:rPr>
      </w:pPr>
    </w:p>
    <w:p>
      <w:pPr>
        <w:ind w:left="640" w:right="120" w:hanging="328"/>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640" w:right="160" w:hanging="328"/>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hereto shall be governed by and construed in accordance with the laws of the State of New York.</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parties hereto have caused this Consent and Third Amendment to Loan and Security Agreement to be executed as</w:t>
            </w:r>
          </w:p>
        </w:tc>
      </w:tr>
      <w:tr>
        <w:trPr>
          <w:trHeight w:val="230"/>
        </w:trPr>
        <w:tc>
          <w:tcPr>
            <w:tcW w:w="11260" w:type="dxa"/>
            <w:vAlign w:val="bottom"/>
            <w:gridSpan w:val="5"/>
          </w:tcPr>
          <w:p>
            <w:pPr>
              <w:spacing w:after="0"/>
              <w:rPr>
                <w:sz w:val="20"/>
                <w:szCs w:val="20"/>
                <w:color w:val="auto"/>
              </w:rPr>
            </w:pPr>
            <w:r>
              <w:rPr>
                <w:rFonts w:ascii="Arial" w:cs="Arial" w:eastAsia="Arial" w:hAnsi="Arial"/>
                <w:sz w:val="18"/>
                <w:szCs w:val="18"/>
                <w:color w:val="auto"/>
              </w:rPr>
              <w:t>of the Third Amendment Date.</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color w:val="auto"/>
              </w:rPr>
              <w:t>ACURA PHARMACEUTICALS,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10680" w:type="dxa"/>
            <w:vAlign w:val="bottom"/>
            <w:gridSpan w:val="3"/>
          </w:tcPr>
          <w:p>
            <w:pPr>
              <w:spacing w:after="0"/>
              <w:rPr>
                <w:sz w:val="20"/>
                <w:szCs w:val="20"/>
                <w:color w:val="auto"/>
              </w:rPr>
            </w:pPr>
            <w:r>
              <w:rPr>
                <w:rFonts w:ascii="Arial" w:cs="Arial" w:eastAsia="Arial" w:hAnsi="Arial"/>
                <w:sz w:val="18"/>
                <w:szCs w:val="18"/>
                <w:color w:val="auto"/>
              </w:rPr>
              <w:t>/s/ Robert B. Jones</w:t>
            </w:r>
          </w:p>
        </w:tc>
      </w:tr>
      <w:tr>
        <w:trPr>
          <w:trHeight w:val="182"/>
        </w:trPr>
        <w:tc>
          <w:tcPr>
            <w:tcW w:w="58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Robert B. Jones</w:t>
            </w:r>
          </w:p>
        </w:tc>
        <w:tc>
          <w:tcPr>
            <w:tcW w:w="554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0760" w:type="dxa"/>
            <w:vAlign w:val="bottom"/>
            <w:gridSpan w:val="4"/>
          </w:tcPr>
          <w:p>
            <w:pPr>
              <w:ind w:left="20"/>
              <w:spacing w:after="0"/>
              <w:rPr>
                <w:sz w:val="20"/>
                <w:szCs w:val="20"/>
                <w:color w:val="auto"/>
              </w:rPr>
            </w:pPr>
            <w:r>
              <w:rPr>
                <w:rFonts w:ascii="Arial" w:cs="Arial" w:eastAsia="Arial" w:hAnsi="Arial"/>
                <w:sz w:val="18"/>
                <w:szCs w:val="18"/>
                <w:color w:val="auto"/>
              </w:rPr>
              <w:t>President and CEO</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color w:val="auto"/>
              </w:rPr>
              <w:t>ACURA PHARMACEUTICAL TECHNOLOGIES,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10680" w:type="dxa"/>
            <w:vAlign w:val="bottom"/>
            <w:gridSpan w:val="3"/>
          </w:tcPr>
          <w:p>
            <w:pPr>
              <w:ind w:left="60"/>
              <w:spacing w:after="0"/>
              <w:rPr>
                <w:sz w:val="20"/>
                <w:szCs w:val="20"/>
                <w:color w:val="auto"/>
              </w:rPr>
            </w:pPr>
            <w:r>
              <w:rPr>
                <w:rFonts w:ascii="Arial" w:cs="Arial" w:eastAsia="Arial" w:hAnsi="Arial"/>
                <w:sz w:val="18"/>
                <w:szCs w:val="18"/>
                <w:color w:val="auto"/>
              </w:rPr>
              <w:t>/s/ Robert B. Jones</w:t>
            </w:r>
          </w:p>
        </w:tc>
      </w:tr>
      <w:tr>
        <w:trPr>
          <w:trHeight w:val="182"/>
        </w:trPr>
        <w:tc>
          <w:tcPr>
            <w:tcW w:w="58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Robert B. Jones</w:t>
            </w:r>
          </w:p>
        </w:tc>
        <w:tc>
          <w:tcPr>
            <w:tcW w:w="554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0760" w:type="dxa"/>
            <w:vAlign w:val="bottom"/>
            <w:gridSpan w:val="4"/>
          </w:tcPr>
          <w:p>
            <w:pPr>
              <w:ind w:left="20"/>
              <w:spacing w:after="0"/>
              <w:rPr>
                <w:sz w:val="20"/>
                <w:szCs w:val="20"/>
                <w:color w:val="auto"/>
              </w:rPr>
            </w:pPr>
            <w:r>
              <w:rPr>
                <w:rFonts w:ascii="Arial" w:cs="Arial" w:eastAsia="Arial" w:hAnsi="Arial"/>
                <w:sz w:val="18"/>
                <w:szCs w:val="18"/>
                <w:color w:val="auto"/>
              </w:rPr>
              <w:t>President</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b w:val="1"/>
                <w:bCs w:val="1"/>
                <w:color w:val="auto"/>
              </w:rPr>
              <w:t>COLLATERAL AGENT AND LENDER:</w:t>
            </w:r>
          </w:p>
        </w:tc>
      </w:tr>
      <w:tr>
        <w:trPr>
          <w:trHeight w:val="432"/>
        </w:trPr>
        <w:tc>
          <w:tcPr>
            <w:tcW w:w="11260" w:type="dxa"/>
            <w:vAlign w:val="bottom"/>
            <w:gridSpan w:val="5"/>
          </w:tcPr>
          <w:p>
            <w:pPr>
              <w:spacing w:after="0"/>
              <w:rPr>
                <w:sz w:val="20"/>
                <w:szCs w:val="20"/>
                <w:color w:val="auto"/>
              </w:rPr>
            </w:pPr>
            <w:r>
              <w:rPr>
                <w:rFonts w:ascii="Arial" w:cs="Arial" w:eastAsia="Arial" w:hAnsi="Arial"/>
                <w:sz w:val="18"/>
                <w:szCs w:val="18"/>
                <w:color w:val="auto"/>
              </w:rPr>
              <w:t>OXFORD FINANCE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560" w:type="dxa"/>
            <w:vAlign w:val="bottom"/>
            <w:gridSpan w:val="2"/>
          </w:tcPr>
          <w:p>
            <w:pPr>
              <w:spacing w:after="0"/>
              <w:rPr>
                <w:sz w:val="20"/>
                <w:szCs w:val="20"/>
                <w:color w:val="auto"/>
              </w:rPr>
            </w:pPr>
            <w:r>
              <w:rPr>
                <w:rFonts w:ascii="Arial" w:cs="Arial" w:eastAsia="Arial" w:hAnsi="Arial"/>
                <w:sz w:val="18"/>
                <w:szCs w:val="18"/>
                <w:color w:val="auto"/>
              </w:rPr>
              <w:t>/s/ Mark Davis</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Davis</w:t>
            </w:r>
          </w:p>
        </w:tc>
        <w:tc>
          <w:tcPr>
            <w:tcW w:w="5540" w:type="dxa"/>
            <w:vAlign w:val="bottom"/>
          </w:tcPr>
          <w:p>
            <w:pPr>
              <w:spacing w:after="0"/>
              <w:rPr>
                <w:sz w:val="18"/>
                <w:szCs w:val="18"/>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Vice President – Finance, Secretary &amp; Treasurer</w:t>
            </w:r>
          </w:p>
        </w:tc>
        <w:tc>
          <w:tcPr>
            <w:tcW w:w="5540" w:type="dxa"/>
            <w:vAlign w:val="bottom"/>
          </w:tcPr>
          <w:p>
            <w:pPr>
              <w:spacing w:after="0"/>
              <w:rPr>
                <w:sz w:val="18"/>
                <w:szCs w:val="18"/>
                <w:color w:val="auto"/>
              </w:rPr>
            </w:pPr>
          </w:p>
        </w:tc>
      </w:tr>
    </w:tbl>
    <w:p>
      <w:pPr>
        <w:spacing w:after="0" w:line="19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Description of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All goods, Accounts (including health-care receivables), Equipment, Inventory, contract rights,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Notwithstanding the foregoing, the Collateral does not include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 (excluding Permitted Licenses).</w:t>
      </w:r>
    </w:p>
    <w:p>
      <w:pPr>
        <w:spacing w:after="0" w:line="166"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Registered Copyrights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tcPr>
          <w:p>
            <w:pPr>
              <w:ind w:left="544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Registration/</w:t>
            </w:r>
          </w:p>
        </w:tc>
        <w:tc>
          <w:tcPr>
            <w:tcW w:w="206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Application</w:t>
            </w:r>
          </w:p>
        </w:tc>
        <w:tc>
          <w:tcPr>
            <w:tcW w:w="206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Number</w:t>
            </w:r>
          </w:p>
        </w:tc>
        <w:tc>
          <w:tcPr>
            <w:tcW w:w="2060" w:type="dxa"/>
            <w:vAlign w:val="bottom"/>
          </w:tcPr>
          <w:p>
            <w:pPr>
              <w:spacing w:after="0"/>
              <w:rPr>
                <w:sz w:val="20"/>
                <w:szCs w:val="20"/>
                <w:color w:val="auto"/>
              </w:rPr>
            </w:pPr>
            <w:r>
              <w:rPr>
                <w:rFonts w:ascii="Arial" w:cs="Arial" w:eastAsia="Arial" w:hAnsi="Arial"/>
                <w:sz w:val="18"/>
                <w:szCs w:val="18"/>
                <w:color w:val="auto"/>
              </w:rPr>
              <w:t>Date</w:t>
            </w:r>
          </w:p>
        </w:tc>
      </w:tr>
      <w:tr>
        <w:trPr>
          <w:trHeight w:val="195"/>
        </w:trPr>
        <w:tc>
          <w:tcPr>
            <w:tcW w:w="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Methods and compositions for deterring abuse of opioid containing dosage forms</w:t>
            </w:r>
          </w:p>
        </w:tc>
        <w:tc>
          <w:tcPr>
            <w:tcW w:w="24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 7,201,920</w:t>
            </w:r>
          </w:p>
        </w:tc>
        <w:tc>
          <w:tcPr>
            <w:tcW w:w="2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4/10/2007</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7,476,402</w:t>
            </w:r>
          </w:p>
        </w:tc>
        <w:tc>
          <w:tcPr>
            <w:tcW w:w="2060" w:type="dxa"/>
            <w:vAlign w:val="bottom"/>
          </w:tcPr>
          <w:p>
            <w:pPr>
              <w:spacing w:after="0"/>
              <w:rPr>
                <w:sz w:val="20"/>
                <w:szCs w:val="20"/>
                <w:color w:val="auto"/>
              </w:rPr>
            </w:pPr>
            <w:r>
              <w:rPr>
                <w:rFonts w:ascii="Arial" w:cs="Arial" w:eastAsia="Arial" w:hAnsi="Arial"/>
                <w:sz w:val="18"/>
                <w:szCs w:val="18"/>
                <w:color w:val="auto"/>
              </w:rPr>
              <w:t>1/13/2009</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7,510,726</w:t>
            </w:r>
          </w:p>
        </w:tc>
        <w:tc>
          <w:tcPr>
            <w:tcW w:w="2060" w:type="dxa"/>
            <w:vAlign w:val="bottom"/>
          </w:tcPr>
          <w:p>
            <w:pPr>
              <w:spacing w:after="0"/>
              <w:rPr>
                <w:sz w:val="20"/>
                <w:szCs w:val="20"/>
                <w:color w:val="auto"/>
              </w:rPr>
            </w:pPr>
            <w:r>
              <w:rPr>
                <w:rFonts w:ascii="Arial" w:cs="Arial" w:eastAsia="Arial" w:hAnsi="Arial"/>
                <w:sz w:val="18"/>
                <w:szCs w:val="18"/>
                <w:color w:val="auto"/>
              </w:rPr>
              <w:t>3/31/2009</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7,981,439</w:t>
            </w:r>
          </w:p>
        </w:tc>
        <w:tc>
          <w:tcPr>
            <w:tcW w:w="2060" w:type="dxa"/>
            <w:vAlign w:val="bottom"/>
          </w:tcPr>
          <w:p>
            <w:pPr>
              <w:spacing w:after="0"/>
              <w:rPr>
                <w:sz w:val="20"/>
                <w:szCs w:val="20"/>
                <w:color w:val="auto"/>
              </w:rPr>
            </w:pPr>
            <w:r>
              <w:rPr>
                <w:rFonts w:ascii="Arial" w:cs="Arial" w:eastAsia="Arial" w:hAnsi="Arial"/>
                <w:sz w:val="18"/>
                <w:szCs w:val="18"/>
                <w:color w:val="auto"/>
              </w:rPr>
              <w:t>7/19/2011</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8,409,616</w:t>
            </w:r>
          </w:p>
        </w:tc>
        <w:tc>
          <w:tcPr>
            <w:tcW w:w="2060" w:type="dxa"/>
            <w:vAlign w:val="bottom"/>
          </w:tcPr>
          <w:p>
            <w:pPr>
              <w:spacing w:after="0"/>
              <w:rPr>
                <w:sz w:val="20"/>
                <w:szCs w:val="20"/>
                <w:color w:val="auto"/>
              </w:rPr>
            </w:pPr>
            <w:r>
              <w:rPr>
                <w:rFonts w:ascii="Arial" w:cs="Arial" w:eastAsia="Arial" w:hAnsi="Arial"/>
                <w:sz w:val="18"/>
                <w:szCs w:val="18"/>
                <w:color w:val="auto"/>
              </w:rPr>
              <w:t>4/2/2013</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8,822,489</w:t>
            </w:r>
          </w:p>
        </w:tc>
        <w:tc>
          <w:tcPr>
            <w:tcW w:w="2060" w:type="dxa"/>
            <w:vAlign w:val="bottom"/>
          </w:tcPr>
          <w:p>
            <w:pPr>
              <w:spacing w:after="0"/>
              <w:rPr>
                <w:sz w:val="20"/>
                <w:szCs w:val="20"/>
                <w:color w:val="auto"/>
              </w:rPr>
            </w:pPr>
            <w:r>
              <w:rPr>
                <w:rFonts w:ascii="Arial" w:cs="Arial" w:eastAsia="Arial" w:hAnsi="Arial"/>
                <w:sz w:val="18"/>
                <w:szCs w:val="18"/>
                <w:color w:val="auto"/>
              </w:rPr>
              <w:t>7/24/2014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8,637,540</w:t>
            </w:r>
          </w:p>
        </w:tc>
        <w:tc>
          <w:tcPr>
            <w:tcW w:w="2060" w:type="dxa"/>
            <w:vAlign w:val="bottom"/>
          </w:tcPr>
          <w:p>
            <w:pPr>
              <w:spacing w:after="0"/>
              <w:rPr>
                <w:sz w:val="20"/>
                <w:szCs w:val="20"/>
                <w:color w:val="auto"/>
              </w:rPr>
            </w:pPr>
            <w:r>
              <w:rPr>
                <w:rFonts w:ascii="Arial" w:cs="Arial" w:eastAsia="Arial" w:hAnsi="Arial"/>
                <w:sz w:val="18"/>
                <w:szCs w:val="18"/>
                <w:color w:val="auto"/>
              </w:rPr>
              <w:t>1/28/2014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9,492,443</w:t>
            </w:r>
          </w:p>
        </w:tc>
        <w:tc>
          <w:tcPr>
            <w:tcW w:w="2060" w:type="dxa"/>
            <w:vAlign w:val="bottom"/>
          </w:tcPr>
          <w:p>
            <w:pPr>
              <w:spacing w:after="0"/>
              <w:rPr>
                <w:sz w:val="20"/>
                <w:szCs w:val="20"/>
                <w:color w:val="auto"/>
              </w:rPr>
            </w:pPr>
            <w:r>
              <w:rPr>
                <w:rFonts w:ascii="Arial" w:cs="Arial" w:eastAsia="Arial" w:hAnsi="Arial"/>
                <w:sz w:val="18"/>
                <w:szCs w:val="18"/>
                <w:color w:val="auto"/>
              </w:rPr>
              <w:t>11/15/2016</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2004294953</w:t>
            </w:r>
          </w:p>
        </w:tc>
        <w:tc>
          <w:tcPr>
            <w:tcW w:w="2060" w:type="dxa"/>
            <w:vAlign w:val="bottom"/>
          </w:tcPr>
          <w:p>
            <w:pPr>
              <w:spacing w:after="0"/>
              <w:rPr>
                <w:sz w:val="20"/>
                <w:szCs w:val="20"/>
                <w:color w:val="auto"/>
              </w:rPr>
            </w:pPr>
            <w:r>
              <w:rPr>
                <w:rFonts w:ascii="Arial" w:cs="Arial" w:eastAsia="Arial" w:hAnsi="Arial"/>
                <w:sz w:val="18"/>
                <w:szCs w:val="18"/>
                <w:color w:val="auto"/>
              </w:rPr>
              <w:t>4/1/2010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2010200979</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2,547,334</w:t>
            </w:r>
          </w:p>
        </w:tc>
        <w:tc>
          <w:tcPr>
            <w:tcW w:w="2060" w:type="dxa"/>
            <w:vAlign w:val="bottom"/>
          </w:tcPr>
          <w:p>
            <w:pPr>
              <w:spacing w:after="0"/>
              <w:rPr>
                <w:sz w:val="20"/>
                <w:szCs w:val="20"/>
                <w:color w:val="auto"/>
              </w:rPr>
            </w:pPr>
            <w:r>
              <w:rPr>
                <w:rFonts w:ascii="Arial" w:cs="Arial" w:eastAsia="Arial" w:hAnsi="Arial"/>
                <w:sz w:val="18"/>
                <w:szCs w:val="18"/>
                <w:color w:val="auto"/>
              </w:rPr>
              <w:t>8/10/2010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IL 175863</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IL 221018</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4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2010200979</w:t>
            </w:r>
          </w:p>
        </w:tc>
        <w:tc>
          <w:tcPr>
            <w:tcW w:w="2060" w:type="dxa"/>
            <w:vAlign w:val="bottom"/>
          </w:tcPr>
          <w:p>
            <w:pPr>
              <w:spacing w:after="0"/>
              <w:rPr>
                <w:sz w:val="20"/>
                <w:szCs w:val="20"/>
                <w:color w:val="auto"/>
              </w:rPr>
            </w:pPr>
            <w:r>
              <w:rPr>
                <w:rFonts w:ascii="Arial" w:cs="Arial" w:eastAsia="Arial" w:hAnsi="Arial"/>
                <w:sz w:val="18"/>
                <w:szCs w:val="18"/>
                <w:color w:val="auto"/>
              </w:rPr>
              <w:t>3/15/2010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2013206525</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04812083.6</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11158284.7</w:t>
            </w:r>
          </w:p>
        </w:tc>
        <w:tc>
          <w:tcPr>
            <w:tcW w:w="2060" w:type="dxa"/>
            <w:vAlign w:val="bottom"/>
          </w:tcPr>
          <w:p>
            <w:pPr>
              <w:spacing w:after="0"/>
              <w:rPr>
                <w:sz w:val="20"/>
                <w:szCs w:val="20"/>
                <w:color w:val="auto"/>
              </w:rPr>
            </w:pPr>
            <w:r>
              <w:rPr>
                <w:rFonts w:ascii="Arial" w:cs="Arial" w:eastAsia="Arial" w:hAnsi="Arial"/>
                <w:sz w:val="18"/>
                <w:szCs w:val="18"/>
                <w:color w:val="auto"/>
              </w:rPr>
              <w:t>11/23/2011</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HK 12106471.1</w:t>
            </w:r>
          </w:p>
        </w:tc>
        <w:tc>
          <w:tcPr>
            <w:tcW w:w="2060" w:type="dxa"/>
            <w:vAlign w:val="bottom"/>
          </w:tcPr>
          <w:p>
            <w:pPr>
              <w:spacing w:after="0"/>
              <w:rPr>
                <w:sz w:val="20"/>
                <w:szCs w:val="20"/>
                <w:color w:val="auto"/>
              </w:rPr>
            </w:pPr>
            <w:r>
              <w:rPr>
                <w:rFonts w:ascii="Arial" w:cs="Arial" w:eastAsia="Arial" w:hAnsi="Arial"/>
                <w:sz w:val="18"/>
                <w:szCs w:val="18"/>
                <w:color w:val="auto"/>
              </w:rPr>
              <w:t>11/23/2004</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Process to manufacture oxycodone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6,864,370</w:t>
            </w:r>
          </w:p>
        </w:tc>
        <w:tc>
          <w:tcPr>
            <w:tcW w:w="2060" w:type="dxa"/>
            <w:vAlign w:val="bottom"/>
          </w:tcPr>
          <w:p>
            <w:pPr>
              <w:spacing w:after="0"/>
              <w:rPr>
                <w:sz w:val="20"/>
                <w:szCs w:val="20"/>
                <w:color w:val="auto"/>
              </w:rPr>
            </w:pPr>
            <w:r>
              <w:rPr>
                <w:rFonts w:ascii="Arial" w:cs="Arial" w:eastAsia="Arial" w:hAnsi="Arial"/>
                <w:sz w:val="18"/>
                <w:szCs w:val="18"/>
                <w:color w:val="auto"/>
              </w:rPr>
              <w:t>3/8/2005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Process for manufacturing thebaine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6,790,959</w:t>
            </w:r>
          </w:p>
        </w:tc>
        <w:tc>
          <w:tcPr>
            <w:tcW w:w="2060" w:type="dxa"/>
            <w:vAlign w:val="bottom"/>
          </w:tcPr>
          <w:p>
            <w:pPr>
              <w:spacing w:after="0"/>
              <w:rPr>
                <w:sz w:val="20"/>
                <w:szCs w:val="20"/>
                <w:color w:val="auto"/>
              </w:rPr>
            </w:pPr>
            <w:r>
              <w:rPr>
                <w:rFonts w:ascii="Arial" w:cs="Arial" w:eastAsia="Arial" w:hAnsi="Arial"/>
                <w:sz w:val="18"/>
                <w:szCs w:val="18"/>
                <w:color w:val="auto"/>
              </w:rPr>
              <w:t>9/14/2004</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Process for manufacturing codeine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6,972,332</w:t>
            </w:r>
          </w:p>
        </w:tc>
        <w:tc>
          <w:tcPr>
            <w:tcW w:w="2060" w:type="dxa"/>
            <w:vAlign w:val="bottom"/>
          </w:tcPr>
          <w:p>
            <w:pPr>
              <w:spacing w:after="0"/>
              <w:rPr>
                <w:sz w:val="20"/>
                <w:szCs w:val="20"/>
                <w:color w:val="auto"/>
              </w:rPr>
            </w:pPr>
            <w:r>
              <w:rPr>
                <w:rFonts w:ascii="Arial" w:cs="Arial" w:eastAsia="Arial" w:hAnsi="Arial"/>
                <w:sz w:val="18"/>
                <w:szCs w:val="18"/>
                <w:color w:val="auto"/>
              </w:rPr>
              <w:t>12/6/2005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Process for manufacturing codeine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6,949,645</w:t>
            </w:r>
          </w:p>
        </w:tc>
        <w:tc>
          <w:tcPr>
            <w:tcW w:w="2060" w:type="dxa"/>
            <w:vAlign w:val="bottom"/>
          </w:tcPr>
          <w:p>
            <w:pPr>
              <w:spacing w:after="0"/>
              <w:rPr>
                <w:sz w:val="20"/>
                <w:szCs w:val="20"/>
                <w:color w:val="auto"/>
              </w:rPr>
            </w:pPr>
            <w:r>
              <w:rPr>
                <w:rFonts w:ascii="Arial" w:cs="Arial" w:eastAsia="Arial" w:hAnsi="Arial"/>
                <w:sz w:val="18"/>
                <w:szCs w:val="18"/>
                <w:color w:val="auto"/>
              </w:rPr>
              <w:t>9/27/2005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Process for preparing dihydrocodeine from codeine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6,887,999</w:t>
            </w:r>
          </w:p>
        </w:tc>
        <w:tc>
          <w:tcPr>
            <w:tcW w:w="2060" w:type="dxa"/>
            <w:vAlign w:val="bottom"/>
          </w:tcPr>
          <w:p>
            <w:pPr>
              <w:spacing w:after="0"/>
              <w:rPr>
                <w:sz w:val="20"/>
                <w:szCs w:val="20"/>
                <w:color w:val="auto"/>
              </w:rPr>
            </w:pPr>
            <w:r>
              <w:rPr>
                <w:rFonts w:ascii="Arial" w:cs="Arial" w:eastAsia="Arial" w:hAnsi="Arial"/>
                <w:sz w:val="18"/>
                <w:szCs w:val="18"/>
                <w:color w:val="auto"/>
              </w:rPr>
              <w:t>5/3/2005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Preparation of opioid analgesics by a one-pot process</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6,946,556</w:t>
            </w:r>
          </w:p>
        </w:tc>
        <w:tc>
          <w:tcPr>
            <w:tcW w:w="2060" w:type="dxa"/>
            <w:vAlign w:val="bottom"/>
          </w:tcPr>
          <w:p>
            <w:pPr>
              <w:spacing w:after="0"/>
              <w:rPr>
                <w:sz w:val="20"/>
                <w:szCs w:val="20"/>
                <w:color w:val="auto"/>
              </w:rPr>
            </w:pPr>
            <w:r>
              <w:rPr>
                <w:rFonts w:ascii="Arial" w:cs="Arial" w:eastAsia="Arial" w:hAnsi="Arial"/>
                <w:sz w:val="18"/>
                <w:szCs w:val="18"/>
                <w:color w:val="auto"/>
              </w:rPr>
              <w:t>9/20/2005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Preparation of oxycodone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7,071,336</w:t>
            </w:r>
          </w:p>
        </w:tc>
        <w:tc>
          <w:tcPr>
            <w:tcW w:w="2060" w:type="dxa"/>
            <w:vAlign w:val="bottom"/>
          </w:tcPr>
          <w:p>
            <w:pPr>
              <w:spacing w:after="0"/>
              <w:rPr>
                <w:sz w:val="20"/>
                <w:szCs w:val="20"/>
                <w:color w:val="auto"/>
              </w:rPr>
            </w:pPr>
            <w:r>
              <w:rPr>
                <w:rFonts w:ascii="Arial" w:cs="Arial" w:eastAsia="Arial" w:hAnsi="Arial"/>
                <w:sz w:val="18"/>
                <w:szCs w:val="18"/>
                <w:color w:val="auto"/>
              </w:rPr>
              <w:t>7/4/2006</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Preparation of a 4,5-epoxymorphinan</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7,348,430</w:t>
            </w:r>
          </w:p>
        </w:tc>
        <w:tc>
          <w:tcPr>
            <w:tcW w:w="2060" w:type="dxa"/>
            <w:vAlign w:val="bottom"/>
          </w:tcPr>
          <w:p>
            <w:pPr>
              <w:spacing w:after="0"/>
              <w:rPr>
                <w:sz w:val="20"/>
                <w:szCs w:val="20"/>
                <w:color w:val="auto"/>
              </w:rPr>
            </w:pPr>
            <w:r>
              <w:rPr>
                <w:rFonts w:ascii="Arial" w:cs="Arial" w:eastAsia="Arial" w:hAnsi="Arial"/>
                <w:sz w:val="18"/>
                <w:szCs w:val="18"/>
                <w:color w:val="auto"/>
              </w:rPr>
              <w:t>3/25/2008</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Methods and compositions for deterring abuse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8,901,113</w:t>
            </w:r>
          </w:p>
        </w:tc>
        <w:tc>
          <w:tcPr>
            <w:tcW w:w="2060" w:type="dxa"/>
            <w:vAlign w:val="bottom"/>
          </w:tcPr>
          <w:p>
            <w:pPr>
              <w:spacing w:after="0"/>
              <w:rPr>
                <w:sz w:val="20"/>
                <w:szCs w:val="20"/>
                <w:color w:val="auto"/>
              </w:rPr>
            </w:pPr>
            <w:r>
              <w:rPr>
                <w:rFonts w:ascii="Arial" w:cs="Arial" w:eastAsia="Arial" w:hAnsi="Arial"/>
                <w:sz w:val="18"/>
                <w:szCs w:val="18"/>
                <w:color w:val="auto"/>
              </w:rPr>
              <w:t>12/2/[2014]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2010300641</w:t>
            </w:r>
          </w:p>
        </w:tc>
        <w:tc>
          <w:tcPr>
            <w:tcW w:w="2060" w:type="dxa"/>
            <w:vAlign w:val="bottom"/>
          </w:tcPr>
          <w:p>
            <w:pPr>
              <w:spacing w:after="0"/>
              <w:rPr>
                <w:sz w:val="20"/>
                <w:szCs w:val="20"/>
                <w:color w:val="auto"/>
              </w:rPr>
            </w:pPr>
            <w:r>
              <w:rPr>
                <w:rFonts w:ascii="Arial" w:cs="Arial" w:eastAsia="Arial" w:hAnsi="Arial"/>
                <w:sz w:val="18"/>
                <w:szCs w:val="18"/>
                <w:color w:val="auto"/>
              </w:rPr>
              <w:t>6/3/2016</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2,775,890</w:t>
            </w:r>
          </w:p>
        </w:tc>
        <w:tc>
          <w:tcPr>
            <w:tcW w:w="2060" w:type="dxa"/>
            <w:vAlign w:val="bottom"/>
          </w:tcPr>
          <w:p>
            <w:pPr>
              <w:spacing w:after="0"/>
              <w:rPr>
                <w:sz w:val="20"/>
                <w:szCs w:val="20"/>
                <w:color w:val="auto"/>
              </w:rPr>
            </w:pPr>
            <w:r>
              <w:rPr>
                <w:rFonts w:ascii="Arial" w:cs="Arial" w:eastAsia="Arial" w:hAnsi="Arial"/>
                <w:sz w:val="18"/>
                <w:szCs w:val="18"/>
                <w:color w:val="auto"/>
              </w:rPr>
              <w:t>6/21/2016</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2,488,029</w:t>
            </w:r>
          </w:p>
        </w:tc>
        <w:tc>
          <w:tcPr>
            <w:tcW w:w="2060" w:type="dxa"/>
            <w:vAlign w:val="bottom"/>
          </w:tcPr>
          <w:p>
            <w:pPr>
              <w:spacing w:after="0"/>
              <w:rPr>
                <w:sz w:val="20"/>
                <w:szCs w:val="20"/>
                <w:color w:val="auto"/>
              </w:rPr>
            </w:pPr>
            <w:r>
              <w:rPr>
                <w:rFonts w:ascii="Arial" w:cs="Arial" w:eastAsia="Arial" w:hAnsi="Arial"/>
                <w:sz w:val="18"/>
                <w:szCs w:val="18"/>
                <w:color w:val="auto"/>
              </w:rPr>
              <w:t>3/23/2016</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HK 13102020.5</w:t>
            </w:r>
          </w:p>
        </w:tc>
        <w:tc>
          <w:tcPr>
            <w:tcW w:w="2060" w:type="dxa"/>
            <w:vAlign w:val="bottom"/>
          </w:tcPr>
          <w:p>
            <w:pPr>
              <w:spacing w:after="0"/>
              <w:rPr>
                <w:sz w:val="20"/>
                <w:szCs w:val="20"/>
                <w:color w:val="auto"/>
              </w:rPr>
            </w:pPr>
            <w:r>
              <w:rPr>
                <w:rFonts w:ascii="Arial" w:cs="Arial" w:eastAsia="Arial" w:hAnsi="Arial"/>
                <w:sz w:val="18"/>
                <w:szCs w:val="18"/>
                <w:color w:val="auto"/>
              </w:rPr>
              <w:t>10/14/2016</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IL 218533</w:t>
            </w:r>
          </w:p>
        </w:tc>
        <w:tc>
          <w:tcPr>
            <w:tcW w:w="2060" w:type="dxa"/>
            <w:vAlign w:val="bottom"/>
          </w:tcPr>
          <w:p>
            <w:pPr>
              <w:spacing w:after="0"/>
              <w:rPr>
                <w:sz w:val="20"/>
                <w:szCs w:val="20"/>
                <w:color w:val="auto"/>
              </w:rPr>
            </w:pPr>
            <w:r>
              <w:rPr>
                <w:rFonts w:ascii="Arial" w:cs="Arial" w:eastAsia="Arial" w:hAnsi="Arial"/>
                <w:sz w:val="18"/>
                <w:szCs w:val="18"/>
                <w:color w:val="auto"/>
              </w:rPr>
              <w:t>9/29/2016</w:t>
            </w:r>
          </w:p>
        </w:tc>
      </w:tr>
      <w:tr>
        <w:trPr>
          <w:trHeight w:val="4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14/552,067</w:t>
            </w:r>
          </w:p>
        </w:tc>
        <w:tc>
          <w:tcPr>
            <w:tcW w:w="2060" w:type="dxa"/>
            <w:vAlign w:val="bottom"/>
          </w:tcPr>
          <w:p>
            <w:pPr>
              <w:spacing w:after="0"/>
              <w:rPr>
                <w:sz w:val="20"/>
                <w:szCs w:val="20"/>
                <w:color w:val="auto"/>
              </w:rPr>
            </w:pPr>
            <w:r>
              <w:rPr>
                <w:rFonts w:ascii="Arial" w:cs="Arial" w:eastAsia="Arial" w:hAnsi="Arial"/>
                <w:sz w:val="18"/>
                <w:szCs w:val="18"/>
                <w:color w:val="auto"/>
              </w:rPr>
              <w:t>11/24/2014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2,775,890</w:t>
            </w:r>
          </w:p>
        </w:tc>
        <w:tc>
          <w:tcPr>
            <w:tcW w:w="206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2016204065</w:t>
            </w:r>
          </w:p>
        </w:tc>
        <w:tc>
          <w:tcPr>
            <w:tcW w:w="206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16161681.8</w:t>
            </w:r>
          </w:p>
        </w:tc>
        <w:tc>
          <w:tcPr>
            <w:tcW w:w="206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HK 13102020.5</w:t>
            </w:r>
          </w:p>
        </w:tc>
        <w:tc>
          <w:tcPr>
            <w:tcW w:w="206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IL 245734</w:t>
            </w:r>
          </w:p>
        </w:tc>
        <w:tc>
          <w:tcPr>
            <w:tcW w:w="2060" w:type="dxa"/>
            <w:vAlign w:val="bottom"/>
          </w:tcPr>
          <w:p>
            <w:pPr>
              <w:spacing w:after="0"/>
              <w:rPr>
                <w:sz w:val="20"/>
                <w:szCs w:val="20"/>
                <w:color w:val="auto"/>
              </w:rPr>
            </w:pPr>
            <w:r>
              <w:rPr>
                <w:rFonts w:ascii="Arial" w:cs="Arial" w:eastAsia="Arial" w:hAnsi="Arial"/>
                <w:sz w:val="18"/>
                <w:szCs w:val="18"/>
                <w:color w:val="auto"/>
              </w:rPr>
              <w:t>9/29/2010</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w w:val="97"/>
              </w:rPr>
              <w:t>Methods and compositions for self-regulated release of active pharmaceutical ingredient</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9,101,636</w:t>
            </w:r>
          </w:p>
        </w:tc>
        <w:tc>
          <w:tcPr>
            <w:tcW w:w="2060" w:type="dxa"/>
            <w:vAlign w:val="bottom"/>
          </w:tcPr>
          <w:p>
            <w:pPr>
              <w:spacing w:after="0"/>
              <w:rPr>
                <w:sz w:val="20"/>
                <w:szCs w:val="20"/>
                <w:color w:val="auto"/>
              </w:rPr>
            </w:pPr>
            <w:r>
              <w:rPr>
                <w:rFonts w:ascii="Arial" w:cs="Arial" w:eastAsia="Arial" w:hAnsi="Arial"/>
                <w:sz w:val="18"/>
                <w:szCs w:val="18"/>
                <w:color w:val="auto"/>
              </w:rPr>
              <w:t>8/11/2015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9,320,796</w:t>
            </w:r>
          </w:p>
        </w:tc>
        <w:tc>
          <w:tcPr>
            <w:tcW w:w="2060" w:type="dxa"/>
            <w:vAlign w:val="bottom"/>
          </w:tcPr>
          <w:p>
            <w:pPr>
              <w:spacing w:after="0"/>
              <w:rPr>
                <w:sz w:val="20"/>
                <w:szCs w:val="20"/>
                <w:color w:val="auto"/>
              </w:rPr>
            </w:pPr>
            <w:r>
              <w:rPr>
                <w:rFonts w:ascii="Arial" w:cs="Arial" w:eastAsia="Arial" w:hAnsi="Arial"/>
                <w:sz w:val="18"/>
                <w:szCs w:val="18"/>
                <w:color w:val="auto"/>
              </w:rPr>
              <w:t>4/26/2016</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2,892,908</w:t>
            </w:r>
          </w:p>
        </w:tc>
        <w:tc>
          <w:tcPr>
            <w:tcW w:w="2060" w:type="dxa"/>
            <w:vAlign w:val="bottom"/>
          </w:tcPr>
          <w:p>
            <w:pPr>
              <w:spacing w:after="0"/>
              <w:rPr>
                <w:sz w:val="20"/>
                <w:szCs w:val="20"/>
                <w:color w:val="auto"/>
              </w:rPr>
            </w:pPr>
            <w:r>
              <w:rPr>
                <w:rFonts w:ascii="Arial" w:cs="Arial" w:eastAsia="Arial" w:hAnsi="Arial"/>
                <w:sz w:val="18"/>
                <w:szCs w:val="18"/>
                <w:color w:val="auto"/>
              </w:rPr>
              <w:t>4/12/2016</w:t>
            </w: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JP 5,922,851</w:t>
            </w:r>
          </w:p>
        </w:tc>
        <w:tc>
          <w:tcPr>
            <w:tcW w:w="2060" w:type="dxa"/>
            <w:vAlign w:val="bottom"/>
          </w:tcPr>
          <w:p>
            <w:pPr>
              <w:spacing w:after="0"/>
              <w:rPr>
                <w:sz w:val="20"/>
                <w:szCs w:val="20"/>
                <w:color w:val="auto"/>
              </w:rPr>
            </w:pPr>
            <w:r>
              <w:rPr>
                <w:rFonts w:ascii="Arial" w:cs="Arial" w:eastAsia="Arial" w:hAnsi="Arial"/>
                <w:sz w:val="18"/>
                <w:szCs w:val="18"/>
                <w:color w:val="auto"/>
              </w:rPr>
              <w:t>4/22/2016</w:t>
            </w:r>
          </w:p>
        </w:tc>
      </w:tr>
      <w:tr>
        <w:trPr>
          <w:trHeight w:val="4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WO PCT/US13/72249</w:t>
            </w:r>
          </w:p>
        </w:tc>
        <w:tc>
          <w:tcPr>
            <w:tcW w:w="2060" w:type="dxa"/>
            <w:vAlign w:val="bottom"/>
          </w:tcPr>
          <w:p>
            <w:pPr>
              <w:spacing w:after="0"/>
              <w:rPr>
                <w:sz w:val="20"/>
                <w:szCs w:val="20"/>
                <w:color w:val="auto"/>
              </w:rPr>
            </w:pPr>
            <w:r>
              <w:rPr>
                <w:rFonts w:ascii="Arial" w:cs="Arial" w:eastAsia="Arial" w:hAnsi="Arial"/>
                <w:sz w:val="18"/>
                <w:szCs w:val="18"/>
                <w:color w:val="auto"/>
              </w:rPr>
              <w:t>11/27/2013</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RU 2015124694</w:t>
            </w:r>
          </w:p>
        </w:tc>
        <w:tc>
          <w:tcPr>
            <w:tcW w:w="2060" w:type="dxa"/>
            <w:vAlign w:val="bottom"/>
          </w:tcPr>
          <w:p>
            <w:pPr>
              <w:spacing w:after="0"/>
              <w:rPr>
                <w:sz w:val="20"/>
                <w:szCs w:val="20"/>
                <w:color w:val="auto"/>
              </w:rPr>
            </w:pPr>
            <w:r>
              <w:rPr>
                <w:rFonts w:ascii="Arial" w:cs="Arial" w:eastAsia="Arial" w:hAnsi="Arial"/>
                <w:sz w:val="18"/>
                <w:szCs w:val="18"/>
                <w:color w:val="auto"/>
              </w:rPr>
              <w:t>6/23/2015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Methods and Compositions for Deterring Abuse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14/322,596</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2,916,973</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2014284333</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14820721.0</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IL 242880</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CH 201480037082.5</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NZ 716482</w:t>
            </w:r>
          </w:p>
        </w:tc>
        <w:tc>
          <w:tcPr>
            <w:tcW w:w="2060" w:type="dxa"/>
            <w:vAlign w:val="bottom"/>
          </w:tcPr>
          <w:p>
            <w:pPr>
              <w:spacing w:after="0"/>
              <w:rPr>
                <w:sz w:val="20"/>
                <w:szCs w:val="20"/>
                <w:color w:val="auto"/>
              </w:rPr>
            </w:pPr>
            <w:r>
              <w:rPr>
                <w:rFonts w:ascii="Arial" w:cs="Arial" w:eastAsia="Arial" w:hAnsi="Arial"/>
                <w:sz w:val="18"/>
                <w:szCs w:val="18"/>
                <w:color w:val="auto"/>
              </w:rPr>
              <w:t>7/2/2014</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w w:val="93"/>
              </w:rPr>
              <w:t>Methods and compositions for interfering with extraction or conversion of a drug susceptible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US 14/734,364</w:t>
            </w:r>
          </w:p>
        </w:tc>
        <w:tc>
          <w:tcPr>
            <w:tcW w:w="206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to abuse</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CA 2,951,563</w:t>
            </w:r>
          </w:p>
        </w:tc>
        <w:tc>
          <w:tcPr>
            <w:tcW w:w="206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AU 2015274936</w:t>
            </w:r>
          </w:p>
        </w:tc>
        <w:tc>
          <w:tcPr>
            <w:tcW w:w="206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EP 15807096.1</w:t>
            </w:r>
          </w:p>
        </w:tc>
        <w:tc>
          <w:tcPr>
            <w:tcW w:w="2060" w:type="dxa"/>
            <w:vAlign w:val="bottom"/>
          </w:tcPr>
          <w:p>
            <w:pPr>
              <w:spacing w:after="0"/>
              <w:rPr>
                <w:sz w:val="20"/>
                <w:szCs w:val="20"/>
                <w:color w:val="auto"/>
              </w:rPr>
            </w:pPr>
            <w:r>
              <w:rPr>
                <w:rFonts w:ascii="Arial" w:cs="Arial" w:eastAsia="Arial" w:hAnsi="Arial"/>
                <w:sz w:val="18"/>
                <w:szCs w:val="18"/>
                <w:color w:val="auto"/>
              </w:rPr>
              <w:t>6/9/2015</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CH 201580030318.7</w:t>
            </w:r>
          </w:p>
        </w:tc>
        <w:tc>
          <w:tcPr>
            <w:tcW w:w="2060" w:type="dxa"/>
            <w:vAlign w:val="bottom"/>
          </w:tcPr>
          <w:p>
            <w:pPr>
              <w:spacing w:after="0"/>
              <w:rPr>
                <w:sz w:val="20"/>
                <w:szCs w:val="20"/>
                <w:color w:val="auto"/>
              </w:rPr>
            </w:pPr>
            <w:r>
              <w:rPr>
                <w:rFonts w:ascii="Arial" w:cs="Arial" w:eastAsia="Arial" w:hAnsi="Arial"/>
                <w:sz w:val="18"/>
                <w:szCs w:val="18"/>
                <w:color w:val="auto"/>
              </w:rPr>
              <w:t>6/9/2015</w:t>
            </w:r>
          </w:p>
        </w:tc>
      </w:tr>
      <w:tr>
        <w:trPr>
          <w:trHeight w:val="212"/>
        </w:trPr>
        <w:tc>
          <w:tcPr>
            <w:tcW w:w="6860" w:type="dxa"/>
            <w:vAlign w:val="bottom"/>
            <w:gridSpan w:val="2"/>
          </w:tcPr>
          <w:p>
            <w:pPr>
              <w:spacing w:after="0"/>
              <w:rPr>
                <w:sz w:val="20"/>
                <w:szCs w:val="20"/>
                <w:color w:val="auto"/>
              </w:rPr>
            </w:pPr>
            <w:r>
              <w:rPr>
                <w:rFonts w:ascii="Arial" w:cs="Arial" w:eastAsia="Arial" w:hAnsi="Arial"/>
                <w:sz w:val="18"/>
                <w:szCs w:val="18"/>
                <w:color w:val="auto"/>
              </w:rPr>
              <w:t>Methods and compositions for self-regulated release of active pharmaceutical</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t>
            </w:r>
          </w:p>
        </w:tc>
      </w:tr>
      <w:tr>
        <w:trPr>
          <w:trHeight w:val="220"/>
        </w:trPr>
        <w:tc>
          <w:tcPr>
            <w:tcW w:w="6860" w:type="dxa"/>
            <w:vAlign w:val="bottom"/>
            <w:gridSpan w:val="2"/>
          </w:tcPr>
          <w:p>
            <w:pPr>
              <w:spacing w:after="0"/>
              <w:rPr>
                <w:sz w:val="20"/>
                <w:szCs w:val="20"/>
                <w:color w:val="auto"/>
              </w:rPr>
            </w:pPr>
            <w:r>
              <w:rPr>
                <w:rFonts w:ascii="Arial" w:cs="Arial" w:eastAsia="Arial" w:hAnsi="Arial"/>
                <w:sz w:val="18"/>
                <w:szCs w:val="18"/>
                <w:color w:val="auto"/>
                <w:w w:val="97"/>
              </w:rPr>
              <w:t>Methods  and  compositions  of  self-regulating  the  conversion  of  pro-drugs  to  active</w:t>
            </w:r>
          </w:p>
        </w:tc>
        <w:tc>
          <w:tcPr>
            <w:tcW w:w="23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pharmaceutical ingredients22</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Pharmaceutical Compositions for Deterring Misuse, Abuse, and Diversion</w:t>
            </w: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WO PCT/US2010/061331</w:t>
            </w:r>
          </w:p>
        </w:tc>
        <w:tc>
          <w:tcPr>
            <w:tcW w:w="2060" w:type="dxa"/>
            <w:vAlign w:val="bottom"/>
          </w:tcPr>
          <w:p>
            <w:pPr>
              <w:spacing w:after="0"/>
              <w:rPr>
                <w:sz w:val="20"/>
                <w:szCs w:val="20"/>
                <w:color w:val="auto"/>
              </w:rPr>
            </w:pPr>
            <w:r>
              <w:rPr>
                <w:rFonts w:ascii="Arial" w:cs="Arial" w:eastAsia="Arial" w:hAnsi="Arial"/>
                <w:sz w:val="18"/>
                <w:szCs w:val="18"/>
                <w:color w:val="auto"/>
              </w:rPr>
              <w:t>12/20/2010</w:t>
            </w:r>
          </w:p>
        </w:tc>
      </w:tr>
    </w:tbl>
    <w:p>
      <w:pPr>
        <w:sectPr>
          <w:pgSz w:w="11900" w:h="16838" w:orient="portrait"/>
          <w:cols w:equalWidth="0" w:num="1">
            <w:col w:w="11420"/>
          </w:cols>
          <w:pgMar w:left="240" w:top="908" w:right="239" w:bottom="0" w:gutter="0" w:footer="0" w:header="0"/>
        </w:sectPr>
      </w:pPr>
    </w:p>
    <w:bookmarkStart w:id="66" w:name="page67"/>
    <w:bookmarkEnd w:id="66"/>
    <w:p>
      <w:pPr>
        <w:jc w:val="cente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5880" w:type="dxa"/>
            <w:vAlign w:val="bottom"/>
            <w:gridSpan w:val="4"/>
          </w:tcPr>
          <w:p>
            <w:pPr>
              <w:ind w:left="720"/>
              <w:spacing w:after="0"/>
              <w:rPr>
                <w:sz w:val="20"/>
                <w:szCs w:val="20"/>
                <w:color w:val="auto"/>
              </w:rPr>
            </w:pPr>
            <w:r>
              <w:rPr>
                <w:rFonts w:ascii="Arial" w:cs="Arial" w:eastAsia="Arial" w:hAnsi="Arial"/>
                <w:sz w:val="18"/>
                <w:szCs w:val="18"/>
                <w:color w:val="auto"/>
              </w:rPr>
              <w:t>Trademark Registrations and Applications</w:t>
            </w:r>
          </w:p>
        </w:tc>
        <w:tc>
          <w:tcPr>
            <w:tcW w:w="2060" w:type="dxa"/>
            <w:vAlign w:val="bottom"/>
          </w:tcPr>
          <w:p>
            <w:pPr>
              <w:spacing w:after="0"/>
              <w:rPr>
                <w:sz w:val="20"/>
                <w:szCs w:val="20"/>
                <w:color w:val="auto"/>
              </w:rPr>
            </w:pPr>
          </w:p>
        </w:tc>
      </w:tr>
      <w:tr>
        <w:trPr>
          <w:trHeight w:val="418"/>
        </w:trPr>
        <w:tc>
          <w:tcPr>
            <w:tcW w:w="3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Registration/</w:t>
            </w:r>
          </w:p>
        </w:tc>
        <w:tc>
          <w:tcPr>
            <w:tcW w:w="206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216"/>
        </w:trPr>
        <w:tc>
          <w:tcPr>
            <w:tcW w:w="3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Application</w:t>
            </w:r>
          </w:p>
        </w:tc>
        <w:tc>
          <w:tcPr>
            <w:tcW w:w="2060" w:type="dxa"/>
            <w:vAlign w:val="bottom"/>
          </w:tcPr>
          <w:p>
            <w:pPr>
              <w:spacing w:after="0"/>
              <w:rPr>
                <w:sz w:val="20"/>
                <w:szCs w:val="20"/>
                <w:color w:val="auto"/>
              </w:rPr>
            </w:pPr>
            <w:r>
              <w:rPr>
                <w:rFonts w:ascii="Arial" w:cs="Arial" w:eastAsia="Arial" w:hAnsi="Arial"/>
                <w:sz w:val="18"/>
                <w:szCs w:val="18"/>
                <w:color w:val="auto"/>
              </w:rPr>
              <w:t>Application</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Description</w:t>
            </w:r>
          </w:p>
        </w:tc>
        <w:tc>
          <w:tcPr>
            <w:tcW w:w="3380" w:type="dxa"/>
            <w:vAlign w:val="bottom"/>
          </w:tcPr>
          <w:p>
            <w:pPr>
              <w:spacing w:after="0"/>
              <w:rPr>
                <w:sz w:val="20"/>
                <w:szCs w:val="20"/>
                <w:color w:val="auto"/>
              </w:rPr>
            </w:pPr>
          </w:p>
        </w:tc>
        <w:tc>
          <w:tcPr>
            <w:tcW w:w="2500" w:type="dxa"/>
            <w:vAlign w:val="bottom"/>
            <w:gridSpan w:val="3"/>
          </w:tcPr>
          <w:p>
            <w:pPr>
              <w:ind w:left="240"/>
              <w:spacing w:after="0"/>
              <w:rPr>
                <w:sz w:val="20"/>
                <w:szCs w:val="20"/>
                <w:color w:val="auto"/>
              </w:rPr>
            </w:pPr>
            <w:r>
              <w:rPr>
                <w:rFonts w:ascii="Arial" w:cs="Arial" w:eastAsia="Arial" w:hAnsi="Arial"/>
                <w:sz w:val="18"/>
                <w:szCs w:val="18"/>
                <w:color w:val="auto"/>
              </w:rPr>
              <w:t>Number</w:t>
            </w:r>
          </w:p>
        </w:tc>
        <w:tc>
          <w:tcPr>
            <w:tcW w:w="2060" w:type="dxa"/>
            <w:vAlign w:val="bottom"/>
          </w:tcPr>
          <w:p>
            <w:pPr>
              <w:spacing w:after="0"/>
              <w:rPr>
                <w:sz w:val="20"/>
                <w:szCs w:val="20"/>
                <w:color w:val="auto"/>
              </w:rPr>
            </w:pPr>
            <w:r>
              <w:rPr>
                <w:rFonts w:ascii="Arial" w:cs="Arial" w:eastAsia="Arial" w:hAnsi="Arial"/>
                <w:sz w:val="18"/>
                <w:szCs w:val="18"/>
                <w:color w:val="auto"/>
              </w:rPr>
              <w:t>Date</w:t>
            </w:r>
          </w:p>
        </w:tc>
      </w:tr>
      <w:tr>
        <w:trPr>
          <w:trHeight w:val="20"/>
        </w:trPr>
        <w:tc>
          <w:tcPr>
            <w:tcW w:w="348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r>
        <w:trPr>
          <w:trHeight w:val="426"/>
        </w:trPr>
        <w:tc>
          <w:tcPr>
            <w:tcW w:w="3480" w:type="dxa"/>
            <w:vAlign w:val="bottom"/>
          </w:tcPr>
          <w:p>
            <w:pPr>
              <w:spacing w:after="0"/>
              <w:rPr>
                <w:sz w:val="20"/>
                <w:szCs w:val="20"/>
                <w:color w:val="auto"/>
              </w:rPr>
            </w:pPr>
            <w:r>
              <w:rPr>
                <w:rFonts w:ascii="Arial" w:cs="Arial" w:eastAsia="Arial" w:hAnsi="Arial"/>
                <w:sz w:val="18"/>
                <w:szCs w:val="18"/>
                <w:color w:val="auto"/>
              </w:rPr>
              <w:t>US- ACURA PHARMACEUTICALS</w:t>
            </w:r>
          </w:p>
        </w:tc>
        <w:tc>
          <w:tcPr>
            <w:tcW w:w="338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3114970</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7/11/2006</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US- OXAYDO</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4847742</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11/3/2015</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US- NEXAFED</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4151083</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4/24/2012</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US- IMPEDE</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4289295</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2/12/2013</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US- AVERSION</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3059542</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2/14/2006</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MEX- ACURACET</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1087322</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2/26/2009</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MEX- IMPEDE</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1130279</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11/13/2009</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MEX- ACUROX</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1070309</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11/4/2008</w:t>
            </w:r>
          </w:p>
        </w:tc>
      </w:tr>
      <w:tr>
        <w:trPr>
          <w:trHeight w:val="418"/>
        </w:trPr>
        <w:tc>
          <w:tcPr>
            <w:tcW w:w="3480" w:type="dxa"/>
            <w:vAlign w:val="bottom"/>
          </w:tcPr>
          <w:p>
            <w:pPr>
              <w:spacing w:after="0"/>
              <w:rPr>
                <w:sz w:val="20"/>
                <w:szCs w:val="20"/>
                <w:color w:val="auto"/>
              </w:rPr>
            </w:pPr>
            <w:r>
              <w:rPr>
                <w:rFonts w:ascii="Arial" w:cs="Arial" w:eastAsia="Arial" w:hAnsi="Arial"/>
                <w:sz w:val="18"/>
                <w:szCs w:val="18"/>
                <w:color w:val="auto"/>
              </w:rPr>
              <w:t>MEX- AVERSION</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1182320</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9/30/2010</w:t>
            </w:r>
          </w:p>
        </w:tc>
      </w:tr>
      <w:tr>
        <w:trPr>
          <w:trHeight w:val="230"/>
        </w:trPr>
        <w:tc>
          <w:tcPr>
            <w:tcW w:w="3480" w:type="dxa"/>
            <w:vAlign w:val="bottom"/>
          </w:tcPr>
          <w:p>
            <w:pPr>
              <w:spacing w:after="0"/>
              <w:rPr>
                <w:sz w:val="20"/>
                <w:szCs w:val="20"/>
                <w:color w:val="auto"/>
              </w:rPr>
            </w:pP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1087323</w:t>
            </w: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2/26/2009</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MEX- VYCAVERT</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1109785</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7/9/2009</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CAN- OXAYDO</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1724857</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5/23/2016</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CAN- AVERSION</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832700</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9/25/2012</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CAN- ACUROX</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757997</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2/17/2010</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CAN- VYCAVERT</w:t>
            </w:r>
          </w:p>
        </w:tc>
        <w:tc>
          <w:tcPr>
            <w:tcW w:w="5680" w:type="dxa"/>
            <w:vAlign w:val="bottom"/>
            <w:gridSpan w:val="3"/>
          </w:tcPr>
          <w:p>
            <w:pPr>
              <w:ind w:left="3620"/>
              <w:spacing w:after="0"/>
              <w:rPr>
                <w:sz w:val="20"/>
                <w:szCs w:val="20"/>
                <w:color w:val="auto"/>
              </w:rPr>
            </w:pPr>
            <w:r>
              <w:rPr>
                <w:rFonts w:ascii="Arial" w:cs="Arial" w:eastAsia="Arial" w:hAnsi="Arial"/>
                <w:sz w:val="18"/>
                <w:szCs w:val="18"/>
                <w:color w:val="auto"/>
              </w:rPr>
              <w:t>825294</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6/1/2012</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EU- OXAYDO</w:t>
            </w:r>
          </w:p>
        </w:tc>
        <w:tc>
          <w:tcPr>
            <w:tcW w:w="5680" w:type="dxa"/>
            <w:vAlign w:val="bottom"/>
            <w:gridSpan w:val="3"/>
          </w:tcPr>
          <w:p>
            <w:pPr>
              <w:ind w:left="3620"/>
              <w:spacing w:after="0"/>
              <w:rPr>
                <w:sz w:val="20"/>
                <w:szCs w:val="20"/>
                <w:color w:val="auto"/>
              </w:rPr>
            </w:pPr>
            <w:r>
              <w:rPr>
                <w:rFonts w:ascii="Arial" w:cs="Arial" w:eastAsia="Arial" w:hAnsi="Arial"/>
                <w:sz w:val="18"/>
                <w:szCs w:val="18"/>
                <w:i w:val="1"/>
                <w:iCs w:val="1"/>
                <w:color w:val="auto"/>
              </w:rPr>
              <w:t>13955935</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8/19/2015</w:t>
            </w:r>
          </w:p>
        </w:tc>
      </w:tr>
    </w:tbl>
    <w:p>
      <w:pPr>
        <w:spacing w:after="0" w:line="19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Deleted Collateral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b w:val="1"/>
          <w:bCs w:val="1"/>
          <w:color w:val="auto"/>
        </w:rPr>
        <w:t>Warehouse: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-10795</wp:posOffset>
            </wp:positionV>
            <wp:extent cx="285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-10795</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-10795</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-10795</wp:posOffset>
            </wp:positionV>
            <wp:extent cx="285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 w:lineRule="exact"/>
        <w:rPr>
          <w:sz w:val="20"/>
          <w:szCs w:val="20"/>
          <w:color w:val="auto"/>
        </w:rPr>
      </w:pPr>
    </w:p>
    <w:p>
      <w:pPr>
        <w:ind w:left="520"/>
        <w:spacing w:after="0"/>
        <w:tabs>
          <w:tab w:leader="none" w:pos="1580" w:val="left"/>
          <w:tab w:leader="none" w:pos="3280" w:val="left"/>
          <w:tab w:leader="none" w:pos="7520" w:val="left"/>
          <w:tab w:leader="none" w:pos="8440" w:val="left"/>
          <w:tab w:leader="none" w:pos="9360" w:val="left"/>
          <w:tab w:leader="none" w:pos="104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Lot</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Qty</w:t>
      </w:r>
      <w:r>
        <w:rPr>
          <w:sz w:val="20"/>
          <w:szCs w:val="20"/>
          <w:color w:val="auto"/>
        </w:rPr>
        <w:tab/>
      </w:r>
      <w:r>
        <w:rPr>
          <w:rFonts w:ascii="Arial" w:cs="Arial" w:eastAsia="Arial" w:hAnsi="Arial"/>
          <w:sz w:val="18"/>
          <w:szCs w:val="18"/>
          <w:b w:val="1"/>
          <w:bCs w:val="1"/>
          <w:color w:val="auto"/>
        </w:rPr>
        <w:t>Exp Date</w:t>
        <w:tab/>
        <w:t>Alt Product</w:t>
        <w:tab/>
        <w:t>UOI  UOM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9" w:name="page70"/>
    <w:bookmarkEnd w:id="69"/>
    <w:tbl>
      <w:tblPr>
        <w:tblLayout w:type="fixed"/>
        <w:tblInd w:w="129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rPr>
              <w:t>Equipment</w:t>
            </w:r>
          </w:p>
        </w:tc>
        <w:tc>
          <w:tcPr>
            <w:tcW w:w="2600" w:type="dxa"/>
            <w:vAlign w:val="bottom"/>
            <w:tcBorders>
              <w:bottom w:val="single" w:sz="8" w:color="auto"/>
            </w:tcBorders>
          </w:tcPr>
          <w:p>
            <w:pPr>
              <w:spacing w:after="0"/>
              <w:rPr>
                <w:sz w:val="20"/>
                <w:szCs w:val="20"/>
                <w:color w:val="auto"/>
              </w:rPr>
            </w:pPr>
          </w:p>
        </w:tc>
      </w:tr>
      <w:tr>
        <w:trPr>
          <w:trHeight w:val="210"/>
        </w:trPr>
        <w:tc>
          <w:tcPr>
            <w:tcW w:w="28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left w:val="single" w:sz="8" w:color="auto"/>
              <w:bottom w:val="single" w:sz="8" w:color="auto"/>
              <w:right w:val="single" w:sz="8" w:color="auto"/>
            </w:tcBorders>
          </w:tcPr>
          <w:p>
            <w:pPr>
              <w:jc w:val="right"/>
              <w:ind w:right="1870"/>
              <w:spacing w:after="0"/>
              <w:rPr>
                <w:sz w:val="20"/>
                <w:szCs w:val="20"/>
                <w:color w:val="auto"/>
              </w:rPr>
            </w:pPr>
            <w:r>
              <w:rPr>
                <w:rFonts w:ascii="Arial" w:cs="Arial" w:eastAsia="Arial" w:hAnsi="Arial"/>
                <w:sz w:val="18"/>
                <w:szCs w:val="18"/>
                <w:b w:val="1"/>
                <w:bCs w:val="1"/>
                <w:color w:val="auto"/>
              </w:rPr>
              <w:t>Location:</w:t>
            </w:r>
          </w:p>
        </w:tc>
        <w:tc>
          <w:tcPr>
            <w:tcW w:w="19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left w:val="single" w:sz="8" w:color="auto"/>
              <w:bottom w:val="single" w:sz="8" w:color="auto"/>
              <w:right w:val="single" w:sz="8" w:color="auto"/>
            </w:tcBorders>
            <w:shd w:val="clear" w:color="auto" w:fill="DDEBF7"/>
          </w:tcPr>
          <w:p>
            <w:pPr>
              <w:jc w:val="right"/>
              <w:ind w:right="1150"/>
              <w:spacing w:after="0"/>
              <w:rPr>
                <w:sz w:val="20"/>
                <w:szCs w:val="20"/>
                <w:color w:val="auto"/>
              </w:rPr>
            </w:pPr>
            <w:r>
              <w:rPr>
                <w:rFonts w:ascii="Arial" w:cs="Arial" w:eastAsia="Arial" w:hAnsi="Arial"/>
                <w:sz w:val="18"/>
                <w:szCs w:val="18"/>
                <w:b w:val="1"/>
                <w:bCs w:val="1"/>
                <w:color w:val="auto"/>
              </w:rPr>
              <w:t>Item</w:t>
            </w:r>
          </w:p>
        </w:tc>
        <w:tc>
          <w:tcPr>
            <w:tcW w:w="1980" w:type="dxa"/>
            <w:vAlign w:val="bottom"/>
            <w:tcBorders>
              <w:bottom w:val="single" w:sz="8" w:color="auto"/>
              <w:right w:val="single" w:sz="8" w:color="auto"/>
            </w:tcBorders>
            <w:shd w:val="clear" w:color="auto" w:fill="D9E1F2"/>
          </w:tcPr>
          <w:p>
            <w:pPr>
              <w:jc w:val="right"/>
              <w:ind w:right="470"/>
              <w:spacing w:after="0"/>
              <w:rPr>
                <w:sz w:val="20"/>
                <w:szCs w:val="20"/>
                <w:color w:val="auto"/>
              </w:rPr>
            </w:pPr>
            <w:r>
              <w:rPr>
                <w:rFonts w:ascii="Arial" w:cs="Arial" w:eastAsia="Arial" w:hAnsi="Arial"/>
                <w:sz w:val="18"/>
                <w:szCs w:val="18"/>
                <w:b w:val="1"/>
                <w:bCs w:val="1"/>
                <w:color w:val="auto"/>
              </w:rPr>
              <w:t>Asset Class</w:t>
            </w:r>
          </w:p>
        </w:tc>
        <w:tc>
          <w:tcPr>
            <w:tcW w:w="600" w:type="dxa"/>
            <w:vAlign w:val="bottom"/>
            <w:tcBorders>
              <w:bottom w:val="single" w:sz="8" w:color="auto"/>
            </w:tcBorders>
            <w:shd w:val="clear" w:color="auto" w:fill="DDEBF7"/>
          </w:tcPr>
          <w:p>
            <w:pPr>
              <w:spacing w:after="0"/>
              <w:rPr>
                <w:sz w:val="18"/>
                <w:szCs w:val="18"/>
                <w:color w:val="auto"/>
              </w:rPr>
            </w:pPr>
          </w:p>
        </w:tc>
        <w:tc>
          <w:tcPr>
            <w:tcW w:w="2600" w:type="dxa"/>
            <w:vAlign w:val="bottom"/>
            <w:tcBorders>
              <w:bottom w:val="single" w:sz="8" w:color="auto"/>
              <w:right w:val="single" w:sz="8" w:color="auto"/>
            </w:tcBorders>
            <w:shd w:val="clear" w:color="auto" w:fill="DDEBF7"/>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2820" w:type="dxa"/>
            <w:vAlign w:val="bottom"/>
          </w:tcPr>
          <w:p>
            <w:pPr>
              <w:jc w:val="right"/>
              <w:ind w:right="215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9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4" w:right="25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b w:val="1"/>
          <w:bCs w:val="1"/>
          <w:color w:val="auto"/>
        </w:rPr>
        <w:t>Contracts and POS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Purchase Orders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Order #1048 to Patheon Pharmaceuticals, Inc. for Nexafed Sinus 30/325 mg Tablets.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All domain names, brochures, promotional and printed materials, tradeshow materials (including displays), videos, advertising materials, marketing materials, package inserts and packaging materials (in all cases, in any form or medium) if any, owned by Acura Pharmaceuticals, Inc. or Acura Pharmaceutical Technologies, Inc. related exclusively to the commercialization of the Nexafed products.</w:t>
      </w:r>
    </w:p>
    <w:p>
      <w:pPr>
        <w:spacing w:after="0" w:line="177"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Exhibits 31.1</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22"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009"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60"/>
              <w:spacing w:after="0"/>
              <w:rPr>
                <w:sz w:val="20"/>
                <w:szCs w:val="20"/>
                <w:color w:val="auto"/>
              </w:rPr>
            </w:pPr>
            <w:r>
              <w:rPr>
                <w:rFonts w:ascii="Arial" w:cs="Arial" w:eastAsia="Arial" w:hAnsi="Arial"/>
                <w:sz w:val="18"/>
                <w:szCs w:val="18"/>
                <w:color w:val="auto"/>
              </w:rPr>
              <w:t>May 12,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89"/>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Exhibits 31.2</w:t>
      </w:r>
    </w:p>
    <w:p>
      <w:pPr>
        <w:spacing w:after="0" w:line="18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2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60"/>
              <w:spacing w:after="0"/>
              <w:rPr>
                <w:sz w:val="20"/>
                <w:szCs w:val="20"/>
                <w:color w:val="auto"/>
              </w:rPr>
            </w:pPr>
            <w:r>
              <w:rPr>
                <w:rFonts w:ascii="Arial" w:cs="Arial" w:eastAsia="Arial" w:hAnsi="Arial"/>
                <w:sz w:val="18"/>
                <w:szCs w:val="18"/>
                <w:color w:val="auto"/>
              </w:rPr>
              <w:t>May 12,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89"/>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Exhibits 32.1</w:t>
      </w:r>
    </w:p>
    <w:p>
      <w:pPr>
        <w:spacing w:after="0" w:line="189" w:lineRule="exact"/>
        <w:rPr>
          <w:sz w:val="20"/>
          <w:szCs w:val="20"/>
          <w:color w:val="auto"/>
        </w:rPr>
      </w:pPr>
    </w:p>
    <w:p>
      <w:pPr>
        <w:jc w:val="center"/>
        <w:ind w:right="260"/>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March 31, 2017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280" w:hanging="275"/>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80" w:hanging="275"/>
        <w:spacing w:after="0"/>
        <w:tabs>
          <w:tab w:leader="none" w:pos="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May 12,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2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2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443230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60"/>
      </w:cols>
      <w:pgMar w:left="50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þ"/>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Roman"/>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bullet"/>
      <w:start w:val="1"/>
    </w:lvl>
  </w:abstractNum>
  <w:abstractNum w:abstractNumId="14">
    <w:nsid w:val="79838CB2"/>
    <w:multiLevelType w:val="hybridMultilevel"/>
    <w:lvl w:ilvl="0">
      <w:lvlJc w:val="left"/>
      <w:lvlText w:val="1"/>
      <w:numFmt w:val="bullet"/>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2"/>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upp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3"/>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3"/>
    </w:lvl>
    <w:lvl w:ilvl="1">
      <w:lvlJc w:val="left"/>
      <w:lvlText w:val="(%2)"/>
      <w:numFmt w:val="lowerLetter"/>
      <w:start w:val="4"/>
    </w:lvl>
  </w:abstractNum>
  <w:abstractNum w:abstractNumId="24">
    <w:nsid w:val="8138641"/>
    <w:multiLevelType w:val="hybridMultilevel"/>
    <w:lvl w:ilvl="0">
      <w:lvlJc w:val="left"/>
      <w:lvlText w:val="%1"/>
      <w:numFmt w:val="decimal"/>
      <w:start w:val="1"/>
    </w:lvl>
    <w:lvl w:ilvl="1">
      <w:lvlJc w:val="left"/>
      <w:lvlText w:val="(%2)"/>
      <w:numFmt w:val="lowerLetter"/>
      <w:start w:val="35"/>
    </w:lvl>
  </w:abstractNum>
  <w:abstractNum w:abstractNumId="25">
    <w:nsid w:val="1E7FF521"/>
    <w:multiLevelType w:val="hybridMultilevel"/>
    <w:lvl w:ilvl="0">
      <w:lvlJc w:val="left"/>
      <w:lvlText w:val="%1."/>
      <w:numFmt w:val="decimal"/>
      <w:start w:val="6"/>
    </w:lvl>
    <w:lvl w:ilvl="1">
      <w:lvlJc w:val="left"/>
      <w:lvlText w:val="%2"/>
      <w:numFmt w:val="lowerLetter"/>
      <w:start w:val="1"/>
    </w:lvl>
  </w:abstractNum>
  <w:abstractNum w:abstractNumId="26">
    <w:nsid w:val="7C3DBD3D"/>
    <w:multiLevelType w:val="hybridMultilevel"/>
    <w:lvl w:ilvl="0">
      <w:lvlJc w:val="left"/>
      <w:lvlText w:val="(%1)"/>
      <w:numFmt w:val="lowerRoman"/>
      <w:start w:val="7"/>
    </w:lvl>
  </w:abstractNum>
  <w:abstractNum w:abstractNumId="27">
    <w:nsid w:val="737B8DDC"/>
    <w:multiLevelType w:val="hybridMultilevel"/>
    <w:lvl w:ilvl="0">
      <w:lvlJc w:val="left"/>
      <w:lvlText w:val="%1."/>
      <w:numFmt w:val="decimal"/>
      <w:start w:val="7"/>
    </w:lvl>
  </w:abstractNum>
  <w:abstractNum w:abstractNumId="28">
    <w:nsid w:val="6CEAF087"/>
    <w:multiLevelType w:val="hybridMultilevel"/>
    <w:lvl w:ilvl="0">
      <w:lvlJc w:val="left"/>
      <w:lvlText w:val="%1."/>
      <w:numFmt w:val="decimal"/>
      <w:start w:val="12"/>
    </w:lvl>
    <w:lvl w:ilvl="1">
      <w:lvlJc w:val="left"/>
      <w:lvlText w:val="%2."/>
      <w:numFmt w:val="low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5"/>
    </w:lvl>
  </w:abstractNum>
  <w:abstractNum w:abstractNumId="30">
    <w:nsid w:val="4516DDE9"/>
    <w:multiLevelType w:val="hybridMultilevel"/>
    <w:lvl w:ilvl="0">
      <w:lvlJc w:val="left"/>
      <w:lvlText w:val="%1."/>
      <w:numFmt w:val="decimal"/>
      <w:start w:val="16"/>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2019-12-29T06:21:36Z</dcterms:created>
  <dcterms:modified xsi:type="dcterms:W3CDTF">2019-12-29T06:21:36Z</dcterms:modified>
</cp:coreProperties>
</file>