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020" w:right="580" w:hanging="3364"/>
        <w:spacing w:after="0" w:line="282" w:lineRule="auto"/>
        <w:tabs>
          <w:tab w:leader="none" w:pos="129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 to____</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1-10113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Acura Pharmaceuticals,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54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New York</w:t>
            </w:r>
          </w:p>
        </w:tc>
        <w:tc>
          <w:tcPr>
            <w:tcW w:w="3600" w:type="dxa"/>
            <w:vAlign w:val="bottom"/>
          </w:tcPr>
          <w:p>
            <w:pPr>
              <w:jc w:val="right"/>
              <w:ind w:right="75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540" w:type="dxa"/>
            <w:vAlign w:val="bottom"/>
          </w:tcPr>
          <w:p>
            <w:pPr>
              <w:jc w:val="center"/>
              <w:ind w:right="9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00" w:type="dxa"/>
            <w:vAlign w:val="bottom"/>
          </w:tcPr>
          <w:p>
            <w:pPr>
              <w:jc w:val="center"/>
              <w:ind w:left="950"/>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418"/>
        </w:trPr>
        <w:tc>
          <w:tcPr>
            <w:tcW w:w="5540" w:type="dxa"/>
            <w:vAlign w:val="bottom"/>
          </w:tcPr>
          <w:p>
            <w:pPr>
              <w:jc w:val="center"/>
              <w:ind w:right="97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60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5540" w:type="dxa"/>
            <w:vAlign w:val="bottom"/>
          </w:tcPr>
          <w:p>
            <w:pPr>
              <w:jc w:val="center"/>
              <w:ind w:right="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00" w:type="dxa"/>
            <w:vAlign w:val="bottom"/>
          </w:tcPr>
          <w:p>
            <w:pPr>
              <w:jc w:val="center"/>
              <w:ind w:left="950"/>
              <w:spacing w:after="0"/>
              <w:rPr>
                <w:sz w:val="20"/>
                <w:szCs w:val="20"/>
                <w:color w:val="auto"/>
              </w:rPr>
            </w:pPr>
            <w:r>
              <w:rPr>
                <w:rFonts w:ascii="Arial" w:cs="Arial" w:eastAsia="Arial" w:hAnsi="Arial"/>
                <w:sz w:val="18"/>
                <w:szCs w:val="18"/>
                <w:i w:val="1"/>
                <w:iCs w:val="1"/>
                <w:color w:val="auto"/>
                <w:w w:val="94"/>
              </w:rPr>
              <w:t>(Zip Code)</w:t>
            </w: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(Registrant's telephone number, including area code: (</w:t>
      </w:r>
      <w:r>
        <w:rPr>
          <w:rFonts w:ascii="Arial" w:cs="Arial" w:eastAsia="Arial" w:hAnsi="Arial"/>
          <w:sz w:val="18"/>
          <w:szCs w:val="18"/>
          <w:b w:val="1"/>
          <w:bCs w:val="1"/>
          <w:color w:val="auto"/>
        </w:rPr>
        <w:t>847) 705-7709</w:t>
      </w:r>
    </w:p>
    <w:p>
      <w:pPr>
        <w:spacing w:after="0" w:line="229"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3800" w:type="dxa"/>
            <w:vAlign w:val="bottom"/>
          </w:tcPr>
          <w:p>
            <w:pPr>
              <w:ind w:left="8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3080" w:type="dxa"/>
            <w:vAlign w:val="bottom"/>
            <w:vMerge w:val="restart"/>
          </w:tcPr>
          <w:p>
            <w:pPr>
              <w:ind w:left="90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w:t>
            </w: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0"/>
                <w:szCs w:val="20"/>
                <w:color w:val="auto"/>
              </w:rPr>
            </w:pPr>
            <w:r>
              <w:rPr>
                <w:rFonts w:ascii="Arial" w:cs="Arial" w:eastAsia="Arial" w:hAnsi="Arial"/>
                <w:sz w:val="18"/>
                <w:szCs w:val="18"/>
                <w:color w:val="auto"/>
              </w:rPr>
              <w:t>þ Non-accelerated filer</w:t>
            </w:r>
          </w:p>
        </w:tc>
        <w:tc>
          <w:tcPr>
            <w:tcW w:w="3800" w:type="dxa"/>
            <w:vAlign w:val="bottom"/>
          </w:tcPr>
          <w:p>
            <w:pPr>
              <w:ind w:left="800"/>
              <w:spacing w:after="0"/>
              <w:rPr>
                <w:sz w:val="20"/>
                <w:szCs w:val="20"/>
                <w:color w:val="auto"/>
              </w:rPr>
            </w:pPr>
            <w:r>
              <w:rPr>
                <w:rFonts w:ascii="Arial" w:cs="Arial" w:eastAsia="Arial" w:hAnsi="Arial"/>
                <w:sz w:val="18"/>
                <w:szCs w:val="18"/>
                <w:color w:val="auto"/>
              </w:rPr>
              <w:t>þ Smaller reporting company</w:t>
            </w:r>
          </w:p>
        </w:tc>
        <w:tc>
          <w:tcPr>
            <w:tcW w:w="3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4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OTCQB Market</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411"/>
        </w:trPr>
        <w:tc>
          <w:tcPr>
            <w:tcW w:w="11260" w:type="dxa"/>
            <w:vAlign w:val="bottom"/>
            <w:gridSpan w:val="3"/>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7860" w:type="dxa"/>
            <w:vAlign w:val="bottom"/>
            <w:gridSpan w:val="2"/>
          </w:tcPr>
          <w:p>
            <w:pPr>
              <w:spacing w:after="0"/>
              <w:rPr>
                <w:sz w:val="20"/>
                <w:szCs w:val="20"/>
                <w:color w:val="auto"/>
              </w:rPr>
            </w:pPr>
            <w:r>
              <w:rPr>
                <w:rFonts w:ascii="Arial" w:cs="Arial" w:eastAsia="Arial" w:hAnsi="Arial"/>
                <w:sz w:val="18"/>
                <w:szCs w:val="18"/>
                <w:color w:val="auto"/>
              </w:rPr>
              <w:t>Common shares outstanding as of November 12, 2020: 21,650,294</w:t>
            </w:r>
          </w:p>
        </w:tc>
      </w:tr>
      <w:tr>
        <w:trPr>
          <w:trHeight w:val="270"/>
        </w:trPr>
        <w:tc>
          <w:tcPr>
            <w:tcW w:w="34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4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891"/>
        </w:trPr>
        <w:tc>
          <w:tcPr>
            <w:tcW w:w="34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7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3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Consolidated Financial Statements (Unaudited):</w:t>
              </w:r>
            </w:hyperlink>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8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September 30, 2020 and December 31, 2019</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8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Nine months Ended September 30, 2020 and 2019</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80" w:type="dxa"/>
            <w:vAlign w:val="bottom"/>
            <w:gridSpan w:val="3"/>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 of Changes in Accumulated Stockholders’ Deficit for the Three and Nine months Ended</w:t>
              </w:r>
            </w:hyperlink>
          </w:p>
        </w:tc>
        <w:tc>
          <w:tcPr>
            <w:tcW w:w="900" w:type="dxa"/>
            <w:vAlign w:val="bottom"/>
            <w:shd w:val="clear" w:color="auto" w:fill="CCEEFF"/>
          </w:tcPr>
          <w:p>
            <w:pPr>
              <w:jc w:val="right"/>
              <w:spacing w:after="0" w:line="17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6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2020</w:t>
              </w:r>
            </w:hyperlink>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80" w:type="dxa"/>
            <w:vAlign w:val="bottom"/>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Nine months Ended September 30, 2020 and 2019</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80" w:type="dxa"/>
            <w:vAlign w:val="bottom"/>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Interim Consolidated Financial Statements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93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4.</w:t>
              </w:r>
            </w:hyperlink>
          </w:p>
        </w:tc>
        <w:tc>
          <w:tcPr>
            <w:tcW w:w="93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5"/>
            <w:shd w:val="clear" w:color="auto" w:fill="CCEEFF"/>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 OTHER INFORMATION</w:t>
              </w:r>
            </w:hyperlink>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w:t>
              </w:r>
            </w:hyperlink>
          </w:p>
        </w:tc>
        <w:tc>
          <w:tcPr>
            <w:tcW w:w="93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3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938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otherwise indicated or the context otherwise requires, references to the “Company”, “registrant”,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b w:val="1"/>
                <w:bCs w:val="1"/>
                <w:i w:val="1"/>
                <w:iCs w:val="1"/>
                <w:color w:val="auto"/>
              </w:rPr>
              <w:t>Item 1. Interim Consolidated Financial Statements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ACURA PHARMACEUTICALS, INC.</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BALANCE SHEETS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Cash</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862</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receivable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Collaboration revenue receivable - related party</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78</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fee receivable - related party</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122</w:t>
            </w:r>
          </w:p>
        </w:tc>
      </w:tr>
      <w:tr>
        <w:trPr>
          <w:trHeight w:val="22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w:t>
            </w:r>
          </w:p>
        </w:tc>
      </w:tr>
      <w:tr>
        <w:trPr>
          <w:trHeight w:val="209"/>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8"/>
                <w:szCs w:val="18"/>
                <w:color w:val="auto"/>
              </w:rPr>
            </w:pPr>
          </w:p>
        </w:tc>
      </w:tr>
      <w:tr>
        <w:trPr>
          <w:trHeight w:val="21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Property, plant and equipment, net (Note 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540</w:t>
            </w:r>
          </w:p>
        </w:tc>
      </w:tr>
      <w:tr>
        <w:trPr>
          <w:trHeight w:val="22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net (Note 3)</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810</w:t>
            </w:r>
          </w:p>
        </w:tc>
      </w:tr>
      <w:tr>
        <w:trPr>
          <w:trHeight w:val="210"/>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tcPr>
          <w:p>
            <w:pPr>
              <w:spacing w:after="0"/>
              <w:rPr>
                <w:sz w:val="18"/>
                <w:szCs w:val="18"/>
                <w:color w:val="auto"/>
              </w:rPr>
            </w:pPr>
          </w:p>
        </w:tc>
      </w:tr>
      <w:tr>
        <w:trPr>
          <w:trHeight w:val="209"/>
        </w:trPr>
        <w:tc>
          <w:tcPr>
            <w:tcW w:w="7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Liabilities: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Accrued expenses (Note 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585</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under CARES Act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 (Note 11)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returns liability (Note 4)</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223</w:t>
            </w:r>
          </w:p>
        </w:tc>
      </w:tr>
      <w:tr>
        <w:trPr>
          <w:trHeight w:val="210"/>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8"/>
                <w:szCs w:val="18"/>
                <w:color w:val="auto"/>
              </w:rPr>
            </w:pPr>
          </w:p>
        </w:tc>
      </w:tr>
      <w:tr>
        <w:trPr>
          <w:trHeight w:val="20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 - related party (Note 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Accrued interest - related party (Note 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229</w:t>
            </w:r>
          </w:p>
        </w:tc>
      </w:tr>
      <w:tr>
        <w:trPr>
          <w:trHeight w:val="22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under CARES Act</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tcPr>
          <w:p>
            <w:pPr>
              <w:spacing w:after="0"/>
              <w:rPr>
                <w:sz w:val="18"/>
                <w:szCs w:val="18"/>
                <w:color w:val="auto"/>
              </w:rPr>
            </w:pPr>
          </w:p>
        </w:tc>
      </w:tr>
      <w:tr>
        <w:trPr>
          <w:trHeight w:val="210"/>
        </w:trPr>
        <w:tc>
          <w:tcPr>
            <w:tcW w:w="7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 $0.01 par value per share; 100,000 shares authorized, 21,650 and</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21,300 shares issued and outstanding at September 30, 2020 and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2019, respectively</w:t>
            </w: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383,088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383,042</w:t>
            </w: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(388,961)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(387,996)</w:t>
            </w:r>
          </w:p>
        </w:tc>
      </w:tr>
      <w:tr>
        <w:trPr>
          <w:trHeight w:val="210"/>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deficit</w:t>
            </w: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and stockholders’ deficit</w:t>
            </w:r>
          </w:p>
        </w:tc>
        <w:tc>
          <w:tcPr>
            <w:tcW w:w="5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8"/>
                <w:szCs w:val="18"/>
                <w:color w:val="auto"/>
              </w:rPr>
            </w:pPr>
          </w:p>
        </w:tc>
      </w:tr>
      <w:tr>
        <w:trPr>
          <w:trHeight w:val="425"/>
        </w:trPr>
        <w:tc>
          <w:tcPr>
            <w:tcW w:w="786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7860" w:type="dxa"/>
            <w:vAlign w:val="bottom"/>
            <w:tcBorders>
              <w:bottom w:val="single" w:sz="8" w:color="auto"/>
            </w:tcBorders>
          </w:tcPr>
          <w:p>
            <w:pPr>
              <w:jc w:val="center"/>
              <w:ind w:left="3250"/>
              <w:spacing w:after="0"/>
              <w:rPr>
                <w:sz w:val="20"/>
                <w:szCs w:val="20"/>
                <w:color w:val="auto"/>
              </w:rPr>
            </w:pPr>
            <w:r>
              <w:rPr>
                <w:rFonts w:ascii="Arial" w:cs="Arial" w:eastAsia="Arial" w:hAnsi="Arial"/>
                <w:sz w:val="18"/>
                <w:szCs w:val="18"/>
                <w:color w:val="auto"/>
                <w:w w:val="88"/>
              </w:rPr>
              <w:t>F-2</w:t>
            </w: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520" w:type="dxa"/>
            <w:vAlign w:val="bottom"/>
            <w:gridSpan w:val="6"/>
          </w:tcPr>
          <w:p>
            <w:pPr>
              <w:jc w:val="right"/>
              <w:ind w:right="62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285</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related party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102</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License fees – related party</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1,050</w:t>
            </w: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 net of allowance (Note 4)</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1,040</w:t>
            </w:r>
          </w:p>
        </w:tc>
      </w:tr>
      <w:tr>
        <w:trPr>
          <w:trHeight w:val="229"/>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1,391</w:t>
            </w:r>
          </w:p>
        </w:tc>
      </w:tr>
      <w:tr>
        <w:trPr>
          <w:trHeight w:val="210"/>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tcPr>
          <w:p>
            <w:pPr>
              <w:spacing w:after="0"/>
              <w:rPr>
                <w:sz w:val="18"/>
                <w:szCs w:val="18"/>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r>
      <w:tr>
        <w:trPr>
          <w:trHeight w:val="23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related party (Note 10)</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8"/>
                <w:szCs w:val="18"/>
                <w:color w:val="auto"/>
              </w:rPr>
            </w:pPr>
          </w:p>
        </w:tc>
      </w:tr>
      <w:tr>
        <w:trPr>
          <w:trHeight w:val="22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(0.16)</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32,336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31,593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32,304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25,023</w:t>
            </w: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32,336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32,304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25,023</w:t>
            </w:r>
          </w:p>
        </w:tc>
      </w:tr>
      <w:tr>
        <w:trPr>
          <w:trHeight w:val="20"/>
        </w:trPr>
        <w:tc>
          <w:tcPr>
            <w:tcW w:w="4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200" w:type="dxa"/>
            <w:vAlign w:val="bottom"/>
          </w:tcPr>
          <w:p>
            <w:pPr>
              <w:spacing w:after="0"/>
              <w:rPr>
                <w:sz w:val="16"/>
                <w:szCs w:val="16"/>
                <w:color w:val="auto"/>
              </w:rPr>
            </w:pPr>
          </w:p>
        </w:tc>
        <w:tc>
          <w:tcPr>
            <w:tcW w:w="12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3"/>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2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8"/>
              </w:rPr>
              <w:t>Par Value</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8"/>
                <w:szCs w:val="18"/>
                <w:color w:val="auto"/>
              </w:rPr>
            </w:pPr>
          </w:p>
        </w:tc>
        <w:tc>
          <w:tcPr>
            <w:tcW w:w="10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383,042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(387,996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(4,741</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w w:val="95"/>
              </w:rPr>
              <w:t>Net distribution of common stock pursuant to restricted stock unit award plan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Non-cash share-based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383,070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(388,591)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5200" w:type="dxa"/>
            <w:vAlign w:val="bottom"/>
          </w:tcPr>
          <w:p>
            <w:pPr>
              <w:spacing w:after="0"/>
              <w:rPr>
                <w:sz w:val="20"/>
                <w:szCs w:val="20"/>
                <w:color w:val="auto"/>
              </w:rPr>
            </w:pPr>
            <w:r>
              <w:rPr>
                <w:rFonts w:ascii="Arial" w:cs="Arial" w:eastAsia="Arial" w:hAnsi="Arial"/>
                <w:sz w:val="16"/>
                <w:szCs w:val="16"/>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308</w:t>
            </w: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21,650</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383,079</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(388,283)</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(4,988)</w:t>
            </w:r>
          </w:p>
        </w:tc>
        <w:tc>
          <w:tcPr>
            <w:tcW w:w="10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(678)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(678)</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Non-cash share-based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383,088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(388,961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200" w:type="dxa"/>
            <w:vAlign w:val="bottom"/>
          </w:tcPr>
          <w:p>
            <w:pPr>
              <w:spacing w:after="0"/>
              <w:rPr>
                <w:sz w:val="16"/>
                <w:szCs w:val="16"/>
                <w:color w:val="auto"/>
              </w:rPr>
            </w:pPr>
          </w:p>
        </w:tc>
        <w:tc>
          <w:tcPr>
            <w:tcW w:w="12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3"/>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2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8"/>
              </w:rPr>
              <w:t>Par Value</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8"/>
                <w:szCs w:val="18"/>
                <w:color w:val="auto"/>
              </w:rPr>
            </w:pPr>
          </w:p>
        </w:tc>
        <w:tc>
          <w:tcPr>
            <w:tcW w:w="10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21,034</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380,395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(384,222</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w w:val="95"/>
              </w:rPr>
              <w:t>Net distribution of common stock pursuant to restricted stock unit award plan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380,436</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(385,010)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(3,341)</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(3,341)</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Non-cash share-based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Debt premium from debt modification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1,382</w:t>
            </w:r>
          </w:p>
        </w:tc>
        <w:tc>
          <w:tcPr>
            <w:tcW w:w="18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1,382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Issuance of warrant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1,145</w:t>
            </w: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Balance at June 30,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382,992</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(388,351)</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Non-cash share-based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383,021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(388,151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8"/>
          </w:tcPr>
          <w:p>
            <w:pPr>
              <w:jc w:val="right"/>
              <w:ind w:right="760"/>
              <w:spacing w:after="0"/>
              <w:rPr>
                <w:sz w:val="20"/>
                <w:szCs w:val="20"/>
                <w:color w:val="auto"/>
              </w:rPr>
            </w:pPr>
            <w:r>
              <w:rPr>
                <w:rFonts w:ascii="Arial" w:cs="Arial" w:eastAsia="Arial" w:hAnsi="Arial"/>
                <w:sz w:val="18"/>
                <w:szCs w:val="18"/>
                <w:color w:val="auto"/>
              </w:rPr>
              <w:t>Nine months Ended</w:t>
            </w:r>
          </w:p>
        </w:tc>
      </w:tr>
      <w:tr>
        <w:trPr>
          <w:trHeight w:val="230"/>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September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(965)</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(3,929)</w:t>
            </w: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share-based compensation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rPr>
              <w:t>Capitalized debt discount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and deferred debt issue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rPr>
              <w:t>Amortization of intangible asset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rPr>
              <w:t>Impairment charge on intangible asset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equipment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Royalty receivable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8280" w:type="dxa"/>
            <w:vAlign w:val="bottom"/>
          </w:tcPr>
          <w:p>
            <w:pPr>
              <w:ind w:left="500"/>
              <w:spacing w:after="0"/>
              <w:rPr>
                <w:sz w:val="20"/>
                <w:szCs w:val="20"/>
                <w:color w:val="auto"/>
              </w:rPr>
            </w:pPr>
            <w:r>
              <w:rPr>
                <w:rFonts w:ascii="Arial" w:cs="Arial" w:eastAsia="Arial" w:hAnsi="Arial"/>
                <w:sz w:val="18"/>
                <w:szCs w:val="18"/>
                <w:color w:val="auto"/>
              </w:rPr>
              <w:t>License fee receivable – related party</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Collaboration revenue receivable from related party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82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 refundable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500"/>
              <w:spacing w:after="0"/>
              <w:rPr>
                <w:sz w:val="20"/>
                <w:szCs w:val="20"/>
                <w:color w:val="auto"/>
              </w:rPr>
            </w:pPr>
            <w:r>
              <w:rPr>
                <w:rFonts w:ascii="Arial" w:cs="Arial" w:eastAsia="Arial" w:hAnsi="Arial"/>
                <w:sz w:val="18"/>
                <w:szCs w:val="18"/>
                <w:color w:val="auto"/>
              </w:rPr>
              <w:t>Sales return liability</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interest on related party loans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30"/>
        </w:trPr>
        <w:tc>
          <w:tcPr>
            <w:tcW w:w="828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10"/>
        </w:trPr>
        <w:tc>
          <w:tcPr>
            <w:tcW w:w="82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distribution of restricted stock units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340"/>
              <w:spacing w:after="0"/>
              <w:rPr>
                <w:sz w:val="20"/>
                <w:szCs w:val="20"/>
                <w:color w:val="auto"/>
              </w:rPr>
            </w:pPr>
            <w:r>
              <w:rPr>
                <w:rFonts w:ascii="Arial" w:cs="Arial" w:eastAsia="Arial" w:hAnsi="Arial"/>
                <w:sz w:val="18"/>
                <w:szCs w:val="18"/>
                <w:color w:val="auto"/>
                <w:w w:val="93"/>
              </w:rPr>
              <w:t>Statutory minimum payroll withholding taxes paid on the distribution of shares pursuant to RSU award plan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loan under CARES Act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8280" w:type="dxa"/>
            <w:vAlign w:val="bottom"/>
          </w:tcPr>
          <w:p>
            <w:pPr>
              <w:ind w:left="340"/>
              <w:spacing w:after="0"/>
              <w:rPr>
                <w:sz w:val="20"/>
                <w:szCs w:val="20"/>
                <w:color w:val="auto"/>
              </w:rPr>
            </w:pPr>
            <w:r>
              <w:rPr>
                <w:rFonts w:ascii="Arial" w:cs="Arial" w:eastAsia="Arial" w:hAnsi="Arial"/>
                <w:sz w:val="18"/>
                <w:szCs w:val="18"/>
                <w:color w:val="auto"/>
              </w:rPr>
              <w:t>Proceeds from related party loans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r>
      <w:tr>
        <w:trPr>
          <w:trHeight w:val="210"/>
        </w:trPr>
        <w:tc>
          <w:tcPr>
            <w:tcW w:w="82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28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(369)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r>
      <w:tr>
        <w:trPr>
          <w:trHeight w:val="209"/>
        </w:trPr>
        <w:tc>
          <w:tcPr>
            <w:tcW w:w="8280" w:type="dxa"/>
            <w:vAlign w:val="bottom"/>
          </w:tcPr>
          <w:p>
            <w:pPr>
              <w:spacing w:after="0"/>
              <w:rPr>
                <w:sz w:val="20"/>
                <w:szCs w:val="20"/>
                <w:color w:val="auto"/>
              </w:rPr>
            </w:pPr>
            <w:r>
              <w:rPr>
                <w:rFonts w:ascii="Arial" w:cs="Arial" w:eastAsia="Arial" w:hAnsi="Arial"/>
                <w:sz w:val="18"/>
                <w:szCs w:val="18"/>
                <w:color w:val="auto"/>
              </w:rPr>
              <w:t>Cash at end of end of period</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2019</w:t>
      </w:r>
    </w:p>
    <w:p>
      <w:pPr>
        <w:spacing w:after="0" w:line="225" w:lineRule="exact"/>
        <w:rPr>
          <w:sz w:val="20"/>
          <w:szCs w:val="20"/>
          <w:color w:val="auto"/>
        </w:rPr>
      </w:pPr>
    </w:p>
    <w:p>
      <w:pPr>
        <w:jc w:val="center"/>
        <w:ind w:left="820" w:hanging="488"/>
        <w:spacing w:after="0" w:line="291" w:lineRule="auto"/>
        <w:tabs>
          <w:tab w:leader="none" w:pos="65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imputed interest on the below market rate element of the related party $650 loans made to the Company through June 27, 2019, amounted to $13, and was recorded in interest income with a corresponding like amount recorded as debt discount against the principal amount of the loan.</w:t>
      </w:r>
    </w:p>
    <w:p>
      <w:pPr>
        <w:ind w:left="820" w:hanging="488"/>
        <w:spacing w:after="0" w:line="265" w:lineRule="auto"/>
        <w:tabs>
          <w:tab w:leader="none" w:pos="658"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28, 2019, modifications made to the related party $5,000 loan resulted in debt extinguishment. A $2,600 loss on debt extinguishment was recorded comprising $1,150 for a common stock purchase warrant issued to the related party lender, the excess fair value premium on the newly issued convertible debt of $1,380, and the write-off of unamortized debt discount of approximately $70.</w:t>
      </w:r>
    </w:p>
    <w:p>
      <w:pPr>
        <w:ind w:left="820" w:hanging="488"/>
        <w:spacing w:after="0" w:line="260" w:lineRule="auto"/>
        <w:tabs>
          <w:tab w:leader="none" w:pos="65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interest due of $274 on the related party $5,000 loan was rolled into principal under modifications made to the loan occurring on June 28, 2019 and the related party receivable of $725 was received on July 2, 2019.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SEPTEMBER 30, 2020 AND SEPTEMBER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7" w:lineRule="exact"/>
        <w:rPr>
          <w:sz w:val="20"/>
          <w:szCs w:val="20"/>
          <w:color w:val="auto"/>
        </w:rPr>
      </w:pPr>
    </w:p>
    <w:p>
      <w:pPr>
        <w:jc w:val="both"/>
        <w:ind w:left="660" w:hanging="328"/>
        <w:spacing w:after="0" w:line="275" w:lineRule="auto"/>
        <w:tabs>
          <w:tab w:leader="none" w:pos="71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 LLC (See Note 3).</w:t>
      </w:r>
    </w:p>
    <w:p>
      <w:pPr>
        <w:spacing w:after="0" w:line="176" w:lineRule="exact"/>
        <w:rPr>
          <w:rFonts w:ascii="Arial" w:cs="Arial" w:eastAsia="Arial" w:hAnsi="Arial"/>
          <w:sz w:val="17"/>
          <w:szCs w:val="17"/>
          <w:color w:val="auto"/>
        </w:rPr>
      </w:pPr>
    </w:p>
    <w:p>
      <w:pPr>
        <w:jc w:val="both"/>
        <w:ind w:left="660" w:hanging="328"/>
        <w:spacing w:after="0" w:line="259" w:lineRule="auto"/>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Aversion Technology has been licensed to Assertio Holdings Inc. or Assertio (formerly known as Zyla Life Sciences and previously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75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 MainPointe subsequently assigned its interest in the license to Abuse Deterrent Pharma, LLC but continues to market the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September 30, 2020, we had cash of $0.5 million, working capital of $0.4 million and an accumulated deficit of $389 million. We had a loss from operations of $0.6 million and a net loss of $1.0 million for the nine months ended September 30, 2020, and had a loss from operations of $725 thousand and a net loss of $3.8 million for the year ended December 31, 2019. We have suffered recurring losses and have not generated positive cash flows from operations. We anticipate operating losses to continue for the foreseeable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6"/>
          <w:szCs w:val="16"/>
          <w:color w:val="auto"/>
        </w:rPr>
        <w:t>On June 28, 2019, we entered into a License, Development and Commercialization Agreement with Abuse Deterrent Pharma, LLC (“AD Pharma”) which was amended in October 2020 (the “AD Pharma Agreement”). AD Pharma has the right to terminate the AD Pharma Agreement for “convenience on 30 days prior written notice”. Under the AD Pharma Agreement, as amended, the required monthly license payments by AD Pharma will only continue until July 2021 if AD Pharma does not exercise their right to terminate the AD Pharma Agreement. To fund further operations,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Should AD Pharma exercise their right to terminate the AD Pharma Agreement, we would need to raise additional financing or enter into license or collaboration agreements with third parties relating to our technologies. The Company’s ability to raise additional capital may be adversely impacted by potential worsening global economic conditions and the recent disruptions to, and volatility in, financial markets in the United States and worldwide resulting from the ongoing COVID-19 pandemic.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included in the AD Pharma Agreement, as amended, is the requirement that the NDA for LTX-03 now be accepted by the FDA by July 31, 2021 or AD Pharma has the option to terminate the AD Pharma Agreement and take ownership of the LIMITx intellectual property. Importantly, such failure to meet this date will be an event of default under their $6.0 million note to Acura.</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is affecting the United States and global economies. If the outbreak continues to spread,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 There are risks that it may be more difficult to contain if the outbreak reaches a larger population or broader geography, in which case the risks described herein could be elevated significantly.</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For example, as further discussed throughout the notes to financial statements, our contract manufacturer did delay the installation of the auxiliary manufacturing equipment needed for LTX-03 development for several weeks due to COVID-19 risk mitigation strategies implemented in New Jersey which was needed to further our NDA application submission for LTX-03.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ultimate impact of coronavirus is highly uncertain and subject to change. The Company does not yet know the full extent of further potential delays or impacts on its business, financing</w:t>
      </w:r>
      <w:r>
        <w:rPr>
          <w:rFonts w:ascii="Arial" w:cs="Arial" w:eastAsia="Arial" w:hAnsi="Arial"/>
          <w:sz w:val="18"/>
          <w:szCs w:val="18"/>
          <w:color w:val="FF0000"/>
        </w:rPr>
        <w:t>,</w:t>
      </w:r>
      <w:r>
        <w:rPr>
          <w:rFonts w:ascii="Arial" w:cs="Arial" w:eastAsia="Arial" w:hAnsi="Arial"/>
          <w:sz w:val="18"/>
          <w:szCs w:val="18"/>
          <w:color w:val="auto"/>
        </w:rPr>
        <w:t xml:space="preserve">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ANNOUNCING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This standard is effective for fiscal years beginning after December 15, 2019, including interim reporting periods within those years, with early adoption permitted. The Company’s adoption of ASU 2018-13 did not have a material impact on the financial statements and related footnote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28, 2019 we entered into a License, Development and Commercialization Agreement which was amended on October 23, 2020 (“the AD Pharma Agreement”) with Abuse Deterrent Pharma, LLC (AD Pharma”, for the development and license of LTX-03 (hydrocodone bitartrate with acetaminophen) immediate-release tablets utilizing Acura’s patented LIMITx™. Acura will receive a monthly license payment of $350 thousand by AD Pharma from inception through April 2020 at which time the monthly payments are $200 thousand thereafter until the earlier of July 31, 2021 or FDA’s acceptance of a New Drug Application (“NDA”) for LTX-03. The first license payment was received July 2, 2019. AD Pharma will pay for and reimburse Acura for all outside development costs on LTX-03. If the NDA filing for LTX-03 is not accepted by the FDA by July 31, 2021, AD Pharma has the option to terminate the AD Pharma Agreement and take ownership of the Limitx intellectual property. Should AD Pharma choose not to exercise this option to terminate and the NDA for LTX-03 is subsequently accepted by the FDA, such option expires. AD Pharma does have the right to terminate the AD Pharma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also previously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to the AD Pharma Agreement, this option and right was rescinded.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On June 28, 2019 Mr. John Schutte assigned and transferred to AD Pharma his $6.0 million promissory note, the common stock purchase warrant for 10.0 million common shares, and the security agreement granting a security interest in all of the Company’s assets. Mr. Schutte is our largest shareholder and directly owns approximately 45.7% of our common stock (after giving effect to the exercise of remaining common stock purchase warrants he holds). Mr. Schutte controls MainPointe and is the principal investor in AD Pharma.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Assertio Agreement covering Oxaydo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The recoverability of the Aversion intangible asset is contingent upon future Assertio royalty revenues to us. We have recorded amortization expense of $64 thousand and $155 thousand in each of the nine month periods ending September 30, 2020 and 2019, respectively.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Amortization of the patent for its remaining life is expected to approximate $6 thousand per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The Aversion intangible asset is summarized as follows (in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2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4"/>
                <w:szCs w:val="2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December 31,</w:t>
            </w:r>
          </w:p>
        </w:tc>
      </w:tr>
      <w:tr>
        <w:trPr>
          <w:trHeight w:val="230"/>
        </w:trPr>
        <w:tc>
          <w:tcPr>
            <w:tcW w:w="2260" w:type="dxa"/>
            <w:vAlign w:val="bottom"/>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 – Aversion</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Less: accumulated amortization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r>
      <w:tr>
        <w:trPr>
          <w:trHeight w:val="229"/>
        </w:trPr>
        <w:tc>
          <w:tcPr>
            <w:tcW w:w="2260" w:type="dxa"/>
            <w:vAlign w:val="bottom"/>
          </w:tcPr>
          <w:p>
            <w:pPr>
              <w:spacing w:after="0"/>
              <w:rPr>
                <w:sz w:val="19"/>
                <w:szCs w:val="19"/>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impairment charge</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09"/>
        </w:trPr>
        <w:tc>
          <w:tcPr>
            <w:tcW w:w="2260" w:type="dxa"/>
            <w:vAlign w:val="bottom"/>
          </w:tcPr>
          <w:p>
            <w:pPr>
              <w:spacing w:after="0"/>
              <w:rPr>
                <w:sz w:val="18"/>
                <w:szCs w:val="18"/>
                <w:color w:val="auto"/>
              </w:rPr>
            </w:pPr>
          </w:p>
        </w:tc>
        <w:tc>
          <w:tcPr>
            <w:tcW w:w="3620" w:type="dxa"/>
            <w:vAlign w:val="bottom"/>
          </w:tcPr>
          <w:p>
            <w:pPr>
              <w:ind w:left="40"/>
              <w:spacing w:after="0"/>
              <w:rPr>
                <w:sz w:val="20"/>
                <w:szCs w:val="20"/>
                <w:color w:val="auto"/>
              </w:rPr>
            </w:pPr>
            <w:r>
              <w:rPr>
                <w:rFonts w:ascii="Arial" w:cs="Arial" w:eastAsia="Arial" w:hAnsi="Arial"/>
                <w:sz w:val="18"/>
                <w:szCs w:val="18"/>
                <w:color w:val="auto"/>
              </w:rPr>
              <w:t>Net</w:t>
            </w:r>
          </w:p>
        </w:tc>
        <w:tc>
          <w:tcPr>
            <w:tcW w:w="7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to commercialize Aversion Oxycodone under our tradename Oxaydo. Oxaydo is approved by the FDA for marketing in the United States in 5 mg and 7.5 mg strengths. Under the terms of the Assertio Agreement, we transferred the approved New Drug Application, or NDA, for Oxaydo to Assertio and Assertio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the Assertio Agreement Assertio is responsible for the fees and expenses relating to the product line extensions of Oxaydo, provided that Assertio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Assertio will bear all of the expenses of development and regulatory approval of Oxaydo for sale outside the United States. Assertio is responsible for all manufacturing and commercialization activities in the Territory for Oxaydo. Subject to certain exceptions, Assertio will have final decision making authority with respect to all development and commercialization activities for Oxaydo, including pricing, subject to our co-promotion right. Assertio may develop Oxaydo for other countries and in additional strengths, in its discretion.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6"/>
          <w:szCs w:val="16"/>
          <w:color w:val="auto"/>
        </w:rPr>
        <w:t>Assertio paid us a $5.0 million license fee upon signing of the Assertio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Assertio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Assertio to acquire intellectual property rights to commercialize Oxaydo, with an aggregate minimum floor.</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 and assignment thereof to AD Pharma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to the AD Pharma Agreement, this option and right was rescinded.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September 30, 2020 or December 31, 2019.</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 Price adjustments are accounted for as variable consideration. Provisions for variable consideration are based on current assumptions, executed contracts, and historical data and are provided for in the period the related revenues are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Assertio and MainPointe. Payments of sales-based milestones are generally due within 30 days after the end of a calendar year. Payments of royalties are generally due within 45 days after the end of a calendar quarter.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2019 we entered into an agreement with AD Pharma which was amended in October 2020 for the development and license of LTX-03 (hydrocodone bitartrate with acetaminophen) immediate-release tablets utilizing Acura’s patented LIMITx™ providing a monthly license payment of $350 thousand from AD Pharma to us for a period from inception up to April 2020 at which time the payment is $200 thousand per month through July 2021. The Company provided a price adjustment to AD Pharma in September 2020 when it was probable that the monthly license payments were being reduced from $350 thousand to $200 thousand. We have subsequently received the required monthly license payments for June thru October 2020 from AD Pharma. AD Pharma will pay directly for or reimburse Acura to the extent Acura pay’s for, all out-of-pocket development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 of allowance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and therefore, we no longer maintain a sales return allowance liability.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having a product under development, LTX-03, containing its LIMITx™ technology to AD Pharma. We have recorded $0.3 million and $2.4 million of license fees for LTX-03 during the three and nine month periods ended September 30, 2020, respectively.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All of the Company’s royalty revenues are earned from these two license agreements by the licensee’s sale of products in the United States.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jc w:val="right"/>
              <w:ind w:right="770"/>
              <w:spacing w:after="0"/>
              <w:rPr>
                <w:sz w:val="20"/>
                <w:szCs w:val="20"/>
                <w:color w:val="auto"/>
              </w:rPr>
            </w:pPr>
            <w:r>
              <w:rPr>
                <w:rFonts w:ascii="Arial" w:cs="Arial" w:eastAsia="Arial" w:hAnsi="Arial"/>
                <w:sz w:val="18"/>
                <w:szCs w:val="18"/>
                <w:color w:val="auto"/>
                <w:w w:val="89"/>
              </w:rPr>
              <w:t>Royalty revenues by licensee are summarized below:</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gridSpan w:val="4"/>
          </w:tcPr>
          <w:p>
            <w:pPr>
              <w:ind w:left="320"/>
              <w:spacing w:after="0"/>
              <w:rPr>
                <w:sz w:val="20"/>
                <w:szCs w:val="20"/>
                <w:color w:val="auto"/>
              </w:rPr>
            </w:pPr>
            <w:r>
              <w:rPr>
                <w:rFonts w:ascii="Arial" w:cs="Arial" w:eastAsia="Arial" w:hAnsi="Arial"/>
                <w:sz w:val="18"/>
                <w:szCs w:val="18"/>
                <w:color w:val="auto"/>
                <w:w w:val="91"/>
              </w:rPr>
              <w:t>Three months Ended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ind w:right="207"/>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r>
      <w:tr>
        <w:trPr>
          <w:trHeight w:val="223"/>
        </w:trPr>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9"/>
              </w:rPr>
              <w:t>2020</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jc w:val="right"/>
              <w:ind w:right="2150"/>
              <w:spacing w:after="0"/>
              <w:rPr>
                <w:sz w:val="20"/>
                <w:szCs w:val="20"/>
                <w:color w:val="auto"/>
              </w:rPr>
            </w:pPr>
            <w:r>
              <w:rPr>
                <w:rFonts w:ascii="Arial" w:cs="Arial" w:eastAsia="Arial" w:hAnsi="Arial"/>
                <w:sz w:val="18"/>
                <w:szCs w:val="18"/>
                <w:color w:val="auto"/>
                <w:w w:val="90"/>
              </w:rPr>
              <w:t>Assertio (Oxaydo)</w:t>
            </w:r>
          </w:p>
        </w:tc>
        <w:tc>
          <w:tcPr>
            <w:tcW w:w="8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560" w:type="dxa"/>
            <w:vAlign w:val="bottom"/>
            <w:tcBorders>
              <w:bottom w:val="single" w:sz="8" w:color="CCEEFF"/>
            </w:tcBorders>
          </w:tcPr>
          <w:p>
            <w:pPr>
              <w:jc w:val="right"/>
              <w:ind w:right="770"/>
              <w:spacing w:after="0"/>
              <w:rPr>
                <w:sz w:val="20"/>
                <w:szCs w:val="20"/>
                <w:color w:val="auto"/>
              </w:rPr>
            </w:pPr>
            <w:r>
              <w:rPr>
                <w:rFonts w:ascii="Arial" w:cs="Arial" w:eastAsia="Arial" w:hAnsi="Arial"/>
                <w:sz w:val="18"/>
                <w:szCs w:val="18"/>
                <w:color w:val="auto"/>
                <w:w w:val="91"/>
              </w:rPr>
              <w:t>MainPointe – related party (Nexafed)</w:t>
            </w:r>
          </w:p>
        </w:tc>
        <w:tc>
          <w:tcPr>
            <w:tcW w:w="8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35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rPr>
              <w:t>Royalty revenues</w:t>
            </w:r>
          </w:p>
        </w:tc>
        <w:tc>
          <w:tcPr>
            <w:tcW w:w="8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had no contract assets and contract liability balances under the license and collaboration agreements at either September 30, 2020 or 2019.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September 30, 2020 and 2019.</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development and scale-up of LTX-03 under the AD Pharma Agreement (See Note 3) we have entered into unbilled obligations under non-cancelable arrangements at September 30, 2020 aggregating $121 thousand.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PLANT AND EQUIPMENT</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Property, plant and equipment is summarized as follows (in thousands):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1"/>
        </w:trPr>
        <w:tc>
          <w:tcPr>
            <w:tcW w:w="2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w w:val="96"/>
              </w:rPr>
              <w:t>September 30,</w:t>
            </w:r>
          </w:p>
        </w:tc>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3"/>
              </w:rPr>
              <w:t>December 31,</w:t>
            </w:r>
          </w:p>
        </w:tc>
      </w:tr>
      <w:tr>
        <w:trPr>
          <w:trHeight w:val="230"/>
        </w:trPr>
        <w:tc>
          <w:tcPr>
            <w:tcW w:w="22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Scientific equipment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Other personal property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8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226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2,509</w:t>
            </w:r>
          </w:p>
        </w:tc>
        <w:tc>
          <w:tcPr>
            <w:tcW w:w="60" w:type="dxa"/>
            <w:vAlign w:val="bottom"/>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(1,969)</w:t>
            </w:r>
          </w:p>
        </w:tc>
      </w:tr>
      <w:tr>
        <w:trPr>
          <w:trHeight w:val="210"/>
        </w:trPr>
        <w:tc>
          <w:tcPr>
            <w:tcW w:w="226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Net property, plant and equipment</w:t>
            </w:r>
          </w:p>
        </w:tc>
        <w:tc>
          <w:tcPr>
            <w:tcW w:w="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$13 thousand and $17 thousand for each of the three month periods ended September 30,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$42 thousand and $51 thousand for each of the nine month periods ended September 30, 2020 and 2019,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17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1"/>
              </w:rPr>
              <w:t>September 30,</w:t>
            </w:r>
          </w:p>
        </w:tc>
        <w:tc>
          <w:tcPr>
            <w:tcW w:w="8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December 31,</w:t>
            </w:r>
          </w:p>
        </w:tc>
      </w:tr>
      <w:tr>
        <w:trPr>
          <w:trHeight w:val="230"/>
        </w:trPr>
        <w:tc>
          <w:tcPr>
            <w:tcW w:w="17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78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363</w:t>
            </w:r>
          </w:p>
        </w:tc>
        <w:tc>
          <w:tcPr>
            <w:tcW w:w="8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17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151</w:t>
            </w:r>
          </w:p>
        </w:tc>
      </w:tr>
      <w:tr>
        <w:trPr>
          <w:trHeight w:val="216"/>
        </w:trPr>
        <w:tc>
          <w:tcPr>
            <w:tcW w:w="17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Financed insurance policies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17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29"/>
        </w:trPr>
        <w:tc>
          <w:tcPr>
            <w:tcW w:w="17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Franchise taxes</w:t>
            </w: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0"/>
        </w:trPr>
        <w:tc>
          <w:tcPr>
            <w:tcW w:w="170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Convertible Loan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December 31, 2018, we had borrowed an aggregate of $4.350 million from Mr. Schutte, a related-party. From January 1, 2019 and through June 27, 2019, we borrowed additional amounts from Mr. Schutte for $650 thousand and issued various promissory notes to him with the same terms and conditions from the previous loans (the Schutte Notes). The Schutte Notes bear interest at prime plus 2.0%, and were to mature on January 2, 2020, at which time all principal and interest was to be due. The Schutte Notes were unsecured until all obligations to Oxford were satisfied at which time we were required to grant a security interest to Mr. Schutte in all of our assets, including our intellectual property. Because we believed the Schutte Notes’ rate of interest was below current market rates for us, we imputed interest on the below market rate element of the loans using the 10.16% interest rate under the Oxford Loan Agreement and this has aggregated to $172 thousand as of December 31, 2018. We recorded these benefits to interest income, with a corresponding like amount as debt discount against the principal amount of the loan. The debt discount will be amortized to interest expense over the term on the loans. At December 31, 2018, the unamortized debt discount balance was $126 thousand and the accrued interest balance was $110 thousand. We recorded a $13 thousand benefit to interest income during 2019 from the $650 thousand borrowings from Mr. Schutte. At June 27, 2019, the unamortized debt discount balance was $73 thousand and the accrued interest balance was $275 thousand. The events of default under the Schutte Notes are limited to bankruptcy defaults and failure to pay interest and principal when due on January 2, 2020. The Schutte Notes could be prepaid at any time in whole or in part.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Included in the $4.350 million loan outstanding from Mr. Schutte as of December 31, 2018 was a borrowing of $1.8 million completed on October 5, 2018 of which we used $1.5 million to fully pay-off the debt outstanding under the Oxford Loan Agreement. All our assets are pledged as collateral under the Schutte Notes, including our intellectual property.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27, 2019 the aggregate amount of the loans made to the Company by Mr. Schutte aggregated $5.0 million. On June 28, 2019 we restructured the $5.0 million loan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loan restructuring was accounted for as debt extinguishment. We obtained a valuation of fair value on the modified loan and warrant and the method of accounting for the loan changes resulted in a $2.6 million loss on debt extinguishment. Of the loss on debt extinguishment, $1.145 million was allocated to the warrant, $1.382 million was related to the premium on the convertible loan, and $73 thousand was assignable to write-off of the original loan’s remaining unamortized debt discount. The $6.0 million promissory note, the common stock purchase warrant and the security agreement were all assigned and transferred by Mr. Schutte to AD Pharma on June 28, 2019. The accrued interest balance at September 30, 2020 and December 31, 2019 was $566 thousand and $229 thousand, respectively.</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events of default under the $6.0 million note are limited to bankruptcy defaults, failure to pay interest and principal when due on July 1, 2023 or upon failure to meet certain timelines in the AD Pharma Agreement as defined in the loan agreement. The $6.0 million note may be prepaid at any time in whole or in part but only with the consent of the noteholder.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Included in the amended AD Pharma Agreement entered into during October 2020, is the requirement that the NDA for LTX-03 now be accepted by the FDA by July 31, 2021, or AD Pharma has the option to terminate the AD Pharma Agreement and take ownership of the LIMITx intellectual property. Importantly, such failure to meet this date will be an event of default under their $6.0 million note to Acura. As the amendment to the AD Pharma Agreement extended the original NDA acceptance date of November 2020 to July 2021 providing additional development time, we have changed how we reflect the presentation of the $6.0 million note at September 30, 2020 from a current obligation to a non-current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for the three and nine month months ended September 30, 2020 and 2019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right"/>
              <w:ind w:right="207"/>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227"/>
              <w:spacing w:after="0"/>
              <w:rPr>
                <w:sz w:val="20"/>
                <w:szCs w:val="20"/>
                <w:color w:val="auto"/>
              </w:rPr>
            </w:pPr>
            <w:r>
              <w:rPr>
                <w:rFonts w:ascii="Arial" w:cs="Arial" w:eastAsia="Arial" w:hAnsi="Arial"/>
                <w:sz w:val="18"/>
                <w:szCs w:val="18"/>
                <w:color w:val="auto"/>
              </w:rPr>
              <w:t>Nine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18"/>
                <w:szCs w:val="18"/>
                <w:color w:val="auto"/>
                <w:w w:val="86"/>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8"/>
                <w:szCs w:val="18"/>
                <w:color w:val="auto"/>
                <w:w w:val="88"/>
              </w:rPr>
              <w:t>September 30,</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7"/>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Related party term loans</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Debt discount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Financed insurance premiums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r>
      <w:tr>
        <w:trPr>
          <w:trHeight w:val="210"/>
        </w:trPr>
        <w:tc>
          <w:tcPr>
            <w:tcW w:w="540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imputed interest income on related party loan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09"/>
        </w:trPr>
        <w:tc>
          <w:tcPr>
            <w:tcW w:w="5400" w:type="dxa"/>
            <w:vAlign w:val="bottom"/>
          </w:tcPr>
          <w:p>
            <w:pPr>
              <w:ind w:left="280"/>
              <w:spacing w:after="0"/>
              <w:rPr>
                <w:sz w:val="20"/>
                <w:szCs w:val="20"/>
                <w:color w:val="auto"/>
              </w:rPr>
            </w:pPr>
            <w:r>
              <w:rPr>
                <w:rFonts w:ascii="Arial" w:cs="Arial" w:eastAsia="Arial" w:hAnsi="Arial"/>
                <w:sz w:val="18"/>
                <w:szCs w:val="18"/>
                <w:color w:val="auto"/>
              </w:rPr>
              <w:t>Total interest expense, net</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2020, the Company received a loan (the “Loan”) from JP Morgan Chase Bank in the aggregate amount of $269 thousand, pursuant to the Paycheck Protection Program under Division A, Title I of the CARES Act, which was enacted March 27, 2020. The Loan, in the form of a promissory note, matures on April 8, 2022. Under the terms of the Paycheck Protection Program (“PPP”), certain amounts of the Loan may be forgiven if they are used for qualifying expenses as described in the CARES Act. No assurance is provided that forgiveness for any portion of the Loan will be obtained. To the extent that all or part of the Loan is not forgiven, the Company will be required to make payments, including interest accruing at an annual rate of 1.0% beginning on the date of disbursement.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with Mr. John Schutte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Pharmaceuticals LLC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Investor is a principal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nine months ended 2020 and 2019 is $9 thousand and $16 thousand, respectively, of royalty revenue from MainPointe (See Note 3). On January 1, 2020, MainPointe assigned to AD Pharma, with Acura’s consent, all of its right, title and interest in the MainPointe Agreement between MainPointe and Acura.</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with Mr. John Schutte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promissory note, the common stock purchase warrant and the security agreement were all assigned and transferred by Mr. Schutte to AD Pharma on June 28,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28, 2019, we entered into a License, Development and Commercialization Agreement which was amended in October 2020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as well as LTX-02 (oxycodone/acetaminophen) and LTX-09 (alprazolam). Financial arrangements include:</w:t>
      </w:r>
    </w:p>
    <w:p>
      <w:pPr>
        <w:spacing w:after="0" w:line="178" w:lineRule="exact"/>
        <w:rPr>
          <w:sz w:val="20"/>
          <w:szCs w:val="20"/>
          <w:color w:val="auto"/>
        </w:rPr>
      </w:pPr>
    </w:p>
    <w:p>
      <w:pPr>
        <w:ind w:left="700" w:hanging="328"/>
        <w:spacing w:after="0" w:line="25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 thousand from inception through April 2020 and $200 thousand thereafter until July 31, 2021 or FDA’s acceptance of a New Drug Application (“NDA”) for LTX-03;</w:t>
      </w:r>
    </w:p>
    <w:p>
      <w:pPr>
        <w:spacing w:after="0" w:line="1" w:lineRule="exact"/>
        <w:rPr>
          <w:rFonts w:ascii="Arial" w:cs="Arial" w:eastAsia="Arial" w:hAnsi="Arial"/>
          <w:sz w:val="18"/>
          <w:szCs w:val="18"/>
          <w:color w:val="auto"/>
        </w:rPr>
      </w:pPr>
    </w:p>
    <w:p>
      <w:pPr>
        <w:ind w:left="700" w:hanging="32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 and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commercialization of the licensed products, Acura receives stepped royalties on sales and is eligible for certain sales related milestones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 Pharma may terminate the AD Pharma Agreement at any time. Additionally, if the NDA for LTX-03 is not accepted by the FDA by July 31, 2021, AD Pharma has the option to terminate the AD Pharma Agreement and take ownership of the intellectual property. Should AD Pharma choose not to exercise this option to terminate and the NDA for LTX-03 is subsequently accepted by the FDA, such option expires.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nine month periods ended September 30, 2020 and 2019 is shown below (in thousands except price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color w:val="auto"/>
              </w:rPr>
              <w:t>December 31,</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jc w:val="right"/>
              <w:ind w:right="530"/>
              <w:spacing w:after="0"/>
              <w:rPr>
                <w:sz w:val="20"/>
                <w:szCs w:val="20"/>
                <w:color w:val="auto"/>
              </w:rPr>
            </w:pPr>
            <w:r>
              <w:rPr>
                <w:rFonts w:ascii="Arial" w:cs="Arial" w:eastAsia="Arial" w:hAnsi="Arial"/>
                <w:sz w:val="18"/>
                <w:szCs w:val="18"/>
                <w:color w:val="auto"/>
              </w:rPr>
              <w:t>2019</w:t>
            </w:r>
          </w:p>
        </w:tc>
        <w:tc>
          <w:tcPr>
            <w:tcW w:w="1680" w:type="dxa"/>
            <w:vAlign w:val="bottom"/>
          </w:tcPr>
          <w:p>
            <w:pPr>
              <w:spacing w:after="0"/>
              <w:rPr>
                <w:sz w:val="19"/>
                <w:szCs w:val="19"/>
                <w:color w:val="auto"/>
              </w:rPr>
            </w:pPr>
          </w:p>
        </w:tc>
      </w:tr>
      <w:tr>
        <w:trPr>
          <w:trHeight w:val="195"/>
        </w:trPr>
        <w:tc>
          <w:tcPr>
            <w:tcW w:w="1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w w:val="95"/>
              </w:rPr>
              <w:t>WAvg</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WAvg</w:t>
            </w:r>
          </w:p>
        </w:tc>
        <w:tc>
          <w:tcPr>
            <w:tcW w:w="168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Exercise</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1680"/>
              <w:spacing w:after="0"/>
              <w:rPr>
                <w:sz w:val="20"/>
                <w:szCs w:val="20"/>
                <w:color w:val="auto"/>
              </w:rPr>
            </w:pPr>
            <w:r>
              <w:rPr>
                <w:rFonts w:ascii="Arial" w:cs="Arial" w:eastAsia="Arial" w:hAnsi="Arial"/>
                <w:sz w:val="18"/>
                <w:szCs w:val="18"/>
                <w:color w:val="auto"/>
                <w:w w:val="89"/>
              </w:rPr>
              <w:t>Exercise</w:t>
            </w:r>
          </w:p>
        </w:tc>
      </w:tr>
      <w:tr>
        <w:trPr>
          <w:trHeight w:val="237"/>
        </w:trPr>
        <w:tc>
          <w:tcPr>
            <w:tcW w:w="1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Number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Price</w:t>
            </w:r>
          </w:p>
        </w:tc>
        <w:tc>
          <w:tcPr>
            <w:tcW w:w="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Number</w:t>
            </w:r>
          </w:p>
        </w:tc>
        <w:tc>
          <w:tcPr>
            <w:tcW w:w="140" w:type="dxa"/>
            <w:vAlign w:val="bottom"/>
          </w:tcPr>
          <w:p>
            <w:pPr>
              <w:spacing w:after="0"/>
              <w:rPr>
                <w:sz w:val="20"/>
                <w:szCs w:val="20"/>
                <w:color w:val="auto"/>
              </w:rPr>
            </w:pPr>
          </w:p>
        </w:tc>
        <w:tc>
          <w:tcPr>
            <w:tcW w:w="2380" w:type="dxa"/>
            <w:vAlign w:val="bottom"/>
            <w:gridSpan w:val="2"/>
          </w:tcPr>
          <w:p>
            <w:pPr>
              <w:jc w:val="center"/>
              <w:ind w:right="1700"/>
              <w:spacing w:after="0"/>
              <w:rPr>
                <w:sz w:val="20"/>
                <w:szCs w:val="20"/>
                <w:color w:val="auto"/>
              </w:rPr>
            </w:pPr>
            <w:r>
              <w:rPr>
                <w:rFonts w:ascii="Arial" w:cs="Arial" w:eastAsia="Arial" w:hAnsi="Arial"/>
                <w:sz w:val="18"/>
                <w:szCs w:val="18"/>
                <w:color w:val="auto"/>
                <w:w w:val="87"/>
              </w:rPr>
              <w:t>Price</w:t>
            </w:r>
          </w:p>
        </w:tc>
      </w:tr>
      <w:tr>
        <w:trPr>
          <w:trHeight w:val="216"/>
        </w:trPr>
        <w:tc>
          <w:tcPr>
            <w:tcW w:w="170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8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2660" w:type="dxa"/>
            <w:vAlign w:val="bottom"/>
          </w:tcPr>
          <w:p>
            <w:pPr>
              <w:ind w:left="320"/>
              <w:spacing w:after="0"/>
              <w:rPr>
                <w:sz w:val="20"/>
                <w:szCs w:val="20"/>
                <w:color w:val="auto"/>
              </w:rPr>
            </w:pPr>
            <w:r>
              <w:rPr>
                <w:rFonts w:ascii="Arial" w:cs="Arial" w:eastAsia="Arial" w:hAnsi="Arial"/>
                <w:sz w:val="18"/>
                <w:szCs w:val="18"/>
                <w:color w:val="auto"/>
              </w:rPr>
              <w:t>Issued</w:t>
            </w:r>
          </w:p>
        </w:tc>
        <w:tc>
          <w:tcPr>
            <w:tcW w:w="17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2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60" w:type="dxa"/>
            <w:vAlign w:val="bottom"/>
          </w:tcPr>
          <w:p>
            <w:pPr>
              <w:ind w:left="320"/>
              <w:spacing w:after="0"/>
              <w:rPr>
                <w:sz w:val="20"/>
                <w:szCs w:val="20"/>
                <w:color w:val="auto"/>
              </w:rPr>
            </w:pPr>
            <w:r>
              <w:rPr>
                <w:rFonts w:ascii="Arial" w:cs="Arial" w:eastAsia="Arial" w:hAnsi="Arial"/>
                <w:sz w:val="18"/>
                <w:szCs w:val="18"/>
                <w:color w:val="auto"/>
              </w:rPr>
              <w:t>Expired</w:t>
            </w:r>
          </w:p>
        </w:tc>
        <w:tc>
          <w:tcPr>
            <w:tcW w:w="25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19"/>
                <w:szCs w:val="19"/>
                <w:color w:val="auto"/>
              </w:rPr>
            </w:pPr>
          </w:p>
        </w:tc>
        <w:tc>
          <w:tcPr>
            <w:tcW w:w="2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Modification</w:t>
            </w:r>
          </w:p>
        </w:tc>
        <w:tc>
          <w:tcPr>
            <w:tcW w:w="2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10"/>
        </w:trPr>
        <w:tc>
          <w:tcPr>
            <w:tcW w:w="17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Outstanding, Sept. 30</w:t>
            </w:r>
          </w:p>
        </w:tc>
        <w:tc>
          <w:tcPr>
            <w:tcW w:w="17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11,842</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80" w:type="dxa"/>
            <w:vAlign w:val="bottom"/>
          </w:tcPr>
          <w:p>
            <w:pPr>
              <w:spacing w:after="0"/>
              <w:rPr>
                <w:sz w:val="18"/>
                <w:szCs w:val="18"/>
                <w:color w:val="auto"/>
              </w:rPr>
            </w:pPr>
          </w:p>
        </w:tc>
      </w:tr>
      <w:tr>
        <w:trPr>
          <w:trHeight w:val="641"/>
        </w:trPr>
        <w:tc>
          <w:tcPr>
            <w:tcW w:w="1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8"/>
                <w:szCs w:val="18"/>
                <w:color w:val="auto"/>
              </w:rPr>
              <w:t>F-18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July 2017 private placement transaction with Mr. Schutte, we issued warrants to purchase 1,782,531 shares of our common stock. The warrants are immediately exercisable at a price of $0.528 per share and expire five years after issuance (See Note 9). We have assigned a relative fair value of $495 thousand to the warrants out of the total $4.0 million proceeds from the private placement transaction and have accounted for these warrants as equity.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We obtained a valuation of fair value on the warrant and $1.145 million was allocated to the warrant and accounted for as equity. (See Note 8 and Note 9). The warrant was assigned and transferred by Mr. Schutte to AD Pharma on June 28,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several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closing market price of our common stock on the date of grant.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total share-based compensation expense recognized in the Company’s results of operations from non-cash and cash-portioned instruments issued to our employees and directors comprised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4"/>
          </w:tcPr>
          <w:p>
            <w:pPr>
              <w:ind w:left="320"/>
              <w:spacing w:after="0"/>
              <w:rPr>
                <w:sz w:val="20"/>
                <w:szCs w:val="20"/>
                <w:color w:val="auto"/>
              </w:rPr>
            </w:pPr>
            <w:r>
              <w:rPr>
                <w:rFonts w:ascii="Arial" w:cs="Arial" w:eastAsia="Arial" w:hAnsi="Arial"/>
                <w:sz w:val="18"/>
                <w:szCs w:val="18"/>
                <w:color w:val="auto"/>
                <w:w w:val="95"/>
              </w:rPr>
              <w:t>Three months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40" w:type="dxa"/>
            <w:vAlign w:val="bottom"/>
            <w:gridSpan w:val="4"/>
          </w:tcPr>
          <w:p>
            <w:pPr>
              <w:jc w:val="right"/>
              <w:ind w:right="261"/>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86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10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Subtotal</w:t>
            </w:r>
          </w:p>
        </w:tc>
        <w:tc>
          <w:tcPr>
            <w:tcW w:w="10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581"/>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860" w:type="dxa"/>
            <w:vAlign w:val="bottom"/>
            <w:gridSpan w:val="2"/>
            <w:shd w:val="clear" w:color="auto" w:fill="CCEEFF"/>
          </w:tcPr>
          <w:p>
            <w:pPr>
              <w:jc w:val="right"/>
              <w:ind w:right="63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0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1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8"/>
                <w:szCs w:val="18"/>
                <w:color w:val="auto"/>
              </w:rPr>
              <w:t>F-19</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September 30, 2020 and 2019 and for the nine months then ended consisted of the following (in thousands except exercise price):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35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color w:val="auto"/>
              </w:rPr>
              <w:t>Nine Months ended September 30,</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44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30"/>
        </w:trPr>
        <w:tc>
          <w:tcPr>
            <w:tcW w:w="44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Price</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Price</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9"/>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shd w:val="clear" w:color="auto" w:fill="CCEEFF"/>
          </w:tcPr>
          <w:p>
            <w:pPr>
              <w:spacing w:after="0"/>
              <w:rPr>
                <w:sz w:val="19"/>
                <w:szCs w:val="19"/>
                <w:color w:val="auto"/>
              </w:rPr>
            </w:pPr>
          </w:p>
        </w:tc>
      </w:tr>
      <w:tr>
        <w:trPr>
          <w:trHeight w:val="210"/>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Sept. 30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CEEFF"/>
            </w:tcBorders>
          </w:tcPr>
          <w:p>
            <w:pPr>
              <w:spacing w:after="0"/>
              <w:rPr>
                <w:sz w:val="18"/>
                <w:szCs w:val="18"/>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Exercisable, Sept. 30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contained in the stock option awards which are vested and outstanding at September 30, 2020 was $22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being marked-to-market each reporting period until they are distributed and has been recorded as an other current liability in the Company’s consolidated balance sheet. The other current liability was $16 thousand and $29 thousand at September 30, 2020 and December 31, 2019,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grants under the RSU Plans as of September 30, 2020 and 2019, and for the nine months then ended consisted of the following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35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r>
      <w:tr>
        <w:trPr>
          <w:trHeight w:val="195"/>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Number of</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Number of</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Vested</w:t>
            </w:r>
          </w:p>
        </w:tc>
      </w:tr>
      <w:tr>
        <w:trPr>
          <w:trHeight w:val="230"/>
        </w:trPr>
        <w:tc>
          <w:tcPr>
            <w:tcW w:w="442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RSUs</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RSUs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RSUs</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RSUs</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Vested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r>
      <w:tr>
        <w:trPr>
          <w:trHeight w:val="230"/>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Outstanding, Sept. 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2017 RSU Plan was approved by shareholders in November 2017 and permits the grant of up to 1.5 million shares of our common stock pursuant to awards under the 2017 RSU Plan. There are no shares available for award under the 2017 RSU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both"/>
        <w:ind w:left="500" w:hanging="168"/>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vested 100% after one full year of service. Distributions of the vested RSU awards to the employees will be made in three equal installments on the first business day of each of January 2020, 2021, and 2022 or earlier upon a qualifying change of control.</w:t>
      </w:r>
    </w:p>
    <w:p>
      <w:pPr>
        <w:spacing w:after="0" w:line="2" w:lineRule="exact"/>
        <w:rPr>
          <w:rFonts w:ascii="Arial" w:cs="Arial" w:eastAsia="Arial" w:hAnsi="Arial"/>
          <w:sz w:val="18"/>
          <w:szCs w:val="18"/>
          <w:color w:val="auto"/>
        </w:rPr>
      </w:pPr>
    </w:p>
    <w:p>
      <w:pPr>
        <w:jc w:val="both"/>
        <w:ind w:left="500" w:hanging="168"/>
        <w:spacing w:after="0" w:line="28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January 2018, we awarded approximately 67 thousand RSUs to each of our four non-employee directors which also allow for them to receive payment in cash, instead of stock, for up to 40% of each RSU award. Such awards vest 25% at the end of each calendar quarter in 2018. Settlement of this RSU award occurred on January 2, 2019, the first business day of the year after vesting. The portion of the RSU awards which are subject to cash settlement are also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2" w:lineRule="exact"/>
        <w:rPr>
          <w:rFonts w:ascii="Arial" w:cs="Arial" w:eastAsia="Arial" w:hAnsi="Arial"/>
          <w:sz w:val="16"/>
          <w:szCs w:val="16"/>
          <w:color w:val="auto"/>
        </w:rPr>
      </w:pPr>
    </w:p>
    <w:p>
      <w:pPr>
        <w:jc w:val="both"/>
        <w:ind w:left="50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2018, we awarded 488 thousand RSUs to our employees. Such RSU awards vested 100% after one full year of service. Distributions of the vested RSU awards to the employees will be made in three equal installments on the first business day of each of January 2021, 2022, and 2023 or earlier upon a qualifying change of control.</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2019, we awarded approximately 83 thousand RSUs to each of our four non-employee directors which also allow for them to receive payment in cash, instead of stock, for up to 40% of each RSU award. Such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2" w:lineRule="exact"/>
        <w:rPr>
          <w:rFonts w:ascii="Arial" w:cs="Arial" w:eastAsia="Arial" w:hAnsi="Arial"/>
          <w:sz w:val="18"/>
          <w:szCs w:val="18"/>
          <w:color w:val="auto"/>
        </w:rPr>
      </w:pPr>
    </w:p>
    <w:p>
      <w:pPr>
        <w:jc w:val="both"/>
        <w:ind w:left="500" w:hanging="168"/>
        <w:spacing w:after="0" w:line="29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January 2020, we awarded approximately 55 thousand RSUs to each of our four non-employee directors which also allow for them to receive payment in cash, instead of stock, for up to 40% of each RSU award. Such awards vest 25% at the end of each calendar quarter in 2020. Settlement of this RSU award will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2017 RSU Plan is as follows:</w:t>
      </w:r>
    </w:p>
    <w:p>
      <w:pPr>
        <w:spacing w:after="0" w:line="225"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2019, 267 thousand RSUs were distributed to our non-employee directors from their January 2018 award and settled in common stock.</w:t>
      </w:r>
    </w:p>
    <w:p>
      <w:pPr>
        <w:spacing w:after="0" w:line="46" w:lineRule="exact"/>
        <w:rPr>
          <w:rFonts w:ascii="Arial" w:cs="Arial" w:eastAsia="Arial" w:hAnsi="Arial"/>
          <w:sz w:val="16"/>
          <w:szCs w:val="16"/>
          <w:color w:val="auto"/>
        </w:rPr>
      </w:pPr>
    </w:p>
    <w:p>
      <w:pPr>
        <w:ind w:left="500" w:hanging="168"/>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ind w:left="500" w:hanging="168"/>
        <w:spacing w:after="0" w:line="290"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January 2020, 64 thousand RSUs were distributed to our current and former employees representing one third of their 2017 award with 54 thousand RSUs settled in common stock and 10 thousand RSUs used to settle the purchase price and employee withholding taxes.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2014 RSU Plan was approved by shareholders in May 2014 and permits the grant of up to 400 thousand shares of our common stock pursuant to awards under the 2014 RSU Plan. There are no shares available for award under the 2014 RSU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$167.8 million gross Federal NOLs at September 30, 2020 (of which approximately $160.2 million was generated prior to January 1,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both September 30, 2020 and December 31, 2019,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EARNINGS (LOSS) PER SHARE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earnings (loss) per share (“EPS”) is computed by dividing net income or loss by the weighted average common shares outstanding during a period, including shares weighted related to both the vested Restricted Stock Units (“RSUs”) which settle in shares (See Note 11) and the common stock warrant exercisable for 10.0 million shares having an exercise price of $0.01 per share (See Note 10). Diluted EPS is based on the treasury stock method and computed based on the same number of shares used in the basic share calculation and includes the effect from potential issuance of common stock, such as shares issuable pursuant to the exercise of stock options, RSUs and stock warrants, assuming complete vesting and the exercise of all in-the-money stock options, RSUs and warrants. Common stock equivalents are excluded from the computation where their inclusion would be anti-dilutive. In any reporting period the Company had a net loss, including the effects of the common stock equivalents in the diluted EPS calculations for these periods would have been antidilutive. The weighted-average common share outstanding diluted computation is not impacted during any period where the exercise price of a stock option, RSU, common stock warrant or convertible loan is greater than the average market closing price of our common stock during such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numerators and denominators of basic and diluted EPS consisted of the following (in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2520" w:type="dxa"/>
            <w:vAlign w:val="bottom"/>
            <w:gridSpan w:val="6"/>
          </w:tcPr>
          <w:p>
            <w:pPr>
              <w:jc w:val="right"/>
              <w:ind w:right="681"/>
              <w:spacing w:after="0"/>
              <w:rPr>
                <w:sz w:val="20"/>
                <w:szCs w:val="20"/>
                <w:color w:val="auto"/>
              </w:rPr>
            </w:pPr>
            <w:r>
              <w:rPr>
                <w:rFonts w:ascii="Arial" w:cs="Arial" w:eastAsia="Arial" w:hAnsi="Arial"/>
                <w:sz w:val="18"/>
                <w:szCs w:val="18"/>
                <w:color w:val="auto"/>
              </w:rPr>
              <w:t>Nine months Ended</w:t>
            </w:r>
          </w:p>
        </w:tc>
      </w:tr>
      <w:tr>
        <w:trPr>
          <w:trHeight w:val="230"/>
        </w:trPr>
        <w:tc>
          <w:tcPr>
            <w:tcW w:w="4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380" w:type="dxa"/>
            <w:vAlign w:val="bottom"/>
          </w:tcPr>
          <w:p>
            <w:pPr>
              <w:ind w:left="340"/>
              <w:spacing w:after="0"/>
              <w:rPr>
                <w:sz w:val="20"/>
                <w:szCs w:val="20"/>
                <w:color w:val="auto"/>
              </w:rPr>
            </w:pPr>
            <w:r>
              <w:rPr>
                <w:rFonts w:ascii="Arial" w:cs="Arial" w:eastAsia="Arial" w:hAnsi="Arial"/>
                <w:sz w:val="18"/>
                <w:szCs w:val="18"/>
                <w:color w:val="auto"/>
              </w:rPr>
              <w:t>Numerator: net income (loss)</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(678)</w:t>
            </w: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(965)</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(3,929)</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21,650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21,300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21,650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21,300</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 - vested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243</w:t>
            </w:r>
          </w:p>
        </w:tc>
      </w:tr>
      <w:tr>
        <w:trPr>
          <w:trHeight w:val="229"/>
        </w:trPr>
        <w:tc>
          <w:tcPr>
            <w:tcW w:w="4380" w:type="dxa"/>
            <w:vAlign w:val="bottom"/>
          </w:tcPr>
          <w:p>
            <w:pPr>
              <w:ind w:left="340"/>
              <w:spacing w:after="0"/>
              <w:rPr>
                <w:sz w:val="20"/>
                <w:szCs w:val="20"/>
                <w:color w:val="auto"/>
              </w:rPr>
            </w:pPr>
            <w:r>
              <w:rPr>
                <w:rFonts w:ascii="Arial" w:cs="Arial" w:eastAsia="Arial" w:hAnsi="Arial"/>
                <w:sz w:val="18"/>
                <w:szCs w:val="18"/>
                <w:color w:val="auto"/>
              </w:rPr>
              <w:t>Common stock purchase warrants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3,480</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(loss) per share – basic</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Numerator: net income (loss)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Common shares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21,650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21,300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21,650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21,300</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243</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3,480</w:t>
            </w:r>
          </w:p>
        </w:tc>
      </w:tr>
      <w:tr>
        <w:trPr>
          <w:trHeight w:val="229"/>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purchase warrants</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25,023</w:t>
            </w:r>
          </w:p>
        </w:tc>
        <w:tc>
          <w:tcPr>
            <w:tcW w:w="100" w:type="dxa"/>
            <w:vAlign w:val="bottom"/>
            <w:tcBorders>
              <w:bottom w:val="single" w:sz="8" w:color="CCEEFF"/>
            </w:tcBorders>
          </w:tcPr>
          <w:p>
            <w:pPr>
              <w:spacing w:after="0"/>
              <w:rPr>
                <w:sz w:val="18"/>
                <w:szCs w:val="18"/>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Common shares issuable:</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542</w:t>
            </w: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1,378</w:t>
            </w: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purchase warrants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1,842</w:t>
            </w:r>
          </w:p>
        </w:tc>
      </w:tr>
      <w:tr>
        <w:trPr>
          <w:trHeight w:val="230"/>
        </w:trPr>
        <w:tc>
          <w:tcPr>
            <w:tcW w:w="4380" w:type="dxa"/>
            <w:vAlign w:val="bottom"/>
          </w:tcPr>
          <w:p>
            <w:pPr>
              <w:ind w:left="340"/>
              <w:spacing w:after="0"/>
              <w:rPr>
                <w:sz w:val="20"/>
                <w:szCs w:val="20"/>
                <w:color w:val="auto"/>
              </w:rPr>
            </w:pPr>
            <w:r>
              <w:rPr>
                <w:rFonts w:ascii="Arial" w:cs="Arial" w:eastAsia="Arial" w:hAnsi="Arial"/>
                <w:sz w:val="18"/>
                <w:szCs w:val="18"/>
                <w:color w:val="auto"/>
              </w:rPr>
              <w:t>Convertible loan</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37,500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37,500</w:t>
            </w:r>
          </w:p>
        </w:tc>
      </w:tr>
      <w:tr>
        <w:trPr>
          <w:trHeight w:val="209"/>
        </w:trPr>
        <w:tc>
          <w:tcPr>
            <w:tcW w:w="4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excluded potentially dilutive shares</w:t>
            </w: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641"/>
        </w:trPr>
        <w:tc>
          <w:tcPr>
            <w:tcW w:w="4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F-22</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054"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14 – SUBSEQUENT EVENT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Acura and AD Pharma entered into an amendment to the AD Pharma Agreement which reduced the monthly license payments from $350 thousand to $200 thousand starting with the May 2020 payment and the requirement that the NDA for LTX-03 now be accepted by the FDA by July 31, 2021. This change has been reflected in the financial statements for the three and nine months ended September 30, 2020. We have subsequently received the required monthly license payments for June thru October 2020 from AD Pharma.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statements in this “Management Discussion and Analysis of Financial Condition and Results of Operations” and elsewhere in this Quarterly Report on Form 10-Q that are not statements of historical fact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In some cases, you can identify forward-looking statements by terms such as “anticipate,” “believe,” “continue,” “could,” “estimate,” “expect,” “indicate,” “intend,” “look forward to,” “may,” “plan,” “potential,” “predict,” “project,” “seek”, “should,” “suggest,” “target,” “will,” “would” and similar expressions that convey the uncertainty of future events or outcomes are used to identify forward-looking statements. Forward-looking statements include, but are not necessarily limited to, those relating to:</w:t>
      </w:r>
    </w:p>
    <w:p>
      <w:pPr>
        <w:spacing w:after="0" w:line="178" w:lineRule="exact"/>
        <w:rPr>
          <w:sz w:val="20"/>
          <w:szCs w:val="20"/>
          <w:color w:val="auto"/>
        </w:rPr>
      </w:pPr>
    </w:p>
    <w:p>
      <w:pPr>
        <w:ind w:left="500" w:hanging="168"/>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receive FDA acceptance for an NDA for LTX-03 by the target date;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our licensing partners will develop any additional products and utilize Acura for such development;</w:t>
      </w:r>
    </w:p>
    <w:p>
      <w:pPr>
        <w:spacing w:after="0" w:line="9" w:lineRule="exact"/>
        <w:rPr>
          <w:rFonts w:ascii="Arial" w:cs="Arial" w:eastAsia="Arial" w:hAnsi="Arial"/>
          <w:sz w:val="18"/>
          <w:szCs w:val="18"/>
          <w:color w:val="auto"/>
        </w:rPr>
      </w:pPr>
    </w:p>
    <w:p>
      <w:pPr>
        <w:jc w:val="both"/>
        <w:ind w:left="500" w:hanging="168"/>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500" w:hanging="168"/>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2"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and timing of our development of our LIMITx Technology, including, but not limited to, the submission of a New Drug Application and/or FDA filing acceptance;</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product candidates will ultimately perform as intended in commercial settings.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reflect our current views with respect to future events and are based on assumptions and subject to known and unknown risks and uncertainties. Such forward-looking statements are not guarantees of future performance and are subject to risks, uncertainties and other factors, some of which are beyond the control of Acura.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Given these uncertainties, you should not place undue reliance on these forward-looking statements Factors that could cause actual results or conditions to differ from those anticipated by these and other forward-looking statements include those more fully described and incorporated by reference in the “</w:t>
      </w:r>
      <w:r>
        <w:rPr>
          <w:rFonts w:ascii="Arial" w:cs="Arial" w:eastAsia="Arial" w:hAnsi="Arial"/>
          <w:sz w:val="17"/>
          <w:szCs w:val="17"/>
          <w:b w:val="1"/>
          <w:bCs w:val="1"/>
          <w:color w:val="auto"/>
        </w:rPr>
        <w:t>RISK FACTORS</w:t>
      </w:r>
      <w:r>
        <w:rPr>
          <w:rFonts w:ascii="Arial" w:cs="Arial" w:eastAsia="Arial" w:hAnsi="Arial"/>
          <w:sz w:val="17"/>
          <w:szCs w:val="17"/>
          <w:color w:val="auto"/>
        </w:rPr>
        <w:t>” section and elsewhere in this Quarterly Report on Form 10-Q and in our Annual Report of Form 10-K for the fiscal year ended December 31, 2019.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2019, we entered into License, Development and Commercialization Agreement, which was amended in October 2020, (“AD Pharma Agreement”) with Abuse Deterrent Pharma, LLC, a Kentucky limited liability company (“AD Pharma”), a special purpose company representing a consortium of investors that will finance Acura’s operations through July 2021 and reimburse us for development of LTX-03. The AD Pharma Agreement grants AD Pharma exclusive commercialization rights in the United States to LTX-03 as well LTX-02 (oxycodone/acetaminophen) and LTX-09 (alprazolam).</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with Acura’s consent, all of its right, title and interest in the Agreement between MainPointe and Acura.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7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Misuse or Abuse of Prescription Opioid Products and Development of Risk Mitigation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Those who misuse or abuse drugs will often do so in one of the following manners:</w:t>
      </w:r>
    </w:p>
    <w:p>
      <w:pPr>
        <w:spacing w:after="0" w:line="188"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Overdose. Drug abusers may accidentally introduce excessive quantities of drugs in their systems or combine drugs that may heighten the chance of adverse effects of drugs. Some patients may over ingest drugs accidentally or with the express intent of suicide.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Safe use technology formulations incorporate physical and/or chemical barriers or functionality in the products to prevent or discourage a user from inappropriately administering the product. The extent and manner in which any of the features of these formulations may be described in the FDA approved label for our development products will be dependent on the results of and the acceptance by the FDA of our and our licensees’ studies for each product.</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Development of safe use products typically require one or more studies. These studies may include in vitro laboratory studies (which may include but not be limited to: syringeability of the formulation, extractability of the active ingredient, and particle size of the crushed product), animal studies (which may include but not be limited to: respiratory depression), and human clinical studies (which may include but not be limited to: human abuse liability, respiratory depression studies) comparing the benefits of our product candidates to currently marketed products.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our products use known active ingredients in approved dosage strengths, the safety and efficacy of the active ingredient(s) will need to be established by a series of pharmacokinetic studies demonstrating: (a) bioequivalence to an approved reference drug, (b) food effect of our formulations, (c) dose proportionality of our formulation, and (d) other external impacts to our unique formulations. A product candidate that does not achieve satisfactory pharmacokinetic results may require a phase III clinical efficacy study.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opioid products, if approved, to perform an epidemiology study to assess the in-market impact on abuse of our formulation and most approved opioid products are subject to an FDA approved risk evaluation and mitigations strategy (REMS).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Overdose Risk Mitigation - Products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598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LIMITx Technology Products</w:t>
            </w:r>
          </w:p>
        </w:tc>
        <w:tc>
          <w:tcPr>
            <w:tcW w:w="5260" w:type="dxa"/>
            <w:vAlign w:val="bottom"/>
            <w:tcBorders>
              <w:top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Status</w:t>
            </w:r>
          </w:p>
        </w:tc>
      </w:tr>
      <w:tr>
        <w:trPr>
          <w:trHeight w:val="324"/>
        </w:trPr>
        <w:tc>
          <w:tcPr>
            <w:tcW w:w="5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hydrocodone bitartrate with acetaminophen (LTX-03)</w:t>
            </w: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Initial buffer dose ranging study completed October 2017</w:t>
            </w:r>
          </w:p>
        </w:tc>
      </w:tr>
      <w:tr>
        <w:trPr>
          <w:trHeight w:val="432"/>
        </w:trPr>
        <w:tc>
          <w:tcPr>
            <w:tcW w:w="59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Follow on dose ranging study completed in January 2018</w:t>
            </w:r>
          </w:p>
        </w:tc>
      </w:tr>
      <w:tr>
        <w:trPr>
          <w:trHeight w:val="418"/>
        </w:trPr>
        <w:tc>
          <w:tcPr>
            <w:tcW w:w="59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Intermediate commercial scale manufacture of micro-particles</w:t>
            </w:r>
          </w:p>
        </w:tc>
      </w:tr>
      <w:tr>
        <w:trPr>
          <w:trHeight w:val="216"/>
        </w:trPr>
        <w:tc>
          <w:tcPr>
            <w:tcW w:w="59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complete with scale-up to FDA registration/clinical batches in</w:t>
            </w:r>
          </w:p>
        </w:tc>
      </w:tr>
      <w:tr>
        <w:trPr>
          <w:trHeight w:val="237"/>
        </w:trPr>
        <w:tc>
          <w:tcPr>
            <w:tcW w:w="59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planning.</w:t>
            </w:r>
          </w:p>
        </w:tc>
      </w:tr>
      <w:tr>
        <w:trPr>
          <w:trHeight w:val="331"/>
        </w:trPr>
        <w:tc>
          <w:tcPr>
            <w:tcW w:w="5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oxycodone HCl (LTX-01) &amp; (LTX-02)</w:t>
            </w:r>
          </w:p>
        </w:tc>
        <w:tc>
          <w:tcPr>
            <w:tcW w:w="5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Formulation development in process</w:t>
            </w:r>
          </w:p>
        </w:tc>
      </w:tr>
      <w:tr>
        <w:trPr>
          <w:trHeight w:val="331"/>
        </w:trPr>
        <w:tc>
          <w:tcPr>
            <w:tcW w:w="5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non-opioid drug (LTX-09)</w:t>
            </w:r>
          </w:p>
        </w:tc>
        <w:tc>
          <w:tcPr>
            <w:tcW w:w="5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Formulation development in process</w:t>
            </w:r>
          </w:p>
        </w:tc>
      </w:tr>
      <w:tr>
        <w:trPr>
          <w:trHeight w:val="310"/>
        </w:trPr>
        <w:tc>
          <w:tcPr>
            <w:tcW w:w="5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hydromorphone HCI (LTX-04)</w:t>
            </w:r>
          </w:p>
        </w:tc>
        <w:tc>
          <w:tcPr>
            <w:tcW w:w="5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Two Phase I exploratory pharmacokinetic studies completed. IND no</w:t>
            </w:r>
          </w:p>
        </w:tc>
      </w:tr>
      <w:tr>
        <w:trPr>
          <w:trHeight w:val="237"/>
        </w:trPr>
        <w:tc>
          <w:tcPr>
            <w:tcW w:w="59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longer active.</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Study 400 was a two cohort, open label, crossover design pharmacokinetic study of LTX-04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89" w:lineRule="auto"/>
        <w:rPr>
          <w:sz w:val="20"/>
          <w:szCs w:val="20"/>
          <w:color w:val="auto"/>
        </w:rPr>
      </w:pPr>
      <w:r>
        <w:rPr>
          <w:rFonts w:ascii="Arial" w:cs="Arial" w:eastAsia="Arial" w:hAnsi="Arial"/>
          <w:sz w:val="16"/>
          <w:szCs w:val="16"/>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Non-clinical Study APT-RDR-300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50%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intend to advance LTX-03 to clinical development for a New Drug Application (NDA). We submitted an Investigational New Drug Application, or IND with respect to LTX-03, to the FDA in the first quarter of 2018, which became effective in April 2018. We have completed a manufacturing formulation and manufacturing process optimization study for LTX-03. We are currently conducting the scale-up of the commercial manufacturing process as to-be-marketed formulations are required for all NDA development work. Ancillary manufacturing equipment has been installed and initial commercial scale manufacture is in testing. Successful scale-up will result in supplies of LTX-03 tablets for use in human clinical studies and start our formal drug stability program for which we need a minimum of six months of data for a New Drug Application. Among other things, we believe we will also have to demonstrate a scientific link between Cmax reductions and a reduction in the risk of respiratory depression.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28, 2019 we announced a License, Development and Commercialization Agreement, as amended in October 2020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be entitled to receive royalties and potential sales related milestones. AD Pharma also has licensed commercialization rights to LTX-02 (oxycodone/acetaminophen) and LTX-09 (alprazolam).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April 2020 and $200,000 thereafter until the earlier of July 31, 2021 or FDA’s acceptance of a New Drug Application (“NDA”) for LTX-03 and reimbursement by AD Pharma of Acura’s LTX-03 outside development expenses. Upon commercialization of LTX-03, Acura receives stepped royalties on sales and is eligible for certain sales related milestones. We have subsequently received the required monthly license payments for June thru October 2020 from AD Pharma.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by July 31, 2021, AD Pharma has the option to terminate the Agreement and take ownership of the LIMITx intellectual property. Should AD Pharma choose not to exercise this option to terminate and the NDA for LTX-03 is subsequently accepted by the FDA, such option expires.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We understand that MainPointe continues to market the Nexafed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Schutte is our largest shareholder and directly owns approximately 45.7% of our common stock (after giving effect to the exercise of warrants he holds). Mr. Schutte also controls MainPointe and is an investor in AD Pharma.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820" w:hanging="164"/>
        <w:spacing w:after="0" w:line="25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hanging="164"/>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Assertio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Assertio Agreement Covering Oxaydo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2015, we and Egalet US, Inc. and Egalet Ltd., each a subsidiary of Egalet Corporation, (now known as Assertio Holdings Inc and formerly known as Zyla Life Sciences),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Assertio Agreement, we and Assertio formed a joint steering committee to oversee commercialization strategies and the development of product line extensions. Assertio pays a significant portion of the expenses relating to (i) annual NDA PDUFA program fees, (ii) expenses of the FDA required post-marketing study for Oxaydo and (iii) expenses of clinical studies for product line extensions (additional strengths) of Oxaydo for the United States and pays all of the expenses of development and regulatory approval of Oxaydo for sale outside the United States. Assertio is responsible for all manufacturing and commercialization activities in the Territory for Oxaydo. Subject to certain exceptions, Assertio has final decision making authority with respect to all development and commercialization activities for Oxaydo, including pricing, subject to our co-promotion right. Assertio may develop Oxaydo for other countries and in additional strengths, in its discretion.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Assertio paid us an upfront payment of $5.0 million upon signing of the Assertio Agreement and a $2.5 million milestone in October 2015 in connection with the launch of Oxaydo. In addition, we will be entitled to a one-time $12.5 million milestone payment when worldwide Oxaydo net sales reach $150.0 million in a calendar year. In addition, we are entitled to receive from Assertio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Assertio to acquire intellectual property rights to commercialize Oxaydo, with an aggregate minimum floor.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89" w:lineRule="auto"/>
        <w:rPr>
          <w:sz w:val="20"/>
          <w:szCs w:val="20"/>
          <w:color w:val="auto"/>
        </w:rPr>
      </w:pPr>
      <w:r>
        <w:rPr>
          <w:rFonts w:ascii="Arial" w:cs="Arial" w:eastAsia="Arial" w:hAnsi="Arial"/>
          <w:sz w:val="16"/>
          <w:szCs w:val="16"/>
          <w:color w:val="auto"/>
        </w:rPr>
        <w:t>The Assertio Agreement expires upon the expiration of Assertio’s royalty payment obligations in all countries. Either party may terminate the Assertio Agreement in its entirety if the other party breaches a payment obligation, or otherwise materially breaches the Assertio Agreement, subject to applicable cure periods, or in the event the other party makes an assignment for the benefit of creditors, files a petition in bankruptcy or otherwise seeks relief under applicable bankruptcy laws. We also may terminate the Assertio Agreement with respect to the U.S. and other countries if Assertio materially breaches its commercialization obligations. Assertio may terminate the Assertio Agreement for convenience on 120 days prior written notice, which termination may not occur prior to the second anniversary of Assertio’s launch of Oxaydo. Termination does not affect a party’s rights accrued prior thereto, but there are no stated payments in connection with termination other than payments of obligations previously accrued. For all terminations (but not expiration), the Assertio Agreement provides for the transition of development and marketing of Oxaydo from Assertio to us, including the conveyance by Assertio to us of the trademarks and all regulatory filings and approvals relating to Oxaydo, and for Assertio’s supply of Oxaydo for a transition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September 30, 2020 we are unaware of KemPharm’s use of our Aversion technology under the KemPharm Agreement.</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Meth Resistant</w:t>
            </w:r>
          </w:p>
        </w:tc>
        <w:tc>
          <w:tcPr>
            <w:tcW w:w="150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w w:val="87"/>
              </w:rPr>
              <w:t>Meth Recovery</w:t>
            </w:r>
            <w:r>
              <w:rPr>
                <w:rFonts w:ascii="Arial" w:cs="Arial" w:eastAsia="Arial" w:hAnsi="Arial"/>
                <w:sz w:val="29"/>
                <w:szCs w:val="29"/>
                <w:b w:val="1"/>
                <w:bCs w:val="1"/>
                <w:color w:val="auto"/>
                <w:w w:val="87"/>
                <w:vertAlign w:val="superscript"/>
              </w:rPr>
              <w:t>1</w:t>
            </w:r>
          </w:p>
        </w:tc>
        <w:tc>
          <w:tcPr>
            <w:tcW w:w="1320" w:type="dxa"/>
            <w:vAlign w:val="bottom"/>
            <w:gridSpan w:val="2"/>
            <w:vMerge w:val="restart"/>
          </w:tcPr>
          <w:p>
            <w:pPr>
              <w:jc w:val="right"/>
              <w:ind w:right="387"/>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Product/Formulation</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Technology</w:t>
            </w:r>
          </w:p>
        </w:tc>
        <w:tc>
          <w:tcPr>
            <w:tcW w:w="150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Nexafed 30mg Technology</w:t>
            </w:r>
          </w:p>
        </w:tc>
        <w:tc>
          <w:tcPr>
            <w:tcW w:w="14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Impede® 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Tarex®</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8"/>
                <w:szCs w:val="18"/>
                <w:color w:val="auto"/>
              </w:rPr>
              <w:t>Nexafed 120mg Extended-release tablets</w:t>
            </w:r>
          </w:p>
        </w:tc>
        <w:tc>
          <w:tcPr>
            <w:tcW w:w="1460" w:type="dxa"/>
            <w:vAlign w:val="bottom"/>
            <w:gridSpan w:val="3"/>
          </w:tcPr>
          <w:p>
            <w:pPr>
              <w:ind w:left="100"/>
              <w:spacing w:after="0"/>
              <w:rPr>
                <w:sz w:val="20"/>
                <w:szCs w:val="20"/>
                <w:color w:val="auto"/>
              </w:rPr>
            </w:pPr>
            <w:r>
              <w:rPr>
                <w:rFonts w:ascii="Arial" w:cs="Arial" w:eastAsia="Arial" w:hAnsi="Arial"/>
                <w:sz w:val="18"/>
                <w:szCs w:val="18"/>
                <w:color w:val="auto"/>
              </w:rPr>
              <w:t>Impede® 2.0</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 however effective with the October 2020 amendment to the AD Pharma Agreement, this option and right was rescinded.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2020, MainPointe assigned to AD Pharma, with Acura’s consent, all of its right, title and interest in the MainPointe Agreement between MainPointe and Acura dated March 16,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Impede Technology Products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Given the fragmented nature of the PSE market with products containing multiple active ingredients, we have developed additional products for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Nexafed franchise:</w:t>
      </w:r>
    </w:p>
    <w:p>
      <w:pPr>
        <w:spacing w:after="0" w:line="205"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5360" w:type="dxa"/>
            <w:vAlign w:val="bottom"/>
            <w:tcBorders>
              <w:top w:val="single" w:sz="8" w:color="auto"/>
              <w:left w:val="single" w:sz="8" w:color="auto"/>
              <w:bottom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Impede Technology Products</w:t>
            </w:r>
          </w:p>
        </w:tc>
        <w:tc>
          <w:tcPr>
            <w:tcW w:w="4740" w:type="dxa"/>
            <w:vAlign w:val="bottom"/>
            <w:tcBorders>
              <w:top w:val="single" w:sz="8" w:color="auto"/>
              <w:bottom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rPr>
              <w:t>Status</w:t>
            </w:r>
          </w:p>
        </w:tc>
      </w:tr>
      <w:tr>
        <w:trPr>
          <w:trHeight w:val="210"/>
        </w:trPr>
        <w:tc>
          <w:tcPr>
            <w:tcW w:w="5360" w:type="dxa"/>
            <w:vAlign w:val="bottom"/>
            <w:tcBorders>
              <w:left w:val="single" w:sz="8" w:color="auto"/>
              <w:bottom w:val="single" w:sz="8" w:color="auto"/>
              <w:right w:val="single" w:sz="8" w:color="auto"/>
            </w:tcBorders>
          </w:tcPr>
          <w:p>
            <w:pPr>
              <w:spacing w:after="0"/>
              <w:rPr>
                <w:sz w:val="18"/>
                <w:szCs w:val="18"/>
                <w:color w:val="auto"/>
              </w:rPr>
            </w:pPr>
          </w:p>
        </w:tc>
        <w:tc>
          <w:tcPr>
            <w:tcW w:w="4740" w:type="dxa"/>
            <w:vAlign w:val="bottom"/>
            <w:tcBorders>
              <w:bottom w:val="single" w:sz="8" w:color="auto"/>
              <w:right w:val="single" w:sz="8" w:color="auto"/>
            </w:tcBorders>
          </w:tcPr>
          <w:p>
            <w:pPr>
              <w:spacing w:after="0"/>
              <w:rPr>
                <w:sz w:val="18"/>
                <w:szCs w:val="18"/>
                <w:color w:val="auto"/>
              </w:rPr>
            </w:pPr>
          </w:p>
        </w:tc>
      </w:tr>
      <w:tr>
        <w:trPr>
          <w:trHeight w:val="195"/>
        </w:trPr>
        <w:tc>
          <w:tcPr>
            <w:tcW w:w="5360" w:type="dxa"/>
            <w:vAlign w:val="bottom"/>
            <w:tcBorders>
              <w:left w:val="single" w:sz="8" w:color="auto"/>
              <w:right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Extended-release formulation utilizing Impede 2.0 Technology</w:t>
            </w:r>
          </w:p>
        </w:tc>
        <w:tc>
          <w:tcPr>
            <w:tcW w:w="4740" w:type="dxa"/>
            <w:vAlign w:val="bottom"/>
            <w:tcBorders>
              <w:right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2"/>
              </w:rPr>
              <w:t>Pilot pharmacokinetic testing demonstrated bioequivalence to</w:t>
            </w:r>
          </w:p>
        </w:tc>
      </w:tr>
      <w:tr>
        <w:trPr>
          <w:trHeight w:val="216"/>
        </w:trPr>
        <w:tc>
          <w:tcPr>
            <w:tcW w:w="5360" w:type="dxa"/>
            <w:vAlign w:val="bottom"/>
            <w:tcBorders>
              <w:left w:val="single" w:sz="8" w:color="auto"/>
              <w:right w:val="single" w:sz="8" w:color="auto"/>
            </w:tcBorders>
            <w:shd w:val="clear" w:color="auto" w:fill="CCEEFF"/>
          </w:tcPr>
          <w:p>
            <w:pPr>
              <w:spacing w:after="0"/>
              <w:rPr>
                <w:sz w:val="18"/>
                <w:szCs w:val="18"/>
                <w:color w:val="auto"/>
              </w:rPr>
            </w:pPr>
          </w:p>
        </w:tc>
        <w:tc>
          <w:tcPr>
            <w:tcW w:w="47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Sudafed® 12-hour Tablets. Pre-IND meeting held with the</w:t>
            </w:r>
          </w:p>
        </w:tc>
      </w:tr>
      <w:tr>
        <w:trPr>
          <w:trHeight w:val="230"/>
        </w:trPr>
        <w:tc>
          <w:tcPr>
            <w:tcW w:w="53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74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FDA No imminent development planned</w:t>
            </w:r>
          </w:p>
        </w:tc>
      </w:tr>
      <w:tr>
        <w:trPr>
          <w:trHeight w:val="210"/>
        </w:trPr>
        <w:tc>
          <w:tcPr>
            <w:tcW w:w="53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Extended-release combination products</w:t>
            </w:r>
          </w:p>
        </w:tc>
        <w:tc>
          <w:tcPr>
            <w:tcW w:w="47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 imminent development planned</w:t>
            </w:r>
          </w:p>
        </w:tc>
      </w:tr>
      <w:tr>
        <w:trPr>
          <w:trHeight w:val="210"/>
        </w:trPr>
        <w:tc>
          <w:tcPr>
            <w:tcW w:w="536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Loratadine with pseudoephedrine</w:t>
            </w:r>
          </w:p>
        </w:tc>
        <w:tc>
          <w:tcPr>
            <w:tcW w:w="474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 imminent development planned</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Reference Brand</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ind w:left="960"/>
              <w:spacing w:after="0"/>
              <w:rPr>
                <w:sz w:val="20"/>
                <w:szCs w:val="20"/>
                <w:color w:val="auto"/>
              </w:rPr>
            </w:pPr>
            <w:r>
              <w:rPr>
                <w:rFonts w:ascii="Arial" w:cs="Arial" w:eastAsia="Arial" w:hAnsi="Arial"/>
                <w:sz w:val="18"/>
                <w:szCs w:val="18"/>
                <w:b w:val="1"/>
                <w:bCs w:val="1"/>
                <w:color w:val="auto"/>
              </w:rPr>
              <w:t>Active</w:t>
            </w:r>
          </w:p>
        </w:tc>
        <w:tc>
          <w:tcPr>
            <w:tcW w:w="300" w:type="dxa"/>
            <w:vAlign w:val="bottom"/>
          </w:tcPr>
          <w:p>
            <w:pPr>
              <w:spacing w:after="0"/>
              <w:rPr>
                <w:sz w:val="18"/>
                <w:szCs w:val="18"/>
                <w:color w:val="auto"/>
              </w:rPr>
            </w:pPr>
          </w:p>
        </w:tc>
        <w:tc>
          <w:tcPr>
            <w:tcW w:w="212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2014 Retail Sales</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4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Brand Company</w:t>
            </w:r>
          </w:p>
        </w:tc>
        <w:tc>
          <w:tcPr>
            <w:tcW w:w="10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Ingredient(s)</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Claritin-D</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2420" w:type="dxa"/>
            <w:vAlign w:val="bottom"/>
            <w:shd w:val="clear" w:color="auto" w:fill="CCEEFF"/>
          </w:tcPr>
          <w:p>
            <w:pPr>
              <w:ind w:left="100"/>
              <w:spacing w:after="0" w:line="263" w:lineRule="exact"/>
              <w:rPr>
                <w:sz w:val="20"/>
                <w:szCs w:val="20"/>
                <w:color w:val="auto"/>
              </w:rPr>
            </w:pPr>
            <w:r>
              <w:rPr>
                <w:rFonts w:ascii="Arial" w:cs="Arial" w:eastAsia="Arial" w:hAnsi="Arial"/>
                <w:sz w:val="18"/>
                <w:szCs w:val="18"/>
                <w:color w:val="auto"/>
              </w:rPr>
              <w:t>PSE &amp; Loraditine</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Chattem</w:t>
            </w:r>
          </w:p>
        </w:tc>
        <w:tc>
          <w:tcPr>
            <w:tcW w:w="2500" w:type="dxa"/>
            <w:vAlign w:val="bottom"/>
            <w:gridSpan w:val="2"/>
          </w:tcPr>
          <w:p>
            <w:pPr>
              <w:ind w:left="100"/>
              <w:spacing w:after="0" w:line="270"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500" w:type="dxa"/>
            <w:vAlign w:val="bottom"/>
            <w:gridSpan w:val="2"/>
            <w:shd w:val="clear" w:color="auto" w:fill="CCEEFF"/>
          </w:tcPr>
          <w:p>
            <w:pPr>
              <w:ind w:left="100"/>
              <w:spacing w:after="0" w:line="270"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264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PSE &amp; Ibuprofen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500" w:type="dxa"/>
            <w:vAlign w:val="bottom"/>
            <w:gridSpan w:val="2"/>
            <w:shd w:val="clear" w:color="auto" w:fill="CCEEFF"/>
          </w:tcPr>
          <w:p>
            <w:pPr>
              <w:ind w:left="100"/>
              <w:spacing w:after="0" w:line="270"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PSE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Extended release PSE formulations</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2014 market for 30mg PSE tablets, including store brands was approximately 470 million tablets or 19 million boxes of 24 tablets. 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8"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2016 US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vMerge w:val="restart"/>
          </w:tcPr>
          <w:p>
            <w:pPr>
              <w:ind w:left="1680"/>
              <w:spacing w:after="0"/>
              <w:rPr>
                <w:sz w:val="20"/>
                <w:szCs w:val="20"/>
                <w:color w:val="auto"/>
              </w:rPr>
            </w:pPr>
            <w:r>
              <w:rPr>
                <w:rFonts w:ascii="Arial" w:cs="Arial" w:eastAsia="Arial" w:hAnsi="Arial"/>
                <w:sz w:val="18"/>
                <w:szCs w:val="18"/>
                <w:b w:val="1"/>
                <w:bCs w:val="1"/>
                <w:color w:val="auto"/>
              </w:rPr>
              <w:t>IR Opioid Products</w:t>
            </w:r>
            <w:r>
              <w:rPr>
                <w:rFonts w:ascii="Arial" w:cs="Arial" w:eastAsia="Arial" w:hAnsi="Arial"/>
                <w:sz w:val="29"/>
                <w:szCs w:val="29"/>
                <w:b w:val="1"/>
                <w:bCs w:val="1"/>
                <w:color w:val="auto"/>
                <w:vertAlign w:val="superscript"/>
              </w:rPr>
              <w:t>(1)</w:t>
            </w:r>
          </w:p>
        </w:tc>
        <w:tc>
          <w:tcPr>
            <w:tcW w:w="80" w:type="dxa"/>
            <w:vAlign w:val="bottom"/>
            <w:vMerge w:val="restart"/>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Prescriptions</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10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9"/>
              </w:rPr>
              <w:t>(Millions)</w:t>
            </w:r>
            <w:r>
              <w:rPr>
                <w:rFonts w:ascii="Arial" w:cs="Arial" w:eastAsia="Arial" w:hAnsi="Arial"/>
                <w:sz w:val="29"/>
                <w:szCs w:val="29"/>
                <w:b w:val="1"/>
                <w:bCs w:val="1"/>
                <w:color w:val="auto"/>
                <w:w w:val="89"/>
                <w:vertAlign w:val="superscript"/>
              </w:rPr>
              <w:t>(2)</w:t>
            </w:r>
          </w:p>
        </w:tc>
        <w:tc>
          <w:tcPr>
            <w:tcW w:w="14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Total</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Others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10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280" w:right="4080" w:hanging="166"/>
        <w:spacing w:after="0" w:line="216" w:lineRule="auto"/>
        <w:tabs>
          <w:tab w:leader="none" w:pos="223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220" w:hanging="106"/>
        <w:spacing w:after="0" w:line="192" w:lineRule="auto"/>
        <w:tabs>
          <w:tab w:leader="none" w:pos="222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IMS Health, 2016</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Products Using Our Technologies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960" w:type="dxa"/>
            <w:vAlign w:val="bottom"/>
            <w:tcBorders>
              <w:top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9,101,636</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9,320,796</w:t>
            </w:r>
          </w:p>
        </w:tc>
        <w:tc>
          <w:tcPr>
            <w:tcW w:w="1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9,662,393</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May 2017</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10,441,657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2019</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10,688,184</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Jun. 2020</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3 or more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2,892,908</w:t>
            </w:r>
          </w:p>
        </w:tc>
        <w:tc>
          <w:tcPr>
            <w:tcW w:w="1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(CAN)</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5,922,851</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(JAPAN)</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ZL201380062421.0 (CHN)</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201711090908.6 (CHN)</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Oct.2020</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2,925,304</w:t>
            </w:r>
          </w:p>
        </w:tc>
        <w:tc>
          <w:tcPr>
            <w:tcW w:w="1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(EUR)</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2015124694 (RUS)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2013352162 (AUS)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366159 (MEX)</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 2019</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238713 (ISR)</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Abuse deterrent products wherein the release of active ingredient is retarded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 2019</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when excessive doses are consumed</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84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7,201,920 (US)</w:t>
            </w:r>
          </w:p>
        </w:tc>
        <w:tc>
          <w:tcPr>
            <w:tcW w:w="58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Pharmaceutical compositions including a mixture of functional inactive</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ingredients and specific opioid analgesics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7,510,726 (US)</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4"/>
              </w:rPr>
              <w:t>A wider range of compositions than those described in the 7,201,920 Patent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 2009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2023</w:t>
            </w: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7,981,439 (US)</w:t>
            </w:r>
          </w:p>
        </w:tc>
        <w:tc>
          <w:tcPr>
            <w:tcW w:w="58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including any water soluble drug susceptible to</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Jul. 2011</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2024</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8,409,616 (US)</w:t>
            </w:r>
          </w:p>
        </w:tc>
        <w:tc>
          <w:tcPr>
            <w:tcW w:w="5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Pharmaceutical compositions of immediate-release abuse deterrent dosage</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2013</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forms</w:t>
            </w: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8,637,540 (US)</w:t>
            </w:r>
          </w:p>
        </w:tc>
        <w:tc>
          <w:tcPr>
            <w:tcW w:w="58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5"/>
              </w:rPr>
              <w:t>Jan.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9,492,443 (US)</w:t>
            </w:r>
          </w:p>
        </w:tc>
        <w:tc>
          <w:tcPr>
            <w:tcW w:w="58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products</w:t>
            </w: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We have the following additional issued patents relating to our Aversion Technology:</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84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8,822,489</w:t>
            </w:r>
          </w:p>
        </w:tc>
        <w:tc>
          <w:tcPr>
            <w:tcW w:w="186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584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2"/>
              </w:rPr>
              <w:t>Pharmaceutical compositions of certain abuse deterrent products that contain</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polymers, surfactant and polysorb 80</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9"/>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2,004,294,953 (AUS)</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210"/>
        </w:trPr>
        <w:tc>
          <w:tcPr>
            <w:tcW w:w="272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2,010,200,979 (AUS)</w:t>
            </w: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8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9"/>
              </w:rPr>
              <w:t>2,547,334</w:t>
            </w:r>
          </w:p>
        </w:tc>
        <w:tc>
          <w:tcPr>
            <w:tcW w:w="1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8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2,647,360</w:t>
            </w:r>
          </w:p>
        </w:tc>
        <w:tc>
          <w:tcPr>
            <w:tcW w:w="1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May 2012</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 2027</w:t>
            </w:r>
          </w:p>
        </w:tc>
      </w:tr>
      <w:tr>
        <w:trPr>
          <w:trHeight w:val="209"/>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175,863 (ISR)</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272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221,018 (ISR)</w:t>
            </w:r>
          </w:p>
        </w:tc>
        <w:tc>
          <w:tcPr>
            <w:tcW w:w="58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09"/>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1694260 (EUR)</w:t>
            </w: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2024</w:t>
            </w:r>
          </w:p>
        </w:tc>
      </w:tr>
      <w:tr>
        <w:trPr>
          <w:trHeight w:val="668"/>
        </w:trPr>
        <w:tc>
          <w:tcPr>
            <w:tcW w:w="8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F-38</w:t>
            </w:r>
          </w:p>
        </w:tc>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09"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Patent No. (Jurisdiction)</w:t>
            </w:r>
          </w:p>
        </w:tc>
        <w:tc>
          <w:tcPr>
            <w:tcW w:w="5960" w:type="dxa"/>
            <w:vAlign w:val="bottom"/>
            <w:tcBorders>
              <w:top w:val="single" w:sz="8" w:color="auto"/>
              <w:bottom w:val="single" w:sz="8" w:color="auto"/>
              <w:right w:val="single" w:sz="8" w:color="auto"/>
            </w:tcBorders>
          </w:tcPr>
          <w:p>
            <w:pPr>
              <w:ind w:left="2380"/>
              <w:spacing w:after="0"/>
              <w:rPr>
                <w:sz w:val="20"/>
                <w:szCs w:val="20"/>
                <w:color w:val="auto"/>
              </w:rPr>
            </w:pPr>
            <w:r>
              <w:rPr>
                <w:rFonts w:ascii="Arial" w:cs="Arial" w:eastAsia="Arial" w:hAnsi="Arial"/>
                <w:sz w:val="18"/>
                <w:szCs w:val="18"/>
                <w:b w:val="1"/>
                <w:bCs w:val="1"/>
                <w:color w:val="auto"/>
              </w:rPr>
              <w:t>Subject Matter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8,901,113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9,757,466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2017</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10,004,699 (US)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Methods and compositions for interfering with extraction or conversion of a</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2035</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drug susceptible to abuse</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10,155,044 (US)</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Dec. 2018</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2010300641 (AUS)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2,775,890 (CAN)</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2,488,029 (EUR)</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2016</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218533 (ISR)</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Jan.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272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2015274936 (AUS)</w:t>
            </w:r>
          </w:p>
        </w:tc>
        <w:tc>
          <w:tcPr>
            <w:tcW w:w="59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Methods and compositions for interfering with extraction or conversion of a</w:t>
            </w:r>
          </w:p>
        </w:tc>
        <w:tc>
          <w:tcPr>
            <w:tcW w:w="12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2018</w:t>
            </w:r>
          </w:p>
        </w:tc>
        <w:tc>
          <w:tcPr>
            <w:tcW w:w="134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2035</w:t>
            </w:r>
          </w:p>
        </w:tc>
      </w:tr>
      <w:tr>
        <w:trPr>
          <w:trHeight w:val="230"/>
        </w:trPr>
        <w:tc>
          <w:tcPr>
            <w:tcW w:w="2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drug susceptible to abuse</w:t>
            </w: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13102020.5 (HK)</w:t>
            </w:r>
          </w:p>
        </w:tc>
        <w:tc>
          <w:tcPr>
            <w:tcW w:w="5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Pharmaceutical compositions suitable for reducing the chemical conversion of</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Oct. 2016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Agreement and in the patent infringement settlement agreements described below, we have retained all intellectual property rights to our Aversion Technology, Impede Technology, LIMITx Technology and related product candidates.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On May 20, 2016, we, Purdue Pharma L.P. and Assertio settled patent infringement actions initiated by Purdue against Oxaydo and an Intes Parties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Reference is made to the Risk Factors contained in our Annual Report on Form 10-K for the year ended December 31, 2018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we had cash of $0.5 million, working capital of $0.4 million and an accumulated deficit of $389 million. We had a loss from operations of $0.6 million and a net loss of $1.0 million for the nine months ended September 30, 2020, and had a loss from operations of $725 thousand and a net loss of $3.8 million for the year ended December 31, 2019. We have suffered recurring losses and have not generated positive cash flows from operations. We anticipate operating losses to continue for the foreseeable future. As of November 12, 2020 our cash balance was approximately $1.0 million.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the License, Development and Commercialization Agreement dated June 28, 2019 and amended in October 2020 (the “AD Pharma Agreement”) requires AD Pharma to pay us monthly license payments of $350,000 from July 2019 through April 2020 and $200,000 thereafter until the earlier of July 31, 2021 or FDA’s acceptance of a New Drug Application (“NDA”) for LTX-03 and to pay all outside development costs for LTX-03. 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Our independent auditors have included in their report relating to our 2019 financial statements a “going concern” explanatory paragraph as to substantial doubt of our ability to continue as a going concern.</w:t>
      </w:r>
    </w:p>
    <w:p>
      <w:pPr>
        <w:spacing w:after="0" w:line="1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Also included in the AD Pharma Agreement is the requirement that the NDA for LTX-03 now be accepted by the FDA by July 31, 2021, or AD Pharma has the option to terminate the AD Pharma Agreement and take ownership of the LIMITx intellectual property. Importantly, such failure to meet this date will be an event of default under their $6.0 million note to Acura.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2019 financial statements a “going concern” explanatory paragraph as to substantial doubt of our ability to continue as a going concern.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2020 Compared to Three months Ended September 30, 2019</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3"/>
          </w:tcPr>
          <w:p>
            <w:pPr>
              <w:jc w:val="right"/>
              <w:ind w:right="600"/>
              <w:spacing w:after="0"/>
              <w:rPr>
                <w:sz w:val="20"/>
                <w:szCs w:val="20"/>
                <w:color w:val="auto"/>
              </w:rPr>
            </w:pPr>
            <w:r>
              <w:rPr>
                <w:rFonts w:ascii="Arial" w:cs="Arial" w:eastAsia="Arial" w:hAnsi="Arial"/>
                <w:sz w:val="18"/>
                <w:szCs w:val="18"/>
                <w:color w:val="auto"/>
                <w:w w:val="93"/>
              </w:rPr>
              <w:t>Increase (decrease)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0"/>
              </w:rPr>
              <w:t>$000’s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Royalties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 related party</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License fees – related party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Total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 (loss)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 related party</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Income (loss) before income taxes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(878)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(878)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license and development agreement with Abuse Deterrent Pharma, LLC (“AD Pharma”) for LTX-03, we earned license fees $0.3 million and $1.05 million during the three months ended September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is derived from research and development services we perform under the license and development agreement with AD Pharma for LTX-03. We recognized $96 thousand and $102 thousand of collaboration revenue during the three months ended September 30,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license agreement with Assertio for Oxaydo Tablets, we earn a royalty based on product net sales. We recognized $11 thousand and $171 thousand of royalty revenue during the three months ended September 30, 2020 and 2019,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our license agreement with MainPointe for our Nexafed product line, we earn a royalty based on product net sales. We recognized $3 thousand and $1 thousand of royalty revenue during the three months ended September 30, 2020 and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primarily associated with our Limitx Technology LTX-03 development activity under the AD Pharma agreement. Included in September 30, 2019 reported quarterly expenses are share-based compensation expenses of approximately $5 thousand. Excluding the share-based compensation expense, our research and development expenses increased by approximately $59 thousand between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Included in the 2020 and 2019 quarterly results are share-based compensation expenses of approximately $9 thousand and $43 thousand, respectively. Excluding this share-based compensation expense, our general and administrative expenses decreased by approximately $58 thousand between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2020 and 2019, we incurred interest expense of $113 thousand and $111 thousand, respectively on our term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the three months ended September 30, 2020 and 2019 show no federal or state income tax benefit provisions due to 100% allowances placed against them for the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2020 Compared to Nine months Ended September 30, 2019</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3"/>
          </w:tcPr>
          <w:p>
            <w:pPr>
              <w:jc w:val="right"/>
              <w:ind w:right="600"/>
              <w:spacing w:after="0"/>
              <w:rPr>
                <w:sz w:val="20"/>
                <w:szCs w:val="20"/>
                <w:color w:val="auto"/>
              </w:rPr>
            </w:pPr>
            <w:r>
              <w:rPr>
                <w:rFonts w:ascii="Arial" w:cs="Arial" w:eastAsia="Arial" w:hAnsi="Arial"/>
                <w:sz w:val="18"/>
                <w:szCs w:val="18"/>
                <w:color w:val="auto"/>
                <w:w w:val="93"/>
              </w:rPr>
              <w:t>Increase (decrease)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0"/>
              </w:rPr>
              <w:t>$000’s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Royalties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 related party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License fees – related party</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1,350</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1,415</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2,128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737</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expenses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(367)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 related party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(3,929)</w:t>
            </w:r>
          </w:p>
        </w:tc>
        <w:tc>
          <w:tcPr>
            <w:tcW w:w="2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(2,964)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0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(3,929)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(2,964)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our license and development agreement with Abuse Deterrent Pharma, LLC (“AD Pharma”) for LTX-03, we recognized license fees $2.4 million and $1.05 million during the nine months ended September 30, 2020 and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is derived from research and development services we perform under the license and development agreement with AD Pharma for LTX-03. We recognized $148 thousand and $102 thousand of collaboration revenue during the nine months ended September 30,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license agreement with Assertio for Oxaydo Tablets, we earn a royalty based on product net sales. We recognized $72 thousand and $269 thousand of royalty revenue during the nine months ended September 30, 2020 and 2019,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our license agreement with MainPointe for our Nexafed product line, we earn a royalty based on product net sales. We recognized $9 thousand and $16 thousand of royalty revenue during the nine months ended September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Nexafed was launched in mid-December 2012 and Nexafed Sinus Pressure + Pain was launched in February 2015. In March 2017, we and MainPointe entered into the MainPointe Agreement, pursuant to which we granted MainPointe an exclusive license to our Impede Technology to commercialize both of our Nexafed and Nexafed Sinus Pressure + Pain product (“Nexafed products”) in the U.S. and Canada. Prior to entering into the MainPointe Agreement, we sold the Nexafed products in the United States to wholesale pharmaceutical distributors as well as directly to chain drug stores. The Nexafed products were previously sold by us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sold by us is no longer subject to right of return and we estimate no additional product will be returned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primarily associated with our Limitx Technology LTX-03 development activity under the AD Pharma agreement. Included in September 30, 2019 reported nine month expenses are share-based compensation expenses of approximately $17 thousand. Excluding the share-based compensation expense, our research and development expenses increased by approximately $328 thousand between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general and administrative expenses primarily consisted of legal, audit and other professional services, corporate insurance, and payroll. Included in the 2020 and 2019 nine month expenses are share-based compensation expenses of approximately $42 thousand and $99 thousand, respectively. Excluding this share-based compensation expense, our general and administrative expenses increased approximately $794 thousand between reporting periods, primarily due to the $668 thousand impairment expense on the intangible asset we recorded during the first quarter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and 2019, we incurred interest expense of $338 thousand and $335 thousand, respectively on our term loans.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the nine months ended September 30, 2020 and 2019 show no federal or state income tax benefit provisions due to 100% allowances placed against them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September 30, 2020 we had cash of $0.5 million and at December 31, 2019 we had cash of $0.9 million. At November 12, 2020 our cash balance was approximately $1.0 million. Additionally, the License, Development and Commercialization Agreement dated June 28, 2019, as amended October 2020, (the “AD Pharma Agreement”) requires AD Pharma to pay us monthly license payments of $350 thousand from July 2019 through April 2020 and $200 thousand thereafter until the earlier of July 31, 2021 or FDA’s acceptance of a New Drug Application (“NDA”) for LTX-03 and pay all outside development costs for LTX-03. We have subsequently received the required monthly license payments for June thru October 2020 from AD Pharma.</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However, the Agreement allows AD Pharma to terminate the Agreement for “convenience on 30 days prior written notice”.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for “convenience on 30 days prior written notice”, our independent auditors have included in their report relating to our 2018 financial statements a “going concern” explanatory paragraph as to substantial doubt of our ability to continue as a going concern.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Also, the required monthly license payments by AD Pharma cease in July 2021 at which time the Company will need to have additional capital to fund operations until such time as LTX-03 is approved and royalty payments commence. To fund further operations beyond July 2021,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Also included in the AD Pharma Agreement is the requirement that the NDA for LTX-03 now be accepted by the FDA by July 31, 2021, or AD Pharma has the option to terminate the AD Pharma Agreement and take ownership of the LIMITx intellectual property. Importantly, such failure to meet this date will be an event of default under their $6.0 million note to Acura.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Consolidated Financial Statements, in the Company’s 2019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2019 Annual Report are also applicable to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90" w:lineRule="auto"/>
        <w:tabs>
          <w:tab w:leader="none" w:pos="415" w:val="left"/>
        </w:tabs>
        <w:numPr>
          <w:ilvl w:val="0"/>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Disclosure Controls and Procedures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65" w:lineRule="exact"/>
        <w:rPr>
          <w:rFonts w:ascii="Arial" w:cs="Arial" w:eastAsia="Arial" w:hAnsi="Arial"/>
          <w:sz w:val="16"/>
          <w:szCs w:val="16"/>
          <w:color w:val="auto"/>
        </w:rPr>
      </w:pPr>
    </w:p>
    <w:p>
      <w:pPr>
        <w:ind w:right="20" w:firstLine="8"/>
        <w:spacing w:after="0" w:line="308" w:lineRule="auto"/>
        <w:tabs>
          <w:tab w:leader="none" w:pos="358"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2020 that have materially affected, or are reasonably likely to materially affect, our internal controls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Commitments and Contingencies, in Part I, 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2019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11"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operations to date have consumed substantial amounts of cash. We have incurred negative cash flows from our operations over the last several years and we expect it may continue over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November 12, 2020 our cash balance was approximately $1.0 million. Additionally, the Agreement with AD Pharma calls for monthly license payments of $350,000 from July 2019 through April 2020 with $200,000 thereafter through July 2021 as well as their payment of all outside development costs for LTX-03. To fund further operations, we must raise additional financing or enter into license or collaboration agreements with third parties relating to our technologies.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or have other provisions, including possibly security interests in our assets that could be onerous.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would materially harm our business, financial condition, results of operations and prospects.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ongoing capital requirements will depend on numerous factors, which likely will require that we continue to obtain capital infusions in the future. Our capital requirements, which cannot be predicted with certainty, include: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66"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recent COVID-19 pandemic, in regions where third parties for which we rely, as in CROs or CMOs, have significant research, development or manufacturing facilities, concentrations of clinical trial sites or other business operations, causing disruption in supplies and services.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business could be adversely affected by health epidemics in regions </w:t>
      </w:r>
      <w:r>
        <w:rPr>
          <w:rFonts w:ascii="Arial" w:cs="Arial" w:eastAsia="Arial" w:hAnsi="Arial"/>
          <w:sz w:val="17"/>
          <w:szCs w:val="17"/>
          <w:i w:val="1"/>
          <w:iCs w:val="1"/>
          <w:color w:val="auto"/>
        </w:rPr>
        <w:t>where third parties for which we rely, as in CROs or CMOs,</w:t>
      </w:r>
      <w:r>
        <w:rPr>
          <w:rFonts w:ascii="Arial" w:cs="Arial" w:eastAsia="Arial" w:hAnsi="Arial"/>
          <w:sz w:val="17"/>
          <w:szCs w:val="17"/>
          <w:color w:val="auto"/>
        </w:rPr>
        <w:t xml:space="preserve"> have concentrations of clinical trial sites or other business operations, and could cause significant disruption in the operations of third-party manufacturers and CROs upon whom we rely. On January 30, 2020, the World Health Organization (“WHO”) announced a global health emergency because of a new strain of novel coronavirus originating in Wuhan, China (the “COVID-19 outbreak”)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our business and delay our clinical programs and timelines.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Any manufacturing supply interruption of materials could adversely affect our ability to conduct ongoing and future research and manufacturing activities of LTX-03.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In addition, our clinical trials may be affected by the COVID-19 pandemic.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the ability to recruit and retain patients and principal investigators and site staff who, as healthcare providers, may have heightened exposure to COVID-19 and adversely impact our clinical trial operations.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pandemic of COVID-19 continues to rapidly evolve. The ultimate impact of the COVID-19 pandemic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31.1</w:t>
              </w:r>
            </w:hyperlink>
          </w:p>
        </w:tc>
        <w:tc>
          <w:tcPr>
            <w:tcW w:w="9940" w:type="dxa"/>
            <w:vAlign w:val="bottom"/>
            <w:gridSpan w:val="2"/>
          </w:tcPr>
          <w:p>
            <w:pPr>
              <w:spacing w:after="0"/>
              <w:rPr>
                <w:rFonts w:ascii="Arial" w:cs="Arial" w:eastAsia="Arial" w:hAnsi="Arial"/>
                <w:sz w:val="18"/>
                <w:szCs w:val="18"/>
                <w:u w:val="single" w:color="auto"/>
                <w:color w:val="0000EE"/>
                <w:w w:val="92"/>
              </w:rPr>
            </w:pPr>
            <w:hyperlink w:anchor="page50">
              <w:r>
                <w:rPr>
                  <w:rFonts w:ascii="Arial" w:cs="Arial" w:eastAsia="Arial" w:hAnsi="Arial"/>
                  <w:sz w:val="18"/>
                  <w:szCs w:val="18"/>
                  <w:u w:val="single" w:color="auto"/>
                  <w:color w:val="0000EE"/>
                  <w:w w:val="92"/>
                </w:rPr>
                <w:t>Certification of Periodic Report by Chief Executive Officer pursuant to Rule 13a-14 and 15d-14 of the Securities Exchange Act of 1934.</w:t>
              </w:r>
            </w:hyperlink>
          </w:p>
        </w:tc>
      </w:tr>
      <w:tr>
        <w:trPr>
          <w:trHeight w:val="432"/>
        </w:trPr>
        <w:tc>
          <w:tcPr>
            <w:tcW w:w="13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31.2</w:t>
              </w:r>
            </w:hyperlink>
          </w:p>
        </w:tc>
        <w:tc>
          <w:tcPr>
            <w:tcW w:w="9940" w:type="dxa"/>
            <w:vAlign w:val="bottom"/>
            <w:gridSpan w:val="2"/>
          </w:tcPr>
          <w:p>
            <w:pPr>
              <w:spacing w:after="0"/>
              <w:rPr>
                <w:rFonts w:ascii="Arial" w:cs="Arial" w:eastAsia="Arial" w:hAnsi="Arial"/>
                <w:sz w:val="18"/>
                <w:szCs w:val="18"/>
                <w:u w:val="single" w:color="auto"/>
                <w:color w:val="0000EE"/>
                <w:w w:val="93"/>
              </w:rPr>
            </w:pPr>
            <w:hyperlink w:anchor="page51">
              <w:r>
                <w:rPr>
                  <w:rFonts w:ascii="Arial" w:cs="Arial" w:eastAsia="Arial" w:hAnsi="Arial"/>
                  <w:sz w:val="18"/>
                  <w:szCs w:val="18"/>
                  <w:u w:val="single" w:color="auto"/>
                  <w:color w:val="0000EE"/>
                  <w:w w:val="93"/>
                </w:rPr>
                <w:t>Certification of Periodic Report by Chief Financial Officer pursuant to Rule 13a-14 and 15d-14 of the Securities Exchange Act of 1934.</w:t>
              </w:r>
            </w:hyperlink>
          </w:p>
        </w:tc>
      </w:tr>
      <w:tr>
        <w:trPr>
          <w:trHeight w:val="392"/>
        </w:trPr>
        <w:tc>
          <w:tcPr>
            <w:tcW w:w="130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32.1</w:t>
              </w:r>
            </w:hyperlink>
          </w:p>
        </w:tc>
        <w:tc>
          <w:tcPr>
            <w:tcW w:w="994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Certification of Periodic Report by the Chief Executive Officer and Chief Financial Officer pursuant to 18 U.S.C. Section 1350, as</w:t>
              </w:r>
            </w:hyperlink>
          </w:p>
        </w:tc>
      </w:tr>
      <w:tr>
        <w:trPr>
          <w:trHeight w:val="196"/>
        </w:trPr>
        <w:tc>
          <w:tcPr>
            <w:tcW w:w="1300" w:type="dxa"/>
            <w:vAlign w:val="bottom"/>
          </w:tcPr>
          <w:p>
            <w:pPr>
              <w:spacing w:after="0"/>
              <w:rPr>
                <w:sz w:val="17"/>
                <w:szCs w:val="17"/>
                <w:color w:val="auto"/>
              </w:rPr>
            </w:pPr>
          </w:p>
        </w:tc>
        <w:tc>
          <w:tcPr>
            <w:tcW w:w="9940" w:type="dxa"/>
            <w:vAlign w:val="bottom"/>
            <w:gridSpan w:val="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adopted pursuant to Section 906 of the Sarbanes-Oxley Act of 2002.</w:t>
              </w:r>
            </w:hyperlink>
          </w:p>
        </w:tc>
      </w:tr>
      <w:tr>
        <w:trPr>
          <w:trHeight w:val="453"/>
        </w:trPr>
        <w:tc>
          <w:tcPr>
            <w:tcW w:w="1300" w:type="dxa"/>
            <w:vAlign w:val="bottom"/>
          </w:tcPr>
          <w:p>
            <w:pPr>
              <w:spacing w:after="0"/>
              <w:rPr>
                <w:sz w:val="20"/>
                <w:szCs w:val="20"/>
                <w:color w:val="auto"/>
              </w:rPr>
            </w:pPr>
            <w:r>
              <w:rPr>
                <w:rFonts w:ascii="Arial" w:cs="Arial" w:eastAsia="Arial" w:hAnsi="Arial"/>
                <w:sz w:val="18"/>
                <w:szCs w:val="18"/>
                <w:color w:val="auto"/>
              </w:rPr>
              <w:t>101.INS</w:t>
            </w:r>
          </w:p>
        </w:tc>
        <w:tc>
          <w:tcPr>
            <w:tcW w:w="49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02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2"/>
          </w:tcPr>
          <w:p>
            <w:pPr>
              <w:ind w:left="4160"/>
              <w:spacing w:after="0"/>
              <w:rPr>
                <w:sz w:val="20"/>
                <w:szCs w:val="20"/>
                <w:color w:val="auto"/>
              </w:rPr>
            </w:pPr>
            <w:r>
              <w:rPr>
                <w:rFonts w:ascii="Arial" w:cs="Arial" w:eastAsia="Arial" w:hAnsi="Arial"/>
                <w:sz w:val="18"/>
                <w:szCs w:val="18"/>
                <w:color w:val="auto"/>
              </w:rPr>
              <w:t>F-47</w:t>
            </w:r>
          </w:p>
        </w:tc>
      </w:tr>
    </w:tbl>
    <w:p>
      <w:pPr>
        <w:sectPr>
          <w:pgSz w:w="11900" w:h="16838" w:orient="portrait"/>
          <w:cols w:equalWidth="0" w:num="1">
            <w:col w:w="11240"/>
          </w:cols>
          <w:pgMar w:left="320" w:top="908"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November 13, 2020</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0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10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01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660"/>
              <w:spacing w:after="0"/>
              <w:rPr>
                <w:sz w:val="20"/>
                <w:szCs w:val="20"/>
                <w:color w:val="auto"/>
              </w:rPr>
            </w:pPr>
            <w:r>
              <w:rPr>
                <w:rFonts w:ascii="Arial" w:cs="Arial" w:eastAsia="Arial" w:hAnsi="Arial"/>
                <w:sz w:val="18"/>
                <w:szCs w:val="18"/>
                <w:color w:val="auto"/>
              </w:rPr>
              <w:t>November 13,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7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31.2</w:t>
      </w: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0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1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114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0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660"/>
              <w:spacing w:after="0"/>
              <w:rPr>
                <w:sz w:val="20"/>
                <w:szCs w:val="20"/>
                <w:color w:val="auto"/>
              </w:rPr>
            </w:pPr>
            <w:r>
              <w:rPr>
                <w:rFonts w:ascii="Arial" w:cs="Arial" w:eastAsia="Arial" w:hAnsi="Arial"/>
                <w:sz w:val="18"/>
                <w:szCs w:val="18"/>
                <w:color w:val="auto"/>
              </w:rPr>
              <w:t>November 13,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32.1</w:t>
      </w: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September 30, 2020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November 13,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þ"/>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2020-11-16T15:23:41Z</dcterms:created>
  <dcterms:modified xsi:type="dcterms:W3CDTF">2020-11-16T15:23:41Z</dcterms:modified>
</cp:coreProperties>
</file>