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 w:lineRule="exact"/>
        <w:rPr>
          <w:sz w:val="24"/>
          <w:szCs w:val="24"/>
          <w:color w:val="auto"/>
        </w:rPr>
      </w:pPr>
    </w:p>
    <w:p>
      <w:pPr>
        <w:ind w:left="980" w:right="1560" w:hanging="972"/>
        <w:spacing w:after="0" w:line="488" w:lineRule="auto"/>
        <w:tabs>
          <w:tab w:leader="none" w:pos="6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2013</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980" w:right="1380" w:hanging="972"/>
        <w:spacing w:after="0" w:line="501" w:lineRule="auto"/>
        <w:tabs>
          <w:tab w:leader="none" w:pos="65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TRANSACTION REPORT PURSUANT TO SECTION 13 OR 15(D) OF THE SECURITIES EXCHANGE ACT OF 1934 For the transition period from ______________________ to_______________________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191770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1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11-0853640</w:t>
            </w:r>
          </w:p>
        </w:tc>
      </w:tr>
      <w:tr>
        <w:trPr>
          <w:trHeight w:val="216"/>
        </w:trPr>
        <w:tc>
          <w:tcPr>
            <w:tcW w:w="3340" w:type="dxa"/>
            <w:vAlign w:val="bottom"/>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5100" w:type="dxa"/>
            <w:vAlign w:val="bottom"/>
          </w:tcPr>
          <w:p>
            <w:pPr>
              <w:jc w:val="center"/>
              <w:ind w:left="24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3340" w:type="dxa"/>
            <w:vAlign w:val="bottom"/>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5100" w:type="dxa"/>
            <w:vAlign w:val="bottom"/>
          </w:tcPr>
          <w:p>
            <w:pPr>
              <w:spacing w:after="0"/>
              <w:rPr>
                <w:sz w:val="20"/>
                <w:szCs w:val="20"/>
                <w:color w:val="auto"/>
              </w:rPr>
            </w:pPr>
          </w:p>
        </w:tc>
      </w:tr>
      <w:tr>
        <w:trPr>
          <w:trHeight w:val="410"/>
        </w:trPr>
        <w:tc>
          <w:tcPr>
            <w:tcW w:w="33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tc>
        <w:tc>
          <w:tcPr>
            <w:tcW w:w="5100" w:type="dxa"/>
            <w:vAlign w:val="bottom"/>
          </w:tcPr>
          <w:p>
            <w:pPr>
              <w:spacing w:after="0"/>
              <w:rPr>
                <w:sz w:val="24"/>
                <w:szCs w:val="24"/>
                <w:color w:val="auto"/>
              </w:rPr>
            </w:pPr>
          </w:p>
        </w:tc>
      </w:tr>
      <w:tr>
        <w:trPr>
          <w:trHeight w:val="218"/>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Palatine, Illinois</w:t>
            </w:r>
          </w:p>
        </w:tc>
        <w:tc>
          <w:tcPr>
            <w:tcW w:w="51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60067</w:t>
            </w:r>
          </w:p>
        </w:tc>
      </w:tr>
      <w:tr>
        <w:trPr>
          <w:trHeight w:val="236"/>
        </w:trPr>
        <w:tc>
          <w:tcPr>
            <w:tcW w:w="3340" w:type="dxa"/>
            <w:vAlign w:val="bottom"/>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5100" w:type="dxa"/>
            <w:vAlign w:val="bottom"/>
          </w:tcPr>
          <w:p>
            <w:pPr>
              <w:jc w:val="center"/>
              <w:ind w:left="24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3340" w:type="dxa"/>
            <w:vAlign w:val="bottom"/>
          </w:tcPr>
          <w:p>
            <w:pPr>
              <w:spacing w:after="0"/>
              <w:rPr>
                <w:sz w:val="24"/>
                <w:szCs w:val="24"/>
                <w:color w:val="auto"/>
              </w:rPr>
            </w:pPr>
          </w:p>
        </w:tc>
        <w:tc>
          <w:tcPr>
            <w:tcW w:w="510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847 705 7709</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7" w:lineRule="exact"/>
        <w:rPr>
          <w:sz w:val="24"/>
          <w:szCs w:val="24"/>
          <w:color w:val="auto"/>
        </w:rPr>
      </w:pPr>
    </w:p>
    <w:p>
      <w:pPr>
        <w:ind w:right="18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4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spacing w:after="0" w:line="2" w:lineRule="exact"/>
        <w:rPr>
          <w:sz w:val="24"/>
          <w:szCs w:val="24"/>
          <w:color w:val="auto"/>
        </w:rPr>
      </w:pPr>
    </w:p>
    <w:p>
      <w:pPr>
        <w:ind w:left="10560"/>
        <w:spacing w:after="0" w:line="196" w:lineRule="exact"/>
        <w:rPr>
          <w:sz w:val="20"/>
          <w:szCs w:val="20"/>
          <w:color w:val="auto"/>
        </w:rPr>
      </w:pPr>
      <w:r>
        <w:rPr>
          <w:rFonts w:ascii="Times New Roman" w:cs="Times New Roman" w:eastAsia="Times New Roman" w:hAnsi="Times New Roman"/>
          <w:sz w:val="17"/>
          <w:szCs w:val="17"/>
          <w:color w:val="auto"/>
        </w:rPr>
        <w:t xml:space="preserve">Yes þ No </w:t>
      </w:r>
      <w:r>
        <w:rPr>
          <w:rFonts w:ascii="MS PGothic" w:cs="MS PGothic" w:eastAsia="MS PGothic" w:hAnsi="MS PGothic"/>
          <w:sz w:val="17"/>
          <w:szCs w:val="17"/>
          <w:color w:val="auto"/>
        </w:rPr>
        <w:t>☐</w:t>
      </w:r>
    </w:p>
    <w:p>
      <w:pPr>
        <w:spacing w:after="0" w:line="22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filer, “accelerated filer” and “smaller reporting company” in Rule 12b-2 of the Exchange Act. (Check one):</w:t>
      </w:r>
    </w:p>
    <w:p>
      <w:pPr>
        <w:sectPr>
          <w:pgSz w:w="11900" w:h="16838" w:orient="portrait"/>
          <w:cols w:equalWidth="0" w:num="1">
            <w:col w:w="11420"/>
          </w:cols>
          <w:pgMar w:left="240" w:top="738" w:right="239" w:bottom="1440" w:gutter="0" w:footer="0" w:header="0"/>
        </w:sectPr>
      </w:pPr>
    </w:p>
    <w:p>
      <w:pPr>
        <w:spacing w:after="0" w:line="207" w:lineRule="exact"/>
        <w:rPr>
          <w:sz w:val="24"/>
          <w:szCs w:val="24"/>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 þ</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7" w:lineRule="exact"/>
        <w:rPr>
          <w:sz w:val="24"/>
          <w:szCs w:val="24"/>
          <w:color w:val="auto"/>
        </w:rPr>
      </w:pPr>
    </w:p>
    <w:p>
      <w:pPr>
        <w:sectPr>
          <w:pgSz w:w="11900" w:h="16838" w:orient="portrait"/>
          <w:cols w:equalWidth="0" w:num="3">
            <w:col w:w="2320" w:space="40"/>
            <w:col w:w="2920" w:space="720"/>
            <w:col w:w="5420"/>
          </w:cols>
          <w:pgMar w:left="240" w:top="738" w:right="239" w:bottom="1440" w:gutter="0" w:footer="0" w:header="0"/>
          <w:type w:val="continuous"/>
        </w:sect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þ</w:t>
      </w:r>
    </w:p>
    <w:p>
      <w:pPr>
        <w:spacing w:after="0" w:line="26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30, 2013 the registrant had 46,375,485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MARCH 31,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Consolidated Balance Sheets as of March 31, 2013 and December 31, 2012 (unaudited)</w:t>
            </w:r>
          </w:p>
        </w:tc>
        <w:tc>
          <w:tcPr>
            <w:tcW w:w="102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9440" w:type="dxa"/>
            <w:vAlign w:val="bottom"/>
            <w:shd w:val="clear" w:color="auto" w:fill="CCFFCC"/>
          </w:tcPr>
          <w:p>
            <w:pPr>
              <w:ind w:left="320"/>
              <w:spacing w:after="0" w:line="198" w:lineRule="exact"/>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Three Months Ended March 31, 2013 and</w:t>
            </w:r>
          </w:p>
        </w:tc>
        <w:tc>
          <w:tcPr>
            <w:tcW w:w="1020" w:type="dxa"/>
            <w:vAlign w:val="bottom"/>
            <w:shd w:val="clear" w:color="auto" w:fill="CCFFCC"/>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March 31, 2012 (unaudited)</w:t>
            </w:r>
          </w:p>
        </w:tc>
        <w:tc>
          <w:tcPr>
            <w:tcW w:w="10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Consolidated Statement of Stockholders’ Equity for the Three Months Ended March 31, 2013 (unaudited)</w:t>
            </w:r>
          </w:p>
        </w:tc>
        <w:tc>
          <w:tcPr>
            <w:tcW w:w="102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2013 and March 31, 2012 (unaudited)</w:t>
            </w:r>
          </w:p>
        </w:tc>
        <w:tc>
          <w:tcPr>
            <w:tcW w:w="102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02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shd w:val="clear" w:color="auto" w:fill="CCFFCC"/>
          </w:tcPr>
          <w:p>
            <w:pPr>
              <w:jc w:val="center"/>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Exhibits</w:t>
            </w: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44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630"/>
        </w:trPr>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19,993</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Finished goods inventory, net</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Income taxes refundable</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deferred assets</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24,218</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25,245</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$.01 par value per shares; 100,000 shares authorized, 46,376 and 45,867 shares issued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outstanding at March 31, 2013 and December 31, 2012, respectively</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362,018</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(339,429)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25,245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ind w:left="260" w:right="1840"/>
        <w:spacing w:after="0" w:line="268" w:lineRule="auto"/>
        <w:rPr>
          <w:sz w:val="20"/>
          <w:szCs w:val="20"/>
          <w:color w:val="auto"/>
        </w:rPr>
      </w:pPr>
      <w:r>
        <w:rPr>
          <w:rFonts w:ascii="Times New Roman" w:cs="Times New Roman" w:eastAsia="Times New Roman" w:hAnsi="Times New Roman"/>
          <w:sz w:val="18"/>
          <w:szCs w:val="18"/>
          <w:b w:val="1"/>
          <w:bCs w:val="1"/>
          <w:color w:val="auto"/>
        </w:rPr>
        <w:t>ACURA PHARMACEUTICALS, INC. AND SUBSIDIARY CONSOLIDATED STATEMENTS OF OPERATIONS AND COMPREHENSIVE INCOME (LOSS) (Unaudited; 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980" w:type="dxa"/>
            <w:vAlign w:val="bottom"/>
            <w:shd w:val="clear" w:color="auto" w:fill="CCFFC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shd w:val="clear" w:color="auto" w:fill="CCFFC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FFCC"/>
          </w:tcPr>
          <w:p>
            <w:pPr>
              <w:spacing w:after="0"/>
              <w:rPr>
                <w:sz w:val="19"/>
                <w:szCs w:val="19"/>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00" w:type="dxa"/>
            <w:vAlign w:val="bottom"/>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spacing w:after="0"/>
              <w:rPr>
                <w:sz w:val="18"/>
                <w:szCs w:val="18"/>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sales of marketable securities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Total other income</w:t>
            </w: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(2,333)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CFFCC"/>
          </w:tcPr>
          <w:p>
            <w:pPr>
              <w:spacing w:after="0"/>
              <w:rPr>
                <w:sz w:val="19"/>
                <w:szCs w:val="19"/>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tcBorders>
              <w:bottom w:val="single" w:sz="8" w:color="CCFFCC"/>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on securities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4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00" w:type="dxa"/>
            <w:vAlign w:val="bottom"/>
            <w:tcBorders>
              <w:bottom w:val="single" w:sz="8" w:color="CCFFCC"/>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9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FFC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1120" w:type="dxa"/>
            <w:vAlign w:val="bottom"/>
            <w:gridSpan w:val="2"/>
            <w:shd w:val="clear" w:color="auto" w:fill="CCFFC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112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46,685</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47,517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FFCC"/>
          </w:tcPr>
          <w:p>
            <w:pPr>
              <w:spacing w:after="0"/>
              <w:rPr>
                <w:sz w:val="19"/>
                <w:szCs w:val="19"/>
                <w:color w:val="auto"/>
              </w:rPr>
            </w:pPr>
          </w:p>
        </w:tc>
        <w:tc>
          <w:tcPr>
            <w:tcW w:w="7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46,685</w:t>
            </w:r>
          </w:p>
        </w:tc>
        <w:tc>
          <w:tcPr>
            <w:tcW w:w="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w w:val="96"/>
              </w:rPr>
              <w:t>47,517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Three Months Ended March 31, 2013</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Paid-in</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Capital</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Deficit</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Income (Loss)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45,867</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362,422</w:t>
            </w:r>
          </w:p>
        </w:tc>
        <w:tc>
          <w:tcPr>
            <w:tcW w:w="3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(335,211</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distribution of common stock pursuant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restricted stock unit award plan</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Common shares withheld for withholding</w:t>
            </w:r>
          </w:p>
        </w:tc>
        <w:tc>
          <w:tcPr>
            <w:tcW w:w="10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taxes on distribution of restricted stock units</w:t>
            </w:r>
          </w:p>
        </w:tc>
        <w:tc>
          <w:tcPr>
            <w:tcW w:w="12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Net issuance of common stock pursuant to</w:t>
            </w:r>
          </w:p>
        </w:tc>
        <w:tc>
          <w:tcPr>
            <w:tcW w:w="10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cashless exercise of stock options</w:t>
            </w:r>
          </w:p>
        </w:tc>
        <w:tc>
          <w:tcPr>
            <w:tcW w:w="12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shares withheld for withholding</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cashless exercise of stock options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exercise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46,376</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362,018</w:t>
            </w:r>
          </w:p>
        </w:tc>
        <w:tc>
          <w:tcPr>
            <w:tcW w:w="3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(339,429</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FFC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4"/>
          </w:tcPr>
          <w:p>
            <w:pPr>
              <w:jc w:val="right"/>
              <w:ind w:right="295"/>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(4,218)</w:t>
            </w:r>
          </w:p>
        </w:tc>
        <w:tc>
          <w:tcPr>
            <w:tcW w:w="700" w:type="dxa"/>
            <w:vAlign w:val="bottom"/>
            <w:gridSpan w:val="2"/>
            <w:shd w:val="clear" w:color="auto" w:fill="CCFFC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Gain on sales of marketable securities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Finished goods inventory, net</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refundable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deferred assets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56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top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(7,065)</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FFC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Proceeds from distribution of restricted stock units</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Statutory minimum withholding taxes paid on the distribution of common stock pursuant to restricted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unit plan and exercise of stock options</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56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top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gridSpan w:val="2"/>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March 31, 2013</w:t>
      </w:r>
    </w:p>
    <w:p>
      <w:pPr>
        <w:spacing w:after="0" w:line="225" w:lineRule="exact"/>
        <w:rPr>
          <w:sz w:val="20"/>
          <w:szCs w:val="20"/>
          <w:color w:val="auto"/>
        </w:rPr>
      </w:pPr>
    </w:p>
    <w:p>
      <w:pPr>
        <w:jc w:val="both"/>
        <w:ind w:left="340" w:right="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$712 in statutory minimum payroll taxes, a net 505 thousand shares of common stock were issued.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7 thousand shares of common stock were exercised utilizing various cashless exercise features of our plan and after withholding 3 thousand shares for $9 in exercise costs and withholding 1 thousand shares for $4 in statutory minimum payroll taxes, we issued 3 thousand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March 31, 2012</w:t>
      </w:r>
    </w:p>
    <w:p>
      <w:pPr>
        <w:spacing w:after="0" w:line="225"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829 thousand shares of common stock were eligible for distribution pursuant to our RSU Plan utilizing various cashless exercise features of the plan and after withholding 2 thousand shares for $7 in exercise costs and withholding 296 thousand shares for $1,034 in statutory minimum payroll taxes, a net 531 thousand shares of common stock were issued.</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10 thousand shares of common stock were exercised utilizing various cashless exercise features of our plan and after withholding 4 thousand shares for $13 in exercise costs and withholding 2 thousand shares for $7 in statutory minimum payroll taxes, we issued 4 thousand shares of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MARCH 31, 2013 AND 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or the Pfizer Agreement. We have also developed our Impede® Technology which is a combination of inactive ingredients that are intended to prevent the extraction of pseudoephedrine from tablets and disrupt the direct conversion of pseudoephedrine from tablets into methamphetamine. In late December 2012, we launched in the United States Nexafed® (pseudoephedrine HC1) tablets formulated with our Impede Technology.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months ended March 31, 2013 are not necessarily indicative of results expected for the full year ending December 31, 2013. These unaudited consolidated financial statements should be read in conjunction with the audited consolidated financial statements and footnotes thereto for the year ended December 31, 2012 included in the Company's Annual Report on Form 10-K filed with the Securities and Exchange Commission. The 2012 year-end consolidated balance sheet presented in this Report was derived from the Company’s 2012 year-end audited consolidated financial statements, but does not include all disclosures required by generally accepted accounting principles.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RESEARCH AND DEVELOPMENT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had $46 thousand accrued CRO and clinical trial study expenses at March 31, 2013. We had no accrued costs at December 31,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Nexafed was launched in mid-December 2012. The Company sells Nexafed in the United States to wholesale pharmaceutical distributors and directly to one chain drug store.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Accordingly, the Company has deferred recognition of revenue on $37 thousand of product shipments of Nexafed since its launch until the right of return no longer exists or adequate history and information is available to estimate product returns.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License, Development, and Commercialization Agreement dated October 30, 2007 with King Pharmaceuticals Research and Development, Inc., now a subsidiary of Pfizer Inc. (the “Pfizer Agreement”), we began to earn royalties starting in February 2013. These royalties are based on net sales of Oxecta by Pfizer and are paid to Acura within 45 days after the end of each calendar quarter. The Company has recorded royalties of approximately $4 thousand for the first period ended March 31, 2013 on net sales of approximately $77 thousand.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shipping and handling costs in selling expenses. The amounts recorded from the shipments of Nexafed in the first quarter of 2013 were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LICENSE, DEVELOPMENT, AND COMMERCIALIZATION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30, 2007, we and King Pharmaceuticals Research and Development, Inc., now a wholly-owned subsidiary of Pfizer, entered into the Pfizer Agreement to develop and commercialize in the United States, Canada and Mexico certain opioid analgesic products utilizing our proprietary Aversion Technology. Oxecta was approved on June 17, 2011 and sales of Oxecta by Pfizer commenced February 2012. On September 24, 2012, we entered into a letter agreement with Pfizer which amended the Pfizer Agreement and provided for the termination of Pfizer’s license to our Aversion® Technology used in the three development-stage products licensed to Pfizer and for the transfer of these products back to us. These development-stage products were hydrocodone bitartrate/acetaminophen tablets, oxycodone HCl/acetaminophen tablets and an undisclosed opioid.</w:t>
      </w: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Pfizer Agreement, we and Pfizer formed a joint steering committee to oversee development and commercialization strategies for Oxecta. Pfizer is responsible, at its own expense, for all regulatory, manufacturing and commercialization activities for Oxecta in all Pfizer Territories. Subject to the Pfizer Agreement, Pfizer will have final decision making authority with respect to all regulatory and commercialization activities for Oxecta.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receive a one-time $50 million sales milestone payment upon the first attainment of $750 million in net sales of Oxecta across all Pfizer Territories. In addition, for Oxecta sales occurring on and following February 2, 2013 (the one year anniversary of the first commercial sale of Oxecta), Pfizer will pay us a royalty at one of six rates ranging from 5% to 25% based on the level of annual net sales for Oxecta across all Pfizer Territories, with the highest applicable royalty rate applied to such annual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Paragraph IV ANDA 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20, 2012, we announced that we had received a Paragraph IV Certification Notice under 21 U.S.C. 355(j) (a Paragraph IV Notice) from a generic sponsor seeking FDA approval to market a generic version of Oxecta. Since such date, we have received similar Paragraph IV Notices from four other generic pharmaceutical companies. The Paragraph IV Notices refer to our U.S. Patent Numbers 7,201,920, 7,510,726 and 7,981,439, which cover our Aversion Technology and Oxecta and are listed in the FDA Orange Book. The Paragraph IV Notices state that each generic sponsor believes that such patents are invalid, unenforceable or not infringed. Pfizer, Acura’s licensee for Oxecta, has advised us that they will not exercise their first right under the Pfizer Agreement to control the enforcement of the ANDA litigation against the generic sponsors. As a result, on October 31, 2012, we initiated suit against each of Watson Laboratories, Inc. – Florida (“Watson”), Par Pharmaceutical, Inc. (“Par”), Impax Laboratories, Inc. (“Impax”), and Sandoz Inc. (“Sandoz”) in the United States District Court for the District of Delaware alleging infringement of our U.S. Patent No. 7,510,726. The commencement of such litigation prohibits the FDA from granting approval of the filed ANDAs until the earliest of 30 months from the date Acura received notice of the first Paragraph IV certification, or the conclusion of litigation. The litigation is in its early stages. A fifth Paragraph IV Notice was received on April 3, 2013, and we are considering our options with respect to this Notice. If an infringement suit is initiated in Delaware, it is likely that the suit would be consolidated with the current action.</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 2013, the court granted our motion to dismiss the suit against Watson on the grounds that Watson had amended its ANDA from a Paragraph IV certification to Paragraph III, which indicated its intent not to market its product in advance of our patents expiring.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course of the litigation, Acura has executed a covenant not to sue Par on Acura’s 7,201,920 and 7,981,439 patents based on the products described in its ANDAs.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 2013, the USPTO issued U.S. Patent No. 8,409,616 with claims directed at our Aversion Technology. This patent was listed in FDA’s Orange Book on April 22, 2013 which will require all of the Paragraph IV ANDA filers to decide whether to amend their Paragraph IV certifications to include this newly issued patent. If any ANDA filer decides to amend its certification to allege that this new patent is invalid and/or that its ANDA product will not infringe any claim of this patent, we will have the option of bringing an infringement suit against that filer asserting the ’616 patent.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Litigation is inherently uncertain and we cannot predict the outcome of these infringement actions. If any of these generic companies prevails in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materially adversely affect the Company’s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2013 and December 31, 2012,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Our NOL carryforwards will expire in varying amounts between 2013 and 2031 if not used, and those expirations will cause fluctuations in our valuation allowances.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INVESTMENTS IN MARKETABLE SECURITIES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2013</w:t>
            </w:r>
          </w:p>
        </w:tc>
        <w:tc>
          <w:tcPr>
            <w:tcW w:w="16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2012</w:t>
            </w: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Corporate bonds — maturing within 1 year</w:t>
            </w: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 — maturing after 1 through 4.25 years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0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Pooled investment fund</w:t>
            </w:r>
          </w:p>
        </w:tc>
        <w:tc>
          <w:tcPr>
            <w:tcW w:w="14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Exchange-traded funds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FFCC"/>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Times New Roman" w:cs="Times New Roman" w:eastAsia="Times New Roman" w:hAnsi="Times New Roman"/>
          <w:sz w:val="18"/>
          <w:szCs w:val="18"/>
          <w:color w:val="111111"/>
        </w:rPr>
        <w:t>in response to changes in market prices or interest rates, to realign our investment concentrations or to meet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working capital needs.</w:t>
      </w:r>
    </w:p>
    <w:p>
      <w:pPr>
        <w:spacing w:after="0" w:line="184"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the fair value and unrealized gains (losses) related to the Company’s available-for-sale securities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color w:val="auto"/>
              </w:rPr>
              <w:t>March 31, 2013</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Fair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investment fund</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Exchange-traded funds</w:t>
            </w:r>
          </w:p>
        </w:tc>
        <w:tc>
          <w:tcPr>
            <w:tcW w:w="16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 Current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December 31, 2012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millions)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Fair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investment fund</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Exchange-traded funds</w:t>
            </w:r>
          </w:p>
        </w:tc>
        <w:tc>
          <w:tcPr>
            <w:tcW w:w="16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 Current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 We had no liabilities at March 31, 2013 meeting fair value measurement.</w:t>
      </w:r>
    </w:p>
    <w:p>
      <w:pPr>
        <w:spacing w:after="0" w:line="188" w:lineRule="exact"/>
        <w:rPr>
          <w:sz w:val="20"/>
          <w:szCs w:val="20"/>
          <w:color w:val="auto"/>
        </w:rPr>
      </w:pPr>
    </w:p>
    <w:p>
      <w:pPr>
        <w:ind w:left="980" w:right="280"/>
        <w:spacing w:after="0" w:line="282" w:lineRule="auto"/>
        <w:rPr>
          <w:sz w:val="20"/>
          <w:szCs w:val="20"/>
          <w:color w:val="auto"/>
        </w:rPr>
      </w:pPr>
      <w:r>
        <w:rPr>
          <w:rFonts w:ascii="Times New Roman" w:cs="Times New Roman" w:eastAsia="Times New Roman" w:hAnsi="Times New Roman"/>
          <w:sz w:val="18"/>
          <w:szCs w:val="18"/>
          <w:color w:val="auto"/>
        </w:rPr>
        <w:t>Our assets measured at fair value or disclosed at fair value on a recurring basis as at March 31, 2013 and December 31, 2012 consisted of the following (in millions):</w:t>
      </w:r>
    </w:p>
    <w:p>
      <w:pPr>
        <w:spacing w:after="0" w:line="17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March 31, 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investment fund</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Exchange-traded funds</w:t>
            </w:r>
          </w:p>
        </w:tc>
        <w:tc>
          <w:tcPr>
            <w:tcW w:w="1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December 31, 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Pooled investment fund</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Exchange-traded funds</w:t>
            </w:r>
          </w:p>
        </w:tc>
        <w:tc>
          <w:tcPr>
            <w:tcW w:w="1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or losses on marketable securities are recorded in accumulated other comprehensive income (loss). Accumulated other comprehensive income (loss) at March 31, 2013 and December 31, 2012 consisted of cumulative unrealized gains of $12 thousand and unrealized losses of $40 thousand on marketable securities, respectively.</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Acura’s other comprehensive income (loss) is composed of unrealized gains (losses) on certain holdings of marketable securities, net of any realized gains (losses) included in net income (loss).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INVENTORIES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consist of finished goods held for sale and distribution on our Nexafed® product. Inventories are stated at the lower of cost (first-in, first-out method) or market (net realizable value). The Company writes down inventories to net realizable value based on forecasted demand and market conditions, which may differ from actual results. We had inventory valued at $0.4 million and $0.2 million at March 31, 2013 and December 31, 2012, respectively. The cost of sales on $37 thousand of product shipments of Nexafed since its launch is excluded from the value of the March 31, 2013 inventory and is reported in the Balance Sheet account as a deferred asset until the right of return no longer exists or adequate history and information is available to estimate product returns on the product shipments. Purchases of active pharmaceutical ingredients and raw materials required for our development and clinical trial manufacture of product candidates utilizing our Aversion® or Impede® Technologies are expensed as incurred.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EXPENSES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0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23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8"/>
                <w:szCs w:val="18"/>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476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2012</w:t>
            </w:r>
          </w:p>
        </w:tc>
        <w:tc>
          <w:tcPr>
            <w:tcW w:w="2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Payroll, payroll taxes, bonus and benefits</w:t>
            </w:r>
          </w:p>
        </w:tc>
        <w:tc>
          <w:tcPr>
            <w:tcW w:w="180" w:type="dxa"/>
            <w:vAlign w:val="bottom"/>
            <w:shd w:val="clear" w:color="auto" w:fill="CCFFC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Franchise taxes</w:t>
            </w: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Contract manufacturing services</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Clinical and regulatory services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fees and services</w:t>
            </w:r>
          </w:p>
        </w:tc>
        <w:tc>
          <w:tcPr>
            <w:tcW w:w="18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share-based compensation plans covering stock options and Restricted Stock Units (“RSU”) for our employees and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Our share-based compensation expense recognized in the Company’s results of operations for the period is shown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w w:val="97"/>
              </w:rPr>
              <w:t>March 31,</w:t>
            </w:r>
          </w:p>
        </w:tc>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4"/>
        </w:trPr>
        <w:tc>
          <w:tcPr>
            <w:tcW w:w="2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6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right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27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26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right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234</w:t>
            </w:r>
          </w:p>
        </w:tc>
        <w:tc>
          <w:tcPr>
            <w:tcW w:w="6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333</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26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ind w:right="47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315</w:t>
            </w:r>
          </w:p>
        </w:tc>
        <w:tc>
          <w:tcPr>
            <w:tcW w:w="20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6"/>
              </w:rPr>
              <w:t>424</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2013, the Company has stock options issued and outstanding under three stock option plans. The Company’s 1995 and 1998 Stock Option Plans have expired but stock options awarded under such plans remain outstanding under the terms of those plans. The Company’s 2008 Stock Option Plan remains in effect. Absent a change in control, the balance of the vested non-incentive stock options (“NonISO”) granted under the 1998 and 2008 stock option plans may be exercised in equal amounts during each of calendar years 2013 and 2014.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2013, 7 thousand NonISOs were exercised by our employees. Our employees elected to have 4 thousand shares withheld in satisfaction of $13 thousand for both the exercise costs and the withholding tax obligations resulting in the net issuance of 3 thousand common shares to them. During the three months ended March 31, 2012, 16 thousand NonISOs were exercised by our employees. Our employees elected to have 6 thousand shares withheld in satisfaction of $20 thousand for both the exercise costs and the withholding tax obligations which resulted in the net issuance of 10 thousand common shares to them.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2013 the Company had $1.3 million of unrecognized share-based compensation expense from stock option grants, which will be recognized in our consolidated financial statements over their remaining vesting periods of the option grants over the next 1.7 years. Under the stock option plans, if a change in control occurs, an acceleration of unvested shares will occur and any remaining unrecognized share-based compensation expense will be recognized in our consolidated financial statements.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stock option award activity during the three months ended March 31, 2013 and 2012 is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4"/>
        </w:trPr>
        <w:tc>
          <w:tcPr>
            <w:tcW w:w="2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7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191"/>
        </w:trPr>
        <w:tc>
          <w:tcPr>
            <w:tcW w:w="2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94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8"/>
              </w:rPr>
              <w:t>Number</w:t>
            </w:r>
          </w:p>
        </w:tc>
        <w:tc>
          <w:tcPr>
            <w:tcW w:w="7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16"/>
                <w:szCs w:val="16"/>
                <w:color w:val="auto"/>
              </w:rPr>
            </w:pPr>
          </w:p>
        </w:tc>
        <w:tc>
          <w:tcPr>
            <w:tcW w:w="86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80" w:type="dxa"/>
            <w:vAlign w:val="bottom"/>
          </w:tcPr>
          <w:p>
            <w:pPr>
              <w:spacing w:after="0"/>
              <w:rPr>
                <w:sz w:val="16"/>
                <w:szCs w:val="16"/>
                <w:color w:val="auto"/>
              </w:rPr>
            </w:pPr>
          </w:p>
        </w:tc>
        <w:tc>
          <w:tcPr>
            <w:tcW w:w="8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228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of</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w:t>
            </w:r>
          </w:p>
        </w:tc>
        <w:tc>
          <w:tcPr>
            <w:tcW w:w="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228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(000’s)</w:t>
            </w:r>
          </w:p>
        </w:tc>
        <w:tc>
          <w:tcPr>
            <w:tcW w:w="14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Price</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Price</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31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beginning</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14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8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Forfeited or expired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314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ending</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4" w:name="page15"/>
    <w:bookmarkEnd w:id="14"/>
    <w:p>
      <w:pPr>
        <w:ind w:left="920"/>
        <w:spacing w:after="0"/>
        <w:rPr>
          <w:sz w:val="20"/>
          <w:szCs w:val="20"/>
          <w:color w:val="auto"/>
        </w:rPr>
      </w:pPr>
      <w:r>
        <w:rPr>
          <w:rFonts w:ascii="Times New Roman" w:cs="Times New Roman" w:eastAsia="Times New Roman" w:hAnsi="Times New Roman"/>
          <w:sz w:val="18"/>
          <w:szCs w:val="18"/>
          <w:color w:val="auto"/>
        </w:rPr>
        <w:t>Assumptions used in the Black-Scholes model to determine fair value for the stock option awards granted during the period are show below:</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March 31,</w:t>
            </w:r>
          </w:p>
        </w:tc>
      </w:tr>
      <w:tr>
        <w:trPr>
          <w:trHeight w:val="223"/>
        </w:trPr>
        <w:tc>
          <w:tcPr>
            <w:tcW w:w="486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top w:val="single" w:sz="8" w:color="auto"/>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tcBorders>
              <w:bottom w:val="single" w:sz="8" w:color="CCFFCC"/>
            </w:tcBorders>
          </w:tcPr>
          <w:p>
            <w:pPr>
              <w:spacing w:after="0"/>
              <w:rPr>
                <w:sz w:val="19"/>
                <w:szCs w:val="19"/>
                <w:color w:val="auto"/>
              </w:rPr>
            </w:pPr>
          </w:p>
        </w:tc>
      </w:tr>
      <w:tr>
        <w:trPr>
          <w:trHeight w:val="210"/>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forfeitures</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Expected holding period</w:t>
            </w:r>
          </w:p>
        </w:tc>
        <w:tc>
          <w:tcPr>
            <w:tcW w:w="1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RSUs issued and outstanding under a Restricted Stock Unit Award Plan (“2005 RSU Plan”) for its employees and directors. An RSU represents the contingent obligation of the Company to deliver a share of its common stock to the holders of a vested RSU on a specified distribution date. To date, 75% of RSU awards under the 2005 RSU Plan have been distributed. Absent a change of control, the balance of the RSU awards will be distributed on January 1, 2014. Distribution of RSU shares to employees may require the Company to make minimum statutory withholding tax payments for such employee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each of January 1, 2013, 2012 and 2011, 0.83 million RSUs were distributed to our employees and directors. Our employees’ elections to withhold 0.32 million shares in satisfaction of $0.71 million withholding tax obligations resulted in the net issuance of 0.50 million shares in January 2013. Our employees’ elections to withhold 0.30 million shares in satisfaction of $1.0 million withholding tax obligations resulted in the net issuance of 0.53 million shares in January 2012. Our employees’ elections to withhold 0.29 million shares in satisfaction of $1.0 million withholding tax obligations resulted in the net issuance of 0.54 million shares in January 2011.</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summary of the RSU Plan as of March 31, 2013 and 2012 and for the three months then ended consisted of the following (in thousands):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17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Number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60" w:type="dxa"/>
            <w:vAlign w:val="bottom"/>
            <w:gridSpan w:val="2"/>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Number</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of Vested</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Number</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of Vested</w:t>
            </w:r>
          </w:p>
        </w:tc>
      </w:tr>
      <w:tr>
        <w:trPr>
          <w:trHeight w:val="234"/>
        </w:trPr>
        <w:tc>
          <w:tcPr>
            <w:tcW w:w="3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of RSUs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RSUs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of RSUs</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RSUs</w:t>
            </w:r>
          </w:p>
        </w:tc>
      </w:tr>
      <w:tr>
        <w:trPr>
          <w:trHeight w:val="210"/>
        </w:trPr>
        <w:tc>
          <w:tcPr>
            <w:tcW w:w="316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Outstanding, beginning</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Distributed</w:t>
            </w:r>
          </w:p>
        </w:tc>
        <w:tc>
          <w:tcPr>
            <w:tcW w:w="9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(829)</w:t>
            </w:r>
          </w:p>
        </w:tc>
        <w:tc>
          <w:tcPr>
            <w:tcW w:w="9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(829)</w:t>
            </w:r>
          </w:p>
        </w:tc>
        <w:tc>
          <w:tcPr>
            <w:tcW w:w="9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(829)</w:t>
            </w:r>
          </w:p>
        </w:tc>
        <w:tc>
          <w:tcPr>
            <w:tcW w:w="82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1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Forfeited or expired</w:t>
            </w:r>
          </w:p>
        </w:tc>
        <w:tc>
          <w:tcPr>
            <w:tcW w:w="9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ending</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COMMON STOCK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outstanding common stock purchase warrants at March 31, 2013 exercisable for 1.9 million shares of common stock, all of which contain a cashless exercise feature. These warrants have an exercise price of $3.40 per share and expiration date of August 2014.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10 - EARNINGS PER SHARE (“EPS”)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 average common shares outstanding during a period, including shares weighted related to vested RSUs.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either 2013 or 2012 as the Company reported a net loss for the three month periods and including the effects of common stock equivalents in the diluted EPS calculation would have been antidilutive.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reconciliation of the numerators and denominators of basic and diluted EPS for the period are as following:</w:t>
      </w:r>
    </w:p>
    <w:p>
      <w:pPr>
        <w:spacing w:after="0" w:line="22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March 31,</w:t>
      </w:r>
    </w:p>
    <w:p>
      <w:pPr>
        <w:sectPr>
          <w:pgSz w:w="11900" w:h="16838" w:orient="portrait"/>
          <w:cols w:equalWidth="0" w:num="1">
            <w:col w:w="11420"/>
          </w:cols>
          <w:pgMar w:left="240" w:top="900" w:right="239" w:bottom="1440" w:gutter="0" w:footer="0" w:header="0"/>
        </w:sectPr>
      </w:pP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EPS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-127635</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Numerator: net loss</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Common shares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740" w:right="2380"/>
        <w:spacing w:after="0" w:line="292" w:lineRule="auto"/>
        <w:rPr>
          <w:sz w:val="20"/>
          <w:szCs w:val="20"/>
          <w:color w:val="auto"/>
        </w:rPr>
      </w:pPr>
      <w:r>
        <w:rPr>
          <w:rFonts w:ascii="Times New Roman" w:cs="Times New Roman" w:eastAsia="Times New Roman" w:hAnsi="Times New Roman"/>
          <w:sz w:val="18"/>
          <w:szCs w:val="18"/>
          <w:color w:val="auto"/>
        </w:rPr>
        <w:t>Basic and diluted weighted average shares outstanding EPS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-165100</wp:posOffset>
            </wp:positionV>
            <wp:extent cx="65176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Excluded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-119380</wp:posOffset>
            </wp:positionV>
            <wp:extent cx="65176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Common stock issuable: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Total excluded potentially dilutive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Facility Lease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(4,218)</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46,685</w:t>
            </w:r>
          </w:p>
        </w:tc>
        <w:tc>
          <w:tcPr>
            <w:tcW w:w="1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2" w:lineRule="exact"/>
        <w:rPr>
          <w:sz w:val="20"/>
          <w:szCs w:val="20"/>
          <w:color w:val="auto"/>
        </w:rPr>
      </w:pPr>
    </w:p>
    <w:p>
      <w:pPr>
        <w:sectPr>
          <w:pgSz w:w="11900" w:h="16838" w:orient="portrait"/>
          <w:cols w:equalWidth="0" w:num="2">
            <w:col w:w="7060" w:space="720"/>
            <w:col w:w="3640"/>
          </w:cols>
          <w:pgMar w:left="240" w:top="90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administrative office space in Palatine, Illinois under a lease expiring March 31, 2014 for approximately $25 thousand annually.</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Reglan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/Metoclopramide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Times New Roman" w:cs="Times New Roman" w:eastAsia="Times New Roman" w:hAnsi="Times New Roman"/>
          <w:sz w:val="18"/>
          <w:szCs w:val="18"/>
          <w:i w:val="1"/>
          <w:iCs w:val="1"/>
          <w:color w:val="auto"/>
        </w:rPr>
        <w:t>PLIVA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Mensing (“Mensing </w:t>
      </w:r>
      <w:r>
        <w:rPr>
          <w:rFonts w:ascii="Times New Roman" w:cs="Times New Roman" w:eastAsia="Times New Roman" w:hAnsi="Times New Roman"/>
          <w:sz w:val="18"/>
          <w:szCs w:val="18"/>
          <w:color w:val="auto"/>
        </w:rPr>
        <w:t>decision”) holding that state tort law failure to warn claims against generic drug companies are pre-empted by the 1984 Hatch-Waxman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New Jersey, Generic Defendants, including Acura, filed dispositive motions based on the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decision, which the Court granted with a limited exception. In June 2012, the New Jersey trial court dismissed Acura with prejudice.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Philadelphia, and California, Generic Defendants, including Acura, also filed dispositive motions based on the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decision.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On November 28, 2012, the Pennsylvania Superior Court heard the appellate oral argument. A decision on this appeal should be issued later in 2013 and a further appeal to the Pennsylvania Supreme Court likely will follow.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California, the trial court issued an April 17, 2012 ruling (confirmed in a May 25, 2012 Order) denying Generic Defendants’ dispositive preemption motions. The Generics Defendants’ appeals from this order were denied by the California appellate courts. Therefore, plaintiffs are now permitted to proceed with their lawsuits including state law claims based on (1) failing to communicate warnings to physicians through “Dear Doctor” letters; (2) failure to update labeling to adopt brand labeling changes; and (3) failure to withdraw generic products from the market. Despite its refusal to grant the demurrer or motion to strike, the California trial court acknowledged the preemptive effect of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As any potential loss is neither probable nor estimable, we have not accrued for any potential loss related to this matter as of March 31, 2013 and we are presently unable to determine if any potential loss would be covered by our insurance carrier. Legal fees related to this matter are currently covered by our insurance carrier.</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price discounting that may be offered by Pfizer for Oxecta®, our and our licensee's ability to obtain necessary regulatory approvals and commercialize products utilizing our technologies and the market acceptance of and competitive environment for any of our products, the willingness of wholesalers and pharmacies to stock Nexafed® Tablets, expectations regarding potential market share for our products and the timing of first sales, our ability to enter into additional license agreements for our other product candidates, our exposure to product liability and other lawsuits in connection with the commercialization of our products, the increased cost of insurance and the availability of product liability insurance coverage, the ability to avoid infringement of patents, trademarks and other proprietary rights of third parties, and the ability of our patents to protect our products from generic competition, our ability to protect and enforce our patent rights in any paragraph IV patent infringement litigation, and 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filings with the Securities and Exchange Commission.</w:t>
      </w:r>
    </w:p>
    <w:p>
      <w:pPr>
        <w:spacing w:after="0" w:line="4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or the Pfizer Agreement. We have also developed our Impede® Technology which is a combination of inactive ingredients that are intended to prevent the extraction of pseudoephedrine from tablets and disrupt the direct conversion of pseudoephedrine from tablets into methamphetamine.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7 additional opioid products utilizing Aversion in various stages of development. Pursuant to a September 24, 2012 letter agreement with Pfizer, all rights to these development-stage opioid products have reverted back to us. Our product containing hydrocodone bitartrate and acetaminophen utilizing the Aversion technology, or hydrocodone/acetaminophen, is the most advanced opioid product in development and the primary focus of our opioid development efforts. Hydrocodone/acetaminophen is the most widely prescribed and often abused opioid product in the United States. Pfizer previously completed a clinical study demonstrating the hydrocodone/acetaminophen product is bioequivalent to its reference listed drug, however we believe the Pfizer product may have contained up to 12% more hydrocodone bitartrate than expected. We have estimated that the Pfizer study would have achieved the bioequivalence standard after adjusting the results for such additional amount of hydrocodone bitartrate. We filed an Investigational New Drug Application, or IND, with the Food and Drug Administration, or FDA, on December 20, 2012, which became effective in late January 2013 and allows us to commence clinical trials. We expect that the development program for our hydrocodone/acetaminophen product and our other Aversion opioid products in development will be consistent with that of Oxecta. We anticipate submitting a 505(b)(2) NDA with the FDA for our hydrocodone/acetaminophen product in the first half of 2014.</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launched Nexafed commercially in mid-December 2012 into the $1 billion United States over the counter market, or OTC, for cold and allergy products containing a decongestant through drug wholesalers to retail pharmacies.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We also have been conducting research on the next generation of our Impede Technology to further improve our Nexafed franchise.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Aversion Technology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Aversion Technology is a unique composition of inactive pharmaceutical ingredients utilized with an opioid or other drug susceptible of abuse to provide abuse deterrent functionality. We have four issued U.S. patents covering all of our Aversion Technology opioid products, which patents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4" w:lineRule="exact"/>
        <w:rPr>
          <w:sz w:val="20"/>
          <w:szCs w:val="20"/>
          <w:color w:val="auto"/>
        </w:rPr>
      </w:pPr>
    </w:p>
    <w:p>
      <w:pPr>
        <w:jc w:val="both"/>
        <w:ind w:left="660" w:hanging="4"/>
        <w:spacing w:after="0" w:line="261" w:lineRule="auto"/>
        <w:tabs>
          <w:tab w:leader="none" w:pos="10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80"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0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extent and manner in which any of the features described below will be described in the FDA approved label for our pipeline products will be dependent on the results of and the acceptance by the FDA of our and our licensees’ studies for each product.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Oxecta®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Oxecta is a Schedule II narcotic indicated for the management of acute and chronic moderate to severe pain where the use of an opioid analgesic is appropriate. Oxecta utilizes our Aversion Technology. Pfizer received FDA approval for its 505(b)(2) NDA for Oxecta on June 17, 2011 and introduced the product into the market in February 2012. To our knowledge, Pfizer has not initiated marketing of Oxecta to physicians pending receipt of comments from the FDA on their promotion materials which were submitted to the FDA in July 2012. Pfizer received FDA’s comments on their proposed Oxecta promotional materials in April 2013 and is formulating their plans for Oxecta. As such, Pfizer attained no meaningful sales of Oxecta in 2012 or in the quarter ended March 31, 2013.</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89" w:lineRule="exact"/>
        <w:rPr>
          <w:sz w:val="20"/>
          <w:szCs w:val="20"/>
          <w:color w:val="auto"/>
        </w:rPr>
      </w:pPr>
    </w:p>
    <w:p>
      <w:pPr>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subjects exposed to Oxecta responded that they would not take the drug again compared to 5% of subjects exposed to immediate-release oxycodone;</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taking Oxecta reported a higher incidence of nasopharyngeal and facial adverse events compared to immediate-release oxycodone;</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numeric differences in the median and mean drug liking scores, which were lower in response to Oxecta than immediate-release oxycodone.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License, Development and Commercialization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As of March 31, 2013,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NDA for Oxecta. In addition, we are eligible to receive milestone payments based on future regulatory events and product sales achievements, and tiered royalties of 5% - 25% on annual net sales of Oxecta.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Aversion Technology Opioid Products in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multiple opioid products utilizing our Aversion Technology in various stages of development, including the following:</w:t>
      </w:r>
    </w:p>
    <w:p>
      <w:pPr>
        <w:sectPr>
          <w:pgSz w:w="11900" w:h="16838" w:orient="portrait"/>
          <w:cols w:equalWidth="0" w:num="1">
            <w:col w:w="11420"/>
          </w:cols>
          <w:pgMar w:left="240" w:top="900" w:right="239" w:bottom="1440" w:gutter="0" w:footer="0" w:header="0"/>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Comparable Brand</w:t>
            </w:r>
          </w:p>
        </w:tc>
        <w:tc>
          <w:tcPr>
            <w:tcW w:w="0" w:type="dxa"/>
            <w:vAlign w:val="bottom"/>
          </w:tcPr>
          <w:p>
            <w:pPr>
              <w:spacing w:after="0"/>
              <w:rPr>
                <w:sz w:val="1"/>
                <w:szCs w:val="1"/>
                <w:color w:val="auto"/>
              </w:rPr>
            </w:pPr>
          </w:p>
        </w:tc>
      </w:tr>
      <w:tr>
        <w:trPr>
          <w:trHeight w:val="271"/>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Aversion Technology Tablets</w:t>
            </w:r>
          </w:p>
        </w:tc>
        <w:tc>
          <w:tcPr>
            <w:tcW w:w="120" w:type="dxa"/>
            <w:vAlign w:val="bottom"/>
          </w:tcPr>
          <w:p>
            <w:pPr>
              <w:spacing w:after="0"/>
              <w:rPr>
                <w:sz w:val="23"/>
                <w:szCs w:val="23"/>
                <w:color w:val="auto"/>
              </w:rPr>
            </w:pPr>
          </w:p>
        </w:tc>
        <w:tc>
          <w:tcPr>
            <w:tcW w:w="2760" w:type="dxa"/>
            <w:vAlign w:val="bottom"/>
          </w:tcPr>
          <w:p>
            <w:pPr>
              <w:ind w:left="1120"/>
              <w:spacing w:after="0" w:line="271" w:lineRule="exact"/>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30"/>
                <w:szCs w:val="30"/>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7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Vicodin®, Lortab®,</w:t>
            </w: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Hydrocodone</w:t>
            </w:r>
          </w:p>
        </w:tc>
        <w:tc>
          <w:tcPr>
            <w:tcW w:w="120" w:type="dxa"/>
            <w:vAlign w:val="bottom"/>
            <w:vMerge w:val="continue"/>
          </w:tcPr>
          <w:p>
            <w:pPr>
              <w:spacing w:after="0"/>
              <w:rPr>
                <w:sz w:val="17"/>
                <w:szCs w:val="17"/>
                <w:color w:val="auto"/>
              </w:rPr>
            </w:pPr>
          </w:p>
        </w:tc>
        <w:tc>
          <w:tcPr>
            <w:tcW w:w="2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bitartrate/acetaminophen</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Norco®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Hydromorphone HCl</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Dilaudid®</w:t>
            </w: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Methadone HCl</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Methadose</w:t>
            </w: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Morphine Sulfate</w:t>
            </w:r>
          </w:p>
        </w:tc>
        <w:tc>
          <w:tcPr>
            <w:tcW w:w="1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MSIR®</w:t>
            </w: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Oxycodone HCl/acetaminophen</w:t>
            </w:r>
          </w:p>
        </w:tc>
        <w:tc>
          <w:tcPr>
            <w:tcW w:w="1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Percocet®</w:t>
            </w: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Oxymorphone HCl</w:t>
            </w:r>
          </w:p>
        </w:tc>
        <w:tc>
          <w:tcPr>
            <w:tcW w:w="1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Opana®</w:t>
            </w: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Tramadol HCl</w:t>
            </w:r>
          </w:p>
        </w:tc>
        <w:tc>
          <w:tcPr>
            <w:tcW w:w="12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Ultram®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35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 submitted to the FDA on December 20,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NDA submission targeted for the first half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-130810</wp:posOffset>
            </wp:positionV>
            <wp:extent cx="4922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85" w:lineRule="auto"/>
        <w:rPr>
          <w:sz w:val="20"/>
          <w:szCs w:val="20"/>
          <w:color w:val="auto"/>
        </w:rPr>
      </w:pPr>
      <w:r>
        <w:rPr>
          <w:rFonts w:ascii="Times New Roman" w:cs="Times New Roman" w:eastAsia="Times New Roman" w:hAnsi="Times New Roman"/>
          <w:sz w:val="18"/>
          <w:szCs w:val="18"/>
          <w:color w:val="auto"/>
        </w:rPr>
        <w:t>Proof of Concept</w:t>
      </w:r>
      <w:r>
        <w:rPr>
          <w:rFonts w:ascii="Times New Roman" w:cs="Times New Roman" w:eastAsia="Times New Roman" w:hAnsi="Times New Roman"/>
          <w:sz w:val="30"/>
          <w:szCs w:val="30"/>
          <w:color w:val="auto"/>
          <w:vertAlign w:val="superscript"/>
        </w:rPr>
        <w:t>2</w:t>
      </w:r>
    </w:p>
    <w:p>
      <w:pPr>
        <w:spacing w:after="0" w:line="185" w:lineRule="auto"/>
        <w:rPr>
          <w:sz w:val="20"/>
          <w:szCs w:val="20"/>
          <w:color w:val="auto"/>
        </w:rPr>
      </w:pPr>
      <w:r>
        <w:rPr>
          <w:rFonts w:ascii="Times New Roman" w:cs="Times New Roman" w:eastAsia="Times New Roman" w:hAnsi="Times New Roman"/>
          <w:sz w:val="18"/>
          <w:szCs w:val="18"/>
          <w:color w:val="auto"/>
        </w:rPr>
        <w:t>Proof of Concept</w:t>
      </w:r>
      <w:r>
        <w:rPr>
          <w:rFonts w:ascii="Times New Roman" w:cs="Times New Roman" w:eastAsia="Times New Roman" w:hAnsi="Times New Roman"/>
          <w:sz w:val="29"/>
          <w:szCs w:val="29"/>
          <w:color w:val="auto"/>
          <w:vertAlign w:val="superscript"/>
        </w:rPr>
        <w:t>2</w:t>
      </w:r>
    </w:p>
    <w:p>
      <w:pPr>
        <w:spacing w:after="0" w:line="185" w:lineRule="auto"/>
        <w:rPr>
          <w:sz w:val="20"/>
          <w:szCs w:val="20"/>
          <w:color w:val="auto"/>
        </w:rPr>
      </w:pPr>
      <w:r>
        <w:rPr>
          <w:rFonts w:ascii="Times New Roman" w:cs="Times New Roman" w:eastAsia="Times New Roman" w:hAnsi="Times New Roman"/>
          <w:sz w:val="18"/>
          <w:szCs w:val="18"/>
          <w:color w:val="auto"/>
        </w:rPr>
        <w:t>Proof of Concept</w:t>
      </w:r>
      <w:r>
        <w:rPr>
          <w:rFonts w:ascii="Times New Roman" w:cs="Times New Roman" w:eastAsia="Times New Roman" w:hAnsi="Times New Roman"/>
          <w:sz w:val="29"/>
          <w:szCs w:val="29"/>
          <w:color w:val="auto"/>
          <w:vertAlign w:val="superscript"/>
        </w:rPr>
        <w:t>2</w:t>
      </w:r>
    </w:p>
    <w:p>
      <w:pPr>
        <w:spacing w:after="0" w:line="184" w:lineRule="auto"/>
        <w:rPr>
          <w:sz w:val="20"/>
          <w:szCs w:val="20"/>
          <w:color w:val="auto"/>
        </w:rPr>
      </w:pPr>
      <w:r>
        <w:rPr>
          <w:rFonts w:ascii="Times New Roman" w:cs="Times New Roman" w:eastAsia="Times New Roman" w:hAnsi="Times New Roman"/>
          <w:sz w:val="18"/>
          <w:szCs w:val="18"/>
          <w:color w:val="auto"/>
        </w:rPr>
        <w:t>Proof of Concept</w:t>
      </w:r>
      <w:r>
        <w:rPr>
          <w:rFonts w:ascii="Times New Roman" w:cs="Times New Roman" w:eastAsia="Times New Roman" w:hAnsi="Times New Roman"/>
          <w:sz w:val="29"/>
          <w:szCs w:val="29"/>
          <w:color w:val="auto"/>
          <w:vertAlign w:val="superscript"/>
        </w:rPr>
        <w:t>2</w:t>
      </w:r>
    </w:p>
    <w:p>
      <w:pPr>
        <w:spacing w:after="0" w:line="185" w:lineRule="auto"/>
        <w:rPr>
          <w:sz w:val="20"/>
          <w:szCs w:val="20"/>
          <w:color w:val="auto"/>
        </w:rPr>
      </w:pPr>
      <w:r>
        <w:rPr>
          <w:rFonts w:ascii="Times New Roman" w:cs="Times New Roman" w:eastAsia="Times New Roman" w:hAnsi="Times New Roman"/>
          <w:sz w:val="18"/>
          <w:szCs w:val="18"/>
          <w:color w:val="auto"/>
        </w:rPr>
        <w:t>Proof of Concept</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Proof of Concept</w:t>
      </w:r>
      <w:r>
        <w:rPr>
          <w:rFonts w:ascii="Times New Roman" w:cs="Times New Roman" w:eastAsia="Times New Roman" w:hAnsi="Times New Roman"/>
          <w:sz w:val="30"/>
          <w:szCs w:val="30"/>
          <w:color w:val="auto"/>
          <w:vertAlign w:val="superscript"/>
        </w:rPr>
        <w:t>2</w:t>
      </w:r>
    </w:p>
    <w:p>
      <w:pPr>
        <w:spacing w:after="0" w:line="1" w:lineRule="exact"/>
        <w:rPr>
          <w:sz w:val="20"/>
          <w:szCs w:val="20"/>
          <w:color w:val="auto"/>
        </w:rPr>
      </w:pPr>
    </w:p>
    <w:p>
      <w:pPr>
        <w:sectPr>
          <w:pgSz w:w="11900" w:h="16838" w:orient="portrait"/>
          <w:cols w:equalWidth="0" w:num="2">
            <w:col w:w="6540" w:space="100"/>
            <w:col w:w="4780"/>
          </w:cols>
          <w:pgMar w:left="240" w:top="900" w:right="239" w:bottom="1440" w:gutter="0" w:footer="0" w:header="0"/>
          <w:type w:val="continuous"/>
        </w:sectPr>
      </w:pPr>
    </w:p>
    <w:p>
      <w:pPr>
        <w:ind w:left="180" w:hanging="172"/>
        <w:spacing w:after="0" w:line="228" w:lineRule="auto"/>
        <w:tabs>
          <w:tab w:leader="none" w:pos="18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Comparable Brand Name refers to currently marketed prescription products in the United States containing the same active analgesic ingredient(s) as in the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corresponding Aversion Technology product.</w:t>
      </w:r>
    </w:p>
    <w:p>
      <w:pPr>
        <w:spacing w:after="0" w:line="7" w:lineRule="exact"/>
        <w:rPr>
          <w:sz w:val="20"/>
          <w:szCs w:val="20"/>
          <w:color w:val="auto"/>
        </w:rPr>
      </w:pPr>
    </w:p>
    <w:p>
      <w:pPr>
        <w:ind w:left="180" w:hanging="172"/>
        <w:spacing w:after="0" w:line="187" w:lineRule="auto"/>
        <w:tabs>
          <w:tab w:leader="none" w:pos="18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Proof of Concept is attained upon demonstration of product stability and bioavailability parameters. All proof of concept formulations contain niacin and will require reformulation.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Hydrocodone/Acetaminophen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hydrocodone/acetaminophen product was previously under development by Pfizer who, before returning the product to us: (1) successfully removed niacin from the formulation, (2) conducted bioequivalence testing and (3) held a pre-IND meeting with the FDA. We expect our clinical development program for our hydrocodone/acetaminophen product to consist of:</w:t>
      </w:r>
    </w:p>
    <w:p>
      <w:pPr>
        <w:spacing w:after="0" w:line="176" w:lineRule="exact"/>
        <w:rPr>
          <w:sz w:val="20"/>
          <w:szCs w:val="20"/>
          <w:color w:val="auto"/>
        </w:rPr>
      </w:pPr>
    </w:p>
    <w:p>
      <w:pPr>
        <w:ind w:left="130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pharmacokinetic study in about 36 fasted subjects to establish bioequivalence of product made by a new contract manufacturer to the FDA’s reference listed drug and determine the food effect on our drug;</w:t>
      </w:r>
    </w:p>
    <w:p>
      <w:pPr>
        <w:ind w:left="130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pharmacokinetic study in about 24 subjects to establish safety compared to the reference listed drugs tramadol/acetaminophen (for acetaminophen) and hydrocodone bitartrate/ibuprofen (for hydrocodone);</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pharmacokinetic study in about 24 subjects demonstrating dose proportionality of our formulation;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nasal abuse liability liking study in about 40 recreational drug users against a reference drug;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studies demonstrating extraction, syringing and particle size characteristics of our product;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routes of abuse of hydrocodone products.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commenced enrollment in study AP-ADF-301, a nasal abuse liability liking study in recreational drug users, in February 2013. The last subject in AP-ADF-301 completed dosing in March 2013. We are awaiting comments from the FDA regarding our statistical analysis plan for this study before analyzing the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initiated technical transfer for our Aversion hydrocodone/acetaminophen product to the proposed commercial manufacturer to commence scale-up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development program outlined above, we anticipate preparing and submitting a 505(b)(2) NDA for our hydrocodone/acetaminophen product in the first half of 2014.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evaluate possible partnering of our Aversion development products with alternative strategic partners.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Impede Technology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Impede Technology, a proprietary mixture of inactive ingredients, is intended to prevent the extraction of pseudoephedrine, or PSE, from tablets and disrupt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Studies sponsored by us at an independent laboratory and confirmed by a law enforcement agency,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in multiple one-pot tests with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Nexafed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Nexafed product is an immediate-release pseudoephedrine HCl, tablet which utilizes our patent pending Impede Technology. PSE is a widely-used nasal decongestant available in many non-prescription and prescription cold, sinus and allergy products We have demonstrated that our Nexafed 30mg tablets is bioequivalent to Johnson &amp; Johnson’s Sudafed® 30mg Tablets when a single 2 tablets dose is administered. Commencing in 2006, the Combat Methamphetamine Epidemic Act, or CMEA,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launched Nexafed commercially in mid-December 2012 into the United States OTC market for cold and allergy products and have shipped Nexafed to several regional and national drug wholesalers for redistribution to pharmacies, including the three largest U.S. drug wholesalers: McKesson, Cardinal Health and AmerisourceBergen. In March 2013, we completed our first shipment of Nexafed directly to the warehouse of a regional drug chain who, we understand, would further stock all of their pharmacies with Nexafed. We have also gained support from three additional pharmacy chain customers, including one operating food/pharmacy combination stores that ranks in the top 10 in the U.S. based on retail pharmacy outlets. Generally, these chain customers purchase their pseudoephedrine products through their pharmacy departments – as opposed to a centralized OTC purchasing operation. The support for Nexafed from these chain customers varies from providing Nexafed educational materials to their pharmacists and allowing each pharmacy to make their own purchasing decision, to the stocking of Nexafed as their only 30mg pseudoephedrine product. We continue to work to expand the wholesale and retail distribution network for Nexafed.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using telemarketing, direct mail, and online and journal advertising to educate pharmacists about Nexafed and encourage pharmacists to recommend Nexafed to their customers. We may use consumer advertising in the future. We have shipped approximately $31 thousand in Nexafed product during the first quarter 2013.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marketing our 30mg Nexafed product under FDA’s regulations applicable to OTC Monograph products. Nexafed tablets are offered in 24-count blister packaged cartons and priced comparable to other branded PSE 30mg tablets.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 Present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29, 2013 we had cash, cash equivalents and marketable securities of approximately $21.5 million. We estimate that our current cash reserves will be sufficient to fund operations through at least the next 12 months.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2013 we did not recognized any of the $31 thousand product sales derived from the shipment of Nexafed. Given the limited sales history of Nexafed, the Company currently cannot reliably estimate expected returns of the product at the time of shipment. Accordingly, the Company defers recognition of revenue on the product shipments of Nexafed until the right of return no longer exists or adequate history and information is available to estimate product returns. Our royalty revenue from Pfizer’s sale of Oxecta Tablets began in February 2013.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fund our continued operations, we expect to rely on our current cash resources, additional payments that may be made under Pfizer Agreement and under future license agreements with other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including the prosecution of the Paragraph IV Proceedings, hire additional personnel, commercialize our Nexafed Tablets, or invest in other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 for the Three Months Ended March 31, 2013 and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2013</w:t>
            </w: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$000’s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$000’s</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Percent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8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2,222</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3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(2,344)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Gain on sales of marketable securities</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launched Nexafed commercially in mid-December 2012. Given the limited sales history of Nexafed, the Company currently cannot reliably estimate expected returns of the product at the time of shipment. Accordingly, the Company has deferred recognition of revenue and the related cost of sales on product shipments of Nexafed since its launch until the right of return no longer exists or adequate history and information is available to estimate product returns. As of March 31, 2013, we had $37 thousand in deferred revenue on our balance sheet related to Nexafed shipments made since its commercial launch. We had no product sales for the three months ended March 31, 2012.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License, Development, and Commercialization Agreement dated October 30, 2007 with King Pharmaceuticals Research and Development, Inc., now a subsidiary of Pfizer Inc., we began to earn royalties on Oxecta net sales starting in February 2013. Pfizer will pay us a royalty at one of six rates ranging from 5% to 25% based on the level of annual net sales for Oxecta across all Pfizer Territories, with the highest applicable royalty rate applied to such annual sales. These royalties are based on net sales of Oxecta reported to us by Pfizer being paid to us within 45 days after the end of each calendar quarter. We recorded royalties of approximately $4 thousand for the quarter ended March 31, 2013 on net sales of approximately $77 thousand.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R&amp;D expense during the three months ended March 31, 2013 were primarily for our Aversion development expenses and for the three months ended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$0.1 million. Excluding the share-based compensation expense, our development expenses increased approximately $1.1 million between reporting periods primarily on our Aversion development expenses on our hydrocodone/acetaminophen product candidate.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and marketing expenses during the three months ended March 31, 2013 and 2012 primarily consisted of advertising and marketing activities on Nexafed which was launched in December 2012. Selling and marketing expenses during the three months ended March 31, 2012 primarily consisted of market research studies on our Aversion and Impede® Technologies. Our Nexafed advertising and marketing activities will continue in 2013. Our G&amp;A expenses primarily consisted of legal, audit and other professional services, corporate insurance, and payroll. Included in the 2013 and 2012 results are non-cash share-based compensation expenses of $0.2 million and $0.3 million, respectively. Excluding the share-based compensation expense our selling, general and administrative expenses increased approximately $0.9 million, primarily for the advertising and marketing activities on Nexafed and legal services on our paragraph IV litigation, between reporting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2013 and 2012, other non-operating income consisted principally of investment income derived from our cash reserves being invested in accordance with a Board of Director approved investment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loss for the three months ended March 31, 2013 and 2012 includes no federal or state income tax benefit provisions due to uncertainty of their future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2013, the Company had cash, cash equivalents and marketable securities of $23.4 million compared to $27.4 million at December 31, 2012. The Company had working capital of $22.0 million at March 31, 2013 compared to $27.6 million at December 31, 2012. The decrease in our cash position is primarily due to the period’s net loss and the payment of employees’ withholding taxes approximating $0.7 million associated with their option exercises and RSU exchanges during such period, adjusted for the non-cash share-based compensation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29, 2013, the Company had cash, cash equivalents and marketable securities of approximately $21.5 million. We estimate that our current cash reserves will be sufficient to fund operations through at least the next 12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A of the Notes to Consolidated Financial Statements, in the Company’s 2012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2012 Annual Report are also applicable to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27" w:lineRule="exact"/>
        <w:rPr>
          <w:sz w:val="20"/>
          <w:szCs w:val="20"/>
          <w:color w:val="auto"/>
        </w:rPr>
      </w:pPr>
    </w:p>
    <w:p>
      <w:pPr>
        <w:jc w:val="both"/>
        <w:ind w:firstLine="8"/>
        <w:spacing w:after="0" w:line="255"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management, with the participation of the Company’s Chief Executive Officer and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85" w:lineRule="exact"/>
        <w:rPr>
          <w:rFonts w:ascii="Times New Roman" w:cs="Times New Roman" w:eastAsia="Times New Roman" w:hAnsi="Times New Roman"/>
          <w:sz w:val="18"/>
          <w:szCs w:val="18"/>
          <w:color w:val="auto"/>
        </w:rPr>
      </w:pPr>
    </w:p>
    <w:p>
      <w:pPr>
        <w:ind w:firstLine="8"/>
        <w:spacing w:after="0" w:line="284"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Changes in Internal Controls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no changes in our internal controls over financial reporting during the first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2013 that have materially affected, or are reasonably likely to materially affect, our internal controls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Note 4, “License, Development, and Commercialization Agreement – Paragraph IV ANDA Litigation”, and Note 9, “Commitments and Contingencies,” in Part I, Item 1,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to the risk factors contained in our Form 10-K for the year ended December 31, 2012, you should carefully consider the risk factor described below.</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engage in strategic transactions that could have result in negative consequences, and we may not realize the benefits of such transactions or attempts to engage in such transactions.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seek to engage in strategic transactions with third parties, such as acquisitions of companies or divisions of companies, asset purchases, or in-licensing product candidates or technologies that we believe will complement or expand our existing business. We may also consider a variety of other business arrangements, including strategic partnerships, business combinations and other investments. Any such transaction may require us to incur non-recurring and other charges, increase our near and long-term expenditures, pose significant integration challenges, require additional expertise, result in dilution to our existing stockholders and disrupt our management and business, which could adversely affect our operations and financial results. Moreover, we face significant competition in seeking appropriate strategic partners and transactions, and the negotiation process for any strategic transaction can be time-consuming and complex. In addition, we may not be successful in our efforts to engage in certain strategic transactions. Any failures or delays in entering into strategic transactions anticipated by analysts or the investment community could result in a decline in our stock price.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risk factors below amend and replace the risk factors having the same descriptive caption contained in our Form 10-K for the year ended December 31, 2012. The changes to such original risk factors are marked.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w:t>
      </w:r>
      <w:r>
        <w:rPr>
          <w:rFonts w:ascii="Times New Roman" w:cs="Times New Roman" w:eastAsia="Times New Roman" w:hAnsi="Times New Roman"/>
          <w:sz w:val="18"/>
          <w:szCs w:val="18"/>
          <w:i w:val="1"/>
          <w:iCs w:val="1"/>
          <w:u w:val="single" w:color="auto"/>
          <w:color w:val="auto"/>
        </w:rPr>
        <w:t>and U.S. Patent No. 7,510,726</w:t>
      </w:r>
      <w:r>
        <w:rPr>
          <w:rFonts w:ascii="Times New Roman" w:cs="Times New Roman" w:eastAsia="Times New Roman" w:hAnsi="Times New Roman"/>
          <w:sz w:val="18"/>
          <w:szCs w:val="18"/>
          <w:color w:val="auto"/>
        </w:rPr>
        <w:t xml:space="preserve"> from the USPTO encompassing our opioid products utilizing our Aversion Technology, and U.S. Patent No. 7,981,439 and U.S. Patent No. 8,409,616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or intend to rely on our trademarks, trade names and brand names to distinguish our products from the products of our competitors, and have registered or applied to register many of these trademarks. However, our trademark applications may not be approved. Third parties may also oppose our trademark applications or otherwise challenge our use of the trademarks. In the event that our trademarks are successfully challenged, we could be forced to rebrand our product, which could result in loss of brand recognition and could require us to devote resources to advertising and marketing these new brands. Further, our competitors may infringe our trademarks, or we may not have adequate resources to enforce our trademarks.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62" w:lineRule="exact"/>
        <w:rPr>
          <w:sz w:val="20"/>
          <w:szCs w:val="20"/>
          <w:color w:val="auto"/>
        </w:rPr>
      </w:pPr>
    </w:p>
    <w:p>
      <w:pPr>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we or our licensee(s) may initiate against third parties to enforce our patent rights or other intellectual property rights, including the Paragraph IV Proceedings described below;</w:t>
      </w:r>
    </w:p>
    <w:p>
      <w:pPr>
        <w:ind w:left="980" w:right="2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ind w:left="980" w:hanging="324"/>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litigation or other proceedings, </w:t>
      </w:r>
      <w:r>
        <w:rPr>
          <w:rFonts w:ascii="Times New Roman" w:cs="Times New Roman" w:eastAsia="Times New Roman" w:hAnsi="Times New Roman"/>
          <w:sz w:val="18"/>
          <w:szCs w:val="18"/>
          <w:i w:val="1"/>
          <w:iCs w:val="1"/>
          <w:u w:val="single" w:color="auto"/>
          <w:color w:val="auto"/>
        </w:rPr>
        <w:t>including interference proceedings with the USPTO,</w:t>
      </w:r>
      <w:r>
        <w:rPr>
          <w:rFonts w:ascii="Times New Roman" w:cs="Times New Roman" w:eastAsia="Times New Roman" w:hAnsi="Times New Roman"/>
          <w:sz w:val="18"/>
          <w:szCs w:val="18"/>
          <w:color w:val="auto"/>
        </w:rPr>
        <w:t xml:space="preserve"> third parties may initiate against us or our licensee(s) to seek to invalidate our patents or to obtain a judgment that third party products do not infringe our patents;</w:t>
      </w:r>
    </w:p>
    <w:p>
      <w:pPr>
        <w:ind w:left="980" w:hanging="324"/>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claiming that our products infringe their patent or other intellectual property rights, we will need to defend against such proceedings.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our licensee Pfizer has the first right to control the enforcement of certain of our patents against third party infringers. Pfizer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aware of certain United States and international pending patent applications owned by third parties with claims potentially encompassing Oxecta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t>
      </w:r>
      <w:r>
        <w:rPr>
          <w:rFonts w:ascii="Times New Roman" w:cs="Times New Roman" w:eastAsia="Times New Roman" w:hAnsi="Times New Roman"/>
          <w:sz w:val="18"/>
          <w:szCs w:val="18"/>
          <w:i w:val="1"/>
          <w:iCs w:val="1"/>
          <w:u w:val="single" w:color="auto"/>
          <w:color w:val="auto"/>
        </w:rPr>
        <w:t>We are also aware of an issued United States Patent owned by a third party having claims encompassing the use of certain of our Aversion inactive ingredients in an immediate-release oxycodone HCl tablet formulation. Such third party has informally advised us that it believes Oxecta may infringe its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we believe that our Aversion products do not infringe these patents, or that such patents are otherwise invalid, there can be no assurance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Pfizer will not be sued for infringing these patents, and if sued, there can be no assurance that we or Pfizer will prevail in any such litigation. If we or Pfizer are found to infringe either or both of these patents, we or Pfizer may seek a license to use the patented technology. If we are unable to obtain such a license, of which no assurance can be given, we or Pfizer may be restricted or prevented from commercializing our Aversion products.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aware of certain issued United States patents owned by a third party having claims encompassing a process used to manufacture oxycodone HCl of high purity and pharmaceutical products resulting therefrom. As required by the FDA, Oxecta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Pfizer or its oxycodone HCl supplier will not be sued for infringing these patents. In the event of an infringement action, Pfizer and their oxycodone HCl supplier would have to either: (a) demonstrate that the manufacture of the oxycodone HCl used in Oxecta does not infringe the patent claims, (b) demonstrate the patents are invalid or unenforceable, or (c) enter into a license with the patent owner. If Pfizer or their oxycodone HCl supplier is unable to demonstrate the foregoing, or obtain a license to these patients, Pfizer may be required or choose to withdraw Oxecta from the market.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aware of a certain issued United States patent owned by a third party having claims similar to our second generation Impede Technology directed to ingredient amounts that are generally less than the amounts used in our technology. While we believe our technology does not infringe this patent, we cannot provide assurance that we will not be sued under such patent or if sued, that we will prevail in any such suit.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Strategic Transaction Bonus Grant Agreement dated February 28, 2013 between the Company and Robert B. Jones.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Strategic Transaction Bonus Grant Agreement dated February 28, 2013 between the Company and Peter A. Clemens.</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pursuant to Rule 13a-14 and 15d-14 of the Securities Exchange Act of</w:t>
            </w:r>
          </w:p>
        </w:tc>
      </w:tr>
      <w:tr>
        <w:trPr>
          <w:trHeight w:val="234"/>
        </w:trPr>
        <w:tc>
          <w:tcPr>
            <w:tcW w:w="116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1934.</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pursuant to Rule 13a-14 and 15d-14 of the Securities Exchange Act of</w:t>
            </w:r>
          </w:p>
        </w:tc>
      </w:tr>
      <w:tr>
        <w:trPr>
          <w:trHeight w:val="234"/>
        </w:trPr>
        <w:tc>
          <w:tcPr>
            <w:tcW w:w="116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1934.</w:t>
            </w: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Certification of Periodic Report by the Chief Executive Officer and Chief Financial Officer pursuant to 18 U.S.C. Section 1350, as</w:t>
            </w:r>
          </w:p>
        </w:tc>
      </w:tr>
      <w:tr>
        <w:trPr>
          <w:trHeight w:val="234"/>
        </w:trPr>
        <w:tc>
          <w:tcPr>
            <w:tcW w:w="1160" w:type="dxa"/>
            <w:vAlign w:val="bottom"/>
          </w:tcPr>
          <w:p>
            <w:pPr>
              <w:spacing w:after="0"/>
              <w:rPr>
                <w:sz w:val="20"/>
                <w:szCs w:val="20"/>
                <w:color w:val="auto"/>
              </w:rPr>
            </w:pP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648"/>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420"/>
          </w:cols>
          <w:pgMar w:left="240" w:top="904"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820"/>
        <w:spacing w:after="0"/>
        <w:tabs>
          <w:tab w:leader="none" w:pos="7060" w:val="left"/>
        </w:tabs>
        <w:rPr>
          <w:sz w:val="20"/>
          <w:szCs w:val="20"/>
          <w:color w:val="auto"/>
        </w:rPr>
      </w:pPr>
      <w:r>
        <w:rPr>
          <w:rFonts w:ascii="Times New Roman" w:cs="Times New Roman" w:eastAsia="Times New Roman" w:hAnsi="Times New Roman"/>
          <w:sz w:val="18"/>
          <w:szCs w:val="18"/>
          <w:color w:val="auto"/>
        </w:rPr>
        <w:t>April 30, 2013</w:t>
      </w:r>
      <w:r>
        <w:rPr>
          <w:sz w:val="20"/>
          <w:szCs w:val="20"/>
          <w:color w:val="auto"/>
        </w:rPr>
        <w:tab/>
      </w:r>
      <w:r>
        <w:rPr>
          <w:rFonts w:ascii="Times New Roman" w:cs="Times New Roman" w:eastAsia="Times New Roman" w:hAnsi="Times New Roman"/>
          <w:sz w:val="17"/>
          <w:szCs w:val="17"/>
          <w:color w:val="auto"/>
        </w:rPr>
        <w:t>ACURA PHARMACEUTICALS, INC.</w:t>
      </w:r>
    </w:p>
    <w:p>
      <w:pPr>
        <w:spacing w:after="0" w:line="22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 Robert B. Jones</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 Peter A. Clemens</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2752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Senior VP &amp;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STRATEGIC TRANSACTION BONUS GRANT AGREEMENT</w:t>
      </w:r>
    </w:p>
    <w:p>
      <w:pPr>
        <w:spacing w:after="0" w:line="2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Strategic Transaction Bonus Grant Agreement (the “Agreement”) made as of this 28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February, 2013, by and between ACURA PHARMACEUTICALS, INC., a New York corporation (the “Corporation”), with offices at 616 N. North Court, Suite 120, Palatine, IL 60067, and Robert B. Jones, residing at 20 Beekman Terrace, Summit, NJ 07901 (the “Employee”).</w:t>
      </w:r>
    </w:p>
    <w:p>
      <w:pPr>
        <w:spacing w:after="0" w:line="19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seeks (i) to retain the Employee; and (ii) increase the incentive of the Employee to continue to increase the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to enhance shareholder value by rewarding the consummation of a Strategic Transaction (as defined below);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therewith, the Employee shall be eligible to receive from the Corporation a one-time Strategic Transaction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provided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undertakings herein contained, the parties agree as follows:</w:t>
      </w:r>
    </w:p>
    <w:p>
      <w:pPr>
        <w:spacing w:after="0" w:line="225" w:lineRule="exact"/>
        <w:rPr>
          <w:sz w:val="20"/>
          <w:szCs w:val="20"/>
          <w:color w:val="auto"/>
        </w:rPr>
      </w:pPr>
    </w:p>
    <w:p>
      <w:pPr>
        <w:ind w:left="1220" w:hanging="564"/>
        <w:spacing w:after="0"/>
        <w:tabs>
          <w:tab w:leader="none" w:pos="12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firstLine="673"/>
        <w:spacing w:after="0" w:line="282" w:lineRule="auto"/>
        <w:rPr>
          <w:sz w:val="20"/>
          <w:szCs w:val="20"/>
          <w:color w:val="auto"/>
        </w:rPr>
      </w:pPr>
      <w:r>
        <w:rPr>
          <w:rFonts w:ascii="Times New Roman" w:cs="Times New Roman" w:eastAsia="Times New Roman" w:hAnsi="Times New Roman"/>
          <w:sz w:val="18"/>
          <w:szCs w:val="18"/>
          <w:color w:val="auto"/>
        </w:rPr>
        <w:t xml:space="preserve">In addition to the terms defined elsewhere herein, as used in this Agreement the terms shall have the meanings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unless the context dictates otherwise.</w:t>
      </w:r>
    </w:p>
    <w:p>
      <w:pPr>
        <w:spacing w:after="0" w:line="374"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TRANSACTION BONUS PAYMENT</w:t>
      </w:r>
    </w:p>
    <w:p>
      <w:pPr>
        <w:spacing w:after="0" w:line="229" w:lineRule="exact"/>
        <w:rPr>
          <w:sz w:val="20"/>
          <w:szCs w:val="20"/>
          <w:color w:val="auto"/>
        </w:rPr>
      </w:pPr>
    </w:p>
    <w:p>
      <w:pPr>
        <w:jc w:val="both"/>
        <w:ind w:firstLine="656"/>
        <w:spacing w:after="0" w:line="255"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 Bonus Amount</w:t>
      </w:r>
      <w:r>
        <w:rPr>
          <w:rFonts w:ascii="Times New Roman" w:cs="Times New Roman" w:eastAsia="Times New Roman" w:hAnsi="Times New Roman"/>
          <w:sz w:val="18"/>
          <w:szCs w:val="18"/>
          <w:color w:val="auto"/>
        </w:rPr>
        <w:t>. The Corporation will remit to the Employee a Strategic Transaction bonus payment of Nine Hundred Thousand and 00/100 Dollars ($900,000) (net of applicable withholding taxes and subject to adjustment as provided in Section 4 below)(the “Strategic Transaction Bonus Payment Amount”) upon the closing of a Strategic Transaction in 2013. Notwithstanding anything to the contrary contained herein, (i) a Strategic Transaction Bonus Payment Amount shall be payable only once upon the first Strategic Transaction to occur after the date of this Agreement, and (ii) if the closing of a Strategic Transaction occurs in 2014, but received the approval of the Corporation’s Board of Directors in 2013, or the negotiations and due diligence for such Strategic Transaction commenced in 2013, the Employee shall be entitled to the full Strategic Transaction Bonus Payment Amount upon the closing of such Strategic Transaction in 2014.</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Strategic Transaction Bonus Payment Amount</w:t>
      </w:r>
      <w:r>
        <w:rPr>
          <w:rFonts w:ascii="Times New Roman" w:cs="Times New Roman" w:eastAsia="Times New Roman" w:hAnsi="Times New Roman"/>
          <w:sz w:val="18"/>
          <w:szCs w:val="18"/>
          <w:color w:val="auto"/>
        </w:rPr>
        <w:t>. The Strategic Transaction Bonus Payment Amount shall be paid to the Employee in cash, provided, however, that in the case of Strategic Transaction described in (i) Section (A) or Section (D) of the definition of “Strategic Transaction” or</w:t>
      </w:r>
    </w:p>
    <w:p>
      <w:pPr>
        <w:jc w:val="both"/>
        <w:ind w:firstLine="8"/>
        <w:spacing w:after="0" w:line="252"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(C) of the definition of Strategic Transaction,” and in which the Corporation is not the surviving entity, the Strategic Transaction Bonus Payment Amount shall be paid by the Corporation to the Employee in the same form as received by the Corporation or its shareholders in such Strategic Transaction, and may include,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cash, stock and/or other securities of the third-party acquirer in such Strategic Transaction. Subject to Section 1 above, the Strategic Transaction Bonus Payment Amount shall be paid by the Corporation to the Employee upon the closing of the first Strategic Transaction to be completed following the date of this Agreement. Payment of the Strategic Transaction Bonus Payment Amount shall not reduce or eliminate any other bonus or other payments to the Employee specified in Employee’s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 w:name="page31"/>
    <w:bookmarkEnd w:id="30"/>
    <w:p>
      <w:pPr>
        <w:ind w:left="1240" w:hanging="584"/>
        <w:spacing w:after="0"/>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Strategic Transaction Bonus Payment Following Termination of the Employee’s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00" w:hanging="295"/>
        <w:spacing w:after="0"/>
        <w:tabs>
          <w:tab w:leader="none" w:pos="160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Employee’s employment with the Corporation is terminated (i) by the Corporation without Cause or due to Employee's Disability,</w:t>
      </w:r>
    </w:p>
    <w:p>
      <w:pPr>
        <w:spacing w:after="0" w:line="38" w:lineRule="exact"/>
        <w:rPr>
          <w:rFonts w:ascii="Times New Roman" w:cs="Times New Roman" w:eastAsia="Times New Roman" w:hAnsi="Times New Roman"/>
          <w:sz w:val="17"/>
          <w:szCs w:val="17"/>
          <w:color w:val="auto"/>
        </w:rPr>
      </w:pPr>
    </w:p>
    <w:p>
      <w:pPr>
        <w:jc w:val="both"/>
        <w:ind w:firstLine="8"/>
        <w:spacing w:after="0" w:line="254" w:lineRule="auto"/>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Employee for Good Reason, or (iii) due to the death of the Employee, Employee (or his estate, as appropriate) shall be entitled to the Strategic Transaction Bonus Payment Amount relating to the first Strategic Transaction occurring following the termination of Employee's employment with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Strategic Transaction shall have been completed in 2013 (or in 2014, subject to Section 1 above),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that the negotiations and due diligence for such Strategic Transaction shall have commenced prior to the Employee’s termination of employment.</w:t>
      </w:r>
    </w:p>
    <w:p>
      <w:pPr>
        <w:spacing w:after="0" w:line="18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1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Employee's employment with the Corporation is terminated for any reason other than as provided in Section 3 (A) above, including, without limitation, resignation by the Employee for any reason or cause other than for Good Reason, the Corporation shall have no obligation to pay any Strategic Transaction Bonus Payment Amount to the Employee, except to the extent of any Strategic Transaction Bonus Payment Amount then currently due and payable at the time of such termination.</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In the event the payment of the Strategic Transaction Bonus Payment Amount, combined with any other payments to which the Employee may be entitled under Employee’s Executive Employment Agreement or otherwise result in the application of Section 280G of the Internal Revenue Code or will otherwise be subject to the excise tax (“Excise Tax”) imposed by Section 4999 of the Internal Revenue Code (or any similar tax that may hereafter be imposed) the Strategic Transaction Bonus Payment Amount shall be reduced to the Reduced Amount (as defined below) if reducing the Strategic Transaction Bonus Payment Amount will provide the Employee with a greater net after-tax amount than would be the case if no such reduction was made. The “Reduced Amount” shall be an amount which maximizes the aggregate value of the Strategic Transaction Bonus Payment Amount without causing such payment to be subject to the Excise Tax, determined in accordance with Sections 280G and/or 4999 of the Internal Revenue Code. In the case of any such reduction, the Corporation shall reduce the Strategic Transaction Bonus Payment Amount by first reducing payments that are not payable in cash (if any), and then by reducing cash payments.</w:t>
      </w:r>
    </w:p>
    <w:p>
      <w:pPr>
        <w:spacing w:after="0" w:line="185" w:lineRule="exact"/>
        <w:rPr>
          <w:sz w:val="20"/>
          <w:szCs w:val="20"/>
          <w:color w:val="auto"/>
        </w:rPr>
      </w:pPr>
    </w:p>
    <w:p>
      <w:pPr>
        <w:ind w:left="1360" w:hanging="704"/>
        <w:spacing w:after="0"/>
        <w:tabs>
          <w:tab w:leader="none" w:pos="136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left="80" w:hanging="7"/>
        <w:spacing w:after="0" w:line="266" w:lineRule="auto"/>
        <w:tabs>
          <w:tab w:leader="none" w:pos="8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In order to comply with all applicable federal or state income, social security, payroll, withholding or other tax laws or regulations, the Corporation may take such action and may require the Employee to take such action, as it deems appropriate to ensure that all applicable federal or state income, social security, payroll, withholding or other taxes, which are the responsibility of the Employee, are withheld or collected from the Employee.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8"/>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Not a Service Contract</w:t>
      </w:r>
      <w:r>
        <w:rPr>
          <w:rFonts w:ascii="Times New Roman" w:cs="Times New Roman" w:eastAsia="Times New Roman" w:hAnsi="Times New Roman"/>
          <w:sz w:val="18"/>
          <w:szCs w:val="18"/>
          <w:color w:val="auto"/>
        </w:rPr>
        <w:t>. Nothing in this Agreement gives the Employee the right to remain in the employ of the Corporation. Except to the extent explicitly provided otherwise in the Employee’s Executive Employment Agreement, the Employee is an “at will” employee whose employment may be terminated by the Corporation without liability at any time for any reason.</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6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to be given pursuant to this Agreement shall be in writing and shall be deemed to have been duly delivered upon receipt or, in case of notices by the Corporation, five (5) days after deposit in the U.S. mail, postage prepaid, addressed to the Employee at the address provided for herein.</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5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The rights and obligations of the Corporation under this Agreement shall be transferable to any one or more persons or entities, and all covenants and agreements hereunder shall inure to the benefit of, and be enforceable by the Corporation's successors and assigns. The Employee may not assign this Agreement or any of his rights or obligations hereunder without the prior written consent of the Corporation.</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7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Documentation</w:t>
      </w:r>
      <w:r>
        <w:rPr>
          <w:rFonts w:ascii="Times New Roman" w:cs="Times New Roman" w:eastAsia="Times New Roman" w:hAnsi="Times New Roman"/>
          <w:sz w:val="18"/>
          <w:szCs w:val="18"/>
          <w:color w:val="auto"/>
        </w:rPr>
        <w:t>. The Employee agrees upon request to execute any further documents or instruments necessary or desirable in the sole determination of the Corporation to carry out the purposes or intent of this Agreement.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6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Termination of Agreement</w:t>
      </w:r>
      <w:r>
        <w:rPr>
          <w:rFonts w:ascii="Times New Roman" w:cs="Times New Roman" w:eastAsia="Times New Roman" w:hAnsi="Times New Roman"/>
          <w:sz w:val="18"/>
          <w:szCs w:val="18"/>
          <w:color w:val="auto"/>
        </w:rPr>
        <w:t>. Any amendments or revisions to this Agreement must be proposed in writing by a Party and mutually accepted in writing by both Parties before they shall become effective and binding.</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Employee acknowledges and agrees that he has reviewed this Agreement in its entirety, has had an opportunity to obtain the advice of counsel prior to executing and accepting this Agreement and fully understand all provisions of this Agreement.</w:t>
      </w:r>
    </w:p>
    <w:p>
      <w:pPr>
        <w:spacing w:after="0" w:line="161" w:lineRule="exact"/>
        <w:rPr>
          <w:rFonts w:ascii="Times New Roman" w:cs="Times New Roman" w:eastAsia="Times New Roman" w:hAnsi="Times New Roman"/>
          <w:sz w:val="18"/>
          <w:szCs w:val="18"/>
          <w:color w:val="auto"/>
        </w:rPr>
      </w:pPr>
    </w:p>
    <w:p>
      <w:pPr>
        <w:ind w:right="180" w:firstLine="8"/>
        <w:spacing w:after="0" w:line="282" w:lineRule="auto"/>
        <w:tabs>
          <w:tab w:leader="none" w:pos="5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Any headings used in this document are for convenience of reference only and may not be given any weight in interpreting any provision of this Agreement.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illegal or invalid for any reason, the illegality or invalidity shall not affect the remaining parts of the Agreement, and the Agreement shall be construed and enforced as if the illegal or invalid provision had never been inserted herein.</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7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with counterpart signature pages, including by facsimile or PDF copy, all of which together shall constitute one and the same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tc>
      </w:tr>
      <w:tr>
        <w:trPr>
          <w:trHeight w:val="6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John Reilly</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Richard J. Markham</w:t>
            </w:r>
          </w:p>
        </w:tc>
      </w:tr>
      <w:tr>
        <w:trPr>
          <w:trHeight w:val="191"/>
        </w:trPr>
        <w:tc>
          <w:tcPr>
            <w:tcW w:w="4000" w:type="dxa"/>
            <w:vAlign w:val="bottom"/>
            <w:tcBorders>
              <w:top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Richard J. Markham</w:t>
            </w:r>
          </w:p>
        </w:tc>
      </w:tr>
      <w:tr>
        <w:trPr>
          <w:trHeight w:val="234"/>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WITNESS:</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6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John Reilly</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Robert B. Jones</w:t>
            </w:r>
          </w:p>
        </w:tc>
      </w:tr>
      <w:tr>
        <w:trPr>
          <w:trHeight w:val="228"/>
        </w:trPr>
        <w:tc>
          <w:tcPr>
            <w:tcW w:w="4000" w:type="dxa"/>
            <w:vAlign w:val="bottom"/>
            <w:tcBorders>
              <w:top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B. Jones</w:t>
            </w:r>
          </w:p>
        </w:tc>
      </w:tr>
      <w:tr>
        <w:trPr>
          <w:trHeight w:val="630"/>
        </w:trPr>
        <w:tc>
          <w:tcPr>
            <w:tcW w:w="4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4</w:t>
            </w: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 the following terms shall be defined as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have the meaning provided in the Employee’s Executive Employment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have the meaning provided in the Employee’s Executive Employment Agreement.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Employee’s Executive Employment Agreement</w:t>
      </w:r>
      <w:r>
        <w:rPr>
          <w:rFonts w:ascii="Times New Roman" w:cs="Times New Roman" w:eastAsia="Times New Roman" w:hAnsi="Times New Roman"/>
          <w:sz w:val="18"/>
          <w:szCs w:val="18"/>
          <w:color w:val="auto"/>
        </w:rPr>
        <w:t>” means the Executive Employment Agreement dated March 18, 2008 between the Employee and the Corporation, as amended.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have the meaning provided in the Employee’s Executive Employment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Strategic Transaction Proceeds</w:t>
      </w:r>
      <w:r>
        <w:rPr>
          <w:rFonts w:ascii="Times New Roman" w:cs="Times New Roman" w:eastAsia="Times New Roman" w:hAnsi="Times New Roman"/>
          <w:sz w:val="18"/>
          <w:szCs w:val="18"/>
          <w:color w:val="auto"/>
        </w:rPr>
        <w:t>” shall mean (x) in the case of a Strategic Transaction described in (i) Section (A) or (D) of the definition of Strategic Transaction, or (ii) Section (C) of the definition of Strategic Transaction pursuant to which the Corporation is not the surviving entity, the aggregate cash, stock and/or other securities paid to the Corporation or its securityholders in such Strategic Transaction, including amounts paid to the Corporation or its securityholders by the acquiring party subsequent to the consummation of such Strategic Transaction (as provided in the acquisition documents for such Strategic Transaction) relating to the satisfaction of post-closing conditions, earn-out provisions, milestone or contingent payments, or similar conditions or provisions, and (y) in the case of a Strategic Transaction described in (i) Section (B) or (E) of the definition of Strategic Transaction, or (ii) Section C of the definition of Strategic Transaction pursuant to which the Corporation is the surviving entity, the aggregate cash, stock and/or other securities paid to the acquired third party (the “Acquired Entity”) or its securityholders in such Strategic Transaction, including amounts paid by the Corporation to the Acquired Entity or its securityholders subsequent to the consummation of such Strategic Transaction (as provided in the acquisition documents for such Strategic Transaction) relating to the satisfaction of post-closing conditions, earn-out provisions, milestone or contingent payments, or similar conditions or provisions.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Strategic Transaction</w:t>
      </w:r>
      <w:r>
        <w:rPr>
          <w:rFonts w:ascii="Times New Roman" w:cs="Times New Roman" w:eastAsia="Times New Roman" w:hAnsi="Times New Roman"/>
          <w:sz w:val="18"/>
          <w:szCs w:val="18"/>
          <w:color w:val="auto"/>
        </w:rPr>
        <w:t>” means the completion in 2013 (or in 2014, subject to Article II, Section 1) of any one of the following, in one or a series of related transactions (A) the acquisition (other than solely from the Corporation) by any individual, entity or group (within the meaning of Section 13(d)(3) or Section 14(d)(2) of the Securities Exchange Act of 1934, as amended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than the Corporation or any subsidiary or affiliate (within the meaning of Rule 144 under the Securities Act of 1933, as amended), of beneficial ownership (within the meaning of Rule 13d-3 promulgated under the Exchange Act) of more than fifty percent (50%) of the combined voting power of the then outstanding voting securities of the Corporation entitled to vote generally in the election of directors (the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(B) the acquisition by the Corporation or any subsidiary of beneficial ownership (within the meaning of Rule 13d-3 promulgated under the Exchange Act) of more than fifty (50) percent of the combined voting power of the outstanding Voting Securities of a third party corporation, limited liability company, partnership or other entity, (C) a reorganization, merger, consolidation, share exchange, recapitalization, business combination or similar transaction of the Corporation, (D) a sale of all or substantially all of the Corporation’s assets (measured by the value or earning power of the assets); or (E) the purchase of all or substantially all of the assets of a third party corporation, limited liability company, partnership or other entity; provided, however, that any transaction described in (i) Section (B) or (E) above, or (ii) Section (C) above pursuant to which the Corporation is the surviving entity, that results in Net Strategic Transaction Proceeds of less than $25 million shall not be considered a Strategic Transaction for purposes of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without Cause</w:t>
      </w:r>
      <w:r>
        <w:rPr>
          <w:rFonts w:ascii="Times New Roman" w:cs="Times New Roman" w:eastAsia="Times New Roman" w:hAnsi="Times New Roman"/>
          <w:sz w:val="18"/>
          <w:szCs w:val="18"/>
          <w:color w:val="auto"/>
        </w:rPr>
        <w:t>” means a termination by the Corporation of the Employee's employment other than due to death, Disability or for Cause.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STRATEGIC TRANSACTION BONUS GRANT AGREEMENT</w:t>
      </w:r>
    </w:p>
    <w:p>
      <w:pPr>
        <w:spacing w:after="0" w:line="2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Strategic Transaction Bonus Grant Agreement (the “Agreement”) made as of this 28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February, 2013, by and between ACURA PHARMACEUTICALS, INC., a New York corporation (the “Corporation”), with offices at 616 N. North Court, Suite 120, Palatine, IL 60067, and Peter A. Clemens, having an address at c/o Acura Pharmaceuticals, Inc., 616 N. North Court, Suite 120, Palatine, IL 60067 (the “Employee”).</w:t>
      </w:r>
    </w:p>
    <w:p>
      <w:pPr>
        <w:spacing w:after="0" w:line="19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seeks (i) to retain the Employee; and (ii) increase the incentive of the Employee to continue to increase the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to enhance shareholder value by rewarding the consummation of a Strategic Transaction (as defined below);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therewith, the Employee shall be eligible to receive from the Corporation a one-time Strategic Transaction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provided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undertakings herein contained, the parties agree as follows:</w:t>
      </w:r>
    </w:p>
    <w:p>
      <w:pPr>
        <w:spacing w:after="0" w:line="225" w:lineRule="exact"/>
        <w:rPr>
          <w:sz w:val="20"/>
          <w:szCs w:val="20"/>
          <w:color w:val="auto"/>
        </w:rPr>
      </w:pPr>
    </w:p>
    <w:p>
      <w:pPr>
        <w:ind w:left="1220" w:hanging="564"/>
        <w:spacing w:after="0"/>
        <w:tabs>
          <w:tab w:leader="none" w:pos="12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firstLine="673"/>
        <w:spacing w:after="0" w:line="282" w:lineRule="auto"/>
        <w:rPr>
          <w:sz w:val="20"/>
          <w:szCs w:val="20"/>
          <w:color w:val="auto"/>
        </w:rPr>
      </w:pPr>
      <w:r>
        <w:rPr>
          <w:rFonts w:ascii="Times New Roman" w:cs="Times New Roman" w:eastAsia="Times New Roman" w:hAnsi="Times New Roman"/>
          <w:sz w:val="18"/>
          <w:szCs w:val="18"/>
          <w:color w:val="auto"/>
        </w:rPr>
        <w:t xml:space="preserve">In addition to the terms defined elsewhere herein, as used in this Agreement the terms shall have the meanings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unless the context dictates otherwise.</w:t>
      </w:r>
    </w:p>
    <w:p>
      <w:pPr>
        <w:spacing w:after="0" w:line="374"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TRANSACTION BONUS PAYMENT</w:t>
      </w:r>
    </w:p>
    <w:p>
      <w:pPr>
        <w:spacing w:after="0" w:line="229" w:lineRule="exact"/>
        <w:rPr>
          <w:sz w:val="20"/>
          <w:szCs w:val="20"/>
          <w:color w:val="auto"/>
        </w:rPr>
      </w:pPr>
    </w:p>
    <w:p>
      <w:pPr>
        <w:jc w:val="both"/>
        <w:ind w:firstLine="656"/>
        <w:spacing w:after="0" w:line="255" w:lineRule="auto"/>
        <w:tabs>
          <w:tab w:leader="none" w:pos="13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 Bonus Amount</w:t>
      </w:r>
      <w:r>
        <w:rPr>
          <w:rFonts w:ascii="Times New Roman" w:cs="Times New Roman" w:eastAsia="Times New Roman" w:hAnsi="Times New Roman"/>
          <w:sz w:val="18"/>
          <w:szCs w:val="18"/>
          <w:color w:val="auto"/>
        </w:rPr>
        <w:t>. The Corporation will remit to the Employee a Strategic Transaction bonus payment of Four Hundred Fifty Thousand and 00/100 Dollars ($450,000) (net of applicable withholding taxes and subject to adjustment as provided in Section 4 below)(the “Strategic Transaction Bonus Payment Amount”) upon the closing of a Strategic Transaction in 2013. Notwithstanding anything to the contrary contained herein, (i) a Strategic Transaction Bonus Payment Amount shall be payable only once upon the first Strategic Transaction to occur after the date of this Agreement,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of a Strategic Transaction occurs in 2014, but received the approval of the Corporation’s Board of Directors in 2013, or the negotiations and due diligence for such Strategic Transaction commenced in 2013, the Employee shall be entitled to the full Strategic Transaction Bonus Payment Amount upon the closing of such Strategic Transaction in 2014.</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Strategic Transaction Bonus Payment Amount</w:t>
      </w:r>
      <w:r>
        <w:rPr>
          <w:rFonts w:ascii="Times New Roman" w:cs="Times New Roman" w:eastAsia="Times New Roman" w:hAnsi="Times New Roman"/>
          <w:sz w:val="18"/>
          <w:szCs w:val="18"/>
          <w:color w:val="auto"/>
        </w:rPr>
        <w:t>. The Strategic Transaction Bonus Payment Amount shall be paid to the Employee in cash, provided, however, that in the case of Strategic Transaction described in (i) Section (A) or Section (D) of the definition of “Strategic Transaction” or</w:t>
      </w:r>
    </w:p>
    <w:p>
      <w:pPr>
        <w:jc w:val="both"/>
        <w:ind w:firstLine="8"/>
        <w:spacing w:after="0" w:line="252" w:lineRule="auto"/>
        <w:tabs>
          <w:tab w:leader="none" w:pos="2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(C) of the definition of Strategic Transaction,” and in which the Corporation is not the surviving entity, the Strategic Transaction Bonus Payment Amount shall be paid by the Corporation to the Employee in the same form as received by the Corporation or its shareholders in such Strategic Transaction, and may include,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cash, stock and/or other securities of the third-party acquirer in such Strategic Transaction. Subject to Section 1 above, the Strategic Transaction Bonus Payment Amount shall be paid by the Corporation to the Employee upon the closing of the first Strategic Transaction to be completed following the date of this Agreement. Payment of the Strategic Transaction Bonus Payment Amount shall not reduce or eliminate any other bonus or other payments to the Employee specified in Employee’s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6" w:name="page37"/>
    <w:bookmarkEnd w:id="36"/>
    <w:p>
      <w:pPr>
        <w:ind w:left="1240" w:hanging="584"/>
        <w:spacing w:after="0"/>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Strategic Transaction Bonus Payment Following Termination of the Employee’s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00" w:hanging="295"/>
        <w:spacing w:after="0"/>
        <w:tabs>
          <w:tab w:leader="none" w:pos="160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Employee’s employment with the Corporation is terminated (i) by the Corporation without Cause or due to Employee's Disability,</w:t>
      </w:r>
    </w:p>
    <w:p>
      <w:pPr>
        <w:spacing w:after="0" w:line="38" w:lineRule="exact"/>
        <w:rPr>
          <w:rFonts w:ascii="Times New Roman" w:cs="Times New Roman" w:eastAsia="Times New Roman" w:hAnsi="Times New Roman"/>
          <w:sz w:val="17"/>
          <w:szCs w:val="17"/>
          <w:color w:val="auto"/>
        </w:rPr>
      </w:pPr>
    </w:p>
    <w:p>
      <w:pPr>
        <w:jc w:val="both"/>
        <w:ind w:firstLine="8"/>
        <w:spacing w:after="0" w:line="254" w:lineRule="auto"/>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Employee for Good Reason, or (iii) due to the death of the Employee, Employee (or his estate, as appropriate) shall be entitled to the Strategic Transaction Bonus Payment Amount relating to the first Strategic Transaction occurring following the termination of Employee's employment with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such Strategic Transaction shall have been completed in 2013 (or in 2014, subject to Section 1 above),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that the negotiations and due diligence for such Strategic Transaction shall have commenced prior to the Employee’s termination of employment.</w:t>
      </w:r>
    </w:p>
    <w:p>
      <w:pPr>
        <w:spacing w:after="0" w:line="18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12"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Employee's employment with the Corporation is terminated for any reason other than as provided in Section 3 (A) above, including, without limitation, resignation by the Employee for any reason or cause other than for Good Reason, the Corporation shall have no obligation to pay any Strategic Transaction Bonus Payment Amount to the Employee, except to the extent of any Strategic Transaction Bonus Payment Amount then currently due and payable at the time of such termination.</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In the event the payment of the Strategic Transaction Bonus Payment Amount, combined with any other payments to which the Employee may be entitled under Employee’s Executive Employment Agreement or otherwise result in the application of Section 280G of the Internal Revenue Code or will otherwise be subject to the excise tax (“Excise Tax”) imposed by Section 4999 of the Internal Revenue Code (or any similar tax that may hereafter be imposed) the Strategic Transaction Bonus Payment Amount shall be reduced to the Reduced Amount (as defined below) if reducing the Strategic Transaction Bonus Payment Amount will provide the Employee with a greater net after-tax amount than would be the case if no such reduction was made. The “Reduced Amount” shall be an amount which maximizes the aggregate value of the Strategic Transaction Bonus Payment Amount without causing such payment to be subject to the Excise Tax, determined in accordance with Sections 280G and/or 4999 of the Internal Revenue Code. In the case of any such reduction, the Corporation shall reduce the Strategic Transaction Bonus Payment Amount by first reducing payments that are not payable in cash (if any), and then by reducing cash payments.</w:t>
      </w:r>
    </w:p>
    <w:p>
      <w:pPr>
        <w:spacing w:after="0" w:line="185" w:lineRule="exact"/>
        <w:rPr>
          <w:sz w:val="20"/>
          <w:szCs w:val="20"/>
          <w:color w:val="auto"/>
        </w:rPr>
      </w:pPr>
    </w:p>
    <w:p>
      <w:pPr>
        <w:ind w:left="1360" w:hanging="704"/>
        <w:spacing w:after="0"/>
        <w:tabs>
          <w:tab w:leader="none" w:pos="136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7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In order to comply with all applicable federal or state income, social security, payroll, withholding or other tax laws or regulations, the Corporation may take such action and may require the Employee to take such action, as it deems appropriate to ensure that all applicable federal or state income, social security, payroll, withholding or other taxes, which are the responsibility of the Employee, are withheld or collected from the Employee.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both"/>
        <w:ind w:firstLine="8"/>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Not a Service Contract</w:t>
      </w:r>
      <w:r>
        <w:rPr>
          <w:rFonts w:ascii="Times New Roman" w:cs="Times New Roman" w:eastAsia="Times New Roman" w:hAnsi="Times New Roman"/>
          <w:sz w:val="18"/>
          <w:szCs w:val="18"/>
          <w:color w:val="auto"/>
        </w:rPr>
        <w:t>. Nothing in this Agreement gives the Employee the right to remain in the employ of the Corporation. Except to the extent explicitly provided otherwise in the Employee’s Executive Employment Agreement, the Employee is an “at will” employee whose employment may be terminated by the Corporation without liability at any time for any reason.</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6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to be given pursuant to this Agreement shall be in writing and shall be deemed to have been duly delivered upon receipt or, in case of notices by the Corporation, five (5) days after deposit in the U.S. mail, postage prepaid, addressed to the Employee at the address provided for herein.</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5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The rights and obligations of the Corporation under this Agreement shall be transferable to any one or more persons or entities, and all covenants and agreements hereunder shall inure to the benefit of, and be enforceable by the Corporation's successors and assigns. The Employee may not assign this Agreement or any of his rights or obligations hereunder without the prior written consent of the Corporation.</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7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Documentation</w:t>
      </w:r>
      <w:r>
        <w:rPr>
          <w:rFonts w:ascii="Times New Roman" w:cs="Times New Roman" w:eastAsia="Times New Roman" w:hAnsi="Times New Roman"/>
          <w:sz w:val="18"/>
          <w:szCs w:val="18"/>
          <w:color w:val="auto"/>
        </w:rPr>
        <w:t>. The Employee agrees upon request to execute any further documents or instruments necessary or desirable in the sole determination of the Corporation to carry out the purposes or intent of this Agreement.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6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Termination of Agreement</w:t>
      </w:r>
      <w:r>
        <w:rPr>
          <w:rFonts w:ascii="Times New Roman" w:cs="Times New Roman" w:eastAsia="Times New Roman" w:hAnsi="Times New Roman"/>
          <w:sz w:val="18"/>
          <w:szCs w:val="18"/>
          <w:color w:val="auto"/>
        </w:rPr>
        <w:t>. Any amendments or revisions to this Agreement must be proposed in writing by a Party and mutually accepted in writing by both Parties before they shall become effective and binding.</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Employee acknowledges and agrees that he has reviewed this Agreement in its entirety, has had an opportunity to obtain the advice of counsel prior to executing and accepting this Agreement and fully understand all provisions of this Agreement.</w:t>
      </w:r>
    </w:p>
    <w:p>
      <w:pPr>
        <w:spacing w:after="0" w:line="161" w:lineRule="exact"/>
        <w:rPr>
          <w:rFonts w:ascii="Times New Roman" w:cs="Times New Roman" w:eastAsia="Times New Roman" w:hAnsi="Times New Roman"/>
          <w:sz w:val="18"/>
          <w:szCs w:val="18"/>
          <w:color w:val="auto"/>
        </w:rPr>
      </w:pPr>
    </w:p>
    <w:p>
      <w:pPr>
        <w:ind w:right="180" w:firstLine="8"/>
        <w:spacing w:after="0" w:line="282" w:lineRule="auto"/>
        <w:tabs>
          <w:tab w:leader="none" w:pos="5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Any headings used in this document are for convenience of reference only and may not be given any weight in interpreting any provision of this Agreement.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illegal or invalid for any reason, the illegality or invalidity shall not affect the remaining parts of the Agreement, and the Agreement shall be construed and enforced as if the illegal or invalid provision had never been inserted herein.</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7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with counterpart signature pages, including by facsimile or PDF copy, all of which together shall constitute one and the same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tc>
      </w:tr>
      <w:tr>
        <w:trPr>
          <w:trHeight w:val="6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John Reilly</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Richard J. Markham</w:t>
            </w:r>
          </w:p>
        </w:tc>
      </w:tr>
      <w:tr>
        <w:trPr>
          <w:trHeight w:val="191"/>
        </w:trPr>
        <w:tc>
          <w:tcPr>
            <w:tcW w:w="4000" w:type="dxa"/>
            <w:vAlign w:val="bottom"/>
            <w:tcBorders>
              <w:top w:val="single" w:sz="8" w:color="auto"/>
            </w:tcBorders>
          </w:tcPr>
          <w:p>
            <w:pPr>
              <w:spacing w:after="0"/>
              <w:rPr>
                <w:sz w:val="16"/>
                <w:szCs w:val="16"/>
                <w:color w:val="auto"/>
              </w:rPr>
            </w:pPr>
          </w:p>
        </w:tc>
        <w:tc>
          <w:tcPr>
            <w:tcW w:w="264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Richard J. Markham</w:t>
            </w:r>
          </w:p>
        </w:tc>
      </w:tr>
      <w:tr>
        <w:trPr>
          <w:trHeight w:val="234"/>
        </w:trPr>
        <w:tc>
          <w:tcPr>
            <w:tcW w:w="40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WITNESS:</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6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John Reilly</w:t>
            </w: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 /s/ Peter A. Clemens</w:t>
            </w:r>
          </w:p>
        </w:tc>
      </w:tr>
      <w:tr>
        <w:trPr>
          <w:trHeight w:val="228"/>
        </w:trPr>
        <w:tc>
          <w:tcPr>
            <w:tcW w:w="4000" w:type="dxa"/>
            <w:vAlign w:val="bottom"/>
            <w:tcBorders>
              <w:top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Peter A. Clemens</w:t>
            </w:r>
          </w:p>
        </w:tc>
      </w:tr>
      <w:tr>
        <w:trPr>
          <w:trHeight w:val="630"/>
        </w:trPr>
        <w:tc>
          <w:tcPr>
            <w:tcW w:w="4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4</w:t>
            </w: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 the following terms shall be defined as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have the meaning provided in the Employee’s Executive Employment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have the meaning provided in the Employee’s Executive Employment Agreement.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Employee’s Executive Employment Agreement</w:t>
      </w:r>
      <w:r>
        <w:rPr>
          <w:rFonts w:ascii="Times New Roman" w:cs="Times New Roman" w:eastAsia="Times New Roman" w:hAnsi="Times New Roman"/>
          <w:sz w:val="18"/>
          <w:szCs w:val="18"/>
          <w:color w:val="auto"/>
        </w:rPr>
        <w:t>” means the Executive Employment Agreement dated March 10, 1998 between the Employee and the Corporation, as amended.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have the meaning provided in the Employee’s Executive Employment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Strategic Transaction Proceeds</w:t>
      </w:r>
      <w:r>
        <w:rPr>
          <w:rFonts w:ascii="Times New Roman" w:cs="Times New Roman" w:eastAsia="Times New Roman" w:hAnsi="Times New Roman"/>
          <w:sz w:val="18"/>
          <w:szCs w:val="18"/>
          <w:color w:val="auto"/>
        </w:rPr>
        <w:t>” shall mean (x) in the case of a Strategic Transaction described in (i) Section (A) or (D) of the definition of Strategic Transaction, or (ii) Section (C) of the definition of Strategic Transaction pursuant to which the Corporation is not the surviving entity, the aggregate cash, stock and/or other securities paid to the Corporation or its securityholders in such Strategic Transaction, including amounts paid to the Corporation or its securityholders by the acquiring party subsequent to the consummation of such Strategic Transaction (as provided in the acquisition documents for such Strategic Transaction) relating to the satisfaction of post-closing conditions, earn-out provisions, milestone or contingent payments, or similar conditions or provisions, and (y) in the case of a Strategic Transaction described in (i) Section (B) or (E) of the definition of Strategic Transaction, or (ii) Section C of the definition of Strategic Transaction pursuant to which the Corporation is the surviving entity, the aggregate cash, stock and/or other securities paid to the acquired third party (the “Acquired Entity”) or its securityholders in such Strategic Transaction, including amounts paid by the Corporation to the Acquired Entity or its securityholders subsequent to the consummation of such Strategic Transaction (as provided in the acquisition documents for such Strategic Transaction) relating to the satisfaction of post-closing conditions, earn-out provisions, milestone or contingent payments, or similar conditions or provisions.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Strategic Transaction</w:t>
      </w:r>
      <w:r>
        <w:rPr>
          <w:rFonts w:ascii="Times New Roman" w:cs="Times New Roman" w:eastAsia="Times New Roman" w:hAnsi="Times New Roman"/>
          <w:sz w:val="18"/>
          <w:szCs w:val="18"/>
          <w:color w:val="auto"/>
        </w:rPr>
        <w:t>” means the completion in 2013 (or in 2014, subject to Article II, Section 1) of any one of the following, in one or a series of related transactions (A) the acquisition (other than solely from the Corporation) by any individual, entity or group (within the meaning of Section 13(d)(3) or Section 14(d)(2) of the Securities Exchange Act of 1934, as amended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than the Corporation or any subsidiary or affiliate (within the meaning of Rule 144 under the Securities Act of 1933, as amended), of beneficial ownership (within the meaning of Rule 13d-3 promulgated under the Exchange Act) of more than fifty percent (50%) of the combined voting power of the then outstanding voting securities of the Corporation entitled to vote generally in the election of directors (the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(B) the acquisition by the Corporation or any subsidiary of beneficial ownership (within the meaning of Rule 13d-3 promulgated under the Exchange Act) of more than fifty (50) percent of the combined voting power of the outstanding Voting Securities of a third party corporation, limited liability company, partnership or other entity, (C) a reorganization, merger, consolidation, share exchange, recapitalization, business combination or similar transaction of the Corporation, (D) a sale of all or substantially all of the Corporation’s assets (measured by the value or earning power of the assets); or (E) the purchase of all or substantially all of the assets of a third party corporation, limited liability company, partnership or other entity; provided, however, that any transaction described (i) in Section (B) or (E) above, or (ii) Section (C) above pursuant to which the Corporation is the surviving entity, that results in Net Strategic Transaction Proceeds of less than $25 million shall not be considered a Strategic Transaction for purposes of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without Cause</w:t>
      </w:r>
      <w:r>
        <w:rPr>
          <w:rFonts w:ascii="Times New Roman" w:cs="Times New Roman" w:eastAsia="Times New Roman" w:hAnsi="Times New Roman"/>
          <w:sz w:val="18"/>
          <w:szCs w:val="18"/>
          <w:color w:val="auto"/>
        </w:rPr>
        <w:t>” means a termination by the Corporation of the Employee's employment other than due to death, Disability or for Cause.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jc w:val="center"/>
        <w:ind w:left="260"/>
        <w:spacing w:after="0"/>
        <w:rPr>
          <w:sz w:val="20"/>
          <w:szCs w:val="20"/>
          <w:color w:val="auto"/>
        </w:rPr>
      </w:pPr>
      <w:r>
        <w:rPr>
          <w:rFonts w:ascii="Times New Roman" w:cs="Times New Roman" w:eastAsia="Times New Roman" w:hAnsi="Times New Roman"/>
          <w:sz w:val="18"/>
          <w:szCs w:val="18"/>
          <w:color w:val="auto"/>
        </w:rPr>
        <w:t>CERTIFICATION OF PERIODIC REPORT PURSUANT TO RULES 13a-14 AND 15d-14</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Acura Pharmaceuticals,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8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30, 2013</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Jones</w:t>
            </w:r>
          </w:p>
        </w:tc>
      </w:tr>
      <w:tr>
        <w:trPr>
          <w:trHeight w:val="191"/>
        </w:trPr>
        <w:tc>
          <w:tcPr>
            <w:tcW w:w="754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 Jones</w:t>
            </w:r>
          </w:p>
        </w:tc>
      </w:tr>
      <w:tr>
        <w:trPr>
          <w:trHeight w:val="234"/>
        </w:trPr>
        <w:tc>
          <w:tcPr>
            <w:tcW w:w="75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648"/>
        </w:trPr>
        <w:tc>
          <w:tcPr>
            <w:tcW w:w="7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2" w:name="page43"/>
    <w:bookmarkEnd w:id="42"/>
    <w:p>
      <w:pPr>
        <w:jc w:val="center"/>
        <w:ind w:left="260"/>
        <w:spacing w:after="0"/>
        <w:rPr>
          <w:sz w:val="20"/>
          <w:szCs w:val="20"/>
          <w:color w:val="auto"/>
        </w:rPr>
      </w:pPr>
      <w:r>
        <w:rPr>
          <w:rFonts w:ascii="Times New Roman" w:cs="Times New Roman" w:eastAsia="Times New Roman" w:hAnsi="Times New Roman"/>
          <w:sz w:val="18"/>
          <w:szCs w:val="18"/>
          <w:color w:val="auto"/>
        </w:rPr>
        <w:t>CERTIFICATION OF PERIODIC REPORT PURSUANT TO RULES 13a-14 AND 15d-14</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Acura Pharmaceuticals,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8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April 30, 2013</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Clemens</w:t>
            </w:r>
          </w:p>
        </w:tc>
      </w:tr>
      <w:tr>
        <w:trPr>
          <w:trHeight w:val="191"/>
        </w:trPr>
        <w:tc>
          <w:tcPr>
            <w:tcW w:w="7780" w:type="dxa"/>
            <w:vAlign w:val="bottom"/>
          </w:tcPr>
          <w:p>
            <w:pPr>
              <w:spacing w:after="0"/>
              <w:rPr>
                <w:sz w:val="16"/>
                <w:szCs w:val="16"/>
                <w:color w:val="auto"/>
              </w:rPr>
            </w:pPr>
          </w:p>
        </w:tc>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A. Clemens</w:t>
            </w:r>
          </w:p>
        </w:tc>
      </w:tr>
      <w:tr>
        <w:trPr>
          <w:trHeight w:val="234"/>
        </w:trPr>
        <w:tc>
          <w:tcPr>
            <w:tcW w:w="77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7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CERTIFICATIONS OF THE CHIEF EXEUTIVE OFFICER AND THE CHIEF FINANCIAL OFFICER PURSUANT TO 18 U.S.C. SECTION 1350, AS ADOPTED PURSUANT TO SECTION 906 OF THE SARBANES-OXLEY ACT OF 2002</w:t>
      </w:r>
    </w:p>
    <w:p>
      <w:pPr>
        <w:spacing w:after="0" w:line="176"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Acura Pharmaceuticals, Inc. (the "Company") on Form 10-Q for the period ending March 31, 2013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0" w:lineRule="exact"/>
        <w:rPr>
          <w:sz w:val="20"/>
          <w:szCs w:val="20"/>
          <w:color w:val="auto"/>
        </w:rPr>
      </w:pPr>
    </w:p>
    <w:p>
      <w:pPr>
        <w:ind w:left="540" w:hanging="275"/>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40" w:hanging="275"/>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30, 2013</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Jones</w:t>
            </w:r>
          </w:p>
        </w:tc>
      </w:tr>
      <w:tr>
        <w:trPr>
          <w:trHeight w:val="191"/>
        </w:trPr>
        <w:tc>
          <w:tcPr>
            <w:tcW w:w="7780" w:type="dxa"/>
            <w:vAlign w:val="bottom"/>
          </w:tcPr>
          <w:p>
            <w:pPr>
              <w:spacing w:after="0"/>
              <w:rPr>
                <w:sz w:val="16"/>
                <w:szCs w:val="16"/>
                <w:color w:val="auto"/>
              </w:rPr>
            </w:pPr>
          </w:p>
        </w:tc>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 Jones</w:t>
            </w:r>
          </w:p>
        </w:tc>
      </w:tr>
      <w:tr>
        <w:trPr>
          <w:trHeight w:val="234"/>
        </w:trPr>
        <w:tc>
          <w:tcPr>
            <w:tcW w:w="77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7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Clemens</w:t>
            </w:r>
          </w:p>
        </w:tc>
      </w:tr>
      <w:tr>
        <w:trPr>
          <w:trHeight w:val="191"/>
        </w:trPr>
        <w:tc>
          <w:tcPr>
            <w:tcW w:w="7780" w:type="dxa"/>
            <w:vAlign w:val="bottom"/>
          </w:tcPr>
          <w:p>
            <w:pPr>
              <w:spacing w:after="0"/>
              <w:rPr>
                <w:sz w:val="16"/>
                <w:szCs w:val="16"/>
                <w:color w:val="auto"/>
              </w:rPr>
            </w:pPr>
          </w:p>
        </w:tc>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A. Clemens</w:t>
            </w:r>
          </w:p>
        </w:tc>
      </w:tr>
      <w:tr>
        <w:trPr>
          <w:trHeight w:val="234"/>
        </w:trPr>
        <w:tc>
          <w:tcPr>
            <w:tcW w:w="77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7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þ"/>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upperLetter"/>
      <w:start w:val="9"/>
    </w:lvl>
  </w:abstractNum>
  <w:abstractNum w:abstractNumId="13">
    <w:nsid w:val="75A2A8D4"/>
    <w:multiLevelType w:val="hybridMultilevel"/>
    <w:lvl w:ilvl="0">
      <w:lvlJc w:val="left"/>
      <w:lvlText w:val="%1."/>
      <w:numFmt w:val="upperLetter"/>
      <w:start w:val="35"/>
    </w:lvl>
  </w:abstractNum>
  <w:abstractNum w:abstractNumId="14">
    <w:nsid w:val="8EDBDAB"/>
    <w:multiLevelType w:val="hybridMultilevel"/>
    <w:lvl w:ilvl="0">
      <w:lvlJc w:val="left"/>
      <w:lvlText w:val="%1"/>
      <w:numFmt w:val="lowerRoman"/>
      <w:start w:val="1"/>
    </w:lvl>
    <w:lvl w:ilvl="1">
      <w:lvlJc w:val="left"/>
      <w:lvlText w:val="%2."/>
      <w:numFmt w:val="decimal"/>
      <w:start w:val="1"/>
    </w:lvl>
  </w:abstractNum>
  <w:abstractNum w:abstractNumId="15">
    <w:nsid w:val="79838CB2"/>
    <w:multiLevelType w:val="hybridMultilevel"/>
    <w:lvl w:ilvl="0">
      <w:lvlJc w:val="left"/>
      <w:lvlText w:val="(%1)"/>
      <w:numFmt w:val="lowerRoman"/>
      <w:start w:val="2"/>
    </w:lvl>
    <w:lvl w:ilvl="1">
      <w:lvlJc w:val="left"/>
      <w:lvlText w:val="%2"/>
      <w:numFmt w:val="decimal"/>
      <w:start w:val="1"/>
    </w:lvl>
  </w:abstractNum>
  <w:abstractNum w:abstractNumId="16">
    <w:nsid w:val="4353D0CD"/>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17">
    <w:nsid w:val="B03E0C6"/>
    <w:multiLevelType w:val="hybridMultilevel"/>
    <w:lvl w:ilvl="0">
      <w:lvlJc w:val="left"/>
      <w:lvlText w:val="(%1)"/>
      <w:numFmt w:val="lowerRoman"/>
      <w:start w:val="2"/>
    </w:lvl>
    <w:lvl w:ilvl="1">
      <w:lvlJc w:val="left"/>
      <w:lvlText w:val="%2."/>
      <w:numFmt w:val="decimal"/>
      <w:start w:val="3"/>
    </w:lvl>
    <w:lvl w:ilvl="2">
      <w:lvlJc w:val="left"/>
      <w:lvlText w:val="(%3)"/>
      <w:numFmt w:val="upperLetter"/>
      <w:start w:val="2"/>
    </w:lvl>
  </w:abstractNum>
  <w:abstractNum w:abstractNumId="18">
    <w:nsid w:val="189A769B"/>
    <w:multiLevelType w:val="hybridMultilevel"/>
    <w:lvl w:ilvl="0">
      <w:lvlJc w:val="left"/>
      <w:lvlText w:val="%1"/>
      <w:numFmt w:val="decimal"/>
      <w:start w:val="1"/>
    </w:lvl>
    <w:lvl w:ilvl="1">
      <w:lvlJc w:val="left"/>
      <w:lvlText w:val="%2."/>
      <w:numFmt w:val="upperLetter"/>
      <w:start w:val="61"/>
    </w:lvl>
  </w:abstractNum>
  <w:abstractNum w:abstractNumId="19">
    <w:nsid w:val="54E49EB4"/>
    <w:multiLevelType w:val="hybridMultilevel"/>
    <w:lvl w:ilvl="0">
      <w:lvlJc w:val="left"/>
      <w:lvlText w:val="%1."/>
      <w:numFmt w:val="decimal"/>
      <w:start w:val="1"/>
    </w:lvl>
    <w:lvl w:ilvl="1">
      <w:lvlJc w:val="left"/>
      <w:lvlText w:val="%2"/>
      <w:numFmt w:val="upperLetter"/>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upperLetter"/>
      <w:start w:val="9"/>
    </w:lvl>
  </w:abstractNum>
  <w:abstractNum w:abstractNumId="22">
    <w:nsid w:val="836C40E"/>
    <w:multiLevelType w:val="hybridMultilevel"/>
    <w:lvl w:ilvl="0">
      <w:lvlJc w:val="left"/>
      <w:lvlText w:val="%1."/>
      <w:numFmt w:val="upperLetter"/>
      <w:start w:val="35"/>
    </w:lvl>
  </w:abstractNum>
  <w:abstractNum w:abstractNumId="23">
    <w:nsid w:val="2901D82"/>
    <w:multiLevelType w:val="hybridMultilevel"/>
    <w:lvl w:ilvl="0">
      <w:lvlJc w:val="left"/>
      <w:lvlText w:val="%1"/>
      <w:numFmt w:val="lowerRoman"/>
      <w:start w:val="1"/>
    </w:lvl>
    <w:lvl w:ilvl="1">
      <w:lvlJc w:val="left"/>
      <w:lvlText w:val="%2."/>
      <w:numFmt w:val="decimal"/>
      <w:start w:val="1"/>
    </w:lvl>
  </w:abstractNum>
  <w:abstractNum w:abstractNumId="24">
    <w:nsid w:val="3A95F874"/>
    <w:multiLevelType w:val="hybridMultilevel"/>
    <w:lvl w:ilvl="0">
      <w:lvlJc w:val="left"/>
      <w:lvlText w:val="(%1)"/>
      <w:numFmt w:val="lowerRoman"/>
      <w:start w:val="2"/>
    </w:lvl>
    <w:lvl w:ilvl="1">
      <w:lvlJc w:val="left"/>
      <w:lvlText w:val="%2."/>
      <w:numFmt w:val="decimal"/>
      <w:start w:val="2"/>
    </w:lvl>
  </w:abstractNum>
  <w:abstractNum w:abstractNumId="25">
    <w:nsid w:val="8138641"/>
    <w:multiLevelType w:val="hybridMultilevel"/>
    <w:lvl w:ilvl="0">
      <w:lvlJc w:val="left"/>
      <w:lvlText w:val="(%1)"/>
      <w:numFmt w:val="lowerRoman"/>
      <w:start w:val="2"/>
    </w:lvl>
    <w:lvl w:ilvl="1">
      <w:lvlJc w:val="left"/>
      <w:lvlText w:val="%2"/>
      <w:numFmt w:val="decimal"/>
      <w:start w:val="1"/>
    </w:lvl>
  </w:abstractNum>
  <w:abstractNum w:abstractNumId="26">
    <w:nsid w:val="1E7FF521"/>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27">
    <w:nsid w:val="7C3DBD3D"/>
    <w:multiLevelType w:val="hybridMultilevel"/>
    <w:lvl w:ilvl="0">
      <w:lvlJc w:val="left"/>
      <w:lvlText w:val="(%1)"/>
      <w:numFmt w:val="lowerRoman"/>
      <w:start w:val="2"/>
    </w:lvl>
    <w:lvl w:ilvl="1">
      <w:lvlJc w:val="left"/>
      <w:lvlText w:val="%2."/>
      <w:numFmt w:val="decimal"/>
      <w:start w:val="3"/>
    </w:lvl>
    <w:lvl w:ilvl="2">
      <w:lvlJc w:val="left"/>
      <w:lvlText w:val="(%3)"/>
      <w:numFmt w:val="upperLetter"/>
      <w:start w:val="2"/>
    </w:lvl>
  </w:abstractNum>
  <w:abstractNum w:abstractNumId="28">
    <w:nsid w:val="737B8DDC"/>
    <w:multiLevelType w:val="hybridMultilevel"/>
    <w:lvl w:ilvl="0">
      <w:lvlJc w:val="left"/>
      <w:lvlText w:val="%1"/>
      <w:numFmt w:val="decimal"/>
      <w:start w:val="1"/>
    </w:lvl>
    <w:lvl w:ilvl="1">
      <w:lvlJc w:val="left"/>
      <w:lvlText w:val="%2."/>
      <w:numFmt w:val="upperLetter"/>
      <w:start w:val="61"/>
    </w:lvl>
  </w:abstractNum>
  <w:abstractNum w:abstractNumId="29">
    <w:nsid w:val="6CEAF087"/>
    <w:multiLevelType w:val="hybridMultilevel"/>
    <w:lvl w:ilvl="0">
      <w:lvlJc w:val="left"/>
      <w:lvlText w:val="%1."/>
      <w:numFmt w:val="decimal"/>
      <w:start w:val="1"/>
    </w:lvl>
    <w:lvl w:ilvl="1">
      <w:lvlJc w:val="left"/>
      <w:lvlText w:val="%2"/>
      <w:numFmt w:val="upperLetter"/>
      <w:start w:val="1"/>
    </w:lvl>
  </w:abstractNum>
  <w:abstractNum w:abstractNumId="30">
    <w:nsid w:val="22221A70"/>
    <w:multiLevelType w:val="hybridMultilevel"/>
    <w:lvl w:ilvl="0">
      <w:lvlJc w:val="left"/>
      <w:lvlText w:val="%1."/>
      <w:numFmt w:val="decimal"/>
      <w:start w:val="2"/>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2019-12-05T22:54:24Z</dcterms:created>
  <dcterms:modified xsi:type="dcterms:W3CDTF">2019-12-05T22:54:24Z</dcterms:modified>
</cp:coreProperties>
</file>