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3085465</wp:posOffset>
            </wp:positionH>
            <wp:positionV relativeFrom="paragraph">
              <wp:posOffset>138430</wp:posOffset>
            </wp:positionV>
            <wp:extent cx="1085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585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5" w:lineRule="exact"/>
        <w:rPr>
          <w:sz w:val="24"/>
          <w:szCs w:val="24"/>
          <w:color w:val="auto"/>
        </w:rPr>
      </w:pPr>
    </w:p>
    <w:p>
      <w:pPr>
        <w:ind w:left="640" w:right="1760" w:hanging="634"/>
        <w:spacing w:after="0" w:line="481"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2016</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7" w:lineRule="exact"/>
        <w:rPr>
          <w:sz w:val="24"/>
          <w:szCs w:val="24"/>
          <w:color w:val="auto"/>
        </w:rPr>
      </w:pPr>
    </w:p>
    <w:p>
      <w:pPr>
        <w:ind w:right="1560" w:firstLine="6"/>
        <w:spacing w:after="0" w:line="491" w:lineRule="auto"/>
        <w:tabs>
          <w:tab w:leader="none" w:pos="63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______________________ to_______________________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3085465</wp:posOffset>
            </wp:positionH>
            <wp:positionV relativeFrom="paragraph">
              <wp:posOffset>149860</wp:posOffset>
            </wp:positionV>
            <wp:extent cx="1085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585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0" w:lineRule="exact"/>
        <w:rPr>
          <w:sz w:val="24"/>
          <w:szCs w:val="24"/>
          <w:color w:val="auto"/>
        </w:rPr>
      </w:pPr>
    </w:p>
    <w:tbl>
      <w:tblPr>
        <w:tblLayout w:type="fixed"/>
        <w:tblInd w:w="1440" w:type="dxa"/>
        <w:tblCellMar>
          <w:top w:w="0" w:type="dxa"/>
          <w:left w:w="0" w:type="dxa"/>
          <w:bottom w:w="0" w:type="dxa"/>
          <w:right w:w="0" w:type="dxa"/>
        </w:tblCellMar>
      </w:tblPr>
      <w:tr>
        <w:trPr>
          <w:trHeight w:val="218"/>
        </w:trPr>
        <w:tc>
          <w:tcPr>
            <w:tcW w:w="4380" w:type="dxa"/>
            <w:vAlign w:val="bottom"/>
          </w:tcPr>
          <w:p>
            <w:pPr>
              <w:jc w:val="center"/>
              <w:ind w:right="1452"/>
              <w:spacing w:after="0"/>
              <w:rPr>
                <w:sz w:val="20"/>
                <w:szCs w:val="20"/>
                <w:color w:val="auto"/>
              </w:rPr>
            </w:pPr>
            <w:r>
              <w:rPr>
                <w:rFonts w:ascii="Arial" w:cs="Arial" w:eastAsia="Arial" w:hAnsi="Arial"/>
                <w:sz w:val="18"/>
                <w:szCs w:val="18"/>
                <w:b w:val="1"/>
                <w:bCs w:val="1"/>
                <w:color w:val="auto"/>
                <w:w w:val="92"/>
              </w:rPr>
              <w:t>New York</w:t>
            </w:r>
          </w:p>
        </w:tc>
        <w:tc>
          <w:tcPr>
            <w:tcW w:w="4080" w:type="dxa"/>
            <w:vAlign w:val="bottom"/>
          </w:tcPr>
          <w:p>
            <w:pPr>
              <w:jc w:val="right"/>
              <w:ind w:right="752"/>
              <w:spacing w:after="0"/>
              <w:rPr>
                <w:sz w:val="20"/>
                <w:szCs w:val="20"/>
                <w:color w:val="auto"/>
              </w:rPr>
            </w:pPr>
            <w:r>
              <w:rPr>
                <w:rFonts w:ascii="Arial" w:cs="Arial" w:eastAsia="Arial" w:hAnsi="Arial"/>
                <w:sz w:val="18"/>
                <w:szCs w:val="18"/>
                <w:b w:val="1"/>
                <w:bCs w:val="1"/>
                <w:color w:val="auto"/>
              </w:rPr>
              <w:t>11-0853640</w:t>
            </w:r>
          </w:p>
        </w:tc>
      </w:tr>
      <w:tr>
        <w:trPr>
          <w:trHeight w:val="212"/>
        </w:trPr>
        <w:tc>
          <w:tcPr>
            <w:tcW w:w="4380" w:type="dxa"/>
            <w:vAlign w:val="bottom"/>
          </w:tcPr>
          <w:p>
            <w:pPr>
              <w:jc w:val="center"/>
              <w:ind w:right="1432"/>
              <w:spacing w:after="0"/>
              <w:rPr>
                <w:sz w:val="20"/>
                <w:szCs w:val="20"/>
                <w:color w:val="auto"/>
              </w:rPr>
            </w:pPr>
            <w:r>
              <w:rPr>
                <w:rFonts w:ascii="Arial" w:cs="Arial" w:eastAsia="Arial" w:hAnsi="Arial"/>
                <w:sz w:val="18"/>
                <w:szCs w:val="18"/>
                <w:i w:val="1"/>
                <w:iCs w:val="1"/>
                <w:color w:val="auto"/>
                <w:w w:val="91"/>
              </w:rPr>
              <w:t>(State or other Jurisdiction of</w:t>
            </w:r>
          </w:p>
        </w:tc>
        <w:tc>
          <w:tcPr>
            <w:tcW w:w="4080" w:type="dxa"/>
            <w:vAlign w:val="bottom"/>
          </w:tcPr>
          <w:p>
            <w:pPr>
              <w:jc w:val="center"/>
              <w:ind w:left="1452"/>
              <w:spacing w:after="0"/>
              <w:rPr>
                <w:sz w:val="20"/>
                <w:szCs w:val="20"/>
                <w:color w:val="auto"/>
              </w:rPr>
            </w:pPr>
            <w:r>
              <w:rPr>
                <w:rFonts w:ascii="Arial" w:cs="Arial" w:eastAsia="Arial" w:hAnsi="Arial"/>
                <w:sz w:val="18"/>
                <w:szCs w:val="18"/>
                <w:i w:val="1"/>
                <w:iCs w:val="1"/>
                <w:color w:val="auto"/>
                <w:w w:val="91"/>
              </w:rPr>
              <w:t>(I.R.S. Employer Identification No.)</w:t>
            </w:r>
          </w:p>
        </w:tc>
      </w:tr>
      <w:tr>
        <w:trPr>
          <w:trHeight w:val="223"/>
        </w:trPr>
        <w:tc>
          <w:tcPr>
            <w:tcW w:w="4380" w:type="dxa"/>
            <w:vAlign w:val="bottom"/>
          </w:tcPr>
          <w:p>
            <w:pPr>
              <w:jc w:val="center"/>
              <w:ind w:right="1432"/>
              <w:spacing w:after="0"/>
              <w:rPr>
                <w:sz w:val="20"/>
                <w:szCs w:val="20"/>
                <w:color w:val="auto"/>
              </w:rPr>
            </w:pPr>
            <w:r>
              <w:rPr>
                <w:rFonts w:ascii="Arial" w:cs="Arial" w:eastAsia="Arial" w:hAnsi="Arial"/>
                <w:sz w:val="18"/>
                <w:szCs w:val="18"/>
                <w:i w:val="1"/>
                <w:iCs w:val="1"/>
                <w:color w:val="auto"/>
                <w:w w:val="93"/>
              </w:rPr>
              <w:t>incorporation or organization)</w:t>
            </w:r>
          </w:p>
        </w:tc>
        <w:tc>
          <w:tcPr>
            <w:tcW w:w="4080" w:type="dxa"/>
            <w:vAlign w:val="bottom"/>
          </w:tcPr>
          <w:p>
            <w:pPr>
              <w:spacing w:after="0"/>
              <w:rPr>
                <w:sz w:val="19"/>
                <w:szCs w:val="19"/>
                <w:color w:val="auto"/>
              </w:rPr>
            </w:pPr>
          </w:p>
        </w:tc>
      </w:tr>
      <w:tr>
        <w:trPr>
          <w:trHeight w:val="407"/>
        </w:trPr>
        <w:tc>
          <w:tcPr>
            <w:tcW w:w="4380" w:type="dxa"/>
            <w:vAlign w:val="bottom"/>
          </w:tcPr>
          <w:p>
            <w:pPr>
              <w:jc w:val="center"/>
              <w:ind w:right="1452"/>
              <w:spacing w:after="0"/>
              <w:rPr>
                <w:sz w:val="20"/>
                <w:szCs w:val="20"/>
                <w:color w:val="auto"/>
              </w:rPr>
            </w:pPr>
            <w:r>
              <w:rPr>
                <w:rFonts w:ascii="Arial" w:cs="Arial" w:eastAsia="Arial" w:hAnsi="Arial"/>
                <w:sz w:val="18"/>
                <w:szCs w:val="18"/>
                <w:b w:val="1"/>
                <w:bCs w:val="1"/>
                <w:color w:val="auto"/>
                <w:w w:val="90"/>
              </w:rPr>
              <w:t>616 N. North Court, Suite 120</w:t>
            </w:r>
          </w:p>
        </w:tc>
        <w:tc>
          <w:tcPr>
            <w:tcW w:w="4080" w:type="dxa"/>
            <w:vAlign w:val="bottom"/>
          </w:tcPr>
          <w:p>
            <w:pPr>
              <w:spacing w:after="0"/>
              <w:rPr>
                <w:sz w:val="24"/>
                <w:szCs w:val="24"/>
                <w:color w:val="auto"/>
              </w:rPr>
            </w:pPr>
          </w:p>
        </w:tc>
      </w:tr>
      <w:tr>
        <w:trPr>
          <w:trHeight w:val="218"/>
        </w:trPr>
        <w:tc>
          <w:tcPr>
            <w:tcW w:w="4380" w:type="dxa"/>
            <w:vAlign w:val="bottom"/>
          </w:tcPr>
          <w:p>
            <w:pPr>
              <w:jc w:val="center"/>
              <w:ind w:right="1452"/>
              <w:spacing w:after="0"/>
              <w:rPr>
                <w:sz w:val="20"/>
                <w:szCs w:val="20"/>
                <w:color w:val="auto"/>
              </w:rPr>
            </w:pPr>
            <w:r>
              <w:rPr>
                <w:rFonts w:ascii="Arial" w:cs="Arial" w:eastAsia="Arial" w:hAnsi="Arial"/>
                <w:sz w:val="18"/>
                <w:szCs w:val="18"/>
                <w:b w:val="1"/>
                <w:bCs w:val="1"/>
                <w:color w:val="auto"/>
                <w:w w:val="91"/>
              </w:rPr>
              <w:t>Palatine, Illinois</w:t>
            </w:r>
          </w:p>
        </w:tc>
        <w:tc>
          <w:tcPr>
            <w:tcW w:w="4080" w:type="dxa"/>
            <w:vAlign w:val="bottom"/>
          </w:tcPr>
          <w:p>
            <w:pPr>
              <w:jc w:val="right"/>
              <w:ind w:right="952"/>
              <w:spacing w:after="0"/>
              <w:rPr>
                <w:sz w:val="20"/>
                <w:szCs w:val="20"/>
                <w:color w:val="auto"/>
              </w:rPr>
            </w:pPr>
            <w:r>
              <w:rPr>
                <w:rFonts w:ascii="Arial" w:cs="Arial" w:eastAsia="Arial" w:hAnsi="Arial"/>
                <w:sz w:val="18"/>
                <w:szCs w:val="18"/>
                <w:b w:val="1"/>
                <w:bCs w:val="1"/>
                <w:color w:val="auto"/>
              </w:rPr>
              <w:t>60067</w:t>
            </w:r>
          </w:p>
        </w:tc>
      </w:tr>
      <w:tr>
        <w:trPr>
          <w:trHeight w:val="223"/>
        </w:trPr>
        <w:tc>
          <w:tcPr>
            <w:tcW w:w="4380" w:type="dxa"/>
            <w:vAlign w:val="bottom"/>
          </w:tcPr>
          <w:p>
            <w:pPr>
              <w:jc w:val="center"/>
              <w:ind w:right="1452"/>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4080" w:type="dxa"/>
            <w:vAlign w:val="bottom"/>
          </w:tcPr>
          <w:p>
            <w:pPr>
              <w:jc w:val="center"/>
              <w:ind w:left="1452"/>
              <w:spacing w:after="0"/>
              <w:rPr>
                <w:sz w:val="20"/>
                <w:szCs w:val="20"/>
                <w:color w:val="auto"/>
              </w:rPr>
            </w:pPr>
            <w:r>
              <w:rPr>
                <w:rFonts w:ascii="Arial" w:cs="Arial" w:eastAsia="Arial" w:hAnsi="Arial"/>
                <w:sz w:val="18"/>
                <w:szCs w:val="18"/>
                <w:i w:val="1"/>
                <w:iCs w:val="1"/>
                <w:color w:val="auto"/>
                <w:w w:val="91"/>
              </w:rPr>
              <w:t>(Zip Code)</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847 705 7709</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17" w:lineRule="exact"/>
        <w:rPr>
          <w:sz w:val="24"/>
          <w:szCs w:val="24"/>
          <w:color w:val="auto"/>
        </w:rPr>
      </w:pPr>
    </w:p>
    <w:p>
      <w:pPr>
        <w:jc w:val="both"/>
        <w:ind w:firstLine="318"/>
        <w:spacing w:after="0" w:line="22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and (2) has been subject to such filing requirements for the past 90 days. Yes þ No </w:t>
      </w:r>
      <w:r>
        <w:rPr>
          <w:rFonts w:ascii="MS PGothic" w:cs="MS PGothic" w:eastAsia="MS PGothic" w:hAnsi="MS PGothic"/>
          <w:sz w:val="18"/>
          <w:szCs w:val="18"/>
          <w:color w:val="auto"/>
        </w:rPr>
        <w:t>☐</w:t>
      </w:r>
    </w:p>
    <w:p>
      <w:pPr>
        <w:spacing w:after="0" w:line="181" w:lineRule="exact"/>
        <w:rPr>
          <w:sz w:val="24"/>
          <w:szCs w:val="24"/>
          <w:color w:val="auto"/>
        </w:rPr>
      </w:pPr>
    </w:p>
    <w:p>
      <w:pPr>
        <w:jc w:val="both"/>
        <w:ind w:firstLine="318"/>
        <w:spacing w:after="0" w:line="24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spacing w:after="0" w:line="2" w:lineRule="exact"/>
        <w:rPr>
          <w:sz w:val="24"/>
          <w:szCs w:val="24"/>
          <w:color w:val="auto"/>
        </w:rPr>
      </w:pPr>
    </w:p>
    <w:p>
      <w:pPr>
        <w:ind w:left="960"/>
        <w:spacing w:after="0" w:line="207" w:lineRule="exact"/>
        <w:rPr>
          <w:sz w:val="20"/>
          <w:szCs w:val="20"/>
          <w:color w:val="auto"/>
        </w:rPr>
      </w:pPr>
      <w:r>
        <w:rPr>
          <w:rFonts w:ascii="Arial" w:cs="Arial" w:eastAsia="Arial" w:hAnsi="Arial"/>
          <w:sz w:val="18"/>
          <w:szCs w:val="18"/>
          <w:color w:val="auto"/>
        </w:rPr>
        <w:t xml:space="preserve">Yes þ No </w:t>
      </w:r>
      <w:r>
        <w:rPr>
          <w:rFonts w:ascii="MS PGothic" w:cs="MS PGothic" w:eastAsia="MS PGothic" w:hAnsi="MS PGothic"/>
          <w:sz w:val="18"/>
          <w:szCs w:val="18"/>
          <w:color w:val="auto"/>
        </w:rPr>
        <w:t>☐</w:t>
      </w:r>
    </w:p>
    <w:p>
      <w:pPr>
        <w:spacing w:after="0" w:line="210" w:lineRule="exact"/>
        <w:rPr>
          <w:sz w:val="24"/>
          <w:szCs w:val="24"/>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filer, “accelerated filer” and “smaller reporting company” in Rule 12b-2 of the Exchange Act. (Check one):</w:t>
      </w:r>
    </w:p>
    <w:p>
      <w:pPr>
        <w:sectPr>
          <w:pgSz w:w="11900" w:h="16838" w:orient="portrait"/>
          <w:cols w:equalWidth="0" w:num="1">
            <w:col w:w="11420"/>
          </w:cols>
          <w:pgMar w:left="240" w:top="466" w:right="239" w:bottom="1440" w:gutter="0" w:footer="0" w:header="0"/>
        </w:sectPr>
      </w:pPr>
    </w:p>
    <w:p>
      <w:pPr>
        <w:spacing w:after="0" w:line="123" w:lineRule="exact"/>
        <w:rPr>
          <w:sz w:val="24"/>
          <w:szCs w:val="24"/>
          <w:color w:val="auto"/>
        </w:rPr>
      </w:pPr>
    </w:p>
    <w:p>
      <w:pPr>
        <w:ind w:left="320" w:right="80"/>
        <w:spacing w:after="0" w:line="246"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4"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þ</w:t>
      </w:r>
    </w:p>
    <w:p>
      <w:pPr>
        <w:spacing w:after="0" w:line="202" w:lineRule="exact"/>
        <w:rPr>
          <w:sz w:val="24"/>
          <w:szCs w:val="24"/>
          <w:color w:val="auto"/>
        </w:rPr>
      </w:pPr>
    </w:p>
    <w:p>
      <w:pPr>
        <w:sectPr>
          <w:pgSz w:w="11900" w:h="16838" w:orient="portrait"/>
          <w:cols w:equalWidth="0" w:num="2">
            <w:col w:w="2240" w:space="720"/>
            <w:col w:w="8460"/>
          </w:cols>
          <w:pgMar w:left="240" w:top="466" w:right="239" w:bottom="1440" w:gutter="0" w:footer="0" w:header="0"/>
          <w:type w:val="continuous"/>
        </w:sectPr>
      </w:pPr>
    </w:p>
    <w:p>
      <w:pPr>
        <w:ind w:left="32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þ</w:t>
      </w:r>
    </w:p>
    <w:p>
      <w:pPr>
        <w:spacing w:after="0" w:line="286"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As of October 31, 2016 the registrant had 11,833,801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431800</wp:posOffset>
            </wp:positionV>
            <wp:extent cx="7249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SEPTEMBER 30, 2016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280" w:type="dxa"/>
            <w:vAlign w:val="bottom"/>
            <w:gridSpan w:val="19"/>
            <w:shd w:val="clear" w:color="auto" w:fill="CCEEFF"/>
          </w:tcPr>
          <w:p>
            <w:pPr>
              <w:spacing w:after="0" w:line="17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36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Item 1.</w:t>
            </w:r>
          </w:p>
        </w:tc>
        <w:tc>
          <w:tcPr>
            <w:tcW w:w="8920" w:type="dxa"/>
            <w:vAlign w:val="bottom"/>
            <w:gridSpan w:val="17"/>
            <w:shd w:val="clear" w:color="auto" w:fill="CCEEFF"/>
          </w:tcPr>
          <w:p>
            <w:pPr>
              <w:spacing w:after="0" w:line="17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0" w:type="dxa"/>
            <w:vAlign w:val="bottom"/>
            <w:gridSpan w:val="16"/>
            <w:shd w:val="clear" w:color="auto" w:fill="CCEEFF"/>
          </w:tcPr>
          <w:p>
            <w:pPr>
              <w:spacing w:after="0" w:line="17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2016 and December 31, 2015 (unaudited)</w:t>
              </w:r>
            </w:hyperlink>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380" w:type="dxa"/>
            <w:vAlign w:val="bottom"/>
            <w:tcBorders>
              <w:bottom w:val="single" w:sz="8" w:color="0000EE"/>
            </w:tcBorders>
            <w:gridSpan w:val="15"/>
            <w:shd w:val="clear" w:color="auto" w:fill="CCEEFF"/>
          </w:tcPr>
          <w:p>
            <w:pPr>
              <w:spacing w:after="0" w:line="172"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Operations and Comprehensive Loss for the Three and Nine months Ended September 30,</w:t>
              </w:r>
            </w:hyperlink>
          </w:p>
        </w:tc>
        <w:tc>
          <w:tcPr>
            <w:tcW w:w="2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0" w:type="dxa"/>
            <w:vAlign w:val="bottom"/>
            <w:gridSpan w:val="16"/>
            <w:shd w:val="clear" w:color="auto" w:fill="CCEEFF"/>
          </w:tcPr>
          <w:p>
            <w:pPr>
              <w:spacing w:after="0" w:line="192" w:lineRule="exact"/>
              <w:rPr>
                <w:rFonts w:ascii="Arial" w:cs="Arial" w:eastAsia="Arial" w:hAnsi="Arial"/>
                <w:sz w:val="18"/>
                <w:szCs w:val="18"/>
                <w:color w:val="0000EE"/>
              </w:rPr>
            </w:pPr>
            <w:hyperlink w:anchor="page4">
              <w:r>
                <w:rPr>
                  <w:rFonts w:ascii="Arial" w:cs="Arial" w:eastAsia="Arial" w:hAnsi="Arial"/>
                  <w:sz w:val="18"/>
                  <w:szCs w:val="18"/>
                  <w:color w:val="0000EE"/>
                </w:rPr>
                <w:t>2016 and September 30, 2015 (unaudited)</w:t>
              </w:r>
            </w:hyperlink>
          </w:p>
        </w:tc>
        <w:tc>
          <w:tcPr>
            <w:tcW w:w="1120" w:type="dxa"/>
            <w:vAlign w:val="bottom"/>
            <w:shd w:val="clear" w:color="auto" w:fill="CCEEFF"/>
          </w:tcPr>
          <w:p>
            <w:pPr>
              <w:jc w:val="right"/>
              <w:spacing w:after="0" w:line="19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0" w:type="dxa"/>
            <w:vAlign w:val="bottom"/>
            <w:gridSpan w:val="16"/>
            <w:shd w:val="clear" w:color="auto" w:fill="CCEEFF"/>
          </w:tcPr>
          <w:p>
            <w:pPr>
              <w:spacing w:after="0" w:line="17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 of Stockholders’ Equity for the Nine months Ended September 30, 2016 (unaudited)</w:t>
              </w:r>
            </w:hyperlink>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0" w:type="dxa"/>
            <w:vAlign w:val="bottom"/>
            <w:gridSpan w:val="16"/>
            <w:shd w:val="clear" w:color="auto" w:fill="CCEEFF"/>
          </w:tcPr>
          <w:p>
            <w:pPr>
              <w:spacing w:after="0" w:line="172"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Cash Flows for the Nine months Ended September 30, 2016 and September 30, 2015</w:t>
              </w:r>
            </w:hyperlink>
          </w:p>
        </w:tc>
        <w:tc>
          <w:tcPr>
            <w:tcW w:w="1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00" w:type="dxa"/>
            <w:vAlign w:val="bottom"/>
            <w:tcBorders>
              <w:top w:val="single" w:sz="8" w:color="0000EE"/>
            </w:tcBorders>
            <w:gridSpan w:val="14"/>
            <w:shd w:val="clear" w:color="auto" w:fill="CCEEFF"/>
          </w:tcPr>
          <w:p>
            <w:pPr>
              <w:spacing w:after="0" w:line="192"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600" w:type="dxa"/>
            <w:vAlign w:val="bottom"/>
            <w:tcBorders>
              <w:top w:val="single" w:sz="8" w:color="CCEEFF"/>
            </w:tcBorders>
            <w:gridSpan w:val="2"/>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0" w:type="dxa"/>
            <w:vAlign w:val="bottom"/>
            <w:gridSpan w:val="16"/>
            <w:shd w:val="clear" w:color="auto" w:fill="CCEEFF"/>
          </w:tcPr>
          <w:p>
            <w:pPr>
              <w:spacing w:after="0" w:line="172"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36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Item 2.</w:t>
            </w:r>
          </w:p>
        </w:tc>
        <w:tc>
          <w:tcPr>
            <w:tcW w:w="320" w:type="dxa"/>
            <w:vAlign w:val="bottom"/>
            <w:shd w:val="clear" w:color="auto" w:fill="CCEEFF"/>
          </w:tcPr>
          <w:p>
            <w:pPr>
              <w:spacing w:after="0"/>
              <w:rPr>
                <w:sz w:val="16"/>
                <w:szCs w:val="16"/>
                <w:color w:val="auto"/>
              </w:rPr>
            </w:pPr>
          </w:p>
        </w:tc>
        <w:tc>
          <w:tcPr>
            <w:tcW w:w="8600" w:type="dxa"/>
            <w:vAlign w:val="bottom"/>
            <w:gridSpan w:val="16"/>
            <w:shd w:val="clear" w:color="auto" w:fill="CCEEFF"/>
          </w:tcPr>
          <w:p>
            <w:pPr>
              <w:spacing w:after="0" w:line="172"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3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36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Item 4.</w:t>
            </w:r>
          </w:p>
        </w:tc>
        <w:tc>
          <w:tcPr>
            <w:tcW w:w="320" w:type="dxa"/>
            <w:vAlign w:val="bottom"/>
            <w:shd w:val="clear" w:color="auto" w:fill="CCEEFF"/>
          </w:tcPr>
          <w:p>
            <w:pPr>
              <w:spacing w:after="0"/>
              <w:rPr>
                <w:sz w:val="16"/>
                <w:szCs w:val="16"/>
                <w:color w:val="auto"/>
              </w:rPr>
            </w:pPr>
          </w:p>
        </w:tc>
        <w:tc>
          <w:tcPr>
            <w:tcW w:w="8600" w:type="dxa"/>
            <w:vAlign w:val="bottom"/>
            <w:gridSpan w:val="16"/>
            <w:shd w:val="clear" w:color="auto" w:fill="CCEEFF"/>
          </w:tcPr>
          <w:p>
            <w:pPr>
              <w:spacing w:after="0" w:line="172"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280" w:type="dxa"/>
            <w:vAlign w:val="bottom"/>
            <w:gridSpan w:val="19"/>
            <w:shd w:val="clear" w:color="auto" w:fill="CCEEFF"/>
          </w:tcPr>
          <w:p>
            <w:pPr>
              <w:spacing w:after="0" w:line="172"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 OTHER INFORMATION</w:t>
              </w:r>
            </w:hyperlink>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36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Item 1.</w:t>
            </w:r>
          </w:p>
        </w:tc>
        <w:tc>
          <w:tcPr>
            <w:tcW w:w="320" w:type="dxa"/>
            <w:vAlign w:val="bottom"/>
            <w:shd w:val="clear" w:color="auto" w:fill="CCEEFF"/>
          </w:tcPr>
          <w:p>
            <w:pPr>
              <w:spacing w:after="0"/>
              <w:rPr>
                <w:sz w:val="16"/>
                <w:szCs w:val="16"/>
                <w:color w:val="auto"/>
              </w:rPr>
            </w:pPr>
          </w:p>
        </w:tc>
        <w:tc>
          <w:tcPr>
            <w:tcW w:w="8600" w:type="dxa"/>
            <w:vAlign w:val="bottom"/>
            <w:gridSpan w:val="16"/>
            <w:shd w:val="clear" w:color="auto" w:fill="CCEEFF"/>
          </w:tcPr>
          <w:p>
            <w:pPr>
              <w:spacing w:after="0" w:line="172"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36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Item 1A.</w:t>
            </w:r>
          </w:p>
        </w:tc>
        <w:tc>
          <w:tcPr>
            <w:tcW w:w="320" w:type="dxa"/>
            <w:vAlign w:val="bottom"/>
            <w:shd w:val="clear" w:color="auto" w:fill="CCEEFF"/>
          </w:tcPr>
          <w:p>
            <w:pPr>
              <w:spacing w:after="0"/>
              <w:rPr>
                <w:sz w:val="16"/>
                <w:szCs w:val="16"/>
                <w:color w:val="auto"/>
              </w:rPr>
            </w:pPr>
          </w:p>
        </w:tc>
        <w:tc>
          <w:tcPr>
            <w:tcW w:w="8600" w:type="dxa"/>
            <w:vAlign w:val="bottom"/>
            <w:gridSpan w:val="16"/>
            <w:shd w:val="clear" w:color="auto" w:fill="CCEEFF"/>
          </w:tcPr>
          <w:p>
            <w:pPr>
              <w:spacing w:after="0" w:line="172" w:lineRule="exact"/>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36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Item 6.</w:t>
            </w:r>
          </w:p>
        </w:tc>
        <w:tc>
          <w:tcPr>
            <w:tcW w:w="320" w:type="dxa"/>
            <w:vAlign w:val="bottom"/>
            <w:shd w:val="clear" w:color="auto" w:fill="CCEEFF"/>
          </w:tcPr>
          <w:p>
            <w:pPr>
              <w:spacing w:after="0"/>
              <w:rPr>
                <w:sz w:val="16"/>
                <w:szCs w:val="16"/>
                <w:color w:val="auto"/>
              </w:rPr>
            </w:pPr>
          </w:p>
        </w:tc>
        <w:tc>
          <w:tcPr>
            <w:tcW w:w="8600" w:type="dxa"/>
            <w:vAlign w:val="bottom"/>
            <w:gridSpan w:val="16"/>
            <w:shd w:val="clear" w:color="auto" w:fill="CCEEFF"/>
          </w:tcPr>
          <w:p>
            <w:pPr>
              <w:spacing w:after="0" w:line="172"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360" w:type="dxa"/>
            <w:vAlign w:val="bottom"/>
            <w:gridSpan w:val="2"/>
            <w:shd w:val="clear" w:color="auto" w:fill="CCEEFF"/>
          </w:tcPr>
          <w:p>
            <w:pPr>
              <w:spacing w:after="0" w:line="172" w:lineRule="exact"/>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72" w:lineRule="exact"/>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36"/>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6640" w:type="dxa"/>
            <w:vAlign w:val="bottom"/>
            <w:tcBorders>
              <w:top w:val="single" w:sz="8" w:color="CCEEFF"/>
              <w:bottom w:val="single" w:sz="8" w:color="auto"/>
            </w:tcBorders>
            <w:gridSpan w:val="12"/>
          </w:tcPr>
          <w:p>
            <w:pPr>
              <w:jc w:val="right"/>
              <w:ind w:right="226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Part I. FINANCIAL INFORMATION</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Consolidated Financial Statements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8560" w:type="dxa"/>
            <w:vAlign w:val="bottom"/>
          </w:tcPr>
          <w:p>
            <w:pPr>
              <w:jc w:val="center"/>
              <w:ind w:left="2752"/>
              <w:spacing w:after="0"/>
              <w:rPr>
                <w:sz w:val="20"/>
                <w:szCs w:val="20"/>
                <w:color w:val="auto"/>
              </w:rPr>
            </w:pPr>
            <w:r>
              <w:rPr>
                <w:rFonts w:ascii="Arial" w:cs="Arial" w:eastAsia="Arial" w:hAnsi="Arial"/>
                <w:sz w:val="18"/>
                <w:szCs w:val="18"/>
                <w:b w:val="1"/>
                <w:bCs w:val="1"/>
                <w:color w:val="auto"/>
                <w:w w:val="99"/>
              </w:rPr>
              <w:t>ACURA PHARMACEUTICALS, INC.</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jc w:val="center"/>
              <w:ind w:left="2732"/>
              <w:spacing w:after="0"/>
              <w:rPr>
                <w:sz w:val="20"/>
                <w:szCs w:val="20"/>
                <w:color w:val="auto"/>
              </w:rPr>
            </w:pPr>
            <w:r>
              <w:rPr>
                <w:rFonts w:ascii="Arial" w:cs="Arial" w:eastAsia="Arial" w:hAnsi="Arial"/>
                <w:sz w:val="18"/>
                <w:szCs w:val="18"/>
                <w:b w:val="1"/>
                <w:bCs w:val="1"/>
                <w:color w:val="auto"/>
                <w:w w:val="97"/>
              </w:rPr>
              <w:t>CONSOLIDATED BALANCE SHEETS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60" w:type="dxa"/>
            <w:vAlign w:val="bottom"/>
          </w:tcPr>
          <w:p>
            <w:pPr>
              <w:jc w:val="center"/>
              <w:ind w:left="2732"/>
              <w:spacing w:after="0"/>
              <w:rPr>
                <w:sz w:val="20"/>
                <w:szCs w:val="20"/>
                <w:color w:val="auto"/>
              </w:rPr>
            </w:pPr>
            <w:r>
              <w:rPr>
                <w:rFonts w:ascii="Arial" w:cs="Arial" w:eastAsia="Arial" w:hAnsi="Arial"/>
                <w:sz w:val="18"/>
                <w:szCs w:val="18"/>
                <w:b w:val="1"/>
                <w:bCs w:val="1"/>
                <w:color w:val="auto"/>
                <w:w w:val="88"/>
              </w:rPr>
              <w:t>(Unaudited; in thousands except par value)</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September 30,</w:t>
            </w:r>
          </w:p>
        </w:tc>
        <w:tc>
          <w:tcPr>
            <w:tcW w:w="120" w:type="dxa"/>
            <w:vAlign w:val="bottom"/>
          </w:tcPr>
          <w:p>
            <w:pPr>
              <w:spacing w:after="0"/>
              <w:rPr>
                <w:sz w:val="24"/>
                <w:szCs w:val="2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shd w:val="clear" w:color="auto" w:fill="CCEEFF"/>
          </w:tcPr>
          <w:p>
            <w:pPr>
              <w:ind w:left="3900"/>
              <w:spacing w:after="0" w:line="205" w:lineRule="exact"/>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Marketable securities (Note 7)</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$5 and $91)</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Accrued investment income</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 (Note 8)</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5,276</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Property, plant and equipment, net (Note 9)</w:t>
            </w: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979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1,013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Intangible asset (net of accumulated amortization of $517 and $362) (Note 4)</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Accrued expenses (Note 10)</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returns liability</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Debt - current (Note 11)</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w w:val="95"/>
              </w:rPr>
              <w:t>Debt – non-current portion (net of discount of $119 and $193, and debt issuance costs of $58 and $97) (Note 11)</w:t>
            </w: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3,508</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5,430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Accrued interest – non-current portion</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8,227</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9,061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8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Commitments and contingencies (Note 17)</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w w:val="96"/>
              </w:rPr>
              <w:t>Common stock - $.01 par value per share; 100,000 shares authorized, 11,834 and 11,801 shares issued and</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at September 30, 2016 and December 31, 2015, respectively</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375,625</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375,157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(376,232)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(367,310)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Total stockholders’ (deficit) equity</w:t>
            </w:r>
          </w:p>
        </w:tc>
        <w:tc>
          <w:tcPr>
            <w:tcW w:w="1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7,738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16,961</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560" w:type="dxa"/>
            <w:vAlign w:val="bottom"/>
          </w:tcPr>
          <w:p>
            <w:pPr>
              <w:jc w:val="center"/>
              <w:ind w:left="2732"/>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7"/>
        </w:trPr>
        <w:tc>
          <w:tcPr>
            <w:tcW w:w="20" w:type="dxa"/>
            <w:vAlign w:val="bottom"/>
          </w:tcPr>
          <w:p>
            <w:pPr>
              <w:spacing w:after="0"/>
              <w:rPr>
                <w:sz w:val="24"/>
                <w:szCs w:val="24"/>
                <w:color w:val="auto"/>
              </w:rPr>
            </w:pPr>
          </w:p>
        </w:tc>
        <w:tc>
          <w:tcPr>
            <w:tcW w:w="8560" w:type="dxa"/>
            <w:vAlign w:val="bottom"/>
            <w:tcBorders>
              <w:bottom w:val="single" w:sz="8" w:color="auto"/>
            </w:tcBorders>
          </w:tcPr>
          <w:p>
            <w:pPr>
              <w:jc w:val="center"/>
              <w:ind w:left="2752"/>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723"/>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7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89"/>
              </w:rPr>
              <w:t>2015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84"/>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License fee revenue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307</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Royalty revenue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86</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306</w:t>
            </w:r>
          </w:p>
        </w:tc>
        <w:tc>
          <w:tcPr>
            <w:tcW w:w="4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Borders>
              <w:bottom w:val="single" w:sz="8" w:color="CCEEFF"/>
            </w:tcBorders>
          </w:tcPr>
          <w:p>
            <w:pPr>
              <w:ind w:left="300"/>
              <w:spacing w:after="0" w:line="203" w:lineRule="exact"/>
              <w:rPr>
                <w:sz w:val="20"/>
                <w:szCs w:val="20"/>
                <w:color w:val="auto"/>
              </w:rPr>
            </w:pPr>
            <w:r>
              <w:rPr>
                <w:rFonts w:ascii="Arial" w:cs="Arial" w:eastAsia="Arial" w:hAnsi="Arial"/>
                <w:sz w:val="18"/>
                <w:szCs w:val="18"/>
                <w:color w:val="auto"/>
              </w:rPr>
              <w:t>Total revenues, net</w:t>
            </w: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218</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210</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699</w:t>
            </w:r>
          </w:p>
        </w:tc>
        <w:tc>
          <w:tcPr>
            <w:tcW w:w="2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5,908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and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 (excluding inventory write-downs)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309</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Inventory write-downs (Note 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3,258</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Selling, marketing, general and administrative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5,392</w:t>
            </w:r>
          </w:p>
        </w:tc>
        <w:tc>
          <w:tcPr>
            <w:tcW w:w="4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ind w:left="300"/>
              <w:spacing w:after="0" w:line="204" w:lineRule="exact"/>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2,287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2,615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8,985</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9,199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(2,069)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(2,405)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(8,286)</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(Note 11)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(697)</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ind w:left="300"/>
              <w:spacing w:after="0" w:line="204" w:lineRule="exact"/>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(181</w:t>
            </w:r>
          </w:p>
        </w:tc>
        <w:tc>
          <w:tcPr>
            <w:tcW w:w="160" w:type="dxa"/>
            <w:vAlign w:val="bottom"/>
            <w:tcBorders>
              <w:top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(244</w:t>
            </w:r>
          </w:p>
        </w:tc>
        <w:tc>
          <w:tcPr>
            <w:tcW w:w="140" w:type="dxa"/>
            <w:vAlign w:val="bottom"/>
            <w:tcBorders>
              <w:top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(636</w:t>
            </w:r>
          </w:p>
        </w:tc>
        <w:tc>
          <w:tcPr>
            <w:tcW w:w="200" w:type="dxa"/>
            <w:vAlign w:val="bottom"/>
            <w:tcBorders>
              <w:top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9"/>
              </w:rPr>
              <w:t>)</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(782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(2,250)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(2,649)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(8,922)</w:t>
            </w: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60" w:type="dxa"/>
            <w:vAlign w:val="bottom"/>
            <w:tcBorders>
              <w:top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40" w:type="dxa"/>
            <w:vAlign w:val="bottom"/>
            <w:tcBorders>
              <w:top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200" w:type="dxa"/>
            <w:vAlign w:val="bottom"/>
            <w:tcBorders>
              <w:top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9"/>
              </w:rPr>
              <w:t>)</w:t>
            </w: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Unrealized (losses) gains on securities</w:t>
            </w:r>
          </w:p>
        </w:tc>
        <w:tc>
          <w:tcPr>
            <w:tcW w:w="260" w:type="dxa"/>
            <w:vAlign w:val="bottom"/>
          </w:tcPr>
          <w:p>
            <w:pPr>
              <w:spacing w:after="0"/>
              <w:rPr>
                <w:sz w:val="19"/>
                <w:szCs w:val="19"/>
                <w:color w:val="auto"/>
              </w:rPr>
            </w:pPr>
          </w:p>
        </w:tc>
        <w:tc>
          <w:tcPr>
            <w:tcW w:w="1160" w:type="dxa"/>
            <w:vAlign w:val="bottom"/>
            <w:gridSpan w:val="2"/>
          </w:tcPr>
          <w:p>
            <w:pPr>
              <w:jc w:val="right"/>
              <w:ind w:right="23"/>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60" w:type="dxa"/>
            <w:vAlign w:val="bottom"/>
            <w:tcBorders>
              <w:top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40" w:type="dxa"/>
            <w:vAlign w:val="bottom"/>
            <w:tcBorders>
              <w:top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(8,857</w:t>
            </w:r>
          </w:p>
        </w:tc>
        <w:tc>
          <w:tcPr>
            <w:tcW w:w="200" w:type="dxa"/>
            <w:vAlign w:val="bottom"/>
            <w:tcBorders>
              <w:top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9"/>
              </w:rPr>
              <w:t>)</w:t>
            </w: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3"/>
              <w:spacing w:after="0"/>
              <w:rPr>
                <w:sz w:val="20"/>
                <w:szCs w:val="20"/>
                <w:color w:val="auto"/>
              </w:rPr>
            </w:pPr>
            <w:r>
              <w:rPr>
                <w:rFonts w:ascii="Arial" w:cs="Arial" w:eastAsia="Arial" w:hAnsi="Arial"/>
                <w:sz w:val="18"/>
                <w:szCs w:val="18"/>
                <w:color w:val="auto"/>
              </w:rPr>
              <w:t>(0.19)</w:t>
            </w:r>
          </w:p>
        </w:tc>
        <w:tc>
          <w:tcPr>
            <w:tcW w:w="52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
              <w:spacing w:after="0"/>
              <w:rPr>
                <w:sz w:val="20"/>
                <w:szCs w:val="20"/>
                <w:color w:val="auto"/>
              </w:rPr>
            </w:pPr>
            <w:r>
              <w:rPr>
                <w:rFonts w:ascii="Arial" w:cs="Arial" w:eastAsia="Arial" w:hAnsi="Arial"/>
                <w:sz w:val="18"/>
                <w:szCs w:val="18"/>
                <w:color w:val="auto"/>
              </w:rPr>
              <w:t>(0.23)</w:t>
            </w:r>
          </w:p>
        </w:tc>
        <w:tc>
          <w:tcPr>
            <w:tcW w:w="34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3"/>
              <w:spacing w:after="0"/>
              <w:rPr>
                <w:sz w:val="20"/>
                <w:szCs w:val="20"/>
                <w:color w:val="auto"/>
              </w:rPr>
            </w:pPr>
            <w:r>
              <w:rPr>
                <w:rFonts w:ascii="Arial" w:cs="Arial" w:eastAsia="Arial" w:hAnsi="Arial"/>
                <w:sz w:val="18"/>
                <w:szCs w:val="18"/>
                <w:color w:val="auto"/>
              </w:rPr>
              <w:t>(0.75)</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(0.19)</w:t>
            </w:r>
          </w:p>
        </w:tc>
        <w:tc>
          <w:tcPr>
            <w:tcW w:w="5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(0.23)</w:t>
            </w:r>
          </w:p>
        </w:tc>
        <w:tc>
          <w:tcPr>
            <w:tcW w:w="34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(0.75)</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5"/>
        </w:trPr>
        <w:tc>
          <w:tcPr>
            <w:tcW w:w="5620" w:type="dxa"/>
            <w:vAlign w:val="bottom"/>
            <w:gridSpan w:val="2"/>
          </w:tcPr>
          <w:p>
            <w:pPr>
              <w:spacing w:after="0" w:line="204" w:lineRule="exact"/>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11,677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11,858</w:t>
            </w:r>
          </w:p>
        </w:tc>
        <w:tc>
          <w:tcPr>
            <w:tcW w:w="4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11,858</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(DEFICIT)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40" w:type="dxa"/>
            <w:vAlign w:val="bottom"/>
            <w:gridSpan w:val="9"/>
          </w:tcPr>
          <w:p>
            <w:pPr>
              <w:jc w:val="right"/>
              <w:spacing w:after="0"/>
              <w:rPr>
                <w:sz w:val="20"/>
                <w:szCs w:val="20"/>
                <w:color w:val="auto"/>
              </w:rPr>
            </w:pPr>
            <w:r>
              <w:rPr>
                <w:rFonts w:ascii="Arial" w:cs="Arial" w:eastAsia="Arial" w:hAnsi="Arial"/>
                <w:sz w:val="18"/>
                <w:szCs w:val="18"/>
                <w:color w:val="auto"/>
              </w:rPr>
              <w:t>Nine months Ended September 30, 2016</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color w:val="auto"/>
              </w:rPr>
              <w:t>Accumulated Other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Common</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Paid-in</w:t>
            </w:r>
          </w:p>
        </w:tc>
        <w:tc>
          <w:tcPr>
            <w:tcW w:w="1220" w:type="dxa"/>
            <w:vAlign w:val="bottom"/>
            <w:gridSpan w:val="3"/>
          </w:tcPr>
          <w:p>
            <w:pPr>
              <w:jc w:val="right"/>
              <w:ind w:right="183"/>
              <w:spacing w:after="0"/>
              <w:rPr>
                <w:sz w:val="20"/>
                <w:szCs w:val="20"/>
                <w:color w:val="auto"/>
              </w:rPr>
            </w:pPr>
            <w:r>
              <w:rPr>
                <w:rFonts w:ascii="Arial" w:cs="Arial" w:eastAsia="Arial" w:hAnsi="Arial"/>
                <w:sz w:val="18"/>
                <w:szCs w:val="18"/>
                <w:color w:val="auto"/>
                <w:w w:val="90"/>
              </w:rPr>
              <w:t>Accumulated</w:t>
            </w:r>
          </w:p>
        </w:tc>
        <w:tc>
          <w:tcPr>
            <w:tcW w:w="100" w:type="dxa"/>
            <w:vAlign w:val="bottom"/>
          </w:tcPr>
          <w:p>
            <w:pPr>
              <w:spacing w:after="0"/>
              <w:rPr>
                <w:sz w:val="18"/>
                <w:szCs w:val="18"/>
                <w:color w:val="auto"/>
              </w:rPr>
            </w:pPr>
          </w:p>
        </w:tc>
        <w:tc>
          <w:tcPr>
            <w:tcW w:w="1500" w:type="dxa"/>
            <w:vAlign w:val="bottom"/>
            <w:gridSpan w:val="2"/>
          </w:tcPr>
          <w:p>
            <w:pPr>
              <w:jc w:val="right"/>
              <w:ind w:right="283"/>
              <w:spacing w:after="0"/>
              <w:rPr>
                <w:sz w:val="20"/>
                <w:szCs w:val="20"/>
                <w:color w:val="auto"/>
              </w:rPr>
            </w:pPr>
            <w:r>
              <w:rPr>
                <w:rFonts w:ascii="Arial" w:cs="Arial" w:eastAsia="Arial" w:hAnsi="Arial"/>
                <w:sz w:val="18"/>
                <w:szCs w:val="18"/>
                <w:color w:val="auto"/>
                <w:w w:val="88"/>
              </w:rPr>
              <w:t>Comprehensive</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color w:val="auto"/>
              </w:rPr>
              <w:t>Par Value</w:t>
            </w:r>
          </w:p>
        </w:tc>
        <w:tc>
          <w:tcPr>
            <w:tcW w:w="1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Capital</w:t>
            </w:r>
          </w:p>
        </w:tc>
        <w:tc>
          <w:tcPr>
            <w:tcW w:w="180" w:type="dxa"/>
            <w:vAlign w:val="bottom"/>
          </w:tcPr>
          <w:p>
            <w:pPr>
              <w:spacing w:after="0"/>
              <w:rPr>
                <w:sz w:val="19"/>
                <w:szCs w:val="19"/>
                <w:color w:val="auto"/>
              </w:rPr>
            </w:pPr>
          </w:p>
        </w:tc>
        <w:tc>
          <w:tcPr>
            <w:tcW w:w="1040" w:type="dxa"/>
            <w:vAlign w:val="bottom"/>
            <w:gridSpan w:val="2"/>
          </w:tcPr>
          <w:p>
            <w:pPr>
              <w:jc w:val="right"/>
              <w:ind w:right="403"/>
              <w:spacing w:after="0"/>
              <w:rPr>
                <w:sz w:val="20"/>
                <w:szCs w:val="20"/>
                <w:color w:val="auto"/>
              </w:rPr>
            </w:pPr>
            <w:r>
              <w:rPr>
                <w:rFonts w:ascii="Arial" w:cs="Arial" w:eastAsia="Arial" w:hAnsi="Arial"/>
                <w:sz w:val="18"/>
                <w:szCs w:val="18"/>
                <w:color w:val="auto"/>
              </w:rPr>
              <w:t>Deficit</w:t>
            </w:r>
          </w:p>
        </w:tc>
        <w:tc>
          <w:tcPr>
            <w:tcW w:w="100" w:type="dxa"/>
            <w:vAlign w:val="bottom"/>
          </w:tcPr>
          <w:p>
            <w:pPr>
              <w:spacing w:after="0"/>
              <w:rPr>
                <w:sz w:val="19"/>
                <w:szCs w:val="19"/>
                <w:color w:val="auto"/>
              </w:rPr>
            </w:pPr>
          </w:p>
        </w:tc>
        <w:tc>
          <w:tcPr>
            <w:tcW w:w="1500" w:type="dxa"/>
            <w:vAlign w:val="bottom"/>
            <w:gridSpan w:val="2"/>
          </w:tcPr>
          <w:p>
            <w:pPr>
              <w:jc w:val="right"/>
              <w:ind w:right="323"/>
              <w:spacing w:after="0"/>
              <w:rPr>
                <w:sz w:val="20"/>
                <w:szCs w:val="20"/>
                <w:color w:val="auto"/>
              </w:rPr>
            </w:pPr>
            <w:r>
              <w:rPr>
                <w:rFonts w:ascii="Arial" w:cs="Arial" w:eastAsia="Arial" w:hAnsi="Arial"/>
                <w:sz w:val="18"/>
                <w:szCs w:val="18"/>
                <w:color w:val="auto"/>
                <w:w w:val="94"/>
              </w:rPr>
              <w:t>Income (Loss)</w:t>
            </w:r>
          </w:p>
        </w:tc>
        <w:tc>
          <w:tcPr>
            <w:tcW w:w="18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Balance at January 1, 2016</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375,157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(367,310</w:t>
            </w:r>
          </w:p>
        </w:tc>
        <w:tc>
          <w:tcPr>
            <w:tcW w:w="220" w:type="dxa"/>
            <w:vAlign w:val="bottom"/>
            <w:tcBorders>
              <w:top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9"/>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top w:val="single" w:sz="8" w:color="CCEEFF"/>
              <w:right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w w:val="79"/>
              </w:rPr>
              <w:t>)</w:t>
            </w: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(8,922)</w:t>
            </w:r>
          </w:p>
        </w:tc>
        <w:tc>
          <w:tcPr>
            <w:tcW w:w="100" w:type="dxa"/>
            <w:vAlign w:val="bottom"/>
            <w:shd w:val="clear" w:color="auto" w:fill="CCEEFF"/>
          </w:tcPr>
          <w:p>
            <w:pPr>
              <w:spacing w:after="0"/>
              <w:rPr>
                <w:sz w:val="19"/>
                <w:szCs w:val="19"/>
                <w:color w:val="auto"/>
              </w:rPr>
            </w:pPr>
          </w:p>
        </w:tc>
        <w:tc>
          <w:tcPr>
            <w:tcW w:w="1500" w:type="dxa"/>
            <w:vAlign w:val="bottom"/>
            <w:tcBorders>
              <w:right w:val="single" w:sz="8" w:color="CCEEFF"/>
            </w:tcBorders>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63"/>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tcBorders>
              <w:right w:val="single" w:sz="8" w:color="CCEEFF"/>
            </w:tcBorders>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tcPr>
          <w:p>
            <w:pPr>
              <w:spacing w:after="0" w:line="200" w:lineRule="exact"/>
              <w:rPr>
                <w:sz w:val="20"/>
                <w:szCs w:val="20"/>
                <w:color w:val="auto"/>
              </w:rPr>
            </w:pPr>
            <w:r>
              <w:rPr>
                <w:rFonts w:ascii="Arial" w:cs="Arial" w:eastAsia="Arial" w:hAnsi="Arial"/>
                <w:sz w:val="18"/>
                <w:szCs w:val="18"/>
                <w:color w:val="auto"/>
              </w:rPr>
              <w:t>Net distribution of common stock pursuant to</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restricted stock unit award plan</w:t>
            </w: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Balance at September 30, 2016</w:t>
            </w:r>
          </w:p>
        </w:tc>
        <w:tc>
          <w:tcPr>
            <w:tcW w:w="1000" w:type="dxa"/>
            <w:vAlign w:val="bottom"/>
          </w:tcPr>
          <w:p>
            <w:pPr>
              <w:jc w:val="right"/>
              <w:spacing w:after="0"/>
              <w:rPr>
                <w:sz w:val="20"/>
                <w:szCs w:val="20"/>
                <w:color w:val="auto"/>
              </w:rPr>
            </w:pPr>
            <w:r>
              <w:rPr>
                <w:rFonts w:ascii="Arial" w:cs="Arial" w:eastAsia="Arial" w:hAnsi="Arial"/>
                <w:sz w:val="18"/>
                <w:szCs w:val="18"/>
                <w:color w:val="auto"/>
              </w:rPr>
              <w:t>11,834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375,625</w:t>
            </w:r>
          </w:p>
        </w:tc>
        <w:tc>
          <w:tcPr>
            <w:tcW w:w="22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3"/>
              <w:spacing w:after="0"/>
              <w:rPr>
                <w:sz w:val="20"/>
                <w:szCs w:val="20"/>
                <w:color w:val="auto"/>
              </w:rPr>
            </w:pPr>
            <w:r>
              <w:rPr>
                <w:rFonts w:ascii="Arial" w:cs="Arial" w:eastAsia="Arial" w:hAnsi="Arial"/>
                <w:sz w:val="18"/>
                <w:szCs w:val="18"/>
                <w:color w:val="auto"/>
              </w:rPr>
              <w:t>(376,232)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jc w:val="right"/>
              <w:ind w:right="683"/>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3"/>
              <w:spacing w:after="0"/>
              <w:rPr>
                <w:sz w:val="20"/>
                <w:szCs w:val="20"/>
                <w:color w:val="auto"/>
              </w:rPr>
            </w:pPr>
            <w:r>
              <w:rPr>
                <w:rFonts w:ascii="Arial" w:cs="Arial" w:eastAsia="Arial" w:hAnsi="Arial"/>
                <w:sz w:val="18"/>
                <w:szCs w:val="18"/>
                <w:color w:val="auto"/>
              </w:rPr>
              <w:t>(8,922)</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8"/>
                <w:szCs w:val="18"/>
                <w:color w:val="auto"/>
              </w:rPr>
            </w:pP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Provision to reduce inventory to net realizable value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Provision for sales returns</w:t>
            </w:r>
          </w:p>
        </w:tc>
        <w:tc>
          <w:tcPr>
            <w:tcW w:w="280" w:type="dxa"/>
            <w:vAlign w:val="bottom"/>
          </w:tcPr>
          <w:p>
            <w:pPr>
              <w:spacing w:after="0"/>
              <w:rPr>
                <w:sz w:val="18"/>
                <w:szCs w:val="18"/>
                <w:color w:val="auto"/>
              </w:rPr>
            </w:pP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83</w:t>
            </w:r>
          </w:p>
        </w:tc>
        <w:tc>
          <w:tcPr>
            <w:tcW w:w="420" w:type="dxa"/>
            <w:vAlign w:val="bottom"/>
          </w:tcPr>
          <w:p>
            <w:pPr>
              <w:spacing w:after="0"/>
              <w:rPr>
                <w:sz w:val="18"/>
                <w:szCs w:val="18"/>
                <w:color w:val="auto"/>
              </w:rPr>
            </w:pPr>
          </w:p>
        </w:tc>
        <w:tc>
          <w:tcPr>
            <w:tcW w:w="940" w:type="dxa"/>
            <w:vAlign w:val="bottom"/>
            <w:gridSpan w:val="2"/>
          </w:tcPr>
          <w:p>
            <w:pPr>
              <w:jc w:val="right"/>
              <w:ind w:right="23"/>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450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Amortization of debt discount and deferred debt issue costs</w:t>
            </w:r>
          </w:p>
        </w:tc>
        <w:tc>
          <w:tcPr>
            <w:tcW w:w="280" w:type="dxa"/>
            <w:vAlign w:val="bottom"/>
          </w:tcPr>
          <w:p>
            <w:pPr>
              <w:spacing w:after="0"/>
              <w:rPr>
                <w:sz w:val="18"/>
                <w:szCs w:val="18"/>
                <w:color w:val="auto"/>
              </w:rPr>
            </w:pP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113</w:t>
            </w:r>
          </w:p>
        </w:tc>
        <w:tc>
          <w:tcPr>
            <w:tcW w:w="420" w:type="dxa"/>
            <w:vAlign w:val="bottom"/>
          </w:tcPr>
          <w:p>
            <w:pPr>
              <w:spacing w:after="0"/>
              <w:rPr>
                <w:sz w:val="18"/>
                <w:szCs w:val="18"/>
                <w:color w:val="auto"/>
              </w:rPr>
            </w:pPr>
          </w:p>
        </w:tc>
        <w:tc>
          <w:tcPr>
            <w:tcW w:w="940" w:type="dxa"/>
            <w:vAlign w:val="bottom"/>
            <w:gridSpan w:val="2"/>
          </w:tcPr>
          <w:p>
            <w:pPr>
              <w:jc w:val="right"/>
              <w:ind w:right="23"/>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bond premium in marketable securities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Amortization of intangible asset</w:t>
            </w:r>
          </w:p>
        </w:tc>
        <w:tc>
          <w:tcPr>
            <w:tcW w:w="280" w:type="dxa"/>
            <w:vAlign w:val="bottom"/>
          </w:tcPr>
          <w:p>
            <w:pPr>
              <w:spacing w:after="0"/>
              <w:rPr>
                <w:sz w:val="18"/>
                <w:szCs w:val="18"/>
                <w:color w:val="auto"/>
              </w:rPr>
            </w:pP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155</w:t>
            </w:r>
          </w:p>
        </w:tc>
        <w:tc>
          <w:tcPr>
            <w:tcW w:w="420" w:type="dxa"/>
            <w:vAlign w:val="bottom"/>
          </w:tcPr>
          <w:p>
            <w:pPr>
              <w:spacing w:after="0"/>
              <w:rPr>
                <w:sz w:val="18"/>
                <w:szCs w:val="18"/>
                <w:color w:val="auto"/>
              </w:rPr>
            </w:pPr>
          </w:p>
        </w:tc>
        <w:tc>
          <w:tcPr>
            <w:tcW w:w="940" w:type="dxa"/>
            <w:vAlign w:val="bottom"/>
            <w:gridSpan w:val="2"/>
          </w:tcPr>
          <w:p>
            <w:pPr>
              <w:jc w:val="right"/>
              <w:ind w:right="23"/>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(Gain) on sales of marketable securities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Loss on disposal of property, plant and equipment</w:t>
            </w:r>
          </w:p>
        </w:tc>
        <w:tc>
          <w:tcPr>
            <w:tcW w:w="280" w:type="dxa"/>
            <w:vAlign w:val="bottom"/>
          </w:tcPr>
          <w:p>
            <w:pPr>
              <w:spacing w:after="0"/>
              <w:rPr>
                <w:sz w:val="18"/>
                <w:szCs w:val="18"/>
                <w:color w:val="auto"/>
              </w:rPr>
            </w:pP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46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1200" w:type="dxa"/>
            <w:vAlign w:val="bottom"/>
            <w:gridSpan w:val="2"/>
          </w:tcPr>
          <w:p>
            <w:pPr>
              <w:jc w:val="right"/>
              <w:ind w:right="63"/>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investment income</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200" w:type="dxa"/>
            <w:vAlign w:val="bottom"/>
            <w:gridSpan w:val="2"/>
          </w:tcPr>
          <w:p>
            <w:pPr>
              <w:jc w:val="right"/>
              <w:ind w:right="63"/>
              <w:spacing w:after="0"/>
              <w:rPr>
                <w:sz w:val="20"/>
                <w:szCs w:val="20"/>
                <w:color w:val="auto"/>
              </w:rPr>
            </w:pPr>
            <w:r>
              <w:rPr>
                <w:rFonts w:ascii="Arial" w:cs="Arial" w:eastAsia="Arial" w:hAnsi="Arial"/>
                <w:sz w:val="18"/>
                <w:szCs w:val="18"/>
                <w:color w:val="auto"/>
              </w:rPr>
              <w:t>(174)</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460"/>
              <w:spacing w:after="0"/>
              <w:rPr>
                <w:sz w:val="20"/>
                <w:szCs w:val="20"/>
                <w:color w:val="auto"/>
              </w:rPr>
            </w:pPr>
            <w:r>
              <w:rPr>
                <w:rFonts w:ascii="Arial" w:cs="Arial" w:eastAsia="Arial" w:hAnsi="Arial"/>
                <w:sz w:val="18"/>
                <w:szCs w:val="18"/>
                <w:color w:val="auto"/>
              </w:rPr>
              <w:t>Other current deferred assets</w:t>
            </w:r>
          </w:p>
        </w:tc>
        <w:tc>
          <w:tcPr>
            <w:tcW w:w="280" w:type="dxa"/>
            <w:vAlign w:val="bottom"/>
          </w:tcPr>
          <w:p>
            <w:pPr>
              <w:spacing w:after="0"/>
              <w:rPr>
                <w:sz w:val="18"/>
                <w:szCs w:val="18"/>
                <w:color w:val="auto"/>
              </w:rPr>
            </w:pP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gridSpan w:val="2"/>
          </w:tcPr>
          <w:p>
            <w:pPr>
              <w:jc w:val="right"/>
              <w:ind w:right="23"/>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175</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293</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interest – current and long term</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176</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tcPr>
          <w:p>
            <w:pPr>
              <w:ind w:left="46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9"/>
                <w:szCs w:val="19"/>
                <w:color w:val="auto"/>
              </w:rPr>
            </w:pP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9"/>
                <w:szCs w:val="19"/>
                <w:color w:val="auto"/>
              </w:rPr>
            </w:pPr>
          </w:p>
        </w:tc>
        <w:tc>
          <w:tcPr>
            <w:tcW w:w="940" w:type="dxa"/>
            <w:vAlign w:val="bottom"/>
            <w:gridSpan w:val="2"/>
          </w:tcPr>
          <w:p>
            <w:pPr>
              <w:jc w:val="right"/>
              <w:ind w:right="2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tcBorders>
              <w:top w:val="single" w:sz="8" w:color="CCEEFF"/>
            </w:tcBorders>
            <w:shd w:val="clear" w:color="auto" w:fill="CCEEFF"/>
          </w:tcPr>
          <w:p>
            <w:pPr>
              <w:ind w:left="640"/>
              <w:spacing w:after="0" w:line="204" w:lineRule="exact"/>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(7,343</w:t>
            </w:r>
          </w:p>
        </w:tc>
        <w:tc>
          <w:tcPr>
            <w:tcW w:w="200" w:type="dxa"/>
            <w:vAlign w:val="bottom"/>
            <w:tcBorders>
              <w:top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9"/>
              </w:rPr>
              <w:t>)</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(2,632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5"/>
        </w:trPr>
        <w:tc>
          <w:tcPr>
            <w:tcW w:w="8580" w:type="dxa"/>
            <w:vAlign w:val="bottom"/>
            <w:gridSpan w:val="2"/>
          </w:tcPr>
          <w:p>
            <w:pPr>
              <w:spacing w:after="0" w:line="204" w:lineRule="exact"/>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Proceeds from sales and maturities of marketable securities</w:t>
            </w:r>
          </w:p>
        </w:tc>
        <w:tc>
          <w:tcPr>
            <w:tcW w:w="280" w:type="dxa"/>
            <w:vAlign w:val="bottom"/>
          </w:tcPr>
          <w:p>
            <w:pPr>
              <w:spacing w:after="0"/>
              <w:rPr>
                <w:sz w:val="18"/>
                <w:szCs w:val="18"/>
                <w:color w:val="auto"/>
              </w:rPr>
            </w:pP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10,873</w:t>
            </w:r>
          </w:p>
        </w:tc>
        <w:tc>
          <w:tcPr>
            <w:tcW w:w="420" w:type="dxa"/>
            <w:vAlign w:val="bottom"/>
          </w:tcPr>
          <w:p>
            <w:pPr>
              <w:spacing w:after="0"/>
              <w:rPr>
                <w:sz w:val="18"/>
                <w:szCs w:val="18"/>
                <w:color w:val="auto"/>
              </w:rPr>
            </w:pPr>
          </w:p>
        </w:tc>
        <w:tc>
          <w:tcPr>
            <w:tcW w:w="940" w:type="dxa"/>
            <w:vAlign w:val="bottom"/>
            <w:gridSpan w:val="2"/>
          </w:tcPr>
          <w:p>
            <w:pPr>
              <w:jc w:val="right"/>
              <w:ind w:right="23"/>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Proceeds from disposals of property, plant and equipment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tcPr>
          <w:p>
            <w:pPr>
              <w:spacing w:after="0"/>
              <w:rPr>
                <w:sz w:val="19"/>
                <w:szCs w:val="19"/>
                <w:color w:val="auto"/>
              </w:rPr>
            </w:pPr>
          </w:p>
        </w:tc>
        <w:tc>
          <w:tcPr>
            <w:tcW w:w="1200" w:type="dxa"/>
            <w:vAlign w:val="bottom"/>
            <w:gridSpan w:val="2"/>
          </w:tcPr>
          <w:p>
            <w:pPr>
              <w:jc w:val="right"/>
              <w:ind w:right="63"/>
              <w:spacing w:after="0"/>
              <w:rPr>
                <w:sz w:val="20"/>
                <w:szCs w:val="20"/>
                <w:color w:val="auto"/>
              </w:rPr>
            </w:pPr>
            <w:r>
              <w:rPr>
                <w:rFonts w:ascii="Arial" w:cs="Arial" w:eastAsia="Arial" w:hAnsi="Arial"/>
                <w:sz w:val="18"/>
                <w:szCs w:val="18"/>
                <w:color w:val="auto"/>
              </w:rPr>
              <w:t>(72)</w:t>
            </w: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tcBorders>
              <w:top w:val="single" w:sz="8" w:color="CCEEFF"/>
            </w:tcBorders>
            <w:shd w:val="clear" w:color="auto" w:fill="CCEEFF"/>
          </w:tcPr>
          <w:p>
            <w:pPr>
              <w:ind w:left="620"/>
              <w:spacing w:after="0" w:line="204" w:lineRule="exact"/>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10,801</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(909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5"/>
        </w:trPr>
        <w:tc>
          <w:tcPr>
            <w:tcW w:w="8580" w:type="dxa"/>
            <w:vAlign w:val="bottom"/>
            <w:gridSpan w:val="2"/>
          </w:tcPr>
          <w:p>
            <w:pPr>
              <w:spacing w:after="0" w:line="204" w:lineRule="exact"/>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Proceeds from distribution of restricted stock units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Proceeds from ATM offering</w:t>
            </w:r>
          </w:p>
        </w:tc>
        <w:tc>
          <w:tcPr>
            <w:tcW w:w="280" w:type="dxa"/>
            <w:vAlign w:val="bottom"/>
          </w:tcPr>
          <w:p>
            <w:pPr>
              <w:spacing w:after="0"/>
              <w:rPr>
                <w:sz w:val="18"/>
                <w:szCs w:val="18"/>
                <w:color w:val="auto"/>
              </w:rPr>
            </w:pP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gridSpan w:val="2"/>
          </w:tcPr>
          <w:p>
            <w:pPr>
              <w:jc w:val="right"/>
              <w:ind w:right="23"/>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Proceeds from Registered Direct offering</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7,636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Transaction costs from ATM offering</w:t>
            </w:r>
          </w:p>
        </w:tc>
        <w:tc>
          <w:tcPr>
            <w:tcW w:w="280" w:type="dxa"/>
            <w:vAlign w:val="bottom"/>
          </w:tcPr>
          <w:p>
            <w:pPr>
              <w:spacing w:after="0"/>
              <w:rPr>
                <w:sz w:val="18"/>
                <w:szCs w:val="18"/>
                <w:color w:val="auto"/>
              </w:rPr>
            </w:pP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Transaction costs from Registered Direct offering</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Principal payments on debt</w:t>
            </w:r>
          </w:p>
        </w:tc>
        <w:tc>
          <w:tcPr>
            <w:tcW w:w="280" w:type="dxa"/>
            <w:vAlign w:val="bottom"/>
          </w:tcPr>
          <w:p>
            <w:pPr>
              <w:spacing w:after="0"/>
              <w:rPr>
                <w:sz w:val="19"/>
                <w:szCs w:val="19"/>
                <w:color w:val="auto"/>
              </w:rPr>
            </w:pPr>
          </w:p>
        </w:tc>
        <w:tc>
          <w:tcPr>
            <w:tcW w:w="1200" w:type="dxa"/>
            <w:vAlign w:val="bottom"/>
            <w:gridSpan w:val="2"/>
          </w:tcPr>
          <w:p>
            <w:pPr>
              <w:jc w:val="right"/>
              <w:ind w:right="63"/>
              <w:spacing w:after="0"/>
              <w:rPr>
                <w:sz w:val="20"/>
                <w:szCs w:val="20"/>
                <w:color w:val="auto"/>
              </w:rPr>
            </w:pPr>
            <w:r>
              <w:rPr>
                <w:rFonts w:ascii="Arial" w:cs="Arial" w:eastAsia="Arial" w:hAnsi="Arial"/>
                <w:sz w:val="18"/>
                <w:szCs w:val="18"/>
                <w:color w:val="auto"/>
              </w:rPr>
              <w:t>(1,671)</w:t>
            </w:r>
          </w:p>
        </w:tc>
        <w:tc>
          <w:tcPr>
            <w:tcW w:w="4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tcBorders>
              <w:top w:val="single" w:sz="8" w:color="CCEEFF"/>
            </w:tcBorders>
            <w:shd w:val="clear" w:color="auto" w:fill="CCEEFF"/>
          </w:tcPr>
          <w:p>
            <w:pPr>
              <w:ind w:left="620"/>
              <w:spacing w:after="0" w:line="204" w:lineRule="exact"/>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(1,671</w:t>
            </w:r>
          </w:p>
        </w:tc>
        <w:tc>
          <w:tcPr>
            <w:tcW w:w="200" w:type="dxa"/>
            <w:vAlign w:val="bottom"/>
            <w:tcBorders>
              <w:top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9"/>
              </w:rPr>
              <w:t>)</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6,091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80" w:type="dxa"/>
            <w:vAlign w:val="bottom"/>
            <w:gridSpan w:val="2"/>
          </w:tcPr>
          <w:p>
            <w:pPr>
              <w:spacing w:after="0" w:line="204" w:lineRule="exact"/>
              <w:rPr>
                <w:sz w:val="20"/>
                <w:szCs w:val="20"/>
                <w:color w:val="auto"/>
              </w:rPr>
            </w:pPr>
            <w:r>
              <w:rPr>
                <w:rFonts w:ascii="Arial" w:cs="Arial" w:eastAsia="Arial" w:hAnsi="Arial"/>
                <w:sz w:val="18"/>
                <w:szCs w:val="18"/>
                <w:color w:val="auto"/>
              </w:rPr>
              <w:t>Net increase in cash and cash equivalents</w:t>
            </w:r>
          </w:p>
        </w:tc>
        <w:tc>
          <w:tcPr>
            <w:tcW w:w="280" w:type="dxa"/>
            <w:vAlign w:val="bottom"/>
          </w:tcPr>
          <w:p>
            <w:pPr>
              <w:spacing w:after="0"/>
              <w:rPr>
                <w:sz w:val="17"/>
                <w:szCs w:val="17"/>
                <w:color w:val="auto"/>
              </w:rPr>
            </w:pP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1,787</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6" w:lineRule="exact"/>
              <w:rPr>
                <w:sz w:val="20"/>
                <w:szCs w:val="20"/>
                <w:color w:val="auto"/>
              </w:rPr>
            </w:pPr>
            <w:r>
              <w:rPr>
                <w:rFonts w:ascii="Arial" w:cs="Arial" w:eastAsia="Arial" w:hAnsi="Arial"/>
                <w:sz w:val="18"/>
                <w:szCs w:val="18"/>
                <w:color w:val="auto"/>
              </w:rPr>
              <w:t>2,550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2,485</w:t>
            </w: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bottom w:val="single" w:sz="8" w:color="auto"/>
            </w:tcBorders>
          </w:tcPr>
          <w:p>
            <w:pPr>
              <w:jc w:val="right"/>
              <w:ind w:right="92"/>
              <w:spacing w:after="0" w:line="20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4,272</w:t>
            </w:r>
          </w:p>
        </w:tc>
        <w:tc>
          <w:tcPr>
            <w:tcW w:w="2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2"/>
              <w:spacing w:after="0" w:line="20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3,324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during the year for:</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ind w:left="460"/>
              <w:spacing w:after="0"/>
              <w:rPr>
                <w:sz w:val="20"/>
                <w:szCs w:val="20"/>
                <w:color w:val="auto"/>
              </w:rPr>
            </w:pPr>
            <w:r>
              <w:rPr>
                <w:rFonts w:ascii="Arial" w:cs="Arial" w:eastAsia="Arial" w:hAnsi="Arial"/>
                <w:sz w:val="18"/>
                <w:szCs w:val="18"/>
                <w:color w:val="auto"/>
              </w:rPr>
              <w:t>Interest on term loan with Oxford Finance LLC</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407</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3"/>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ACURA PHARMACEUTICALS,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in thousands)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Supplemental disclosures of noncash investing and financing activities (amounts presented are rounded to the nearest thousand expect per share amounts):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2016</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supplemental disclosure activities.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2015</w:t>
      </w:r>
    </w:p>
    <w:p>
      <w:pPr>
        <w:spacing w:after="0" w:line="217" w:lineRule="exact"/>
        <w:rPr>
          <w:sz w:val="20"/>
          <w:szCs w:val="20"/>
          <w:color w:val="auto"/>
        </w:rPr>
      </w:pPr>
    </w:p>
    <w:p>
      <w:pPr>
        <w:ind w:firstLine="6"/>
        <w:spacing w:after="0" w:line="366" w:lineRule="auto"/>
        <w:tabs>
          <w:tab w:leader="none" w:pos="262"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exercise price of 60 thousand common stock purchase warrants held by the lender of our debt was changed from $7.98 to $2.52 per share. The change in fair value of $33 was recorded as additional debt discount and is being amortized as interest expense over the remaining term of this debt.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380"/>
          </w:cols>
          <w:pgMar w:left="240" w:top="890"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 AND SEPTEMBER 30, 2015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Acura Pharmaceuticals, Inc., a New York corporation, and its subsidiary (the “Company”, “We”, “Us” or “Our”) is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abuse associated with opioid analgesics while our Impede® Technology is directed at minimizing the extraction and conversion of pseudoephedrine into methamphetamine.</w:t>
      </w:r>
    </w:p>
    <w:p>
      <w:pPr>
        <w:spacing w:after="0" w:line="195" w:lineRule="exact"/>
        <w:rPr>
          <w:sz w:val="20"/>
          <w:szCs w:val="20"/>
          <w:color w:val="auto"/>
        </w:rPr>
      </w:pPr>
    </w:p>
    <w:p>
      <w:pPr>
        <w:jc w:val="both"/>
        <w:ind w:left="640" w:hanging="316"/>
        <w:spacing w:after="0" w:line="263"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Oxaydo® Tablets (oxycodone HCl, CII), which utilizes the Aversion Technology, is the first and only approved immediate-release oxycodone product in the United States with abuse deterrent labeling.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Egalet launched Oxaydo in the United States late in the third quarter of 2015.</w:t>
      </w:r>
    </w:p>
    <w:p>
      <w:pPr>
        <w:spacing w:after="0" w:line="1" w:lineRule="exact"/>
        <w:rPr>
          <w:rFonts w:ascii="Arial" w:cs="Arial" w:eastAsia="Arial" w:hAnsi="Arial"/>
          <w:sz w:val="17"/>
          <w:szCs w:val="17"/>
          <w:color w:val="auto"/>
        </w:rPr>
      </w:pPr>
    </w:p>
    <w:p>
      <w:pPr>
        <w:jc w:val="both"/>
        <w:ind w:left="640" w:hanging="316"/>
        <w:spacing w:after="0" w:line="245"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Nexafed® Tablets (30mg pseudoephedrine) and Nexafed® Sinus Pressure + Pain Tablets (30/325mg pseudoephedrine and acetaminophen), utilizing the Impede Technology, were launched by us into the United States market in December 2012 and February 2015, respectively. We have multiple pseudoephedrine products in development utilizing our Impede Technology. On June 15, 2015, we and Bayer Healthcare LLC entered into a License and Development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w:t>
      </w:r>
    </w:p>
    <w:p>
      <w:pPr>
        <w:spacing w:after="0" w:line="5" w:lineRule="exact"/>
        <w:rPr>
          <w:rFonts w:ascii="Arial" w:cs="Arial" w:eastAsia="Arial" w:hAnsi="Arial"/>
          <w:sz w:val="18"/>
          <w:szCs w:val="18"/>
          <w:color w:val="auto"/>
        </w:rPr>
      </w:pPr>
    </w:p>
    <w:p>
      <w:pPr>
        <w:jc w:val="both"/>
        <w:ind w:left="640" w:hanging="316"/>
        <w:spacing w:after="0" w:line="303"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third abuse deterrent technology, Limitx, is designed to retard the release of active drug ingredients when too many tablets are accidently or purposefully ingested. We have completed our first clinical study, Study AP-LTX-400, of our lead Limitx immediate release oral abuse deterrent drug candidate using the opioid hydromorphone HCI (LTX-04). Study AP-LTX-400, or Study 400, was a two cohort, open label, crossover design pharmacokinetic study in healthy adult subjects. The FDA has designated the development program for LTX-04 as Fast Track, which is designed to facilitate the development, and expedite the review of drugs to treat serious conditions and fill an unmet medical need. On April 13, 2016 and June 8, 2016, we announced that topline interim results from cohorts 1 and 2, respectively, of Study 400 for one test formulation of LTX-04 successfully demonstrated the release of the active opioid ingredient was reduced when three or more tablets were ingested, but that additional formulation development will be required for LTX-04 to deliver a sufficient amount of the active ingredient when one or two tablets are administered. We are also developing an immediate-release hydrocodone bitartrate with acetaminophen product utilizing our Limitx Technology.</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Amounts presented have been rounded to the nearest thousand, where indicated,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LIQUIDITY MATTERS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At September 30, 2016, we had unrestricted cash and cash equivalents (after deduction of a $2.5 million compensating balance requirement under our term loan with Oxford Finance LLC) of $1.8 million and an accumulated deficit of $376.2 million. We had a loss from operations of $8.3 million and a net loss of $8.9 million for the nine months ended September 30, 2016.</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8" w:name="page9"/>
    <w:bookmarkEnd w:id="8"/>
    <w:p>
      <w:pPr>
        <w:jc w:val="both"/>
        <w:spacing w:after="0" w:line="312" w:lineRule="auto"/>
        <w:rPr>
          <w:sz w:val="20"/>
          <w:szCs w:val="20"/>
          <w:color w:val="auto"/>
        </w:rPr>
      </w:pPr>
      <w:r>
        <w:rPr>
          <w:rFonts w:ascii="Arial" w:cs="Arial" w:eastAsia="Arial" w:hAnsi="Arial"/>
          <w:sz w:val="15"/>
          <w:szCs w:val="15"/>
          <w:color w:val="auto"/>
        </w:rPr>
        <w:t>At October 31, 2016, we had unrestricted cash and cash equivalents of $4.2 million (which includes the $3.5 million payment received under our License Agreement with KemPharm, Inc. as discussed in Note 4, and is after the deduction of our $2.5 million compensating balance requirement under our term loan with Oxford Finance LLC). We estimate that our current unrestricted cash and cash equivalents will be sufficient to fund the development of our products utilizing our Limitx and Impede Technologies, the commercialization of our Nexafed products and our related operating expenses through March 2017 while maintaining compliance with the $2.5 million compensating balance requirement under our term loan with Oxford Finance LLC.</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to our $2.5 million cash reserve requirement, the term loan agreement with Oxford Finance LLC (“Oxford”) contains customary affirmation and negative covenants. One such covenant is that the Company must submit on an annual basis to Oxford, within 120 days after the end of its fiscal year, audited consolidated financial statements, together with an unqualified audit opinion from an independent registered public accounting firm (the “Unqualified Audit Opinion Covenant”). Failure to comply with the Unqualified Audit Opinion Covenant is a breach of the term loan agreement and unless such covenant or breach is waived, Oxford would have the option of accelerating the debt under the term loan agreement and initiating enforcement collection actions, foreclosing on collateral (which includes most assets of the Company) and, among other things, preventing the Company from using any funds in its bank or securities accounts. Per the term loan agreement an audit opinion with an explanatory paragraph noting substantial doubt about the Company’s ability to continue in business (the “going concern opinion”) is deemed to violate the Unqualified Audit Opinion Covenant. We anticipate that unless the Company raises approximately $10.0 million prior to the completion of the audit of our 2016 financial statements, projected to occur by early March 2017, our auditor’s opinion will contain a going concern opinion and absent a waiver from Oxford, we will be in breach of our term loan agreement. There can be no assurance that we will be able to raise such funds. We expect to engage in discussions with Oxford in order to seek a waiver from the Unqualified Audit Opinion Covenant, but there can be no assurance Oxford will grant such a waiver.</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 fund further operations and product development activities beyond March 2017,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ACCOUNTING PRONOUNCEMENTS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Uncertainties about an Entity’s Ability to Continue as a Going Concern</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August 2014, the FASB issued ASU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which will explicitly require management to assess an entity’s ability to continue as a going concern and to provide related footnote disclosures in certain circumstances. Currently, there is no guidance in GAAP about management’s responsibility to evaluate whether there is substantial doubt about an entity’s ability to continue as a going concern or to provide related footnote disclosures. The amendments in this Update provide that guidance. In doing so, the amendments should reduce diversity in the timing and content of footnote disclosures. The amendments require management to assess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The amendments in this update are effective for the first annual period ending after December 15, 2016, and for annual periods and interim periods thereafter. Early application is permitted. The Company is currently evaluating the impact of adopting this update on its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4 - LICENSE, DEVELOPMENT, AND COMMERCIALIZATION AGREEMENTS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w:t>
      </w:r>
    </w:p>
    <w:p>
      <w:pPr>
        <w:spacing w:after="0" w:line="21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On January 7, 2015, we and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fees and expenses and we will pay for the remaining fees and expense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Egalet paid us a $5.0 million license fee upon signing of the Egalet Agreement and on October 9, 2015, paid us a $2.5 million milestone in connection with the first commercial sale of Oxaydo. We will be entitled to a one-time $12.5 million milestone payment when worldwide Oxaydo net sales reach $150 million in a calendar year. We are receiving from Egalet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Egalet to acquire intellectual property rights to commercialize Oxaydo, with an aggregate minimum floor.</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KemPharm Agreement</w:t>
      </w:r>
    </w:p>
    <w:p>
      <w:pPr>
        <w:spacing w:after="0" w:line="21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On October 13, 2016, we and KemPharm Inc. (”KemPharm”) entered into a worldwide License Agreement (the “KemPharm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2 licensed prodrugs,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Agreement</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15, 2015, we and Bayer entered into a License and Development Agreement (the “Bayer Agreement”) granting Bayer an exclusive worldwide license to our Impede Technology for use in an undisclosed methamphetamine resistant pseudoephedrine–containing product (the “Bayer Licensed Product”) and providing for the joint development of such product utilizing our Impede Technology for the U.S. market. The Bayer Agreement also grants Bayer first right to negotiate a license to the Impede Technology for certain other products.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and Bayer have formed a joint development committee to coordinate development of the Bayer Licensed Product. We will be eligible to receive reimbursement of certain of our development costs, success-based development and regulatory milestones payments, and low mid-single digit royalties on net sales of the Bayer Licensed Product in countries with patent coverage and a reduced royalty elsewhere.</w:t>
      </w:r>
    </w:p>
    <w:p>
      <w:pPr>
        <w:spacing w:after="0" w:line="189"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term of the Bayer Agreement with respect to each country expires when royalties are no longer payable with respect to such country. After expiration of the term Bayer retains a license to sell the Bayer Licensed Product on a royalty free basis. Either party may terminate the Bayer Agreement in its entirety if the other party materially breaches the Bayer Agreement, subject to an applicable cure period, or in the event the other party makes an assignment for the benefit of creditors, files a petition in bankruptcy or otherwise seeks relief under applicable bankruptcy laws. Bayer may terminate the Bayer Agreement immediately prior to completion of our development obligations or at any time upon six (6) months prior written notice thereafter. We may terminate the Bayer Agreement with respect to the U.S. if Bayer ceases or suspends development or commercialization of the Bayer Licensed Product for a certain period of time.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received a $250 thousand payment from Purdue Pharma L.P. in June 2015 relating to a December 2014 agreement to settle a patent interference action on U.S. Patent No. 8,101,630 issued to Acura.</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Terminated Pfizer Agreement</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2007, we entered into License, Development and Commercialization Agreement for Oxaydo (named Oxecta® under a Pfizer trademark) and other Aversion opioid development products with King Pharmaceuticals Research and Development, Inc., which became a subsidiary of Pfizer in 2011 (the “Pfizer Agreement”). In April 2014, we entered into a letter agreement with Pfizer providing for the termination of the Pfizer Agreement and the return to us of Oxaydo and all Aversion product rights in exchange for a one-time termination payment of $2.0 million. Our termination payment of $2.0 million has been recorded in our consolidated financial statements as an intangible asset and is being amortized over the remaining useful life of the patent covering Oxaydo. During each of the nine month periods ending September 30, 2016 and 2015, we recognized amortization expense on this intangible asset of $155 thousand. At September 30, 2016 the unamortized portion of the intangible asset was $1.5 million. We also purchased from Pfizer in April 2014 selected raw and packaging material inventories relating to Oxaydo for $260 thousand. During the nine months ended 2015, we recorded a $260 thousand inventory obsolescence expense on these inventories.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REVENUE RECOGNITION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 Revenue</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January 7, 2015, we and Egalet entered into a Collaboration and License Agreement to commercialize Oxaydo tablets (formerly known as Oxecta) utilizing our Aversion® Technology. Egalet paid us $5.0 million upon signing the Egalet Agreement. The payment was non-refundable and non-creditable when made and we had no further requirements to earn the payment. The amount was recognized as revenue when received (see Note 4).</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13, 2016, we and KemPharm entered into a Licensed Agreement pursuant to which we licensed to KemPharm our Aversion technology for use in certain KemPharm prodrug candidates. KemPharm paid us $3.5 million upon execution of the KemPharm Agreement. The payment was recognized as revenue when received as we had no further requirements to earn the payment (see Note 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Collaboration revenue is derived from reimbursement of development expenses, such as under the Bayer Agreement, and are recognized when costs are incurred pursuant to the agreement. The ongoing research and development services being provided under the collaboration are priced at fair value based upon the reimbursement of labor and expenses incurred pursuant to the collaboration agreements. During the three and nine month periods ended September 30, 2016, we recognized collaboration revenue of $74 thousand and $307 thousand, respectively. During each of the three and nine month periods ended September 30, 2015, we recognized collaboration revenue of $95 thousand.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connection with our Collaboration and License Agreement with Egalet to commercialize Oxaydo tablets we will receive a stepped royalty at percentage rates ranging from mid-single digits to double-digits based on Oxaydo net sales during each calendar year over the term of the agreement (excluding net sales resulting from any co-promotion efforts by us). We recognize royalty revenue each calendar quarter based on net sales reported to us by Egalet in accordance with the agreement. Egalet’s first commercial sale of Oxaydo occurred in October 2015. We recognized royalty revenue of $39 thousand and $86 thousand on Oxaydo net sales during the three and nine month periods, respectively, ended September 30, 2016. We did not recognize any royalty revenue during the same periods in 2015. (see Note 4).</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Nexafed was launched in mid-December 2012 and Nexafed Sinus Pressure + Pain was launched in February 2015. We sell our Nexafed products in the United States to wholesale pharmaceutical distributors as well as directly to chain drug stores. Our Nexafed products are sold subject to the right of return usually for a period of up to twelve months after the product expiration. The Nexafed products currently have a shelf life of twenty-four months from the date of manufacture. Given the limited sales history of our Nexafed products, we could not reliably estimate expected returns of the product at the time of shipment to certain customers. During the first quarter of 2015, we determined we had obtained sufficient sales returns history to reasonably estimate future product returns from those customers. We recorded a one-time adjustment in the first quarter of 2015 to recognize revenue that had previously been deferred, resulting in additional net revenues of $314 thousand after recording a liability for sales returns of $120 thousand, and additional cost of sales of $255 thousand. We currently recognize revenue from our Nexafed product line when the price is fixed and determinable at the date of sale, title and risk of ownership have been transferred to the customer. At September 30, 2016 and December 31, 2015, we had a $288 thousand and $205 thousand sales returns liability, respectively, which is reviewed against sales returns activity each calendar quarter for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record shipping and handling costs in selling expenses. The amounts recorded to selling expenses from the shipments of the Nexafed product line during each of the nine month periods ended September 30, 2016 and 2015 were not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RESEARCH AND DEVELOPMENT ACTIVITIES</w:t>
      </w:r>
    </w:p>
    <w:p>
      <w:pPr>
        <w:spacing w:after="0" w:line="223"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Research and Development (“R&amp;D”) expenses may include internal R&amp;D activities, external Contract Research Organization (“CRO”) services and their clinical research sites, and other activities. Internal R&amp;D activity expenses may include facility overhead, equipment and facility maintenance and repairs, laboratory supplies, pre-clinical laboratory experiments, depreciation, salaries, benefits, and share-based compensation expenses. CRO activity expenses may include preclinical laboratory experiments and clinical trial studies. Other activity expenses may include regulatory services and consulting including our cost sharing expenses of certain clinical studies for product line extensions (additional strengths) of Oxaydo for the United States under the Egalet Agreement and our cost sharing expenses of the FDA required post-marketing study for Oxaydo under the Egalet Agreement,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December 2015, we entered into a $200 thousand cancelable arrangement for contract manufacturing services on a project to integrate Impede 2.0 Technology into our commercially available Nexafed 30mg tablet while moving supply to an alternate contract manufacturer. Approximately $46 thousand and $200 thousand of services remained to be performed under this agreement at September 30, 2016 and December 31, 2015, respectively. No service costs were prepaid under this agreement at either September 30, 2016 or December 31,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INVESTMENTS IN MARKETABLE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had no investments at September 30, 2016. Investments in marketable securities at December 31, 2015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44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520" w:type="dxa"/>
            <w:vAlign w:val="bottom"/>
            <w:gridSpan w:val="2"/>
          </w:tcPr>
          <w:p>
            <w:pPr>
              <w:jc w:val="right"/>
              <w:ind w:right="12"/>
              <w:spacing w:after="0"/>
              <w:rPr>
                <w:sz w:val="20"/>
                <w:szCs w:val="20"/>
                <w:color w:val="auto"/>
              </w:rPr>
            </w:pPr>
            <w:r>
              <w:rPr>
                <w:rFonts w:ascii="Arial" w:cs="Arial" w:eastAsia="Arial" w:hAnsi="Arial"/>
                <w:sz w:val="18"/>
                <w:szCs w:val="18"/>
                <w:color w:val="auto"/>
                <w:w w:val="88"/>
              </w:rPr>
              <w:t>December 31, 2015</w:t>
            </w:r>
          </w:p>
        </w:tc>
        <w:tc>
          <w:tcPr>
            <w:tcW w:w="1440" w:type="dxa"/>
            <w:vAlign w:val="bottom"/>
          </w:tcPr>
          <w:p>
            <w:pPr>
              <w:spacing w:after="0"/>
              <w:rPr>
                <w:sz w:val="19"/>
                <w:szCs w:val="19"/>
                <w:color w:val="auto"/>
              </w:rPr>
            </w:pPr>
          </w:p>
        </w:tc>
      </w:tr>
      <w:tr>
        <w:trPr>
          <w:trHeight w:val="206"/>
        </w:trPr>
        <w:tc>
          <w:tcPr>
            <w:tcW w:w="1440" w:type="dxa"/>
            <w:vAlign w:val="bottom"/>
          </w:tcPr>
          <w:p>
            <w:pPr>
              <w:spacing w:after="0"/>
              <w:rPr>
                <w:sz w:val="17"/>
                <w:szCs w:val="17"/>
                <w:color w:val="auto"/>
              </w:rPr>
            </w:pPr>
          </w:p>
        </w:tc>
        <w:tc>
          <w:tcPr>
            <w:tcW w:w="70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272"/>
              <w:spacing w:after="0" w:line="206" w:lineRule="exact"/>
              <w:rPr>
                <w:sz w:val="20"/>
                <w:szCs w:val="20"/>
                <w:color w:val="auto"/>
              </w:rPr>
            </w:pPr>
            <w:r>
              <w:rPr>
                <w:rFonts w:ascii="Arial" w:cs="Arial" w:eastAsia="Arial" w:hAnsi="Arial"/>
                <w:sz w:val="18"/>
                <w:szCs w:val="18"/>
                <w:color w:val="auto"/>
              </w:rPr>
              <w:t>(in millions)</w:t>
            </w:r>
          </w:p>
        </w:tc>
        <w:tc>
          <w:tcPr>
            <w:tcW w:w="144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70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7"/>
                <w:szCs w:val="17"/>
                <w:color w:val="auto"/>
              </w:rPr>
            </w:pPr>
          </w:p>
        </w:tc>
        <w:tc>
          <w:tcPr>
            <w:tcW w:w="1340" w:type="dxa"/>
            <w:vAlign w:val="bottom"/>
            <w:tcBorders>
              <w:right w:val="single" w:sz="8" w:color="CCEEFF"/>
            </w:tcBorders>
            <w:shd w:val="clear" w:color="auto" w:fill="CCEEFF"/>
          </w:tcPr>
          <w:p>
            <w:pPr>
              <w:spacing w:after="0"/>
              <w:rPr>
                <w:sz w:val="17"/>
                <w:szCs w:val="17"/>
                <w:color w:val="auto"/>
              </w:rPr>
            </w:pPr>
          </w:p>
        </w:tc>
        <w:tc>
          <w:tcPr>
            <w:tcW w:w="144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Corporate bonds - maturing within 1 year</w:t>
            </w: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440" w:type="dxa"/>
            <w:vAlign w:val="bottom"/>
          </w:tcPr>
          <w:p>
            <w:pPr>
              <w:spacing w:after="0"/>
              <w:rPr>
                <w:sz w:val="18"/>
                <w:szCs w:val="18"/>
                <w:color w:val="auto"/>
              </w:rPr>
            </w:pPr>
          </w:p>
        </w:tc>
      </w:tr>
      <w:tr>
        <w:trPr>
          <w:trHeight w:val="212"/>
        </w:trPr>
        <w:tc>
          <w:tcPr>
            <w:tcW w:w="144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bonds - maturing after 1 year and less than two years</w:t>
            </w: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40" w:type="dxa"/>
            <w:vAlign w:val="bottom"/>
          </w:tcPr>
          <w:p>
            <w:pPr>
              <w:spacing w:after="0"/>
              <w:rPr>
                <w:sz w:val="18"/>
                <w:szCs w:val="18"/>
                <w:color w:val="auto"/>
              </w:rPr>
            </w:pPr>
          </w:p>
        </w:tc>
      </w:tr>
      <w:tr>
        <w:trPr>
          <w:trHeight w:val="225"/>
        </w:trPr>
        <w:tc>
          <w:tcPr>
            <w:tcW w:w="1440" w:type="dxa"/>
            <w:vAlign w:val="bottom"/>
          </w:tcPr>
          <w:p>
            <w:pPr>
              <w:spacing w:after="0"/>
              <w:rPr>
                <w:sz w:val="19"/>
                <w:szCs w:val="19"/>
                <w:color w:val="auto"/>
              </w:rPr>
            </w:pPr>
          </w:p>
        </w:tc>
        <w:tc>
          <w:tcPr>
            <w:tcW w:w="7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Exchange-traded funds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40" w:type="dxa"/>
            <w:vAlign w:val="bottom"/>
          </w:tcPr>
          <w:p>
            <w:pPr>
              <w:spacing w:after="0"/>
              <w:rPr>
                <w:sz w:val="19"/>
                <w:szCs w:val="19"/>
                <w:color w:val="auto"/>
              </w:rPr>
            </w:pPr>
          </w:p>
        </w:tc>
      </w:tr>
      <w:tr>
        <w:trPr>
          <w:trHeight w:val="206"/>
        </w:trPr>
        <w:tc>
          <w:tcPr>
            <w:tcW w:w="1440" w:type="dxa"/>
            <w:vAlign w:val="bottom"/>
          </w:tcPr>
          <w:p>
            <w:pPr>
              <w:spacing w:after="0"/>
              <w:rPr>
                <w:sz w:val="17"/>
                <w:szCs w:val="17"/>
                <w:color w:val="auto"/>
              </w:rPr>
            </w:pPr>
          </w:p>
        </w:tc>
        <w:tc>
          <w:tcPr>
            <w:tcW w:w="7020" w:type="dxa"/>
            <w:vAlign w:val="bottom"/>
            <w:shd w:val="clear" w:color="auto" w:fill="CCEEFF"/>
          </w:tcPr>
          <w:p>
            <w:pPr>
              <w:ind w:left="320"/>
              <w:spacing w:after="0" w:line="204" w:lineRule="exact"/>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right w:val="single" w:sz="8" w:color="CCEEFF"/>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10.8</w:t>
            </w:r>
          </w:p>
        </w:tc>
        <w:tc>
          <w:tcPr>
            <w:tcW w:w="1440" w:type="dxa"/>
            <w:vAlign w:val="bottom"/>
          </w:tcPr>
          <w:p>
            <w:pPr>
              <w:spacing w:after="0"/>
              <w:rPr>
                <w:sz w:val="17"/>
                <w:szCs w:val="17"/>
                <w:color w:val="auto"/>
              </w:rPr>
            </w:pPr>
          </w:p>
        </w:tc>
      </w:tr>
      <w:tr>
        <w:trPr>
          <w:trHeight w:val="629"/>
        </w:trPr>
        <w:tc>
          <w:tcPr>
            <w:tcW w:w="8460" w:type="dxa"/>
            <w:vAlign w:val="bottom"/>
            <w:tcBorders>
              <w:bottom w:val="single" w:sz="8" w:color="auto"/>
            </w:tcBorders>
            <w:gridSpan w:val="2"/>
          </w:tcPr>
          <w:p>
            <w:pPr>
              <w:jc w:val="right"/>
              <w:ind w:right="2572"/>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6" w:right="239" w:bottom="1440" w:gutter="0" w:footer="0" w:header="0"/>
        </w:sectPr>
      </w:pPr>
    </w:p>
    <w:bookmarkStart w:id="13" w:name="page14"/>
    <w:bookmarkEnd w:id="13"/>
    <w:p>
      <w:pPr>
        <w:jc w:val="both"/>
        <w:spacing w:after="0" w:line="250" w:lineRule="auto"/>
        <w:rPr>
          <w:sz w:val="20"/>
          <w:szCs w:val="20"/>
          <w:color w:val="auto"/>
        </w:rPr>
      </w:pPr>
      <w:r>
        <w:rPr>
          <w:rFonts w:ascii="Arial" w:cs="Arial" w:eastAsia="Arial" w:hAnsi="Arial"/>
          <w:sz w:val="18"/>
          <w:szCs w:val="18"/>
          <w:color w:val="auto"/>
        </w:rPr>
        <w:t xml:space="preserve">The Company’s marketable securities are classified as available-for-sale and are recorded at fair value based on quoted market prices or net asset value using the specific identification method. The purchase cost of corporate bonds may include a purchase price premium or discount which will be amortized or accreted against earned interest income to the maturity date of the bond. Our investments are classified as current in the Company’s Consolidated Balance Sheets as they may be sold within one year </w:t>
      </w:r>
      <w:r>
        <w:rPr>
          <w:rFonts w:ascii="Arial" w:cs="Arial" w:eastAsia="Arial" w:hAnsi="Arial"/>
          <w:sz w:val="18"/>
          <w:szCs w:val="18"/>
          <w:color w:val="111111"/>
        </w:rPr>
        <w:t>in response to changes in market prices or interest rates, to realign our investment concentrations or to meet our working capital</w:t>
      </w:r>
      <w:r>
        <w:rPr>
          <w:rFonts w:ascii="Arial" w:cs="Arial" w:eastAsia="Arial" w:hAnsi="Arial"/>
          <w:sz w:val="18"/>
          <w:szCs w:val="18"/>
          <w:color w:val="auto"/>
        </w:rPr>
        <w:t xml:space="preserve"> </w:t>
      </w:r>
      <w:r>
        <w:rPr>
          <w:rFonts w:ascii="Arial" w:cs="Arial" w:eastAsia="Arial" w:hAnsi="Arial"/>
          <w:sz w:val="18"/>
          <w:szCs w:val="18"/>
          <w:color w:val="111111"/>
        </w:rPr>
        <w:t>needs.</w:t>
      </w:r>
    </w:p>
    <w:p>
      <w:pPr>
        <w:spacing w:after="0" w:line="195"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The following tables provide a summary of the fair value and unrealized gains (losses) related to the Company’s available-for-sale securities at December 31, 2015:</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224"/>
        </w:trPr>
        <w:tc>
          <w:tcPr>
            <w:tcW w:w="2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color w:val="auto"/>
              </w:rPr>
              <w:t>December 31, 2015</w:t>
            </w: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6"/>
        </w:trPr>
        <w:tc>
          <w:tcPr>
            <w:tcW w:w="2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496"/>
              <w:spacing w:after="0" w:line="206" w:lineRule="exact"/>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3"/>
        </w:trPr>
        <w:tc>
          <w:tcPr>
            <w:tcW w:w="2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left="73"/>
              <w:spacing w:after="0" w:line="193" w:lineRule="exact"/>
              <w:rPr>
                <w:sz w:val="20"/>
                <w:szCs w:val="20"/>
                <w:color w:val="auto"/>
              </w:rPr>
            </w:pPr>
            <w:r>
              <w:rPr>
                <w:rFonts w:ascii="Arial" w:cs="Arial" w:eastAsia="Arial" w:hAnsi="Arial"/>
                <w:sz w:val="18"/>
                <w:szCs w:val="18"/>
                <w:color w:val="auto"/>
                <w:w w:val="83"/>
              </w:rPr>
              <w:t>Gross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left="256"/>
              <w:spacing w:after="0" w:line="193" w:lineRule="exact"/>
              <w:rPr>
                <w:sz w:val="20"/>
                <w:szCs w:val="20"/>
                <w:color w:val="auto"/>
              </w:rPr>
            </w:pPr>
            <w:r>
              <w:rPr>
                <w:rFonts w:ascii="Arial" w:cs="Arial" w:eastAsia="Arial" w:hAnsi="Arial"/>
                <w:sz w:val="18"/>
                <w:szCs w:val="18"/>
                <w:color w:val="auto"/>
                <w:w w:val="83"/>
              </w:rPr>
              <w:t>Gross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2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left="53"/>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83"/>
              <w:spacing w:after="0"/>
              <w:rPr>
                <w:sz w:val="20"/>
                <w:szCs w:val="20"/>
                <w:color w:val="auto"/>
              </w:rPr>
            </w:pPr>
            <w:r>
              <w:rPr>
                <w:rFonts w:ascii="Arial" w:cs="Arial" w:eastAsia="Arial" w:hAnsi="Arial"/>
                <w:sz w:val="18"/>
                <w:szCs w:val="18"/>
                <w:color w:val="auto"/>
                <w:w w:val="88"/>
              </w:rPr>
              <w:t>Unrealized</w:t>
            </w:r>
          </w:p>
        </w:tc>
        <w:tc>
          <w:tcPr>
            <w:tcW w:w="26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Fair</w:t>
            </w:r>
          </w:p>
        </w:tc>
      </w:tr>
      <w:tr>
        <w:trPr>
          <w:trHeight w:val="224"/>
        </w:trPr>
        <w:tc>
          <w:tcPr>
            <w:tcW w:w="2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Cost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center"/>
              <w:ind w:left="73"/>
              <w:spacing w:after="0"/>
              <w:rPr>
                <w:sz w:val="20"/>
                <w:szCs w:val="20"/>
                <w:color w:val="auto"/>
              </w:rPr>
            </w:pPr>
            <w:r>
              <w:rPr>
                <w:rFonts w:ascii="Arial" w:cs="Arial" w:eastAsia="Arial" w:hAnsi="Arial"/>
                <w:sz w:val="18"/>
                <w:szCs w:val="18"/>
                <w:color w:val="auto"/>
                <w:w w:val="84"/>
              </w:rPr>
              <w:t>Gains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left="256"/>
              <w:spacing w:after="0"/>
              <w:rPr>
                <w:sz w:val="20"/>
                <w:szCs w:val="20"/>
                <w:color w:val="auto"/>
              </w:rPr>
            </w:pPr>
            <w:r>
              <w:rPr>
                <w:rFonts w:ascii="Arial" w:cs="Arial" w:eastAsia="Arial" w:hAnsi="Arial"/>
                <w:sz w:val="18"/>
                <w:szCs w:val="18"/>
                <w:color w:val="auto"/>
                <w:w w:val="84"/>
              </w:rPr>
              <w:t>Losses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auto"/>
              </w:rPr>
              <w:t>Value</w:t>
            </w:r>
          </w:p>
        </w:tc>
      </w:tr>
      <w:tr>
        <w:trPr>
          <w:trHeight w:val="206"/>
        </w:trPr>
        <w:tc>
          <w:tcPr>
            <w:tcW w:w="23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Available-for-sale:</w:t>
            </w:r>
          </w:p>
        </w:tc>
        <w:tc>
          <w:tcPr>
            <w:tcW w:w="5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2"/>
        </w:trPr>
        <w:tc>
          <w:tcPr>
            <w:tcW w:w="232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420" w:type="dxa"/>
            <w:vAlign w:val="bottom"/>
            <w:gridSpan w:val="2"/>
          </w:tcPr>
          <w:p>
            <w:pPr>
              <w:jc w:val="right"/>
              <w:ind w:right="737"/>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1200" w:type="dxa"/>
            <w:vAlign w:val="bottom"/>
            <w:gridSpan w:val="2"/>
          </w:tcPr>
          <w:p>
            <w:pPr>
              <w:jc w:val="right"/>
              <w:ind w:right="953"/>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7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3"/>
              <w:spacing w:after="0"/>
              <w:rPr>
                <w:sz w:val="20"/>
                <w:szCs w:val="20"/>
                <w:color w:val="auto"/>
              </w:rPr>
            </w:pPr>
            <w:r>
              <w:rPr>
                <w:rFonts w:ascii="Arial" w:cs="Arial" w:eastAsia="Arial" w:hAnsi="Arial"/>
                <w:sz w:val="18"/>
                <w:szCs w:val="18"/>
                <w:color w:val="auto"/>
              </w:rPr>
              <w:t>(0.1)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5"/>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Exchange-traded funds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05"/>
        </w:trPr>
        <w:tc>
          <w:tcPr>
            <w:tcW w:w="2320" w:type="dxa"/>
            <w:vAlign w:val="bottom"/>
          </w:tcPr>
          <w:p>
            <w:pPr>
              <w:ind w:left="340"/>
              <w:spacing w:after="0" w:line="203" w:lineRule="exact"/>
              <w:rPr>
                <w:sz w:val="20"/>
                <w:szCs w:val="20"/>
                <w:color w:val="auto"/>
              </w:rPr>
            </w:pPr>
            <w:r>
              <w:rPr>
                <w:rFonts w:ascii="Arial" w:cs="Arial" w:eastAsia="Arial" w:hAnsi="Arial"/>
                <w:sz w:val="18"/>
                <w:szCs w:val="18"/>
                <w:color w:val="auto"/>
              </w:rPr>
              <w:t>Total - Current</w:t>
            </w:r>
          </w:p>
        </w:tc>
        <w:tc>
          <w:tcPr>
            <w:tcW w:w="5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10.9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53"/>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(0.1</w:t>
            </w:r>
          </w:p>
        </w:tc>
        <w:tc>
          <w:tcPr>
            <w:tcW w:w="160" w:type="dxa"/>
            <w:vAlign w:val="bottom"/>
          </w:tcPr>
          <w:p>
            <w:pPr>
              <w:jc w:val="right"/>
              <w:ind w:right="23"/>
              <w:spacing w:after="0"/>
              <w:rPr>
                <w:sz w:val="20"/>
                <w:szCs w:val="20"/>
                <w:color w:val="auto"/>
              </w:rPr>
            </w:pPr>
            <w:r>
              <w:rPr>
                <w:rFonts w:ascii="Arial" w:cs="Arial" w:eastAsia="Arial" w:hAnsi="Arial"/>
                <w:sz w:val="15"/>
                <w:szCs w:val="15"/>
                <w:color w:val="auto"/>
                <w:w w:val="79"/>
              </w:rPr>
              <w:t>)</w:t>
            </w:r>
          </w:p>
        </w:tc>
        <w:tc>
          <w:tcPr>
            <w:tcW w:w="260" w:type="dxa"/>
            <w:vAlign w:val="bottom"/>
            <w:tcBorders>
              <w:top w:val="single" w:sz="8" w:color="auto"/>
              <w:bottom w:val="single" w:sz="8" w:color="auto"/>
            </w:tcBorders>
          </w:tcPr>
          <w:p>
            <w:pPr>
              <w:jc w:val="right"/>
              <w:ind w:right="72"/>
              <w:spacing w:after="0" w:line="20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10.8</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an orderly transaction between market participants. Fair values determined based on Level 1 inputs utilize quoted prices (unadjusted) in active markets for identical assets or liabilities. Fair values determined based on Level 2 inputs utilize observable quoted prices for similar assets and liabilities in active markets and observable quoted prices for identical or similar assets in markets that are not very active. Fair values determined based on Level 3 inputs utilize unobservable inputs and include valuations of assets or liabilities for which there is little, if any, market activity. A financial asset or liability’s classification within the above hierarchy is determined based on the lowest level input that is significant to the fair value measurement.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assets measured at fair value or disclosed at fair value on a recurring basis at December 31, 2015 consisted of the following:</w:t>
      </w:r>
    </w:p>
    <w:p>
      <w:pPr>
        <w:spacing w:after="0" w:line="231" w:lineRule="exact"/>
        <w:rPr>
          <w:sz w:val="20"/>
          <w:szCs w:val="20"/>
          <w:color w:val="auto"/>
        </w:rPr>
      </w:pPr>
    </w:p>
    <w:tbl>
      <w:tblPr>
        <w:tblLayout w:type="fixed"/>
        <w:tblInd w:w="2000" w:type="dxa"/>
        <w:tblCellMar>
          <w:top w:w="0" w:type="dxa"/>
          <w:left w:w="0" w:type="dxa"/>
          <w:bottom w:w="0" w:type="dxa"/>
          <w:right w:w="0" w:type="dxa"/>
        </w:tblCellMar>
      </w:tblPr>
      <w:tr>
        <w:trPr>
          <w:trHeight w:val="224"/>
        </w:trPr>
        <w:tc>
          <w:tcPr>
            <w:tcW w:w="30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8"/>
                <w:szCs w:val="18"/>
                <w:color w:val="auto"/>
                <w:w w:val="87"/>
              </w:rPr>
              <w:t>December 31, 2015</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6"/>
        </w:trPr>
        <w:tc>
          <w:tcPr>
            <w:tcW w:w="30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center"/>
              <w:ind w:right="280"/>
              <w:spacing w:after="0" w:line="206" w:lineRule="exact"/>
              <w:rPr>
                <w:sz w:val="20"/>
                <w:szCs w:val="20"/>
                <w:color w:val="auto"/>
              </w:rPr>
            </w:pPr>
            <w:r>
              <w:rPr>
                <w:rFonts w:ascii="Arial" w:cs="Arial" w:eastAsia="Arial" w:hAnsi="Arial"/>
                <w:sz w:val="18"/>
                <w:szCs w:val="18"/>
                <w:color w:val="auto"/>
                <w:w w:val="96"/>
              </w:rPr>
              <w:t>(in millions)</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8"/>
        </w:trPr>
        <w:tc>
          <w:tcPr>
            <w:tcW w:w="3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Level 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18"/>
                <w:szCs w:val="18"/>
                <w:color w:val="auto"/>
              </w:rPr>
            </w:pPr>
          </w:p>
        </w:tc>
        <w:tc>
          <w:tcPr>
            <w:tcW w:w="900" w:type="dxa"/>
            <w:vAlign w:val="bottom"/>
            <w:gridSpan w:val="3"/>
          </w:tcPr>
          <w:p>
            <w:pPr>
              <w:ind w:left="80"/>
              <w:spacing w:after="0"/>
              <w:rPr>
                <w:sz w:val="20"/>
                <w:szCs w:val="20"/>
                <w:color w:val="auto"/>
              </w:rPr>
            </w:pPr>
            <w:r>
              <w:rPr>
                <w:rFonts w:ascii="Arial" w:cs="Arial" w:eastAsia="Arial" w:hAnsi="Arial"/>
                <w:sz w:val="18"/>
                <w:szCs w:val="18"/>
                <w:color w:val="auto"/>
              </w:rPr>
              <w:t>Level 3</w:t>
            </w:r>
          </w:p>
        </w:tc>
      </w:tr>
      <w:tr>
        <w:trPr>
          <w:trHeight w:val="206"/>
        </w:trPr>
        <w:tc>
          <w:tcPr>
            <w:tcW w:w="30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Assets:</w:t>
            </w: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2"/>
        </w:trPr>
        <w:tc>
          <w:tcPr>
            <w:tcW w:w="304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660" w:type="dxa"/>
            <w:vAlign w:val="bottom"/>
          </w:tcPr>
          <w:p>
            <w:pPr>
              <w:jc w:val="right"/>
              <w:ind w:right="499"/>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25"/>
        </w:trPr>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6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r>
      <w:tr>
        <w:trPr>
          <w:trHeight w:val="205"/>
        </w:trPr>
        <w:tc>
          <w:tcPr>
            <w:tcW w:w="3040" w:type="dxa"/>
            <w:vAlign w:val="bottom"/>
          </w:tcPr>
          <w:p>
            <w:pPr>
              <w:ind w:left="320"/>
              <w:spacing w:after="0" w:line="203" w:lineRule="exact"/>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85"/>
              </w:rPr>
              <w:t>10.8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7.3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3.5</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Unrealized gains or losses on marketable securities are recorded in accumulated other comprehensive income (loss). Accumulated other comprehensive income (loss) at December 31, 2015 consisted of unrealized losses on securities of $65 thousand.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Company’s financial instruments consist primarily of cash and cash equivalents, marketable securities, accounts and other receivables, trade accounts payable, accrued expenses and our long-term debt. The carrying amounts of these financial instruments, other than marketable securities and our long-term debt, are representative of their respective fair values due to their relatively short maturities. The Company believes the fair value of long-term debt approximates its carrying value based upon the borrowing rates currently available to the Company for loans with similar terms. As discussed above, marketable securities are recorded at 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INVENTORIES</w:t>
      </w:r>
    </w:p>
    <w:p>
      <w:pPr>
        <w:spacing w:after="0" w:line="223"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Inventories consist of raw materials and finished goods on our Nexafed product at September 30, 2016. Inventories are stated at the lower of cost (first-in, first-out method) or market (net realizable value). We write down inventories to net realizable value based on forecasted demand and market conditions, which may differ from actual results. Our purchases of ingredients and other materials required in our development and clinical trial activities are expensed as incurred.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1108"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3"/>
        </w:trPr>
        <w:tc>
          <w:tcPr>
            <w:tcW w:w="6960" w:type="dxa"/>
            <w:vAlign w:val="bottom"/>
            <w:gridSpan w:val="2"/>
          </w:tcPr>
          <w:p>
            <w:pPr>
              <w:spacing w:after="0"/>
              <w:rPr>
                <w:sz w:val="20"/>
                <w:szCs w:val="20"/>
                <w:color w:val="auto"/>
              </w:rPr>
            </w:pPr>
            <w:r>
              <w:rPr>
                <w:rFonts w:ascii="Arial" w:cs="Arial" w:eastAsia="Arial" w:hAnsi="Arial"/>
                <w:sz w:val="18"/>
                <w:szCs w:val="18"/>
                <w:color w:val="auto"/>
              </w:rPr>
              <w:t>Inventories are summarized as follows: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24"/>
        </w:trPr>
        <w:tc>
          <w:tcPr>
            <w:tcW w:w="20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September 30,</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w w:val="91"/>
              </w:rPr>
              <w:t>December 31,</w:t>
            </w:r>
          </w:p>
        </w:tc>
      </w:tr>
      <w:tr>
        <w:trPr>
          <w:trHeight w:val="226"/>
        </w:trPr>
        <w:tc>
          <w:tcPr>
            <w:tcW w:w="20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6"/>
        </w:trPr>
        <w:tc>
          <w:tcPr>
            <w:tcW w:w="2000" w:type="dxa"/>
            <w:vAlign w:val="bottom"/>
          </w:tcPr>
          <w:p>
            <w:pPr>
              <w:spacing w:after="0"/>
              <w:rPr>
                <w:sz w:val="17"/>
                <w:szCs w:val="17"/>
                <w:color w:val="auto"/>
              </w:rPr>
            </w:pPr>
          </w:p>
        </w:tc>
        <w:tc>
          <w:tcPr>
            <w:tcW w:w="49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72"/>
              <w:spacing w:after="0" w:line="206" w:lineRule="exact"/>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49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Raw and packaging materials</w:t>
            </w:r>
          </w:p>
        </w:tc>
        <w:tc>
          <w:tcPr>
            <w:tcW w:w="240" w:type="dxa"/>
            <w:vAlign w:val="bottom"/>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98</w:t>
            </w:r>
          </w:p>
        </w:tc>
        <w:tc>
          <w:tcPr>
            <w:tcW w:w="800" w:type="dxa"/>
            <w:vAlign w:val="bottom"/>
            <w:shd w:val="clear" w:color="auto" w:fill="CCEEFF"/>
          </w:tcPr>
          <w:p>
            <w:pPr>
              <w:jc w:val="right"/>
              <w:ind w:right="612"/>
              <w:spacing w:after="0" w:line="206"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25"/>
        </w:trPr>
        <w:tc>
          <w:tcPr>
            <w:tcW w:w="200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358</w:t>
            </w:r>
          </w:p>
        </w:tc>
        <w:tc>
          <w:tcPr>
            <w:tcW w:w="80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r>
      <w:tr>
        <w:trPr>
          <w:trHeight w:val="206"/>
        </w:trPr>
        <w:tc>
          <w:tcPr>
            <w:tcW w:w="200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ind w:left="16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456</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346</w:t>
            </w:r>
          </w:p>
        </w:tc>
        <w:tc>
          <w:tcPr>
            <w:tcW w:w="60" w:type="dxa"/>
            <w:vAlign w:val="bottom"/>
            <w:tcBorders>
              <w:top w:val="single" w:sz="8" w:color="CCEEFF"/>
            </w:tcBorders>
            <w:shd w:val="clear" w:color="auto" w:fill="CCEEFF"/>
          </w:tcPr>
          <w:p>
            <w:pPr>
              <w:spacing w:after="0"/>
              <w:rPr>
                <w:sz w:val="17"/>
                <w:szCs w:val="17"/>
                <w:color w:val="auto"/>
              </w:rPr>
            </w:pPr>
          </w:p>
        </w:tc>
      </w:tr>
      <w:tr>
        <w:trPr>
          <w:trHeight w:val="225"/>
        </w:trPr>
        <w:tc>
          <w:tcPr>
            <w:tcW w:w="200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Less: reserve for finished goods</w:t>
            </w: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06"/>
        </w:trPr>
        <w:tc>
          <w:tcPr>
            <w:tcW w:w="200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ind w:left="160"/>
              <w:spacing w:after="0" w:line="204" w:lineRule="exact"/>
              <w:rPr>
                <w:sz w:val="20"/>
                <w:szCs w:val="20"/>
                <w:color w:val="auto"/>
              </w:rPr>
            </w:pPr>
            <w:r>
              <w:rPr>
                <w:rFonts w:ascii="Arial" w:cs="Arial" w:eastAsia="Arial" w:hAnsi="Arial"/>
                <w:sz w:val="18"/>
                <w:szCs w:val="18"/>
                <w:color w:val="auto"/>
              </w:rPr>
              <w:t>Net inventory</w:t>
            </w:r>
          </w:p>
        </w:tc>
        <w:tc>
          <w:tcPr>
            <w:tcW w:w="240" w:type="dxa"/>
            <w:vAlign w:val="bottom"/>
            <w:tcBorders>
              <w:top w:val="single" w:sz="8" w:color="auto"/>
              <w:bottom w:val="single" w:sz="8" w:color="auto"/>
            </w:tcBorders>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424</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612"/>
              <w:spacing w:after="0" w:line="20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276</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Inventory reserve activity during the nine months ended September 30, 2016 and 2015 was as follows:</w:t>
      </w:r>
    </w:p>
    <w:p>
      <w:pPr>
        <w:spacing w:after="0" w:line="231" w:lineRule="exact"/>
        <w:rPr>
          <w:sz w:val="20"/>
          <w:szCs w:val="20"/>
          <w:color w:val="auto"/>
        </w:rPr>
      </w:pPr>
    </w:p>
    <w:tbl>
      <w:tblPr>
        <w:tblLayout w:type="fixed"/>
        <w:tblInd w:w="2000" w:type="dxa"/>
        <w:tblCellMar>
          <w:top w:w="0" w:type="dxa"/>
          <w:left w:w="0" w:type="dxa"/>
          <w:bottom w:w="0" w:type="dxa"/>
          <w:right w:w="0" w:type="dxa"/>
        </w:tblCellMar>
      </w:tblPr>
      <w:tr>
        <w:trPr>
          <w:trHeight w:val="224"/>
        </w:trPr>
        <w:tc>
          <w:tcPr>
            <w:tcW w:w="4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19"/>
                <w:szCs w:val="19"/>
                <w:color w:val="auto"/>
              </w:rPr>
            </w:pPr>
          </w:p>
        </w:tc>
      </w:tr>
      <w:tr>
        <w:trPr>
          <w:trHeight w:val="206"/>
        </w:trPr>
        <w:tc>
          <w:tcPr>
            <w:tcW w:w="49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right"/>
              <w:ind w:right="612"/>
              <w:spacing w:after="0" w:line="206" w:lineRule="exact"/>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CEEFF"/>
            </w:tcBorders>
          </w:tcPr>
          <w:p>
            <w:pPr>
              <w:spacing w:after="0"/>
              <w:rPr>
                <w:sz w:val="17"/>
                <w:szCs w:val="17"/>
                <w:color w:val="auto"/>
              </w:rPr>
            </w:pPr>
          </w:p>
        </w:tc>
      </w:tr>
      <w:tr>
        <w:trPr>
          <w:trHeight w:val="205"/>
        </w:trPr>
        <w:tc>
          <w:tcPr>
            <w:tcW w:w="49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Reserve balance at January 1st,</w:t>
            </w:r>
          </w:p>
        </w:tc>
        <w:tc>
          <w:tcPr>
            <w:tcW w:w="240" w:type="dxa"/>
            <w:vAlign w:val="bottom"/>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2"/>
        </w:trPr>
        <w:tc>
          <w:tcPr>
            <w:tcW w:w="4960" w:type="dxa"/>
            <w:vAlign w:val="bottom"/>
          </w:tcPr>
          <w:p>
            <w:pPr>
              <w:spacing w:after="0"/>
              <w:rPr>
                <w:sz w:val="20"/>
                <w:szCs w:val="20"/>
                <w:color w:val="auto"/>
              </w:rPr>
            </w:pPr>
            <w:r>
              <w:rPr>
                <w:rFonts w:ascii="Arial" w:cs="Arial" w:eastAsia="Arial" w:hAnsi="Arial"/>
                <w:sz w:val="18"/>
                <w:szCs w:val="18"/>
                <w:color w:val="auto"/>
              </w:rPr>
              <w:t>Reserve expense – raw and packaging materials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r>
      <w:tr>
        <w:trPr>
          <w:trHeight w:val="225"/>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Reserve expense – finished goods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205"/>
        </w:trPr>
        <w:tc>
          <w:tcPr>
            <w:tcW w:w="49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96</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307</w:t>
            </w:r>
          </w:p>
        </w:tc>
        <w:tc>
          <w:tcPr>
            <w:tcW w:w="60" w:type="dxa"/>
            <w:vAlign w:val="bottom"/>
          </w:tcPr>
          <w:p>
            <w:pPr>
              <w:spacing w:after="0"/>
              <w:rPr>
                <w:sz w:val="17"/>
                <w:szCs w:val="17"/>
                <w:color w:val="auto"/>
              </w:rPr>
            </w:pPr>
          </w:p>
        </w:tc>
      </w:tr>
      <w:tr>
        <w:trPr>
          <w:trHeight w:val="212"/>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Inventory destruction – raw and packaging materials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5"/>
        </w:trPr>
        <w:tc>
          <w:tcPr>
            <w:tcW w:w="4960" w:type="dxa"/>
            <w:vAlign w:val="bottom"/>
          </w:tcPr>
          <w:p>
            <w:pPr>
              <w:spacing w:after="0"/>
              <w:rPr>
                <w:sz w:val="20"/>
                <w:szCs w:val="20"/>
                <w:color w:val="auto"/>
              </w:rPr>
            </w:pPr>
            <w:r>
              <w:rPr>
                <w:rFonts w:ascii="Arial" w:cs="Arial" w:eastAsia="Arial" w:hAnsi="Arial"/>
                <w:sz w:val="18"/>
                <w:szCs w:val="18"/>
                <w:color w:val="auto"/>
              </w:rPr>
              <w:t>Inventory destruction - finished goods</w:t>
            </w: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6"/>
        </w:trPr>
        <w:tc>
          <w:tcPr>
            <w:tcW w:w="49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Reserve balance at September 30th,</w:t>
            </w:r>
          </w:p>
        </w:tc>
        <w:tc>
          <w:tcPr>
            <w:tcW w:w="240" w:type="dxa"/>
            <w:vAlign w:val="bottom"/>
            <w:tcBorders>
              <w:top w:val="single" w:sz="8" w:color="auto"/>
              <w:bottom w:val="single" w:sz="8" w:color="auto"/>
            </w:tcBorders>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47</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PROPERTY, PLANT AND EQUIPMENT</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Property, plant and equipment are stated at cost of $2,821 thousand and $2,754 thousand, less accumulated depreciation of $1,842 thousand and $1,741 thousand at September 30, 2016 and December 31, 2015, respectively. We have no leasehold improvements. Betterments are capitalized and maintenance and repairs are charged to operations as incurred. When a depreciable asset is retired from service, the cost and accumulated depreciation are removed from the respective accounts. The estimated useful lives of the major classification of depreciable assets are:</w:t>
      </w:r>
    </w:p>
    <w:p>
      <w:pPr>
        <w:spacing w:after="0" w:line="190" w:lineRule="exact"/>
        <w:rPr>
          <w:sz w:val="20"/>
          <w:szCs w:val="20"/>
          <w:color w:val="auto"/>
        </w:rPr>
      </w:pPr>
    </w:p>
    <w:tbl>
      <w:tblPr>
        <w:tblLayout w:type="fixed"/>
        <w:tblInd w:w="2860" w:type="dxa"/>
        <w:tblCellMar>
          <w:top w:w="0" w:type="dxa"/>
          <w:left w:w="0" w:type="dxa"/>
          <w:bottom w:w="0" w:type="dxa"/>
          <w:right w:w="0" w:type="dxa"/>
        </w:tblCellMar>
      </w:tblPr>
      <w:tr>
        <w:trPr>
          <w:trHeight w:val="212"/>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- 40 years</w:t>
            </w:r>
          </w:p>
        </w:tc>
      </w:tr>
      <w:tr>
        <w:trPr>
          <w:trHeight w:val="212"/>
        </w:trPr>
        <w:tc>
          <w:tcPr>
            <w:tcW w:w="3580" w:type="dxa"/>
            <w:vAlign w:val="bottom"/>
          </w:tcPr>
          <w:p>
            <w:pPr>
              <w:spacing w:after="0"/>
              <w:rPr>
                <w:sz w:val="20"/>
                <w:szCs w:val="20"/>
                <w:color w:val="auto"/>
              </w:rPr>
            </w:pPr>
            <w:r>
              <w:rPr>
                <w:rFonts w:ascii="Arial" w:cs="Arial" w:eastAsia="Arial" w:hAnsi="Arial"/>
                <w:sz w:val="18"/>
                <w:szCs w:val="18"/>
                <w:color w:val="auto"/>
              </w:rPr>
              <w:t>Land and improvements</w:t>
            </w: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- 40 years</w:t>
            </w:r>
          </w:p>
        </w:tc>
      </w:tr>
      <w:tr>
        <w:trPr>
          <w:trHeight w:val="212"/>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- 10 years</w:t>
            </w:r>
          </w:p>
        </w:tc>
      </w:tr>
      <w:tr>
        <w:trPr>
          <w:trHeight w:val="212"/>
        </w:trPr>
        <w:tc>
          <w:tcPr>
            <w:tcW w:w="3580" w:type="dxa"/>
            <w:vAlign w:val="bottom"/>
          </w:tcPr>
          <w:p>
            <w:pPr>
              <w:spacing w:after="0"/>
              <w:rPr>
                <w:sz w:val="20"/>
                <w:szCs w:val="20"/>
                <w:color w:val="auto"/>
              </w:rPr>
            </w:pPr>
            <w:r>
              <w:rPr>
                <w:rFonts w:ascii="Arial" w:cs="Arial" w:eastAsia="Arial" w:hAnsi="Arial"/>
                <w:sz w:val="18"/>
                <w:szCs w:val="18"/>
                <w:color w:val="auto"/>
              </w:rPr>
              <w:t>Scientific equipment</w:t>
            </w: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- 10 years</w:t>
            </w:r>
          </w:p>
        </w:tc>
      </w:tr>
      <w:tr>
        <w:trPr>
          <w:trHeight w:val="212"/>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- 10 years</w:t>
            </w:r>
          </w:p>
        </w:tc>
      </w:tr>
    </w:tbl>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Our depreciation expense was $104 thousand and $92 thousand for the nine month periods ended September 30, 2016 and 2015, respectively. Depreciation expense is recorded on a straight-line basis over the estimated useful lives of the related assets.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9"/>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NOTE 10 - ACCRUED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4"/>
        </w:trPr>
        <w:tc>
          <w:tcPr>
            <w:tcW w:w="6960" w:type="dxa"/>
            <w:vAlign w:val="bottom"/>
            <w:gridSpan w:val="2"/>
          </w:tcPr>
          <w:p>
            <w:pPr>
              <w:spacing w:after="0"/>
              <w:rPr>
                <w:sz w:val="20"/>
                <w:szCs w:val="20"/>
                <w:color w:val="auto"/>
              </w:rPr>
            </w:pPr>
            <w:r>
              <w:rPr>
                <w:rFonts w:ascii="Arial" w:cs="Arial" w:eastAsia="Arial" w:hAnsi="Arial"/>
                <w:sz w:val="18"/>
                <w:szCs w:val="18"/>
                <w:color w:val="auto"/>
              </w:rPr>
              <w:t>Accrued expenses are summarized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4"/>
        </w:trPr>
        <w:tc>
          <w:tcPr>
            <w:tcW w:w="20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w w:val="99"/>
              </w:rPr>
              <w:t>September 30,</w:t>
            </w:r>
          </w:p>
        </w:tc>
        <w:tc>
          <w:tcPr>
            <w:tcW w:w="1200" w:type="dxa"/>
            <w:vAlign w:val="bottom"/>
            <w:gridSpan w:val="4"/>
          </w:tcPr>
          <w:p>
            <w:pPr>
              <w:ind w:left="80"/>
              <w:spacing w:after="0"/>
              <w:rPr>
                <w:sz w:val="20"/>
                <w:szCs w:val="20"/>
                <w:color w:val="auto"/>
              </w:rPr>
            </w:pPr>
            <w:r>
              <w:rPr>
                <w:rFonts w:ascii="Arial" w:cs="Arial" w:eastAsia="Arial" w:hAnsi="Arial"/>
                <w:sz w:val="18"/>
                <w:szCs w:val="18"/>
                <w:color w:val="auto"/>
                <w:w w:val="97"/>
              </w:rPr>
              <w:t>December 31,</w:t>
            </w:r>
          </w:p>
        </w:tc>
      </w:tr>
      <w:tr>
        <w:trPr>
          <w:trHeight w:val="226"/>
        </w:trPr>
        <w:tc>
          <w:tcPr>
            <w:tcW w:w="20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6"/>
        </w:trPr>
        <w:tc>
          <w:tcPr>
            <w:tcW w:w="2000" w:type="dxa"/>
            <w:vAlign w:val="bottom"/>
          </w:tcPr>
          <w:p>
            <w:pPr>
              <w:spacing w:after="0"/>
              <w:rPr>
                <w:sz w:val="17"/>
                <w:szCs w:val="17"/>
                <w:color w:val="auto"/>
              </w:rPr>
            </w:pPr>
          </w:p>
        </w:tc>
        <w:tc>
          <w:tcPr>
            <w:tcW w:w="49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72"/>
              <w:spacing w:after="0" w:line="206" w:lineRule="exact"/>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r>
      <w:tr>
        <w:trPr>
          <w:trHeight w:val="205"/>
        </w:trPr>
        <w:tc>
          <w:tcPr>
            <w:tcW w:w="2000" w:type="dxa"/>
            <w:vAlign w:val="bottom"/>
          </w:tcPr>
          <w:p>
            <w:pPr>
              <w:spacing w:after="0"/>
              <w:rPr>
                <w:sz w:val="17"/>
                <w:szCs w:val="17"/>
                <w:color w:val="auto"/>
              </w:rPr>
            </w:pPr>
          </w:p>
        </w:tc>
        <w:tc>
          <w:tcPr>
            <w:tcW w:w="49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Payroll, payroll taxes, and benefits</w:t>
            </w:r>
          </w:p>
        </w:tc>
        <w:tc>
          <w:tcPr>
            <w:tcW w:w="240" w:type="dxa"/>
            <w:vAlign w:val="bottom"/>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86</w:t>
            </w:r>
          </w:p>
        </w:tc>
        <w:tc>
          <w:tcPr>
            <w:tcW w:w="800" w:type="dxa"/>
            <w:vAlign w:val="bottom"/>
            <w:shd w:val="clear" w:color="auto" w:fill="CCEEFF"/>
          </w:tcPr>
          <w:p>
            <w:pPr>
              <w:jc w:val="right"/>
              <w:ind w:right="612"/>
              <w:spacing w:after="0" w:line="206"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2"/>
        </w:trPr>
        <w:tc>
          <w:tcPr>
            <w:tcW w:w="20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8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8"/>
                <w:szCs w:val="18"/>
                <w:color w:val="auto"/>
              </w:rPr>
            </w:pPr>
          </w:p>
        </w:tc>
      </w:tr>
      <w:tr>
        <w:trPr>
          <w:trHeight w:val="212"/>
        </w:trPr>
        <w:tc>
          <w:tcPr>
            <w:tcW w:w="20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Franchise and property taxes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8"/>
                <w:szCs w:val="18"/>
                <w:color w:val="auto"/>
              </w:rPr>
            </w:pPr>
          </w:p>
        </w:tc>
      </w:tr>
      <w:tr>
        <w:trPr>
          <w:trHeight w:val="212"/>
        </w:trPr>
        <w:tc>
          <w:tcPr>
            <w:tcW w:w="20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Marketing and promotion</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80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115</w:t>
            </w:r>
          </w:p>
        </w:tc>
      </w:tr>
      <w:tr>
        <w:trPr>
          <w:trHeight w:val="212"/>
        </w:trPr>
        <w:tc>
          <w:tcPr>
            <w:tcW w:w="20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Clinical, non-clinical and regulatory services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8"/>
                <w:szCs w:val="18"/>
                <w:color w:val="auto"/>
              </w:rPr>
            </w:pPr>
          </w:p>
        </w:tc>
      </w:tr>
      <w:tr>
        <w:trPr>
          <w:trHeight w:val="212"/>
        </w:trPr>
        <w:tc>
          <w:tcPr>
            <w:tcW w:w="20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Licensee cost sharing expenses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8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25"/>
        </w:trPr>
        <w:tc>
          <w:tcPr>
            <w:tcW w:w="200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fees and services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8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9"/>
                <w:szCs w:val="19"/>
                <w:color w:val="auto"/>
              </w:rPr>
            </w:pPr>
          </w:p>
        </w:tc>
      </w:tr>
      <w:tr>
        <w:trPr>
          <w:trHeight w:val="205"/>
        </w:trPr>
        <w:tc>
          <w:tcPr>
            <w:tcW w:w="2000" w:type="dxa"/>
            <w:vAlign w:val="bottom"/>
          </w:tcPr>
          <w:p>
            <w:pPr>
              <w:spacing w:after="0"/>
              <w:rPr>
                <w:sz w:val="17"/>
                <w:szCs w:val="17"/>
                <w:color w:val="auto"/>
              </w:rPr>
            </w:pPr>
          </w:p>
        </w:tc>
        <w:tc>
          <w:tcPr>
            <w:tcW w:w="4960" w:type="dxa"/>
            <w:vAlign w:val="bottom"/>
          </w:tcPr>
          <w:p>
            <w:pPr>
              <w:ind w:left="160"/>
              <w:spacing w:after="0" w:line="203"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2"/>
              <w:spacing w:after="0" w:line="20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736</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12"/>
              <w:spacing w:after="0" w:line="20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564</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DEBT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December 27, 2013, we entered into a Loan and Security Agreement (the “Loan Agreement”) with Oxford Finance LLC (“Oxford” or the “Lender”), for a term loan to the Company in the principal amount of $10.0 million (the “Term Loan”). The full principal amount of the Term Loan was funded on December 27, 2013. We are using the proceeds of the Loan Agreement for general working capital and to fund our business requirements. The Term Loan accrues interest at a fixed rate of 8.35% per annum (with a default rate of 13.35% per annum). The Company was required to make monthly interest−only payments until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is due and payable in full on December 1, 2018. As of September 30, 2016, we have made $3.6 million in principal payments on the Term Loan and the balance of term Loan is $6.4 million. As security for its obligations under the Loan Agreement, the Company granted Lender a security interest in substantially all of its existing and after−acquired assets, exclusive of its intellectual property assets. Pursuant to the Loan Agreement, the Company is not allowed to pledge its intellectual property assets to others. Upon the execution of the Loan Agreement, we issued to the Lender warrants to purchase an aggregate of up to 60 thousand shares of our common stock at an exercise price equal to $7.98 per share (after adjustment for our one-for-five reverse stock split) (the “Warrants”). We recorded $400 thousand as debt discount associated with the fair value of the Warrants and are amortizing it to interest expense over the term of the loan using the loan’s effective interest rate. The Warrants are immediately exercisable for cash or by net exercise and will expire December 27, 2020. The fair value of the warrants was determined using the Black-Scholes option-pricing model. Significant assumptions used in the Black-Scholes model were:</w:t>
      </w:r>
    </w:p>
    <w:p>
      <w:pPr>
        <w:spacing w:after="0" w:line="206" w:lineRule="exact"/>
        <w:rPr>
          <w:sz w:val="20"/>
          <w:szCs w:val="20"/>
          <w:color w:val="auto"/>
        </w:rPr>
      </w:pPr>
    </w:p>
    <w:tbl>
      <w:tblPr>
        <w:tblLayout w:type="fixed"/>
        <w:tblInd w:w="3440" w:type="dxa"/>
        <w:tblCellMar>
          <w:top w:w="0" w:type="dxa"/>
          <w:left w:w="0" w:type="dxa"/>
          <w:bottom w:w="0" w:type="dxa"/>
          <w:right w:w="0" w:type="dxa"/>
        </w:tblCellMar>
      </w:tblP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2"/>
        </w:trPr>
        <w:tc>
          <w:tcPr>
            <w:tcW w:w="2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2940" w:type="dxa"/>
            <w:vAlign w:val="bottom"/>
          </w:tcPr>
          <w:p>
            <w:pPr>
              <w:spacing w:after="0"/>
              <w:rPr>
                <w:sz w:val="20"/>
                <w:szCs w:val="20"/>
                <w:color w:val="auto"/>
              </w:rPr>
            </w:pPr>
            <w:r>
              <w:rPr>
                <w:rFonts w:ascii="Arial" w:cs="Arial" w:eastAsia="Arial" w:hAnsi="Arial"/>
                <w:sz w:val="18"/>
                <w:szCs w:val="18"/>
                <w:color w:val="auto"/>
              </w:rPr>
              <w:t>Expected term (years)</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7</w:t>
            </w:r>
          </w:p>
        </w:tc>
      </w:tr>
    </w:tbl>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January 7, 2015, we and Oxford entered into an amendment to the Loan Agreement. Pursuant to the amendment, (i) the exercise price of the Warrants was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 (ii) we agreed to a compensating balance requirement under which we are required to maintain $2.5 million cash reserves until such time as we have repaid $5.0 million in principal of the Term Loan, and (iii) the Lender consented to the terms of our Collaboration and License Agreement with Egalet relating to our Oxaydo product.</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October 13, 2016, we and Oxford entered into a second amendment to the Loan Agreement (the “Second Amendment”). Pursuant to the Second Amendment, (i) the requirement that we maintain a $2.5 million cash balance reserve until such time as $5 million in principal was repaid under the Term Loan, has been modified so that the $2.5 million cash balance reserve remains in place until we raised an additional $6.0 million (excluding payments received under the KemPharm Agreement) through the issuance of equity securities and from upfront payments under license, joint venture, collaboration or other partnering transactions, provided that at least $3.0 million of such amount must be raised through the issuance and sale of our equity securities, and (ii) the Lender consented to the terms of our Agreement with KemPharm.</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6" w:name="page17"/>
    <w:bookmarkEnd w:id="16"/>
    <w:p>
      <w:pPr>
        <w:jc w:val="both"/>
        <w:spacing w:after="0" w:line="250" w:lineRule="auto"/>
        <w:rPr>
          <w:sz w:val="20"/>
          <w:szCs w:val="20"/>
          <w:color w:val="auto"/>
        </w:rPr>
      </w:pPr>
      <w:r>
        <w:rPr>
          <w:rFonts w:ascii="Arial" w:cs="Arial" w:eastAsia="Arial" w:hAnsi="Arial"/>
          <w:sz w:val="18"/>
          <w:szCs w:val="18"/>
          <w:color w:val="auto"/>
        </w:rPr>
        <w:t>The Company may voluntarily prepay the Term Loan in full, but not in part, and any prepayment is subject to a prepayment premium equal to 1% of the principal prepaid. In addition, at the maturity, termination or upon voluntary or mandatory prepayment of the Term Loan the Company must pay the Lender an additional one-time interest payment of $795 thousand. We are accruing additional monthly interest expense over the term of the loan for this additional one-time interest payment using the loan’s effective cash interest rate. As of September 30, 2016, we have accrued and accumulated $519 thousand of additional interest.</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Loan Agreement. Combined with the Company’s own expenses and a $100 thousand consulting placement fee, the Company incurred $231 thousand in deferred debt issue costs. We are amortizing these costs, including debt modification additional costs, into interest expense over the term of the loan using the loan’s effective interest rate of 10.16%.</w:t>
      </w:r>
    </w:p>
    <w:p>
      <w:pPr>
        <w:spacing w:after="0" w:line="191"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Loan Agreement contains customary representations, warranties and affirmative and negative covenants, including, among others, limits or restrictions on the Company’s ability to incur liens, incur indebtedness, pay dividends, redeem stock, and merge or consolidate and dispose of assets. In addition, it contains customary events of default that entitles the Lender to cause any or all of the Company’s indebtedness under the Loan Agreement to become immediately due and payable. The events of default (some of which are subject to applicable grace or cure periods), include, among other things, non−payment defaults, covenant defaults, a material adverse change in the Company, bankruptcy and insolvency defaults and material judgment defaults. One affirmative covenant is that the Company must submit on an annual basis to Oxford, within 120 days after the end of its fiscal year, audited consolidated financial statements, together with an unqualified audit opinion from an independent registered public accounting firm (the “Unqualified Audit Opinion Covenant”). Failure to comply with the Unqualified Audit Opinion Covenant is a breach of the term loan agreement and unless such covenant or breach is waived, Oxford would have the option of accelerating the debt under the term loan agreement and initiating enforcement collection actions, foreclosing on collateral (which includes most assets of the Company) and, among other things, preventing the Company from using any funds in its bank or securities accounts. Per the term loan agreement an audit opinion with an explanatory paragraph noting substantial doubt about the Company’s ability to continue in business (the “going concern opinion”) is deemed to violate the Unqualified Audit Opinion Covenant. We anticipate that unless the Company raises approximately $10.0 million prior to the completion of the audit of our 2016 financial statements, projected to occur by early March 2017, our auditor’s opinion will contain a going concern opinion and absent a waiver from Oxford, we will be in breach of our term loan agreement. There can be no assurance that we will be able to raise such funds. We expect to engage in discussions with Oxford in order to seek a waiver from the Unqualified Audit Opinion Covenant, but there can be no assurance Oxford will grant such a waiver.</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40" w:type="dxa"/>
            <w:vAlign w:val="bottom"/>
            <w:gridSpan w:val="3"/>
          </w:tcPr>
          <w:p>
            <w:pPr>
              <w:spacing w:after="0"/>
              <w:rPr>
                <w:sz w:val="20"/>
                <w:szCs w:val="20"/>
                <w:color w:val="auto"/>
              </w:rPr>
            </w:pPr>
            <w:r>
              <w:rPr>
                <w:rFonts w:ascii="Arial" w:cs="Arial" w:eastAsia="Arial" w:hAnsi="Arial"/>
                <w:sz w:val="18"/>
                <w:szCs w:val="18"/>
                <w:color w:val="auto"/>
              </w:rPr>
              <w:t>Our debt is summarized below (in thousands):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5440" w:type="dxa"/>
            <w:vAlign w:val="bottom"/>
            <w:gridSpan w:val="3"/>
          </w:tcPr>
          <w:p>
            <w:pPr>
              <w:ind w:left="6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Current</w:t>
            </w:r>
          </w:p>
        </w:tc>
        <w:tc>
          <w:tcPr>
            <w:tcW w:w="140" w:type="dxa"/>
            <w:vAlign w:val="bottom"/>
          </w:tcPr>
          <w:p>
            <w:pPr>
              <w:spacing w:after="0"/>
              <w:rPr>
                <w:sz w:val="24"/>
                <w:szCs w:val="24"/>
                <w:color w:val="auto"/>
              </w:rPr>
            </w:pPr>
          </w:p>
        </w:tc>
        <w:tc>
          <w:tcPr>
            <w:tcW w:w="1140" w:type="dxa"/>
            <w:vAlign w:val="bottom"/>
            <w:gridSpan w:val="2"/>
          </w:tcPr>
          <w:p>
            <w:pPr>
              <w:jc w:val="right"/>
              <w:ind w:right="263"/>
              <w:spacing w:after="0"/>
              <w:rPr>
                <w:sz w:val="20"/>
                <w:szCs w:val="20"/>
                <w:color w:val="auto"/>
              </w:rPr>
            </w:pPr>
            <w:r>
              <w:rPr>
                <w:rFonts w:ascii="Arial" w:cs="Arial" w:eastAsia="Arial" w:hAnsi="Arial"/>
                <w:sz w:val="18"/>
                <w:szCs w:val="18"/>
                <w:color w:val="auto"/>
                <w:w w:val="95"/>
              </w:rPr>
              <w:t>Long-term</w:t>
            </w:r>
          </w:p>
        </w:tc>
        <w:tc>
          <w:tcPr>
            <w:tcW w:w="240" w:type="dxa"/>
            <w:vAlign w:val="bottom"/>
          </w:tcPr>
          <w:p>
            <w:pPr>
              <w:spacing w:after="0"/>
              <w:rPr>
                <w:sz w:val="24"/>
                <w:szCs w:val="24"/>
                <w:color w:val="auto"/>
              </w:rPr>
            </w:pPr>
          </w:p>
        </w:tc>
        <w:tc>
          <w:tcPr>
            <w:tcW w:w="960" w:type="dxa"/>
            <w:vAlign w:val="bottom"/>
            <w:gridSpan w:val="2"/>
          </w:tcPr>
          <w:p>
            <w:pPr>
              <w:jc w:val="right"/>
              <w:ind w:right="383"/>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47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Balance at Dec 31, 2015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600"/>
              <w:spacing w:after="0" w:line="206" w:lineRule="exact"/>
              <w:rPr>
                <w:sz w:val="20"/>
                <w:szCs w:val="20"/>
                <w:color w:val="auto"/>
              </w:rPr>
            </w:pPr>
            <w:r>
              <w:rPr>
                <w:rFonts w:ascii="Arial" w:cs="Arial" w:eastAsia="Arial" w:hAnsi="Arial"/>
                <w:sz w:val="18"/>
                <w:szCs w:val="18"/>
                <w:color w:val="auto"/>
                <w:w w:val="79"/>
              </w:rPr>
              <w:t>2,320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5,720</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8,040</w:t>
            </w:r>
          </w:p>
        </w:tc>
        <w:tc>
          <w:tcPr>
            <w:tcW w:w="80" w:type="dxa"/>
            <w:vAlign w:val="bottom"/>
            <w:tcBorders>
              <w:top w:val="single" w:sz="8" w:color="CCEEFF"/>
            </w:tcBorders>
            <w:shd w:val="clear" w:color="auto" w:fill="CCEEFF"/>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Principal payments</w:t>
            </w:r>
          </w:p>
        </w:tc>
        <w:tc>
          <w:tcPr>
            <w:tcW w:w="14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(1,670)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(1,670)</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2,035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(2,035)</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800" w:type="dxa"/>
            <w:vAlign w:val="bottom"/>
            <w:gridSpan w:val="2"/>
          </w:tcPr>
          <w:p>
            <w:pPr>
              <w:spacing w:after="0" w:line="203" w:lineRule="exact"/>
              <w:rPr>
                <w:sz w:val="20"/>
                <w:szCs w:val="20"/>
                <w:color w:val="auto"/>
              </w:rPr>
            </w:pPr>
            <w:r>
              <w:rPr>
                <w:rFonts w:ascii="Arial" w:cs="Arial" w:eastAsia="Arial" w:hAnsi="Arial"/>
                <w:sz w:val="18"/>
                <w:szCs w:val="18"/>
                <w:color w:val="auto"/>
              </w:rPr>
              <w:t>Balance at September 30, 2016</w:t>
            </w:r>
          </w:p>
        </w:tc>
        <w:tc>
          <w:tcPr>
            <w:tcW w:w="1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600"/>
              <w:spacing w:after="0" w:line="206" w:lineRule="exact"/>
              <w:rPr>
                <w:sz w:val="20"/>
                <w:szCs w:val="20"/>
                <w:color w:val="auto"/>
              </w:rPr>
            </w:pPr>
            <w:r>
              <w:rPr>
                <w:rFonts w:ascii="Arial" w:cs="Arial" w:eastAsia="Arial" w:hAnsi="Arial"/>
                <w:sz w:val="18"/>
                <w:szCs w:val="18"/>
                <w:color w:val="auto"/>
                <w:w w:val="79"/>
              </w:rPr>
              <w:t>2,685</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3,685</w:t>
            </w: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6,370</w:t>
            </w:r>
          </w:p>
        </w:tc>
        <w:tc>
          <w:tcPr>
            <w:tcW w:w="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5440" w:type="dxa"/>
            <w:vAlign w:val="bottom"/>
            <w:gridSpan w:val="3"/>
          </w:tcPr>
          <w:p>
            <w:pPr>
              <w:ind w:left="640"/>
              <w:spacing w:after="0"/>
              <w:rPr>
                <w:sz w:val="20"/>
                <w:szCs w:val="20"/>
                <w:color w:val="auto"/>
              </w:rPr>
            </w:pPr>
            <w:r>
              <w:rPr>
                <w:rFonts w:ascii="Arial" w:cs="Arial" w:eastAsia="Arial" w:hAnsi="Arial"/>
                <w:sz w:val="18"/>
                <w:szCs w:val="18"/>
                <w:color w:val="auto"/>
              </w:rPr>
              <w:t>Debt Discount</w:t>
            </w:r>
          </w:p>
        </w:tc>
        <w:tc>
          <w:tcPr>
            <w:tcW w:w="14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Current</w:t>
            </w:r>
          </w:p>
        </w:tc>
        <w:tc>
          <w:tcPr>
            <w:tcW w:w="140" w:type="dxa"/>
            <w:vAlign w:val="bottom"/>
          </w:tcPr>
          <w:p>
            <w:pPr>
              <w:spacing w:after="0"/>
              <w:rPr>
                <w:sz w:val="24"/>
                <w:szCs w:val="24"/>
                <w:color w:val="auto"/>
              </w:rPr>
            </w:pPr>
          </w:p>
        </w:tc>
        <w:tc>
          <w:tcPr>
            <w:tcW w:w="1140" w:type="dxa"/>
            <w:vAlign w:val="bottom"/>
            <w:gridSpan w:val="2"/>
          </w:tcPr>
          <w:p>
            <w:pPr>
              <w:jc w:val="right"/>
              <w:ind w:right="263"/>
              <w:spacing w:after="0"/>
              <w:rPr>
                <w:sz w:val="20"/>
                <w:szCs w:val="20"/>
                <w:color w:val="auto"/>
              </w:rPr>
            </w:pPr>
            <w:r>
              <w:rPr>
                <w:rFonts w:ascii="Arial" w:cs="Arial" w:eastAsia="Arial" w:hAnsi="Arial"/>
                <w:sz w:val="18"/>
                <w:szCs w:val="18"/>
                <w:color w:val="auto"/>
                <w:w w:val="95"/>
              </w:rPr>
              <w:t>Long-term</w:t>
            </w:r>
          </w:p>
        </w:tc>
        <w:tc>
          <w:tcPr>
            <w:tcW w:w="240" w:type="dxa"/>
            <w:vAlign w:val="bottom"/>
          </w:tcPr>
          <w:p>
            <w:pPr>
              <w:spacing w:after="0"/>
              <w:rPr>
                <w:sz w:val="24"/>
                <w:szCs w:val="24"/>
                <w:color w:val="auto"/>
              </w:rPr>
            </w:pPr>
          </w:p>
        </w:tc>
        <w:tc>
          <w:tcPr>
            <w:tcW w:w="960" w:type="dxa"/>
            <w:vAlign w:val="bottom"/>
            <w:gridSpan w:val="2"/>
          </w:tcPr>
          <w:p>
            <w:pPr>
              <w:jc w:val="right"/>
              <w:ind w:right="383"/>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47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Balance at Dec 31, 2015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(193)</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(193)</w:t>
            </w:r>
          </w:p>
        </w:tc>
        <w:tc>
          <w:tcPr>
            <w:tcW w:w="80" w:type="dxa"/>
            <w:vAlign w:val="bottom"/>
            <w:tcBorders>
              <w:top w:val="single" w:sz="8" w:color="CCEEFF"/>
            </w:tcBorders>
            <w:shd w:val="clear" w:color="auto" w:fill="CCEEFF"/>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Modification of warrants</w:t>
            </w:r>
          </w:p>
        </w:tc>
        <w:tc>
          <w:tcPr>
            <w:tcW w:w="140" w:type="dxa"/>
            <w:vAlign w:val="bottom"/>
          </w:tcPr>
          <w:p>
            <w:pPr>
              <w:spacing w:after="0"/>
              <w:rPr>
                <w:sz w:val="18"/>
                <w:szCs w:val="18"/>
                <w:color w:val="auto"/>
              </w:rPr>
            </w:pPr>
          </w:p>
        </w:tc>
        <w:tc>
          <w:tcPr>
            <w:tcW w:w="11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expense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74</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800" w:type="dxa"/>
            <w:vAlign w:val="bottom"/>
            <w:gridSpan w:val="2"/>
          </w:tcPr>
          <w:p>
            <w:pPr>
              <w:spacing w:after="0" w:line="203" w:lineRule="exact"/>
              <w:rPr>
                <w:sz w:val="20"/>
                <w:szCs w:val="20"/>
                <w:color w:val="auto"/>
              </w:rPr>
            </w:pPr>
            <w:r>
              <w:rPr>
                <w:rFonts w:ascii="Arial" w:cs="Arial" w:eastAsia="Arial" w:hAnsi="Arial"/>
                <w:sz w:val="18"/>
                <w:szCs w:val="18"/>
                <w:color w:val="auto"/>
              </w:rPr>
              <w:t>Balance at September 30, 2016</w:t>
            </w:r>
          </w:p>
        </w:tc>
        <w:tc>
          <w:tcPr>
            <w:tcW w:w="1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(119</w:t>
            </w:r>
          </w:p>
        </w:tc>
        <w:tc>
          <w:tcPr>
            <w:tcW w:w="160" w:type="dxa"/>
            <w:vAlign w:val="bottom"/>
          </w:tcPr>
          <w:p>
            <w:pPr>
              <w:jc w:val="right"/>
              <w:ind w:right="23"/>
              <w:spacing w:after="0"/>
              <w:rPr>
                <w:sz w:val="20"/>
                <w:szCs w:val="20"/>
                <w:color w:val="auto"/>
              </w:rPr>
            </w:pPr>
            <w:r>
              <w:rPr>
                <w:rFonts w:ascii="Arial" w:cs="Arial" w:eastAsia="Arial" w:hAnsi="Arial"/>
                <w:sz w:val="15"/>
                <w:szCs w:val="15"/>
                <w:color w:val="auto"/>
                <w:w w:val="79"/>
              </w:rPr>
              <w:t>)</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(119</w:t>
            </w:r>
          </w:p>
        </w:tc>
        <w:tc>
          <w:tcPr>
            <w:tcW w:w="8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5440" w:type="dxa"/>
            <w:vAlign w:val="bottom"/>
            <w:gridSpan w:val="3"/>
          </w:tcPr>
          <w:p>
            <w:pPr>
              <w:ind w:left="640"/>
              <w:spacing w:after="0"/>
              <w:rPr>
                <w:sz w:val="20"/>
                <w:szCs w:val="20"/>
                <w:color w:val="auto"/>
              </w:rPr>
            </w:pPr>
            <w:r>
              <w:rPr>
                <w:rFonts w:ascii="Arial" w:cs="Arial" w:eastAsia="Arial" w:hAnsi="Arial"/>
                <w:sz w:val="18"/>
                <w:szCs w:val="18"/>
                <w:color w:val="auto"/>
              </w:rPr>
              <w:t>Deferred Debt Issuance Costs</w:t>
            </w:r>
          </w:p>
        </w:tc>
        <w:tc>
          <w:tcPr>
            <w:tcW w:w="14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Current</w:t>
            </w:r>
          </w:p>
        </w:tc>
        <w:tc>
          <w:tcPr>
            <w:tcW w:w="140" w:type="dxa"/>
            <w:vAlign w:val="bottom"/>
          </w:tcPr>
          <w:p>
            <w:pPr>
              <w:spacing w:after="0"/>
              <w:rPr>
                <w:sz w:val="24"/>
                <w:szCs w:val="24"/>
                <w:color w:val="auto"/>
              </w:rPr>
            </w:pPr>
          </w:p>
        </w:tc>
        <w:tc>
          <w:tcPr>
            <w:tcW w:w="1140" w:type="dxa"/>
            <w:vAlign w:val="bottom"/>
            <w:gridSpan w:val="2"/>
          </w:tcPr>
          <w:p>
            <w:pPr>
              <w:jc w:val="right"/>
              <w:ind w:right="263"/>
              <w:spacing w:after="0"/>
              <w:rPr>
                <w:sz w:val="20"/>
                <w:szCs w:val="20"/>
                <w:color w:val="auto"/>
              </w:rPr>
            </w:pPr>
            <w:r>
              <w:rPr>
                <w:rFonts w:ascii="Arial" w:cs="Arial" w:eastAsia="Arial" w:hAnsi="Arial"/>
                <w:sz w:val="18"/>
                <w:szCs w:val="18"/>
                <w:color w:val="auto"/>
                <w:w w:val="95"/>
              </w:rPr>
              <w:t>Long-term</w:t>
            </w:r>
          </w:p>
        </w:tc>
        <w:tc>
          <w:tcPr>
            <w:tcW w:w="240" w:type="dxa"/>
            <w:vAlign w:val="bottom"/>
          </w:tcPr>
          <w:p>
            <w:pPr>
              <w:spacing w:after="0"/>
              <w:rPr>
                <w:sz w:val="24"/>
                <w:szCs w:val="24"/>
                <w:color w:val="auto"/>
              </w:rPr>
            </w:pPr>
          </w:p>
        </w:tc>
        <w:tc>
          <w:tcPr>
            <w:tcW w:w="960" w:type="dxa"/>
            <w:vAlign w:val="bottom"/>
            <w:gridSpan w:val="2"/>
          </w:tcPr>
          <w:p>
            <w:pPr>
              <w:jc w:val="right"/>
              <w:ind w:right="383"/>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47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Balance at Dec 31, 2015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(97)</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(97)</w:t>
            </w:r>
          </w:p>
        </w:tc>
        <w:tc>
          <w:tcPr>
            <w:tcW w:w="80" w:type="dxa"/>
            <w:vAlign w:val="bottom"/>
            <w:tcBorders>
              <w:top w:val="single" w:sz="8" w:color="CCEEFF"/>
            </w:tcBorders>
            <w:shd w:val="clear" w:color="auto" w:fill="CCEEFF"/>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19"/>
                <w:szCs w:val="19"/>
                <w:color w:val="auto"/>
              </w:rPr>
            </w:pPr>
          </w:p>
        </w:tc>
        <w:tc>
          <w:tcPr>
            <w:tcW w:w="11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3"/>
              <w:spacing w:after="0"/>
              <w:rPr>
                <w:sz w:val="20"/>
                <w:szCs w:val="20"/>
                <w:color w:val="auto"/>
              </w:rPr>
            </w:pPr>
            <w:r>
              <w:rPr>
                <w:rFonts w:ascii="Arial" w:cs="Arial" w:eastAsia="Arial" w:hAnsi="Arial"/>
                <w:sz w:val="18"/>
                <w:szCs w:val="18"/>
                <w:color w:val="auto"/>
              </w:rPr>
              <w:t>39</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4800" w:type="dxa"/>
            <w:vAlign w:val="bottom"/>
            <w:tcBorders>
              <w:top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color w:val="auto"/>
              </w:rPr>
              <w:t>Balance at September 30, 2016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top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9"/>
              </w:rPr>
              <w:t>)</w:t>
            </w: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vMerge w:val="continue"/>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at September 30, 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2,685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3,508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6,193</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6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Our interest expense for the three and nine months ended September 30, 2016 and 2015 consisted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40" w:type="dxa"/>
            <w:vAlign w:val="bottom"/>
            <w:gridSpan w:val="6"/>
          </w:tcPr>
          <w:p>
            <w:pPr>
              <w:jc w:val="center"/>
              <w:ind w:left="232"/>
              <w:spacing w:after="0"/>
              <w:rPr>
                <w:sz w:val="20"/>
                <w:szCs w:val="20"/>
                <w:color w:val="auto"/>
              </w:rPr>
            </w:pPr>
            <w:r>
              <w:rPr>
                <w:rFonts w:ascii="Arial" w:cs="Arial" w:eastAsia="Arial" w:hAnsi="Arial"/>
                <w:sz w:val="18"/>
                <w:szCs w:val="18"/>
                <w:color w:val="auto"/>
                <w:w w:val="88"/>
              </w:rPr>
              <w:t>Three months Ended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5"/>
          </w:tcPr>
          <w:p>
            <w:pPr>
              <w:jc w:val="right"/>
              <w:ind w:right="5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40" w:type="dxa"/>
            <w:vAlign w:val="bottom"/>
            <w:gridSpan w:val="6"/>
          </w:tcPr>
          <w:p>
            <w:pPr>
              <w:jc w:val="center"/>
              <w:ind w:left="212"/>
              <w:spacing w:after="0"/>
              <w:rPr>
                <w:sz w:val="20"/>
                <w:szCs w:val="20"/>
                <w:color w:val="auto"/>
              </w:rPr>
            </w:pPr>
            <w:r>
              <w:rPr>
                <w:rFonts w:ascii="Arial" w:cs="Arial" w:eastAsia="Arial" w:hAnsi="Arial"/>
                <w:sz w:val="18"/>
                <w:szCs w:val="18"/>
                <w:color w:val="auto"/>
                <w:w w:val="86"/>
              </w:rPr>
              <w:t>September 30,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3"/>
          </w:tcPr>
          <w:p>
            <w:pPr>
              <w:jc w:val="center"/>
              <w:ind w:left="392"/>
              <w:spacing w:after="0"/>
              <w:rPr>
                <w:sz w:val="20"/>
                <w:szCs w:val="20"/>
                <w:color w:val="auto"/>
              </w:rPr>
            </w:pPr>
            <w:r>
              <w:rPr>
                <w:rFonts w:ascii="Arial" w:cs="Arial" w:eastAsia="Arial" w:hAnsi="Arial"/>
                <w:sz w:val="18"/>
                <w:szCs w:val="18"/>
                <w:color w:val="auto"/>
                <w:w w:val="89"/>
              </w:rPr>
              <w:t>2015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21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Interest expense:</w:t>
            </w:r>
          </w:p>
        </w:tc>
        <w:tc>
          <w:tcPr>
            <w:tcW w:w="64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Term loan</w:t>
            </w:r>
          </w:p>
        </w:tc>
        <w:tc>
          <w:tcPr>
            <w:tcW w:w="3380" w:type="dxa"/>
            <w:vAlign w:val="bottom"/>
            <w:gridSpan w:val="3"/>
          </w:tcPr>
          <w:p>
            <w:pPr>
              <w:jc w:val="right"/>
              <w:ind w:right="59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180</w:t>
            </w:r>
          </w:p>
        </w:tc>
        <w:tc>
          <w:tcPr>
            <w:tcW w:w="920" w:type="dxa"/>
            <w:vAlign w:val="bottom"/>
            <w:gridSpan w:val="3"/>
          </w:tcPr>
          <w:p>
            <w:pPr>
              <w:jc w:val="right"/>
              <w:ind w:right="57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236</w:t>
            </w:r>
          </w:p>
        </w:tc>
        <w:tc>
          <w:tcPr>
            <w:tcW w:w="240" w:type="dxa"/>
            <w:vAlign w:val="bottom"/>
            <w:gridSpan w:val="3"/>
          </w:tcPr>
          <w:p>
            <w:pPr>
              <w:jc w:val="right"/>
              <w:ind w:right="1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584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6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Debt issue costs</w:t>
            </w:r>
          </w:p>
        </w:tc>
        <w:tc>
          <w:tcPr>
            <w:tcW w:w="6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21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Total interest expense</w:t>
            </w:r>
          </w:p>
        </w:tc>
        <w:tc>
          <w:tcPr>
            <w:tcW w:w="64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215</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283</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6180" w:type="dxa"/>
            <w:vAlign w:val="bottom"/>
            <w:gridSpan w:val="5"/>
          </w:tcPr>
          <w:p>
            <w:pPr>
              <w:jc w:val="right"/>
              <w:ind w:right="392"/>
              <w:spacing w:after="0"/>
              <w:rPr>
                <w:sz w:val="20"/>
                <w:szCs w:val="20"/>
                <w:color w:val="auto"/>
              </w:rPr>
            </w:pPr>
            <w:r>
              <w:rPr>
                <w:rFonts w:ascii="Arial" w:cs="Arial" w:eastAsia="Arial" w:hAnsi="Arial"/>
                <w:sz w:val="18"/>
                <w:szCs w:val="18"/>
                <w:color w:val="auto"/>
                <w:w w:val="88"/>
              </w:rPr>
              <w:t>The annual principal payments of the debt at September 30, 2016 are as follows: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Annual</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380" w:type="dxa"/>
            <w:vAlign w:val="bottom"/>
            <w:gridSpan w:val="3"/>
            <w:vMerge w:val="restart"/>
          </w:tcPr>
          <w:p>
            <w:pPr>
              <w:ind w:left="640"/>
              <w:spacing w:after="0"/>
              <w:rPr>
                <w:sz w:val="20"/>
                <w:szCs w:val="20"/>
                <w:color w:val="auto"/>
              </w:rPr>
            </w:pPr>
            <w:r>
              <w:rPr>
                <w:rFonts w:ascii="Arial" w:cs="Arial" w:eastAsia="Arial" w:hAnsi="Arial"/>
                <w:sz w:val="18"/>
                <w:szCs w:val="18"/>
                <w:color w:val="auto"/>
              </w:rPr>
              <w:t>Calendar</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Principal Payments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3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380" w:type="dxa"/>
            <w:vAlign w:val="bottom"/>
            <w:gridSpan w:val="3"/>
          </w:tcPr>
          <w:p>
            <w:pPr>
              <w:ind w:left="640"/>
              <w:spacing w:after="0"/>
              <w:rPr>
                <w:sz w:val="20"/>
                <w:szCs w:val="20"/>
                <w:color w:val="auto"/>
              </w:rPr>
            </w:pPr>
            <w:r>
              <w:rPr>
                <w:rFonts w:ascii="Arial" w:cs="Arial" w:eastAsia="Arial" w:hAnsi="Arial"/>
                <w:sz w:val="18"/>
                <w:szCs w:val="18"/>
                <w:color w:val="auto"/>
              </w:rPr>
              <w:t>Year</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(in thousands)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60" w:type="dxa"/>
            <w:vAlign w:val="bottom"/>
            <w:tcBorders>
              <w:top w:val="single" w:sz="8" w:color="auto"/>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2016</w:t>
            </w: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right w:val="single" w:sz="8" w:color="CCEEFF"/>
            </w:tcBorders>
            <w:gridSpan w:val="4"/>
            <w:shd w:val="clear" w:color="auto" w:fill="CCEEFF"/>
          </w:tcPr>
          <w:p>
            <w:pPr>
              <w:jc w:val="right"/>
              <w:spacing w:after="0" w:line="206" w:lineRule="exact"/>
              <w:rPr>
                <w:sz w:val="20"/>
                <w:szCs w:val="20"/>
                <w:color w:val="auto"/>
              </w:rPr>
            </w:pPr>
            <w:r>
              <w:rPr>
                <w:rFonts w:ascii="Arial" w:cs="Arial" w:eastAsia="Arial" w:hAnsi="Arial"/>
                <w:sz w:val="18"/>
                <w:szCs w:val="18"/>
                <w:color w:val="auto"/>
              </w:rPr>
              <w:t>651</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Arial" w:cs="Arial" w:eastAsia="Arial" w:hAnsi="Arial"/>
                <w:sz w:val="18"/>
                <w:szCs w:val="18"/>
                <w:color w:val="auto"/>
              </w:rPr>
              <w:t>2017</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2,741</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Total</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4"/>
          </w:tcPr>
          <w:p>
            <w:pPr>
              <w:jc w:val="right"/>
              <w:spacing w:after="0" w:line="206" w:lineRule="exact"/>
              <w:rPr>
                <w:sz w:val="20"/>
                <w:szCs w:val="20"/>
                <w:color w:val="auto"/>
              </w:rPr>
            </w:pPr>
            <w:r>
              <w:rPr>
                <w:rFonts w:ascii="Arial" w:cs="Arial" w:eastAsia="Arial" w:hAnsi="Arial"/>
                <w:sz w:val="18"/>
                <w:szCs w:val="18"/>
                <w:color w:val="auto"/>
              </w:rPr>
              <w:t>6,370</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EQUITY FINANCING</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universal shelf registration statement on Form S-3 (File No. 333-210039) was declared effective by the U.S. Securities and Exchange Commission (“SEC”) on March 30, 2016. We may file with the SEC a prospectus supplement to our S-3 registration statement to sell common stock or other equity or debt securities, from time to time, in “registered direct” offerings, “at the market” offerings and certain other transactions. We expect that the net proceeds from such transactions, if any are completed, will be used for general corporate purposes, including working capital, research, development and marketing expenses, clinical trial expenditures and capital expenditures.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 WARRANTS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outstanding common stock purchase warrants (“warrants”) exercisable for 60 thousand shares of our common stock having an exercise price of $2.52 per share (after giving effect to our one-for-five reverse stock split) with an expiration date in December 2020. See Note 11 for a discussion of the reduction of the exercise price of these warrants to $2.52 per share which were originally issued in connection with the issuance of the $10.0 million secured promissory notes in December 2013. These warrants contain a cashless exercise feature.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Our warrant activity during the nine month periods ended September 30, 2016 and 2015 is shown below (in thousands except price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4"/>
          </w:tcPr>
          <w:p>
            <w:pPr>
              <w:ind w:left="160"/>
              <w:spacing w:after="0"/>
              <w:rPr>
                <w:sz w:val="20"/>
                <w:szCs w:val="20"/>
                <w:color w:val="auto"/>
              </w:rPr>
            </w:pPr>
            <w:r>
              <w:rPr>
                <w:rFonts w:ascii="Arial" w:cs="Arial" w:eastAsia="Arial" w:hAnsi="Arial"/>
                <w:sz w:val="18"/>
                <w:szCs w:val="18"/>
                <w:color w:val="auto"/>
              </w:rPr>
              <w:t>Nine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4"/>
          </w:tcPr>
          <w:p>
            <w:pPr>
              <w:ind w:left="36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6"/>
        </w:trPr>
        <w:tc>
          <w:tcPr>
            <w:tcW w:w="1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2015</w:t>
            </w:r>
          </w:p>
        </w:tc>
        <w:tc>
          <w:tcPr>
            <w:tcW w:w="880" w:type="dxa"/>
            <w:vAlign w:val="bottom"/>
            <w:tcBorders>
              <w:bottom w:val="single" w:sz="8" w:color="auto"/>
            </w:tcBorders>
          </w:tcPr>
          <w:p>
            <w:pPr>
              <w:spacing w:after="0"/>
              <w:rPr>
                <w:sz w:val="19"/>
                <w:szCs w:val="19"/>
                <w:color w:val="auto"/>
              </w:rPr>
            </w:pPr>
          </w:p>
        </w:tc>
        <w:tc>
          <w:tcPr>
            <w:tcW w:w="1440" w:type="dxa"/>
            <w:vAlign w:val="bottom"/>
          </w:tcPr>
          <w:p>
            <w:pPr>
              <w:spacing w:after="0"/>
              <w:rPr>
                <w:sz w:val="19"/>
                <w:szCs w:val="19"/>
                <w:color w:val="auto"/>
              </w:rPr>
            </w:pPr>
          </w:p>
        </w:tc>
      </w:tr>
      <w:tr>
        <w:trPr>
          <w:trHeight w:val="194"/>
        </w:trPr>
        <w:tc>
          <w:tcPr>
            <w:tcW w:w="14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ind w:left="140"/>
              <w:spacing w:after="0" w:line="194" w:lineRule="exact"/>
              <w:rPr>
                <w:sz w:val="20"/>
                <w:szCs w:val="20"/>
                <w:color w:val="auto"/>
              </w:rPr>
            </w:pPr>
            <w:r>
              <w:rPr>
                <w:rFonts w:ascii="Arial" w:cs="Arial" w:eastAsia="Arial" w:hAnsi="Arial"/>
                <w:sz w:val="18"/>
                <w:szCs w:val="18"/>
                <w:color w:val="auto"/>
              </w:rPr>
              <w:t>WAvg</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112"/>
              <w:spacing w:after="0" w:line="194" w:lineRule="exact"/>
              <w:rPr>
                <w:sz w:val="20"/>
                <w:szCs w:val="20"/>
                <w:color w:val="auto"/>
              </w:rPr>
            </w:pPr>
            <w:r>
              <w:rPr>
                <w:rFonts w:ascii="Arial" w:cs="Arial" w:eastAsia="Arial" w:hAnsi="Arial"/>
                <w:sz w:val="18"/>
                <w:szCs w:val="18"/>
                <w:color w:val="auto"/>
                <w:w w:val="91"/>
              </w:rPr>
              <w:t>WAvg</w:t>
            </w:r>
          </w:p>
        </w:tc>
        <w:tc>
          <w:tcPr>
            <w:tcW w:w="1440" w:type="dxa"/>
            <w:vAlign w:val="bottom"/>
          </w:tcPr>
          <w:p>
            <w:pPr>
              <w:spacing w:after="0"/>
              <w:rPr>
                <w:sz w:val="16"/>
                <w:szCs w:val="16"/>
                <w:color w:val="auto"/>
              </w:rPr>
            </w:pPr>
          </w:p>
        </w:tc>
      </w:tr>
      <w:tr>
        <w:trPr>
          <w:trHeight w:val="212"/>
        </w:trPr>
        <w:tc>
          <w:tcPr>
            <w:tcW w:w="14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Exercise</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86"/>
              </w:rPr>
              <w:t>Exercise</w:t>
            </w: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Number</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Price</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Number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right="112"/>
              <w:spacing w:after="0"/>
              <w:rPr>
                <w:sz w:val="20"/>
                <w:szCs w:val="20"/>
                <w:color w:val="auto"/>
              </w:rPr>
            </w:pPr>
            <w:r>
              <w:rPr>
                <w:rFonts w:ascii="Arial" w:cs="Arial" w:eastAsia="Arial" w:hAnsi="Arial"/>
                <w:sz w:val="18"/>
                <w:szCs w:val="18"/>
                <w:color w:val="auto"/>
                <w:w w:val="87"/>
              </w:rPr>
              <w:t>Price</w:t>
            </w:r>
          </w:p>
        </w:tc>
        <w:tc>
          <w:tcPr>
            <w:tcW w:w="1440" w:type="dxa"/>
            <w:vAlign w:val="bottom"/>
          </w:tcPr>
          <w:p>
            <w:pPr>
              <w:spacing w:after="0"/>
              <w:rPr>
                <w:sz w:val="19"/>
                <w:szCs w:val="19"/>
                <w:color w:val="auto"/>
              </w:rPr>
            </w:pPr>
          </w:p>
        </w:tc>
      </w:tr>
      <w:tr>
        <w:trPr>
          <w:trHeight w:val="206"/>
        </w:trPr>
        <w:tc>
          <w:tcPr>
            <w:tcW w:w="144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beginning</w:t>
            </w: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w w:val="73"/>
              </w:rPr>
              <w:t>60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440" w:type="dxa"/>
            <w:vAlign w:val="bottom"/>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4200" w:type="dxa"/>
            <w:vAlign w:val="bottom"/>
          </w:tcPr>
          <w:p>
            <w:pPr>
              <w:ind w:left="160"/>
              <w:spacing w:after="0" w:line="204" w:lineRule="exact"/>
              <w:rPr>
                <w:sz w:val="20"/>
                <w:szCs w:val="20"/>
                <w:color w:val="auto"/>
              </w:rPr>
            </w:pPr>
            <w:r>
              <w:rPr>
                <w:rFonts w:ascii="Arial" w:cs="Arial" w:eastAsia="Arial" w:hAnsi="Arial"/>
                <w:sz w:val="18"/>
                <w:szCs w:val="18"/>
                <w:color w:val="auto"/>
              </w:rPr>
              <w:t>Issued</w:t>
            </w:r>
          </w:p>
        </w:tc>
        <w:tc>
          <w:tcPr>
            <w:tcW w:w="780" w:type="dxa"/>
            <w:vAlign w:val="bottom"/>
          </w:tcPr>
          <w:p>
            <w:pPr>
              <w:spacing w:after="0"/>
              <w:rPr>
                <w:sz w:val="17"/>
                <w:szCs w:val="17"/>
                <w:color w:val="auto"/>
              </w:rPr>
            </w:pPr>
          </w:p>
        </w:tc>
        <w:tc>
          <w:tcPr>
            <w:tcW w:w="18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tcPr>
          <w:p>
            <w:pPr>
              <w:ind w:left="88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144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12"/>
        </w:trPr>
        <w:tc>
          <w:tcPr>
            <w:tcW w:w="1440" w:type="dxa"/>
            <w:vAlign w:val="bottom"/>
          </w:tcPr>
          <w:p>
            <w:pPr>
              <w:spacing w:after="0"/>
              <w:rPr>
                <w:sz w:val="18"/>
                <w:szCs w:val="18"/>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Expired</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r>
      <w:tr>
        <w:trPr>
          <w:trHeight w:val="225"/>
        </w:trPr>
        <w:tc>
          <w:tcPr>
            <w:tcW w:w="1440" w:type="dxa"/>
            <w:vAlign w:val="bottom"/>
          </w:tcPr>
          <w:p>
            <w:pPr>
              <w:spacing w:after="0"/>
              <w:rPr>
                <w:sz w:val="19"/>
                <w:szCs w:val="19"/>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Modification</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40" w:type="dxa"/>
            <w:vAlign w:val="bottom"/>
          </w:tcPr>
          <w:p>
            <w:pPr>
              <w:spacing w:after="0"/>
              <w:rPr>
                <w:sz w:val="19"/>
                <w:szCs w:val="19"/>
                <w:color w:val="auto"/>
              </w:rPr>
            </w:pPr>
          </w:p>
        </w:tc>
      </w:tr>
      <w:tr>
        <w:trPr>
          <w:trHeight w:val="205"/>
        </w:trPr>
        <w:tc>
          <w:tcPr>
            <w:tcW w:w="1440" w:type="dxa"/>
            <w:vAlign w:val="bottom"/>
          </w:tcPr>
          <w:p>
            <w:pPr>
              <w:spacing w:after="0"/>
              <w:rPr>
                <w:sz w:val="17"/>
                <w:szCs w:val="17"/>
                <w:color w:val="auto"/>
              </w:rPr>
            </w:pPr>
          </w:p>
        </w:tc>
        <w:tc>
          <w:tcPr>
            <w:tcW w:w="4200" w:type="dxa"/>
            <w:vAlign w:val="bottom"/>
          </w:tcPr>
          <w:p>
            <w:pPr>
              <w:spacing w:after="0" w:line="203" w:lineRule="exact"/>
              <w:rPr>
                <w:sz w:val="20"/>
                <w:szCs w:val="20"/>
                <w:color w:val="auto"/>
              </w:rPr>
            </w:pPr>
            <w:r>
              <w:rPr>
                <w:rFonts w:ascii="Arial" w:cs="Arial" w:eastAsia="Arial" w:hAnsi="Arial"/>
                <w:sz w:val="18"/>
                <w:szCs w:val="18"/>
                <w:color w:val="auto"/>
              </w:rPr>
              <w:t>Outstanding, ending</w:t>
            </w:r>
          </w:p>
        </w:tc>
        <w:tc>
          <w:tcPr>
            <w:tcW w:w="7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60</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2.52</w:t>
            </w:r>
          </w:p>
        </w:tc>
        <w:tc>
          <w:tcPr>
            <w:tcW w:w="160" w:type="dxa"/>
            <w:vAlign w:val="bottom"/>
          </w:tcPr>
          <w:p>
            <w:pPr>
              <w:spacing w:after="0"/>
              <w:rPr>
                <w:sz w:val="17"/>
                <w:szCs w:val="17"/>
                <w:color w:val="auto"/>
              </w:rPr>
            </w:pPr>
          </w:p>
        </w:tc>
        <w:tc>
          <w:tcPr>
            <w:tcW w:w="9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w w:val="73"/>
              </w:rPr>
              <w:t>60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2.52</w:t>
            </w:r>
          </w:p>
        </w:tc>
        <w:tc>
          <w:tcPr>
            <w:tcW w:w="1440" w:type="dxa"/>
            <w:vAlign w:val="bottom"/>
          </w:tcPr>
          <w:p>
            <w:pPr>
              <w:spacing w:after="0"/>
              <w:rPr>
                <w:sz w:val="17"/>
                <w:szCs w:val="17"/>
                <w:color w:val="auto"/>
              </w:rPr>
            </w:pPr>
          </w:p>
        </w:tc>
      </w:tr>
      <w:tr>
        <w:trPr>
          <w:trHeight w:val="629"/>
        </w:trPr>
        <w:tc>
          <w:tcPr>
            <w:tcW w:w="642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14 - SHARE-BASED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have three share-based compensation plans covering stock options and RSUs for our employees and directors.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market price of our common stock on the date of grant, less its exercise cost.</w:t>
      </w:r>
    </w:p>
    <w:p>
      <w:pPr>
        <w:spacing w:after="0" w:line="195" w:lineRule="exact"/>
        <w:rPr>
          <w:sz w:val="20"/>
          <w:szCs w:val="20"/>
          <w:color w:val="auto"/>
        </w:rPr>
      </w:pPr>
    </w:p>
    <w:p>
      <w:pPr>
        <w:ind w:right="460"/>
        <w:spacing w:after="0" w:line="265" w:lineRule="auto"/>
        <w:rPr>
          <w:sz w:val="20"/>
          <w:szCs w:val="20"/>
          <w:color w:val="auto"/>
        </w:rPr>
      </w:pPr>
      <w:r>
        <w:rPr>
          <w:rFonts w:ascii="Arial" w:cs="Arial" w:eastAsia="Arial" w:hAnsi="Arial"/>
          <w:sz w:val="18"/>
          <w:szCs w:val="18"/>
          <w:color w:val="auto"/>
        </w:rPr>
        <w:t>Our share-based compensation expense recognized in the Company’s results of operations from all types of issued instruments comprised the following (in thousands):</w:t>
      </w:r>
    </w:p>
    <w:p>
      <w:pPr>
        <w:spacing w:after="0" w:line="179"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gridSpan w:val="4"/>
          </w:tcPr>
          <w:p>
            <w:pPr>
              <w:jc w:val="right"/>
              <w:ind w:right="32"/>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jc w:val="right"/>
              <w:ind w:right="5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40" w:type="dxa"/>
            <w:vAlign w:val="bottom"/>
            <w:gridSpan w:val="4"/>
          </w:tcPr>
          <w:p>
            <w:pPr>
              <w:jc w:val="right"/>
              <w:ind w:right="272"/>
              <w:spacing w:after="0"/>
              <w:rPr>
                <w:sz w:val="20"/>
                <w:szCs w:val="20"/>
                <w:color w:val="auto"/>
              </w:rPr>
            </w:pPr>
            <w:r>
              <w:rPr>
                <w:rFonts w:ascii="Arial" w:cs="Arial" w:eastAsia="Arial" w:hAnsi="Arial"/>
                <w:sz w:val="18"/>
                <w:szCs w:val="18"/>
                <w:color w:val="auto"/>
              </w:rPr>
              <w:t>September 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5"/>
          </w:tcPr>
          <w:p>
            <w:pPr>
              <w:jc w:val="right"/>
              <w:ind w:right="72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6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Research and development expense:</w:t>
            </w:r>
          </w:p>
        </w:tc>
        <w:tc>
          <w:tcPr>
            <w:tcW w:w="10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1860" w:type="dxa"/>
            <w:vAlign w:val="bottom"/>
            <w:gridSpan w:val="2"/>
          </w:tcPr>
          <w:p>
            <w:pPr>
              <w:jc w:val="right"/>
              <w:ind w:right="59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3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w:t>
            </w:r>
          </w:p>
        </w:tc>
        <w:tc>
          <w:tcPr>
            <w:tcW w:w="10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tcBorders>
              <w:bottom w:val="single" w:sz="8" w:color="CCEEFF"/>
            </w:tcBorders>
          </w:tcPr>
          <w:p>
            <w:pPr>
              <w:ind w:left="300"/>
              <w:spacing w:after="0" w:line="203" w:lineRule="exact"/>
              <w:rPr>
                <w:sz w:val="20"/>
                <w:szCs w:val="20"/>
                <w:color w:val="auto"/>
              </w:rPr>
            </w:pPr>
            <w:r>
              <w:rPr>
                <w:rFonts w:ascii="Arial" w:cs="Arial" w:eastAsia="Arial" w:hAnsi="Arial"/>
                <w:sz w:val="18"/>
                <w:szCs w:val="18"/>
                <w:color w:val="auto"/>
              </w:rPr>
              <w:t>Subtotal</w:t>
            </w:r>
          </w:p>
        </w:tc>
        <w:tc>
          <w:tcPr>
            <w:tcW w:w="108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592"/>
              <w:spacing w:after="0" w:line="20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72"/>
              <w:spacing w:after="0" w:line="20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128</w:t>
            </w:r>
          </w:p>
        </w:tc>
        <w:tc>
          <w:tcPr>
            <w:tcW w:w="1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18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107</w:t>
            </w:r>
          </w:p>
        </w:tc>
        <w:tc>
          <w:tcPr>
            <w:tcW w:w="3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tcPr>
          <w:p>
            <w:pPr>
              <w:ind w:left="140"/>
              <w:spacing w:after="0"/>
              <w:rPr>
                <w:sz w:val="20"/>
                <w:szCs w:val="20"/>
                <w:color w:val="auto"/>
              </w:rPr>
            </w:pPr>
            <w:r>
              <w:rPr>
                <w:rFonts w:ascii="Arial" w:cs="Arial" w:eastAsia="Arial" w:hAnsi="Arial"/>
                <w:sz w:val="18"/>
                <w:szCs w:val="18"/>
                <w:color w:val="auto"/>
              </w:rPr>
              <w:t>Restricted stock units</w:t>
            </w: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60" w:type="dxa"/>
            <w:vAlign w:val="bottom"/>
            <w:tcBorders>
              <w:top w:val="single" w:sz="8" w:color="CCEEFF"/>
            </w:tcBorders>
            <w:shd w:val="clear" w:color="auto" w:fill="CCEEFF"/>
          </w:tcPr>
          <w:p>
            <w:pPr>
              <w:ind w:left="300"/>
              <w:spacing w:after="0" w:line="204" w:lineRule="exact"/>
              <w:rPr>
                <w:sz w:val="20"/>
                <w:szCs w:val="20"/>
                <w:color w:val="auto"/>
              </w:rPr>
            </w:pPr>
            <w:r>
              <w:rPr>
                <w:rFonts w:ascii="Arial" w:cs="Arial" w:eastAsia="Arial" w:hAnsi="Arial"/>
                <w:sz w:val="18"/>
                <w:szCs w:val="18"/>
                <w:color w:val="auto"/>
              </w:rPr>
              <w:t>Subtotal</w:t>
            </w:r>
          </w:p>
        </w:tc>
        <w:tc>
          <w:tcPr>
            <w:tcW w:w="10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592"/>
              <w:spacing w:after="0" w:line="20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3"/>
              </w:rPr>
              <w:t>107</w:t>
            </w: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72"/>
              <w:spacing w:after="0" w:line="206"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3"/>
              </w:rPr>
              <w:t>111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322</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150</w:t>
            </w: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150</w:t>
            </w:r>
          </w:p>
        </w:tc>
        <w:tc>
          <w:tcPr>
            <w:tcW w:w="3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17"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We have two stock option plans in effect, and one stock option plan has expired by its terms, but pursuant to which stock options have been granted and remain outstanding. Our stock option award activity during the nine month periods ended September 30, 2016 and 2015 is shown below:</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212"/>
        </w:trPr>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4"/>
          </w:tcPr>
          <w:p>
            <w:pPr>
              <w:jc w:val="right"/>
              <w:ind w:right="660"/>
              <w:spacing w:after="0"/>
              <w:rPr>
                <w:sz w:val="20"/>
                <w:szCs w:val="20"/>
                <w:color w:val="auto"/>
              </w:rPr>
            </w:pPr>
            <w:r>
              <w:rPr>
                <w:rFonts w:ascii="Arial" w:cs="Arial" w:eastAsia="Arial" w:hAnsi="Arial"/>
                <w:sz w:val="18"/>
                <w:szCs w:val="18"/>
                <w:color w:val="auto"/>
              </w:rPr>
              <w:t>Nine months 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gridSpan w:val="4"/>
          </w:tcPr>
          <w:p>
            <w:pPr>
              <w:jc w:val="right"/>
              <w:ind w:right="82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3520" w:type="dxa"/>
            <w:vAlign w:val="bottom"/>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2015</w:t>
            </w: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4"/>
        </w:trPr>
        <w:tc>
          <w:tcPr>
            <w:tcW w:w="3520" w:type="dxa"/>
            <w:vAlign w:val="bottom"/>
          </w:tcPr>
          <w:p>
            <w:pPr>
              <w:spacing w:after="0"/>
              <w:rPr>
                <w:sz w:val="16"/>
                <w:szCs w:val="16"/>
                <w:color w:val="auto"/>
              </w:rPr>
            </w:pPr>
          </w:p>
        </w:tc>
        <w:tc>
          <w:tcPr>
            <w:tcW w:w="1300" w:type="dxa"/>
            <w:vAlign w:val="bottom"/>
            <w:gridSpan w:val="2"/>
          </w:tcPr>
          <w:p>
            <w:pPr>
              <w:jc w:val="center"/>
              <w:ind w:right="160"/>
              <w:spacing w:after="0" w:line="194" w:lineRule="exact"/>
              <w:rPr>
                <w:sz w:val="20"/>
                <w:szCs w:val="20"/>
                <w:color w:val="auto"/>
              </w:rPr>
            </w:pPr>
            <w:r>
              <w:rPr>
                <w:rFonts w:ascii="Arial" w:cs="Arial" w:eastAsia="Arial" w:hAnsi="Arial"/>
                <w:sz w:val="18"/>
                <w:szCs w:val="18"/>
                <w:color w:val="auto"/>
                <w:w w:val="90"/>
              </w:rPr>
              <w:t>Number</w:t>
            </w:r>
          </w:p>
        </w:tc>
        <w:tc>
          <w:tcPr>
            <w:tcW w:w="160" w:type="dxa"/>
            <w:vAlign w:val="bottom"/>
          </w:tcPr>
          <w:p>
            <w:pPr>
              <w:spacing w:after="0"/>
              <w:rPr>
                <w:sz w:val="16"/>
                <w:szCs w:val="16"/>
                <w:color w:val="auto"/>
              </w:rPr>
            </w:pPr>
          </w:p>
        </w:tc>
        <w:tc>
          <w:tcPr>
            <w:tcW w:w="960" w:type="dxa"/>
            <w:vAlign w:val="bottom"/>
          </w:tcPr>
          <w:p>
            <w:pPr>
              <w:jc w:val="center"/>
              <w:ind w:right="72"/>
              <w:spacing w:after="0" w:line="194" w:lineRule="exact"/>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92"/>
              <w:spacing w:after="0" w:line="194" w:lineRule="exact"/>
              <w:rPr>
                <w:sz w:val="20"/>
                <w:szCs w:val="20"/>
                <w:color w:val="auto"/>
              </w:rPr>
            </w:pPr>
            <w:r>
              <w:rPr>
                <w:rFonts w:ascii="Arial" w:cs="Arial" w:eastAsia="Arial" w:hAnsi="Arial"/>
                <w:sz w:val="18"/>
                <w:szCs w:val="18"/>
                <w:color w:val="auto"/>
                <w:w w:val="86"/>
              </w:rPr>
              <w:t>Weighted</w:t>
            </w:r>
          </w:p>
        </w:tc>
        <w:tc>
          <w:tcPr>
            <w:tcW w:w="60" w:type="dxa"/>
            <w:vAlign w:val="bottom"/>
          </w:tcPr>
          <w:p>
            <w:pPr>
              <w:spacing w:after="0"/>
              <w:rPr>
                <w:sz w:val="16"/>
                <w:szCs w:val="16"/>
                <w:color w:val="auto"/>
              </w:rPr>
            </w:pPr>
          </w:p>
        </w:tc>
      </w:tr>
      <w:tr>
        <w:trPr>
          <w:trHeight w:val="212"/>
        </w:trPr>
        <w:tc>
          <w:tcPr>
            <w:tcW w:w="35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of</w:t>
            </w: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Number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r>
      <w:tr>
        <w:trPr>
          <w:trHeight w:val="212"/>
        </w:trPr>
        <w:tc>
          <w:tcPr>
            <w:tcW w:w="352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Options</w:t>
            </w: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Exercise</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Options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w:t>
            </w:r>
          </w:p>
        </w:tc>
      </w:tr>
      <w:tr>
        <w:trPr>
          <w:trHeight w:val="223"/>
        </w:trPr>
        <w:tc>
          <w:tcPr>
            <w:tcW w:w="3520" w:type="dxa"/>
            <w:vAlign w:val="bottom"/>
          </w:tcPr>
          <w:p>
            <w:pPr>
              <w:spacing w:after="0"/>
              <w:rPr>
                <w:sz w:val="19"/>
                <w:szCs w:val="19"/>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(000’s)</w:t>
            </w:r>
          </w:p>
        </w:tc>
        <w:tc>
          <w:tcPr>
            <w:tcW w:w="16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(000’s)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Price</w:t>
            </w:r>
          </w:p>
        </w:tc>
      </w:tr>
      <w:tr>
        <w:trPr>
          <w:trHeight w:val="206"/>
        </w:trPr>
        <w:tc>
          <w:tcPr>
            <w:tcW w:w="35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beginning</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60" w:type="dxa"/>
            <w:vAlign w:val="bottom"/>
            <w:tcBorders>
              <w:top w:val="single" w:sz="8" w:color="CCEEFF"/>
            </w:tcBorders>
            <w:shd w:val="clear" w:color="auto" w:fill="CCEEFF"/>
          </w:tcPr>
          <w:p>
            <w:pPr>
              <w:spacing w:after="0"/>
              <w:rPr>
                <w:sz w:val="17"/>
                <w:szCs w:val="17"/>
                <w:color w:val="auto"/>
              </w:rPr>
            </w:pPr>
          </w:p>
        </w:tc>
      </w:tr>
      <w:tr>
        <w:trPr>
          <w:trHeight w:val="205"/>
        </w:trPr>
        <w:tc>
          <w:tcPr>
            <w:tcW w:w="3520" w:type="dxa"/>
            <w:vAlign w:val="bottom"/>
          </w:tcPr>
          <w:p>
            <w:pPr>
              <w:ind w:left="160"/>
              <w:spacing w:after="0" w:line="204" w:lineRule="exact"/>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12"/>
        </w:trPr>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4"/>
        </w:trPr>
        <w:tc>
          <w:tcPr>
            <w:tcW w:w="352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24.50</w:t>
            </w:r>
          </w:p>
        </w:tc>
        <w:tc>
          <w:tcPr>
            <w:tcW w:w="60" w:type="dxa"/>
            <w:vAlign w:val="bottom"/>
          </w:tcPr>
          <w:p>
            <w:pPr>
              <w:spacing w:after="0"/>
              <w:rPr>
                <w:sz w:val="19"/>
                <w:szCs w:val="19"/>
                <w:color w:val="auto"/>
              </w:rPr>
            </w:pPr>
          </w:p>
        </w:tc>
      </w:tr>
      <w:tr>
        <w:trPr>
          <w:trHeight w:val="206"/>
        </w:trPr>
        <w:tc>
          <w:tcPr>
            <w:tcW w:w="35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ending</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60" w:type="dxa"/>
            <w:vAlign w:val="bottom"/>
            <w:tcBorders>
              <w:top w:val="single" w:sz="8" w:color="CCEEFF"/>
            </w:tcBorders>
            <w:shd w:val="clear" w:color="auto" w:fill="CCEEFF"/>
          </w:tcPr>
          <w:p>
            <w:pPr>
              <w:spacing w:after="0"/>
              <w:rPr>
                <w:sz w:val="17"/>
                <w:szCs w:val="17"/>
                <w:color w:val="auto"/>
              </w:rPr>
            </w:pPr>
          </w:p>
        </w:tc>
      </w:tr>
      <w:tr>
        <w:trPr>
          <w:trHeight w:val="205"/>
        </w:trPr>
        <w:tc>
          <w:tcPr>
            <w:tcW w:w="3520" w:type="dxa"/>
            <w:vAlign w:val="bottom"/>
          </w:tcPr>
          <w:p>
            <w:pPr>
              <w:spacing w:after="0" w:line="203" w:lineRule="exact"/>
              <w:rPr>
                <w:sz w:val="20"/>
                <w:szCs w:val="20"/>
                <w:color w:val="auto"/>
              </w:rPr>
            </w:pPr>
            <w:r>
              <w:rPr>
                <w:rFonts w:ascii="Arial" w:cs="Arial" w:eastAsia="Arial" w:hAnsi="Arial"/>
                <w:sz w:val="18"/>
                <w:szCs w:val="18"/>
                <w:color w:val="auto"/>
              </w:rPr>
              <w:t>Options exercisable</w:t>
            </w:r>
          </w:p>
        </w:tc>
        <w:tc>
          <w:tcPr>
            <w:tcW w:w="11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1,000</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18.37</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779</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23.21</w:t>
            </w:r>
          </w:p>
        </w:tc>
        <w:tc>
          <w:tcPr>
            <w:tcW w:w="60" w:type="dxa"/>
            <w:vAlign w:val="bottom"/>
          </w:tcPr>
          <w:p>
            <w:pPr>
              <w:spacing w:after="0"/>
              <w:rPr>
                <w:sz w:val="17"/>
                <w:szCs w:val="17"/>
                <w:color w:val="auto"/>
              </w:rPr>
            </w:pPr>
          </w:p>
        </w:tc>
      </w:tr>
    </w:tbl>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was no intrinsic value of option awards which were vested and outstanding at September 30, 2016. The intrinsic value of the option awards which were vested and outstanding at December 31, 2015 was $6 thousand. The total remaining unrecognized compensation cost on unvested option awards outstanding at September 30, 2016 was $351 thousand, and is expected to be recognized in operating expense over the 14 months remaining in the requisite service periods. As of September 30, 2016, 615 thousand shares are available for award under the stock option plans.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 Restricted Stock Unit Award Plan (the “2014 RSU Plan”) for our employees and non-employee directors. Vesting of an RSU entitles the holder to receive a share of our common stock on a distribution date. The share-based compensation cost to be incurred on a granted RSU is the RSU’s fair value, which is the market price of our common stock on the date of grant, less its exercise cost. The compensation cost is amortized to expense over the vesting period of the RSU award.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40" w:type="dxa"/>
            <w:vAlign w:val="bottom"/>
            <w:gridSpan w:val="3"/>
          </w:tcPr>
          <w:p>
            <w:pPr>
              <w:spacing w:after="0"/>
              <w:rPr>
                <w:sz w:val="20"/>
                <w:szCs w:val="20"/>
                <w:color w:val="auto"/>
              </w:rPr>
            </w:pPr>
            <w:r>
              <w:rPr>
                <w:rFonts w:ascii="Arial" w:cs="Arial" w:eastAsia="Arial" w:hAnsi="Arial"/>
                <w:sz w:val="18"/>
                <w:szCs w:val="18"/>
                <w:color w:val="auto"/>
              </w:rPr>
              <w:t>A summary of the grants under the RSU Plans consisted of the following:</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24"/>
        </w:trPr>
        <w:tc>
          <w:tcPr>
            <w:tcW w:w="14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6"/>
          </w:tcPr>
          <w:p>
            <w:pPr>
              <w:jc w:val="center"/>
              <w:ind w:right="240"/>
              <w:spacing w:after="0"/>
              <w:rPr>
                <w:sz w:val="20"/>
                <w:szCs w:val="20"/>
                <w:color w:val="auto"/>
              </w:rPr>
            </w:pPr>
            <w:r>
              <w:rPr>
                <w:rFonts w:ascii="Arial" w:cs="Arial" w:eastAsia="Arial" w:hAnsi="Arial"/>
                <w:sz w:val="18"/>
                <w:szCs w:val="18"/>
                <w:color w:val="auto"/>
                <w:w w:val="88"/>
              </w:rPr>
              <w:t>Nine months Ended September 30,</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14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2015</w:t>
            </w: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6"/>
        </w:trPr>
        <w:tc>
          <w:tcPr>
            <w:tcW w:w="14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jc w:val="center"/>
              <w:ind w:right="340"/>
              <w:spacing w:after="0" w:line="206" w:lineRule="exact"/>
              <w:rPr>
                <w:sz w:val="20"/>
                <w:szCs w:val="20"/>
                <w:color w:val="auto"/>
              </w:rPr>
            </w:pPr>
            <w:r>
              <w:rPr>
                <w:rFonts w:ascii="Arial" w:cs="Arial" w:eastAsia="Arial" w:hAnsi="Arial"/>
                <w:sz w:val="18"/>
                <w:szCs w:val="18"/>
                <w:color w:val="auto"/>
                <w:w w:val="87"/>
              </w:rPr>
              <w:t>(in thousands)</w:t>
            </w:r>
          </w:p>
        </w:tc>
        <w:tc>
          <w:tcPr>
            <w:tcW w:w="9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14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80"/>
              <w:spacing w:after="0" w:line="193" w:lineRule="exact"/>
              <w:rPr>
                <w:sz w:val="20"/>
                <w:szCs w:val="20"/>
                <w:color w:val="auto"/>
              </w:rPr>
            </w:pPr>
            <w:r>
              <w:rPr>
                <w:rFonts w:ascii="Arial" w:cs="Arial" w:eastAsia="Arial" w:hAnsi="Arial"/>
                <w:sz w:val="18"/>
                <w:szCs w:val="18"/>
                <w:color w:val="auto"/>
                <w:w w:val="92"/>
              </w:rPr>
              <w:t>Number of</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2"/>
              <w:spacing w:after="0" w:line="193" w:lineRule="exact"/>
              <w:rPr>
                <w:sz w:val="20"/>
                <w:szCs w:val="20"/>
                <w:color w:val="auto"/>
              </w:rPr>
            </w:pPr>
            <w:r>
              <w:rPr>
                <w:rFonts w:ascii="Arial" w:cs="Arial" w:eastAsia="Arial" w:hAnsi="Arial"/>
                <w:sz w:val="18"/>
                <w:szCs w:val="18"/>
                <w:color w:val="auto"/>
                <w:w w:val="90"/>
              </w:rPr>
              <w:t>Number of</w:t>
            </w:r>
          </w:p>
        </w:tc>
        <w:tc>
          <w:tcPr>
            <w:tcW w:w="60" w:type="dxa"/>
            <w:vAlign w:val="bottom"/>
          </w:tcPr>
          <w:p>
            <w:pPr>
              <w:spacing w:after="0"/>
              <w:rPr>
                <w:sz w:val="16"/>
                <w:szCs w:val="16"/>
                <w:color w:val="auto"/>
              </w:rPr>
            </w:pPr>
          </w:p>
        </w:tc>
      </w:tr>
      <w:tr>
        <w:trPr>
          <w:trHeight w:val="212"/>
        </w:trPr>
        <w:tc>
          <w:tcPr>
            <w:tcW w:w="1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80" w:type="dxa"/>
            <w:vAlign w:val="bottom"/>
          </w:tcPr>
          <w:p>
            <w:pPr>
              <w:ind w:left="280"/>
              <w:spacing w:after="0"/>
              <w:rPr>
                <w:sz w:val="20"/>
                <w:szCs w:val="20"/>
                <w:color w:val="auto"/>
              </w:rPr>
            </w:pPr>
            <w:r>
              <w:rPr>
                <w:rFonts w:ascii="Arial" w:cs="Arial" w:eastAsia="Arial" w:hAnsi="Arial"/>
                <w:sz w:val="18"/>
                <w:szCs w:val="18"/>
                <w:color w:val="auto"/>
                <w:w w:val="90"/>
              </w:rPr>
              <w:t>Number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Vested</w:t>
            </w: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Number of</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Vested</w:t>
            </w:r>
          </w:p>
        </w:tc>
      </w:tr>
      <w:tr>
        <w:trPr>
          <w:trHeight w:val="223"/>
        </w:trPr>
        <w:tc>
          <w:tcPr>
            <w:tcW w:w="14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w w:val="89"/>
              </w:rPr>
              <w:t>of RSUs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RSUs</w:t>
            </w: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color w:val="auto"/>
                <w:w w:val="85"/>
              </w:rPr>
              <w:t>RSUs</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RSUs</w:t>
            </w:r>
          </w:p>
        </w:tc>
      </w:tr>
      <w:tr>
        <w:trPr>
          <w:trHeight w:val="206"/>
        </w:trPr>
        <w:tc>
          <w:tcPr>
            <w:tcW w:w="144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beginning</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top w:val="single" w:sz="8" w:color="CCEEFF"/>
            </w:tcBorders>
            <w:shd w:val="clear" w:color="auto" w:fill="CCEEFF"/>
          </w:tcPr>
          <w:p>
            <w:pPr>
              <w:spacing w:after="0"/>
              <w:rPr>
                <w:sz w:val="17"/>
                <w:szCs w:val="17"/>
                <w:color w:val="auto"/>
              </w:rPr>
            </w:pPr>
          </w:p>
        </w:tc>
      </w:tr>
      <w:tr>
        <w:trPr>
          <w:trHeight w:val="205"/>
        </w:trPr>
        <w:tc>
          <w:tcPr>
            <w:tcW w:w="1440" w:type="dxa"/>
            <w:vAlign w:val="bottom"/>
          </w:tcPr>
          <w:p>
            <w:pPr>
              <w:spacing w:after="0"/>
              <w:rPr>
                <w:sz w:val="17"/>
                <w:szCs w:val="17"/>
                <w:color w:val="auto"/>
              </w:rPr>
            </w:pPr>
          </w:p>
        </w:tc>
        <w:tc>
          <w:tcPr>
            <w:tcW w:w="3520" w:type="dxa"/>
            <w:vAlign w:val="bottom"/>
          </w:tcPr>
          <w:p>
            <w:pPr>
              <w:ind w:left="160"/>
              <w:spacing w:after="0" w:line="204" w:lineRule="exact"/>
              <w:rPr>
                <w:sz w:val="20"/>
                <w:szCs w:val="20"/>
                <w:color w:val="auto"/>
              </w:rPr>
            </w:pPr>
            <w:r>
              <w:rPr>
                <w:rFonts w:ascii="Arial" w:cs="Arial" w:eastAsia="Arial" w:hAnsi="Arial"/>
                <w:sz w:val="18"/>
                <w:szCs w:val="18"/>
                <w:color w:val="auto"/>
              </w:rPr>
              <w:t>Granted</w:t>
            </w:r>
          </w:p>
        </w:tc>
        <w:tc>
          <w:tcPr>
            <w:tcW w:w="880" w:type="dxa"/>
            <w:vAlign w:val="bottom"/>
          </w:tcPr>
          <w:p>
            <w:pPr>
              <w:spacing w:after="0"/>
              <w:rPr>
                <w:sz w:val="17"/>
                <w:szCs w:val="17"/>
                <w:color w:val="auto"/>
              </w:rPr>
            </w:pPr>
          </w:p>
        </w:tc>
        <w:tc>
          <w:tcPr>
            <w:tcW w:w="260" w:type="dxa"/>
            <w:vAlign w:val="bottom"/>
          </w:tcPr>
          <w:p>
            <w:pPr>
              <w:jc w:val="right"/>
              <w:spacing w:after="0" w:line="206" w:lineRule="exact"/>
              <w:rPr>
                <w:sz w:val="20"/>
                <w:szCs w:val="20"/>
                <w:color w:val="auto"/>
              </w:rPr>
            </w:pPr>
            <w:r>
              <w:rPr>
                <w:rFonts w:ascii="Arial" w:cs="Arial" w:eastAsia="Arial" w:hAnsi="Arial"/>
                <w:sz w:val="18"/>
                <w:szCs w:val="18"/>
                <w:color w:val="auto"/>
              </w:rPr>
              <w:t>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spacing w:after="0" w:line="206"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12"/>
        </w:trPr>
        <w:tc>
          <w:tcPr>
            <w:tcW w:w="1440" w:type="dxa"/>
            <w:vAlign w:val="bottom"/>
          </w:tcPr>
          <w:p>
            <w:pPr>
              <w:spacing w:after="0"/>
              <w:rPr>
                <w:sz w:val="18"/>
                <w:szCs w:val="18"/>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(42)</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12"/>
        </w:trPr>
        <w:tc>
          <w:tcPr>
            <w:tcW w:w="144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Vested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r>
      <w:tr>
        <w:trPr>
          <w:trHeight w:val="225"/>
        </w:trPr>
        <w:tc>
          <w:tcPr>
            <w:tcW w:w="1440" w:type="dxa"/>
            <w:vAlign w:val="bottom"/>
          </w:tcPr>
          <w:p>
            <w:pPr>
              <w:spacing w:after="0"/>
              <w:rPr>
                <w:sz w:val="19"/>
                <w:szCs w:val="19"/>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Forfeited or expired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05"/>
        </w:trPr>
        <w:tc>
          <w:tcPr>
            <w:tcW w:w="1440" w:type="dxa"/>
            <w:vAlign w:val="bottom"/>
          </w:tcPr>
          <w:p>
            <w:pPr>
              <w:spacing w:after="0"/>
              <w:rPr>
                <w:sz w:val="17"/>
                <w:szCs w:val="17"/>
                <w:color w:val="auto"/>
              </w:rPr>
            </w:pPr>
          </w:p>
        </w:tc>
        <w:tc>
          <w:tcPr>
            <w:tcW w:w="3520" w:type="dxa"/>
            <w:vAlign w:val="bottom"/>
          </w:tcPr>
          <w:p>
            <w:pPr>
              <w:spacing w:after="0" w:line="203" w:lineRule="exact"/>
              <w:rPr>
                <w:sz w:val="20"/>
                <w:szCs w:val="20"/>
                <w:color w:val="auto"/>
              </w:rPr>
            </w:pPr>
            <w:r>
              <w:rPr>
                <w:rFonts w:ascii="Arial" w:cs="Arial" w:eastAsia="Arial" w:hAnsi="Arial"/>
                <w:sz w:val="18"/>
                <w:szCs w:val="18"/>
                <w:color w:val="auto"/>
              </w:rPr>
              <w:t>Outstanding, ending</w:t>
            </w:r>
          </w:p>
        </w:tc>
        <w:tc>
          <w:tcPr>
            <w:tcW w:w="8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69</w:t>
            </w:r>
          </w:p>
        </w:tc>
        <w:tc>
          <w:tcPr>
            <w:tcW w:w="16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45</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35</w:t>
            </w:r>
          </w:p>
        </w:tc>
        <w:tc>
          <w:tcPr>
            <w:tcW w:w="60" w:type="dxa"/>
            <w:vAlign w:val="bottom"/>
          </w:tcPr>
          <w:p>
            <w:pPr>
              <w:spacing w:after="0"/>
              <w:rPr>
                <w:sz w:val="17"/>
                <w:szCs w:val="17"/>
                <w:color w:val="auto"/>
              </w:rPr>
            </w:pPr>
          </w:p>
        </w:tc>
      </w:tr>
    </w:tbl>
    <w:p>
      <w:pPr>
        <w:spacing w:after="0" w:line="200"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Our 2014 RSU Plan was approved by shareholders on May 1, 2014 and permits the grant of up to 400 thousand shares of our common stock pursuant to awards under the 2014 RSU Plan. As of September 30, 2016, 242 thousand shares are available for award under the 2014 RSU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RSU grants under the 2014 RSU Plan is as follows:</w:t>
      </w:r>
    </w:p>
    <w:p>
      <w:pPr>
        <w:spacing w:after="0" w:line="217" w:lineRule="exact"/>
        <w:rPr>
          <w:sz w:val="20"/>
          <w:szCs w:val="20"/>
          <w:color w:val="auto"/>
        </w:rPr>
      </w:pPr>
    </w:p>
    <w:p>
      <w:pPr>
        <w:jc w:val="both"/>
        <w:ind w:left="640" w:hanging="316"/>
        <w:spacing w:after="0" w:line="312" w:lineRule="auto"/>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On January 2, 2015, we awarded approximately 10.3 thousand RSUs to each of our 4 non-employee directors which also allow for them to receive payment in cash, instead of stock, for up to 40% of each RSU award. Such awards vest 25% at the end of each calendar quarter in 2015. The portion of the RSU awards which are subject to cash settlement are also subject to marked-to market accounting and the liability recorded in the Company’s balance sheet as an estimate for such cash settlement was $45 thousand at December 31, 2015. Distributions of stock under the January 2, 2015 award could not be deferred until a later date and the stock under such awards was distributed on January 4, 2016.</w:t>
      </w:r>
    </w:p>
    <w:p>
      <w:pPr>
        <w:spacing w:after="0" w:line="151" w:lineRule="exact"/>
        <w:rPr>
          <w:rFonts w:ascii="Arial" w:cs="Arial" w:eastAsia="Arial" w:hAnsi="Arial"/>
          <w:sz w:val="15"/>
          <w:szCs w:val="15"/>
          <w:color w:val="auto"/>
        </w:rPr>
      </w:pPr>
    </w:p>
    <w:p>
      <w:pPr>
        <w:jc w:val="both"/>
        <w:ind w:left="640" w:hanging="316"/>
        <w:spacing w:after="0" w:line="249"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4, 2016, we awarded approximately 22.0 thousand RSUs to each of our 4 non-employee directors which also allow for them to receive payment in cash, instead of stock, for up to 40% of each RSU award. Such awards vest 25% at the end of each calendar quarter in 2016. The portion of the RSU awards which are subject to cash settlement are also subject to marked-to market accounting and the liability recorded in the Company’s balance sheet as an estimate for such cash settlement was $44 thousand at September 30, 2016. Distributions of stock under the January 4, 2016 award are generally distributed on the first business day of the year after vesting, but such distribution can be deferred until a later date at the election of the non-employee director.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2014 RSU Plan is as follows:</w:t>
      </w:r>
    </w:p>
    <w:p>
      <w:pPr>
        <w:spacing w:after="0" w:line="217" w:lineRule="exact"/>
        <w:rPr>
          <w:sz w:val="20"/>
          <w:szCs w:val="20"/>
          <w:color w:val="auto"/>
        </w:rPr>
      </w:pPr>
    </w:p>
    <w:p>
      <w:pPr>
        <w:ind w:left="640" w:right="20" w:hanging="316"/>
        <w:spacing w:after="0" w:line="366" w:lineRule="auto"/>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On January 2, 2015, 25.8 thousand RSUs from the May 1, 2014 award were distributed and 3.6 thousand RSUs were deferred until a future distribution date. Of the 25.8 thousand RSUs distributed, 19.8 thousand RSUs were distributed in common stock and 6 thousand RSUs were settled in cash.</w:t>
      </w:r>
    </w:p>
    <w:p>
      <w:pPr>
        <w:spacing w:after="0" w:line="110" w:lineRule="exact"/>
        <w:rPr>
          <w:rFonts w:ascii="Arial" w:cs="Arial" w:eastAsia="Arial" w:hAnsi="Arial"/>
          <w:sz w:val="15"/>
          <w:szCs w:val="15"/>
          <w:color w:val="auto"/>
        </w:rPr>
      </w:pPr>
    </w:p>
    <w:p>
      <w:pPr>
        <w:jc w:val="both"/>
        <w:ind w:left="640" w:hanging="316"/>
        <w:spacing w:after="0" w:line="330" w:lineRule="auto"/>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On January 4, 2016, 41.2 thousand RSUs from the January 2, 2015 award were distributed and 1.2 thousand RSUs from the May 1, 2014 award were distributed. Approximately 2.4 thousand RSUs from the May 1, 2014 award are being deferred until a future distribution date. Of the 42.4 thousand RSUs distributed, 32.8 thousand RSUs were distributed in common stock and 9.6 thousand RSUs were settled for $23.8 thousand.</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15 - INCOME TAXES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September 30, 2016 and December 31, 2015, all our remaining net deferred income tax assets were offset by a valuation allowance due to uncertainties with respect to future utilization of net operating loss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 We have approximately $52.8 million federal income tax benefits at December 31, 2015 derived from $155.2 million Federal NOLs at the U.S. statutory tax rate of 34% and $2.0 million state NOLs, available to offset future taxable income, some of which already have limitations for future use as prescribed under IRC Section 382. Our Federal and state NOLs will expire in varying amounts between 2016 and 2035 if not used, and those expirations will cause fluctuations in our valuation allowances. As of December 31, 2015, we had federal research and development tax credits of approximately $1.2 million, which expire in the years 2024 through 2034. We also had approximately $0.2 million of Indiana state research and development tax credits, which expire in the years 2016 and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PER SHARE (“EPS”)</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Basic EPS is computed by dividing net income or loss by the weighted average common shares outstanding during a period, including shares weighted related to vested Restricted Stock Units (“RSUs”) (see Note 14).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2016 and 2015 as the Company reported a net loss for both the nine month and three month periods ending September 30 and including the effects of 1.3 million and 1.0 million common stock equivalents from those periods in the diluted EPS calculations would have been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6"/>
          </w:tcPr>
          <w:p>
            <w:pPr>
              <w:jc w:val="right"/>
              <w:ind w:right="723"/>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right"/>
              <w:ind w:right="683"/>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89"/>
              </w:rPr>
              <w:t>2015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84"/>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EPS – basic and diluted</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Numerator: net loss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3"/>
              <w:spacing w:after="0"/>
              <w:rPr>
                <w:sz w:val="20"/>
                <w:szCs w:val="20"/>
                <w:color w:val="auto"/>
              </w:rPr>
            </w:pPr>
            <w:r>
              <w:rPr>
                <w:rFonts w:ascii="Arial" w:cs="Arial" w:eastAsia="Arial" w:hAnsi="Arial"/>
                <w:sz w:val="18"/>
                <w:szCs w:val="18"/>
                <w:color w:val="auto"/>
              </w:rPr>
              <w:t>(2,250)</w:t>
            </w:r>
          </w:p>
        </w:tc>
        <w:tc>
          <w:tcPr>
            <w:tcW w:w="52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
              <w:spacing w:after="0"/>
              <w:rPr>
                <w:sz w:val="20"/>
                <w:szCs w:val="20"/>
                <w:color w:val="auto"/>
              </w:rPr>
            </w:pPr>
            <w:r>
              <w:rPr>
                <w:rFonts w:ascii="Arial" w:cs="Arial" w:eastAsia="Arial" w:hAnsi="Arial"/>
                <w:sz w:val="18"/>
                <w:szCs w:val="18"/>
                <w:color w:val="auto"/>
              </w:rPr>
              <w:t>(2,649)</w:t>
            </w:r>
          </w:p>
        </w:tc>
        <w:tc>
          <w:tcPr>
            <w:tcW w:w="34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3"/>
              <w:spacing w:after="0"/>
              <w:rPr>
                <w:sz w:val="20"/>
                <w:szCs w:val="20"/>
                <w:color w:val="auto"/>
              </w:rPr>
            </w:pPr>
            <w:r>
              <w:rPr>
                <w:rFonts w:ascii="Arial" w:cs="Arial" w:eastAsia="Arial" w:hAnsi="Arial"/>
                <w:sz w:val="18"/>
                <w:szCs w:val="18"/>
                <w:color w:val="auto"/>
              </w:rPr>
              <w:t>(8,922)</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Denominator (weighted):</w:t>
            </w: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Common shares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11,653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11,833</w:t>
            </w:r>
          </w:p>
        </w:tc>
        <w:tc>
          <w:tcPr>
            <w:tcW w:w="440" w:type="dxa"/>
            <w:vAlign w:val="bottom"/>
          </w:tcPr>
          <w:p>
            <w:pPr>
              <w:spacing w:after="0"/>
              <w:rPr>
                <w:sz w:val="18"/>
                <w:szCs w:val="18"/>
                <w:color w:val="auto"/>
              </w:rPr>
            </w:pPr>
          </w:p>
        </w:tc>
        <w:tc>
          <w:tcPr>
            <w:tcW w:w="920" w:type="dxa"/>
            <w:vAlign w:val="bottom"/>
            <w:gridSpan w:val="2"/>
          </w:tcPr>
          <w:p>
            <w:pPr>
              <w:jc w:val="right"/>
              <w:ind w:right="23"/>
              <w:spacing w:after="0"/>
              <w:rPr>
                <w:sz w:val="20"/>
                <w:szCs w:val="20"/>
                <w:color w:val="auto"/>
              </w:rPr>
            </w:pPr>
            <w:r>
              <w:rPr>
                <w:rFonts w:ascii="Arial" w:cs="Arial" w:eastAsia="Arial" w:hAnsi="Arial"/>
                <w:sz w:val="18"/>
                <w:szCs w:val="18"/>
                <w:color w:val="auto"/>
              </w:rPr>
              <w:t>10,432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Vested RSUs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Basic and diluted weighted average shares outstanding</w:t>
            </w:r>
          </w:p>
        </w:tc>
        <w:tc>
          <w:tcPr>
            <w:tcW w:w="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11,880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11,677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11,858</w:t>
            </w:r>
          </w:p>
        </w:tc>
        <w:tc>
          <w:tcPr>
            <w:tcW w:w="2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10,446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EPS – basic and diluted</w:t>
            </w:r>
          </w:p>
        </w:tc>
        <w:tc>
          <w:tcPr>
            <w:tcW w:w="32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2"/>
              <w:spacing w:after="0" w:line="20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9"/>
              </w:rPr>
              <w:t>)</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(0.75</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9"/>
              </w:rPr>
              <w:t>)</w:t>
            </w:r>
          </w:p>
        </w:tc>
        <w:tc>
          <w:tcPr>
            <w:tcW w:w="440" w:type="dxa"/>
            <w:vAlign w:val="bottom"/>
            <w:tcBorders>
              <w:bottom w:val="single" w:sz="8" w:color="auto"/>
            </w:tcBorders>
            <w:shd w:val="clear" w:color="auto" w:fill="CCEEFF"/>
          </w:tcPr>
          <w:p>
            <w:pPr>
              <w:jc w:val="right"/>
              <w:ind w:right="252"/>
              <w:spacing w:after="0" w:line="20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Excluded securities (non-weighted):</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Common shares issuable:</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 options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1,198</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tcPr>
          <w:p>
            <w:pPr>
              <w:ind w:left="300"/>
              <w:spacing w:after="0"/>
              <w:rPr>
                <w:sz w:val="20"/>
                <w:szCs w:val="20"/>
                <w:color w:val="auto"/>
              </w:rPr>
            </w:pPr>
            <w:r>
              <w:rPr>
                <w:rFonts w:ascii="Arial" w:cs="Arial" w:eastAsia="Arial" w:hAnsi="Arial"/>
                <w:sz w:val="18"/>
                <w:szCs w:val="18"/>
                <w:color w:val="auto"/>
              </w:rPr>
              <w:t>Nonvested RSUs</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3"/>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3"/>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Common stock warrants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ind w:left="300"/>
              <w:spacing w:after="0" w:line="203" w:lineRule="exact"/>
              <w:rPr>
                <w:sz w:val="20"/>
                <w:szCs w:val="20"/>
                <w:color w:val="auto"/>
              </w:rPr>
            </w:pPr>
            <w:r>
              <w:rPr>
                <w:rFonts w:ascii="Arial" w:cs="Arial" w:eastAsia="Arial" w:hAnsi="Arial"/>
                <w:sz w:val="18"/>
                <w:szCs w:val="18"/>
                <w:color w:val="auto"/>
              </w:rPr>
              <w:t>Total excluded common shares</w:t>
            </w:r>
          </w:p>
        </w:tc>
        <w:tc>
          <w:tcPr>
            <w:tcW w:w="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1,280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965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1,280</w:t>
            </w:r>
          </w:p>
        </w:tc>
        <w:tc>
          <w:tcPr>
            <w:tcW w:w="20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965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Acura was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83"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 the Pennsylvania action, over 200 lawsuits have been filed against Acura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the lawsuits filed to date, plaintiffs have not confirmed they ingested any of the generic metoclopramide manufactured by Acura. We discontinued manufacture and distribution of generic metoclopramide more than 19 years ago. In addition, we believe the June 23, 2011 decision by the U.S. Supreme Court in </w:t>
      </w:r>
      <w:r>
        <w:rPr>
          <w:rFonts w:ascii="Arial" w:cs="Arial" w:eastAsia="Arial" w:hAnsi="Arial"/>
          <w:sz w:val="17"/>
          <w:szCs w:val="17"/>
          <w:i w:val="1"/>
          <w:iCs w:val="1"/>
          <w:color w:val="auto"/>
        </w:rPr>
        <w:t>PLIVA v. Mensing (“Mensing</w:t>
      </w:r>
      <w:r>
        <w:rPr>
          <w:rFonts w:ascii="Arial" w:cs="Arial" w:eastAsia="Arial" w:hAnsi="Arial"/>
          <w:sz w:val="17"/>
          <w:szCs w:val="17"/>
          <w:color w:val="auto"/>
        </w:rPr>
        <w:t xml:space="preserve"> decision”) holding that state tort law failure to warn claims against generic drug companies are pre-empted by the 1984 Hatch-Waxman Act Amendments and federal drug regulations will assist us in favorably resolving these cases.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 New Jersey, Generic Defendants, including Acura, filed dispositive motions based on the </w:t>
      </w:r>
      <w:r>
        <w:rPr>
          <w:rFonts w:ascii="Arial" w:cs="Arial" w:eastAsia="Arial" w:hAnsi="Arial"/>
          <w:sz w:val="15"/>
          <w:szCs w:val="15"/>
          <w:i w:val="1"/>
          <w:iCs w:val="1"/>
          <w:color w:val="auto"/>
        </w:rPr>
        <w:t>Mensing</w:t>
      </w:r>
      <w:r>
        <w:rPr>
          <w:rFonts w:ascii="Arial" w:cs="Arial" w:eastAsia="Arial" w:hAnsi="Arial"/>
          <w:sz w:val="15"/>
          <w:szCs w:val="15"/>
          <w:color w:val="auto"/>
        </w:rPr>
        <w:t xml:space="preserve"> decision, which the Court granted with a limited exception.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In June 2012, the New Jersey trial court dismissed all of the New Jersey cases pending against Acura with prejudice.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Pennsylvania,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In Pennsylvania, on November 18, 2011, the trial court denied Generic Defendants’ dispositive preemption motions, without prejudice. In July 2013, the Pennsylvania Superior Court issued an adverse decision, and a subsequent appeal to the Pennsylvania Supreme Court was denied. On December 16, 2014, the Generic Defendants filed a Joint Petition for Certiorari with the United States Supreme Court captioned </w:t>
      </w:r>
      <w:r>
        <w:rPr>
          <w:rFonts w:ascii="Arial" w:cs="Arial" w:eastAsia="Arial" w:hAnsi="Arial"/>
          <w:sz w:val="17"/>
          <w:szCs w:val="17"/>
          <w:i w:val="1"/>
          <w:iCs w:val="1"/>
          <w:color w:val="auto"/>
        </w:rPr>
        <w:t>Teva Pharmaceuticals USA, Inc. et al. v. Dorothy</w:t>
      </w:r>
      <w:r>
        <w:rPr>
          <w:rFonts w:ascii="Arial" w:cs="Arial" w:eastAsia="Arial" w:hAnsi="Arial"/>
          <w:sz w:val="17"/>
          <w:szCs w:val="17"/>
          <w:color w:val="auto"/>
        </w:rPr>
        <w:t xml:space="preserve"> </w:t>
      </w:r>
      <w:r>
        <w:rPr>
          <w:rFonts w:ascii="Arial" w:cs="Arial" w:eastAsia="Arial" w:hAnsi="Arial"/>
          <w:sz w:val="17"/>
          <w:szCs w:val="17"/>
          <w:i w:val="1"/>
          <w:iCs w:val="1"/>
          <w:color w:val="auto"/>
        </w:rPr>
        <w:t>Bentley, et al.</w:t>
      </w:r>
      <w:r>
        <w:rPr>
          <w:rFonts w:ascii="Arial" w:cs="Arial" w:eastAsia="Arial" w:hAnsi="Arial"/>
          <w:sz w:val="17"/>
          <w:szCs w:val="17"/>
          <w:color w:val="auto"/>
        </w:rPr>
        <w:t>, No. 14-711 (U.S.) seeking reversal of the Pennsylvania state court decision. On April 27, 2015, the U.S. Supreme Court denied this Petition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this matter has been returned to the trial court for further proceedings. From July, 2015 to date, the court has been moving forward with procedural steps to narrow this litigation, including requests for plaintiffs to voluntarily discontinue cases, such as those filed against Acura, where there is no case-specific product identification. Acura expects that voluntary stipulations of dismissal of the vast majority, if not all, of these cases will be filed and approved by the trial court before the close of the 2016 calendar year. Acura is optimistic that any remaining Philadelphia cases will eventually be dismissed against it based upon the favorable aspects of the Superior Court’s narrow preemption ruling and lack of product identification, although there can be no assurance in this regard. Legal fees related to this matter are currently covered by Acura’s insurance carrier.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7"/>
          <w:szCs w:val="17"/>
          <w:color w:val="auto"/>
        </w:rPr>
        <w:t xml:space="preserve">In California, the trial court entered a May 25, 2012 Order denying Generic Defendants’ dispositive preemption motions. The Generic Defendants’ appeals from this order were denied by the California appellate courts. In May 2014, the California Court denied a subsequent demurrer and motion to strike seeking dismissal of plaintiffs’ manufacturing defect and defective product claims to the extent that they are barred by federal preemption based upon the June 2013 </w:t>
      </w:r>
      <w:r>
        <w:rPr>
          <w:rFonts w:ascii="Arial" w:cs="Arial" w:eastAsia="Arial" w:hAnsi="Arial"/>
          <w:sz w:val="17"/>
          <w:szCs w:val="17"/>
          <w:i w:val="1"/>
          <w:iCs w:val="1"/>
          <w:color w:val="auto"/>
        </w:rPr>
        <w:t>Bartlett</w:t>
      </w:r>
      <w:r>
        <w:rPr>
          <w:rFonts w:ascii="Arial" w:cs="Arial" w:eastAsia="Arial" w:hAnsi="Arial"/>
          <w:sz w:val="17"/>
          <w:szCs w:val="17"/>
          <w:color w:val="auto"/>
        </w:rPr>
        <w:t xml:space="preserve"> decision. Thus far, Acura and most Generic Defendants have not been required to file answers or other responsive pleadings in each individual case in which they are named defendants. On May 24, 2016, the Court entered an Order approving a stipulation which stays the individual cases against Acura and provides for an agreed upon dismissal protocol for all cases where is a lack of product identification. To date, none of these plaintiffs have confirmed they ingested any of the generic metoclopramide manufactured by Acura. Therefore, we expect that the lawsuits filed by most, if not all, plaintiffs will be dismissed voluntarily. Action will be taken in an effort to dismiss Acura from these cases, although there can be no assurance in this regard. Legal fees related to this matter are currently covered by our insurance carrier.</w:t>
      </w:r>
    </w:p>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September 30, 2016 and we are presently unable to determine if any potential loss would be covered by our insurance carrier.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 Settlement</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 007 patent”). In April 2016, Purdue commenced a second patent infringement lawsuit against us and Egalet in the United States District Court for the District of Delaware alleging our Oxaydo product infringes Purdue’s newly issued U.S. Patent No. 9,308,171 (the “171 Patent”). The actions regarding the 007 Patent and the 171 Patent are collectively referred to as the “Actions”. On April 6, 2016, we filed a petition for Inter Partes Review (the “IPR Review”) with the U.S. Patent and Trademark Office (“USPTO”) seeking to invalidate Purdue’s 007 Patent.</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May 20, 2016, Purdue on behalf of themselves and certain affiliates, Egalet Corporation, on behalf of itself and its affiliates and we, on behalf of ourselves and our affiliates entered into a settlement agreement (the “Settlement Agreement”) to settle the Actions and the IPR Review. Under the Settlement Agreement the parties dismissed or withdrew the Actions, requested that the USPTO terminate the IPR Review and exchanged mutual releases. No payments were made under the Settlement Agreement.</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Settlement Agreement also provides that Purdue will not, in the future, assert certain Purdue U.S. patents, including the 007 Patent, the 171 Patent and related technologies (the “Purdue Patents”) against any Acura Settlement Product or Egalet Settlement Product (except generally in an action or interference by Acura or Egalet challenging a Purdue Patent). Acura Settlement Products and Egalet Settlement Products are certain immediate-release and extended-release products, including Oxaydo. In addition, the Settlement Agreement provides that Purdue will not challenge, with certain exceptions, the Acura/Egalet Patents with respect to the Purdue Settlement Products (as defined below) and that Purdue provides Acura and/or Egalet certain waivers of non-patent marketing exclusivity with respect to Purdue Settlement Products.</w:t>
      </w:r>
    </w:p>
    <w:p>
      <w:pPr>
        <w:spacing w:after="0" w:line="197"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Settlement Agreement also provides that Acura and Egalet will not, in the future, assert certain Acura and/or Egalet U.S. patents (the “Acura/Egalet Patents”), including Acura’s Aversion® Technology patents, against any Purdue Settlement Products (except generally in an action or interference by Purdue challenging an Acura/Egalet Patent). Purdue Settlement Products are certain immediate-release and extended-release products. In addition, the Settlement Agreement provides that Acura and Egalet will not challenge, with certain exceptions, the Purdue Patents with respect to the Acura Settlement Products and Egalet Settlement Products and that Acura and Egalet provide Purdue certain waivers of non-patent marketing exclusivity with respect to the Acura Settlement Products and Egalet Settlement Products. In addition, Purdue has certain rights to negotiate to exclusively distribute an authorized generic version of certain Egalet Settlement Products, including, in some circumstances, Oxaydo® and other products using Acura’s Aversion® Technology if licensed to Egalet.</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Settlement Agreement specifically excludes our patents related to our Impede® and Limitx™ technologies from the scope of the Acura/Egalet Patents under the Settlement Agreement.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23" w:name="page24"/>
    <w:bookmarkEnd w:id="23"/>
    <w:p>
      <w:pPr>
        <w:jc w:val="both"/>
        <w:spacing w:after="0" w:line="269" w:lineRule="auto"/>
        <w:rPr>
          <w:sz w:val="20"/>
          <w:szCs w:val="20"/>
          <w:color w:val="auto"/>
        </w:rPr>
      </w:pPr>
      <w:r>
        <w:rPr>
          <w:rFonts w:ascii="Arial" w:cs="Arial" w:eastAsia="Arial" w:hAnsi="Arial"/>
          <w:sz w:val="17"/>
          <w:szCs w:val="17"/>
          <w:color w:val="auto"/>
        </w:rPr>
        <w:t>In December 2014, the Company entered into an agreement with Purdue Pharma L.P.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the Company conceded Purdue Pharma’s claim of priority in exchange for certain financial consideration to us including an immediate non-refundable payment of $500 thousand. In June 2015, the Company received an additional $250 thousand payment from Purdue Pharma relating to the December 2014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w:t>
      </w:r>
    </w:p>
    <w:p>
      <w:pPr>
        <w:spacing w:after="0" w:line="21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On January 7, 2015, we and Egalet entered into a Collaboration and License Agreement (the “Egalet Agreement”) to commercialize Aversion Oxycodone (formerly known as Oxecta®) under our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52"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In accordance with the Egalet Agreement, we and Egalet have formed a joint steering committee to coordinate commercialization strategies and the development of product line extensions. Egalet is responsible for the fees and expenses relating to the Oxaydo NDA and product line extensions of Oxaydo, provided that Egalet will pay a substantial majority of the expenses and we will pay for the remaining fees and expenses relating to (i) annual NDA PDUFA product fees, (ii) expenses of the FDA required post-marketing study for Oxaydo and (iii) expenses of clinical studies for product line extensions (additional strengths) of Oxaydo for the United States. Egalet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 At September 30, 2016, we have accrued approximately $200 thousand of cost sharing expenses of certain clinical studies for product line extensions (additional strengths) of Oxaydo for the United States under the Egalet Agreement and approximately $100 thousand of cost sharing expenses of the FDA required post-marketing study for Oxaydo under the Egalet Agreement.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under a lease expiring March 31, 2017 for approximately $25 thousand annually.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This discussion and analysis should be read in conjunction with the Company's financial statements and accompanying notes included elsewhere in this Report.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Historical operating results are not necessarily indicative of results in future periods.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91" w:lineRule="exact"/>
        <w:rPr>
          <w:sz w:val="20"/>
          <w:szCs w:val="20"/>
          <w:color w:val="auto"/>
        </w:rPr>
      </w:pPr>
    </w:p>
    <w:p>
      <w:pPr>
        <w:ind w:left="640" w:hanging="316"/>
        <w:spacing w:after="0" w:line="252"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ind w:left="640" w:right="20" w:hanging="316"/>
        <w:spacing w:after="0" w:line="251"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remain in compliance with our obligations under our term loan with Oxford Finance LLC, or to obtain a waiver from Oxford Finance LLC for our failure to comply with our covenants contained in such term loan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24" w:name="page25"/>
    <w:bookmarkEnd w:id="24"/>
    <w:p>
      <w:pPr>
        <w:ind w:left="640" w:hanging="316"/>
        <w:spacing w:after="0" w:line="252"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expected results of clinical studies relating to LTX-04, the date by which such study results will be available and whether LTX-04 will ultimately receive FDA approval;</w:t>
      </w: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Limitx will retard the release of opioid active ingredients as dose levels increase;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we will be able to reformulate LTX-04 to provide an efficacious level of drug when one or two tablets are taken;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we will be able to reformulate LTX-04 to improve its abuse deterrent performance;</w:t>
      </w:r>
    </w:p>
    <w:p>
      <w:pPr>
        <w:spacing w:after="0" w:line="5" w:lineRule="exact"/>
        <w:rPr>
          <w:rFonts w:ascii="Arial" w:cs="Arial" w:eastAsia="Arial" w:hAnsi="Arial"/>
          <w:sz w:val="18"/>
          <w:szCs w:val="18"/>
          <w:color w:val="auto"/>
        </w:rPr>
      </w:pPr>
    </w:p>
    <w:p>
      <w:pPr>
        <w:ind w:left="640" w:hanging="316"/>
        <w:spacing w:after="0" w:line="24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extent to which products formulated with the Limitx Technology deter abuse will be determined sufficient by the FDA to support approval or labeling describing abuse deterrent features;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our Limitx Technology can be expanded into extended-release formulations;</w:t>
      </w:r>
    </w:p>
    <w:p>
      <w:pPr>
        <w:spacing w:after="0" w:line="5" w:lineRule="exact"/>
        <w:rPr>
          <w:rFonts w:ascii="Arial" w:cs="Arial" w:eastAsia="Arial" w:hAnsi="Arial"/>
          <w:sz w:val="18"/>
          <w:szCs w:val="18"/>
          <w:color w:val="auto"/>
        </w:rPr>
      </w:pPr>
    </w:p>
    <w:p>
      <w:pPr>
        <w:ind w:left="640" w:hanging="316"/>
        <w:spacing w:after="0" w:line="24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Egalet for Oxaydo;</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we can successfully develop a product under our agreement with Bayer;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and our licensee’s ability to obtain necessary regulatory approvals and commercialize products utilizing our technologies;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willingness of pharmacies to stock our Nexafed products;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5" w:lineRule="exact"/>
        <w:rPr>
          <w:rFonts w:ascii="Arial" w:cs="Arial" w:eastAsia="Arial" w:hAnsi="Arial"/>
          <w:sz w:val="18"/>
          <w:szCs w:val="18"/>
          <w:color w:val="auto"/>
        </w:rPr>
      </w:pPr>
    </w:p>
    <w:p>
      <w:pPr>
        <w:ind w:left="640" w:hanging="316"/>
        <w:spacing w:after="0" w:line="24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3" w:lineRule="exact"/>
        <w:rPr>
          <w:rFonts w:ascii="Arial" w:cs="Arial" w:eastAsia="Arial" w:hAnsi="Arial"/>
          <w:sz w:val="18"/>
          <w:szCs w:val="18"/>
          <w:color w:val="auto"/>
        </w:rPr>
      </w:pPr>
    </w:p>
    <w:p>
      <w:pPr>
        <w:ind w:left="640" w:hanging="316"/>
        <w:spacing w:after="0" w:line="24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5" w:lineRule="exact"/>
        <w:rPr>
          <w:rFonts w:ascii="Arial" w:cs="Arial" w:eastAsia="Arial" w:hAnsi="Arial"/>
          <w:sz w:val="18"/>
          <w:szCs w:val="18"/>
          <w:color w:val="auto"/>
        </w:rPr>
      </w:pPr>
    </w:p>
    <w:p>
      <w:pPr>
        <w:ind w:left="640" w:hanging="316"/>
        <w:spacing w:after="0" w:line="24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will be able to promote the features of our abuse discouraging technologies; and</w:t>
      </w:r>
    </w:p>
    <w:p>
      <w:pPr>
        <w:spacing w:after="0" w:line="1" w:lineRule="exact"/>
        <w:rPr>
          <w:rFonts w:ascii="Arial" w:cs="Arial" w:eastAsia="Arial" w:hAnsi="Arial"/>
          <w:sz w:val="18"/>
          <w:szCs w:val="18"/>
          <w:color w:val="auto"/>
        </w:rPr>
      </w:pPr>
    </w:p>
    <w:p>
      <w:pPr>
        <w:ind w:left="640" w:hanging="316"/>
        <w:spacing w:after="0" w:line="251"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our 2015 Annual Report on Form 10-K as filed with the U.S. Securities and Exchange Commission.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Company Overview</w:t>
      </w:r>
    </w:p>
    <w:p>
      <w:pPr>
        <w:spacing w:after="0" w:line="223"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abuse associated with opioid analgesics while our Impede® Technology is directed at minimizing the extraction and conversion of pseudoephedrine into methamphetamine. Oxaydo Tablets (oxycodone HCl, CII), which utilizes the Aversion Technology, is the first and only approved immediate-release oxycodone product in the United States with abuse deterrent labeling.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Egalet launched Oxaydo in the United States late in the third quarter of 2015. We launched our first Impede Technology product, Nexafed, into the United States market in December 2012 and launched our Nexafed Sinus Pressure + Pain product in the United States in February 2015. We have multiple pseudoephedrine products in development utilizing our Impede Technology. On June 15, 2015, we and Bayer Healthcare LLC (“Bayer”) entered into a License and Development Agreement (the “Bayer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 Our third abuse deterrent technology, Limitx, is designed to retard the release of active drug ingredients when too many tablets are accidently or purposefully ingested. We have completed our first clinical study, Study AP-LTX-400, of our lead Limitx immediate release oral abuse deterrent drug candidate using the opioid hydromorphone HCI (LTX-04). Study AP-LTX-400, or Study 400, was a two cohort, open label, crossover design pharmacokinetic study in healthy adult subjects. The FDA has designated the LTX-04 development program as Fast Track, which is designed to facilitate the development, and expedite the review of drugs to treat serious conditions and fill an unmet medical need. On April 13, 2016 and June 8, 2016 we announced that topline interim results from cohorts 1 and 2, respectively, of Study 400 for one test formulation of LTX-04 successfully demonstrated the release of the active opioid ingredient was reduced when three or more tablets were ingested, but that additional formulation development will be required for LTX-04 to deliver a sufficient amount of the active ingredient when one or two tablets are administered. In July 2016, we submitted the topline results of Study 400 to the FDA under our LTX-04 Fast Track designation and are awaiting comments from the FDA. We are also developing an immediate-release hydrocodone bitartrate with acetaminophen product utilizing our Limitx Technology.</w:t>
      </w:r>
    </w:p>
    <w:p>
      <w:pPr>
        <w:spacing w:after="0" w:line="382"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Opioid analgesics are one of the largest prescription drug markets in the United States with 234 million prescriptions dispensed in 2015. Prescription opioids are also the most widely abused drugs with 11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2015, sales in the immediate-release opioid product segment were approximately 219 million prescriptions and $2.9 billion, of which approximately 98% was attributable to generic products. Immediate-release oxycodone tablets represent 19.3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 We are advised that Egalet has approximately 71 sales representatives promoting Oxaydo to a target group of approximately 11,500 opioid prescribing physicians.</w:t>
      </w:r>
    </w:p>
    <w:p>
      <w:pPr>
        <w:spacing w:after="0" w:line="156"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2013 to 595,000 people up from 440,000 in 2012. Nexafed, our 30mg pseudoephedrine hydrochloride immediate-release tablet, is stocked in approximately 21% of the estimated 65,000 U.S. pharmacies. Many of these pharmacies are either actively recommending Nexafed to their patients or carry Nexafed as their only 30mg pseudoephedrine product. We launched our first line extension, Nexafed Sinus Pressure + Pain, a 30/325mg pseudoephedrine HCl and acetaminophen tablet using our Impede Technology in February 2015.</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26" w:name="page27"/>
    <w:bookmarkEnd w:id="26"/>
    <w:p>
      <w:pPr>
        <w:jc w:val="both"/>
        <w:spacing w:after="0" w:line="265" w:lineRule="auto"/>
        <w:rPr>
          <w:sz w:val="20"/>
          <w:szCs w:val="20"/>
          <w:color w:val="auto"/>
        </w:rPr>
      </w:pPr>
      <w:r>
        <w:rPr>
          <w:rFonts w:ascii="Arial" w:cs="Arial" w:eastAsia="Arial" w:hAnsi="Arial"/>
          <w:sz w:val="17"/>
          <w:szCs w:val="17"/>
          <w:color w:val="auto"/>
        </w:rPr>
        <w:t>We have an active development program to develop an extended-release version of our Impede Technology to capitalize on higher sales products in the category. We also are investigating new technologies that would improve on our meth-resistant capabilities. On March 23, 2015, we announced preliminary top line results from our pilot clinical study demonstrating bioequivalence of our Nexafed extended release tablets to Johnson &amp; Johnson’s Sudafed® 12-hour Tablets. In October 2016, we received FDA recommendations on our meth-resistant testing protocols for our Nexafed extended release tablets which utilizes our Impede 2.0 enhanced meth-resistant technology. Our Impede 2.0 Technology has demonstrated, in the direct conversion, or “one-pot”, methamphetamine conversion process performed by an independent pharmaceutical services company, the ability to reduce meth-yields, on average, by 75% compared to Sudafed® Tablets. We can now scale-up our manufacture batch size at a contract manufacturer which allow us to submit an IND to the FDA for our Nexafed extended release tablets, however, we have not yet committed to that level of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Prescription Opioid Products and Development of Abuse Deterrent Formulations</w:t>
      </w:r>
    </w:p>
    <w:p>
      <w:pPr>
        <w:spacing w:after="0" w:line="22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Abusers will often manipulate or tamper with the formulations to achieve their high, including:</w:t>
      </w:r>
    </w:p>
    <w:p>
      <w:pPr>
        <w:spacing w:after="0" w:line="147" w:lineRule="exact"/>
        <w:rPr>
          <w:sz w:val="20"/>
          <w:szCs w:val="20"/>
          <w:color w:val="auto"/>
        </w:rPr>
      </w:pPr>
    </w:p>
    <w:p>
      <w:pPr>
        <w:ind w:left="560" w:hanging="236"/>
        <w:spacing w:after="0" w:line="265"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Oral Excessive Tablet Abuse (ETA). Generally recognized as the most prevalent route of administration by abusers, the abuser simply orally ingests more tablets (or capsules) than is recommended for pain relief.</w:t>
      </w:r>
    </w:p>
    <w:p>
      <w:pPr>
        <w:spacing w:after="0" w:line="179" w:lineRule="exact"/>
        <w:rPr>
          <w:rFonts w:ascii="Arial" w:cs="Arial" w:eastAsia="Arial" w:hAnsi="Arial"/>
          <w:sz w:val="18"/>
          <w:szCs w:val="18"/>
          <w:color w:val="auto"/>
        </w:rPr>
      </w:pPr>
    </w:p>
    <w:p>
      <w:pPr>
        <w:ind w:left="560" w:hanging="236"/>
        <w:spacing w:after="0" w:line="265"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Oral Manipulated Tablet Abuse (MTA). Extended-release tablets or patches are sometimes crushed, chewed or otherwise physically or chemically manipulated to defeat the extended-release mechanism and provide an immediate-release of the opioid for oral ingestion.</w:t>
      </w:r>
    </w:p>
    <w:p>
      <w:pPr>
        <w:spacing w:after="0" w:line="179" w:lineRule="exact"/>
        <w:rPr>
          <w:rFonts w:ascii="Arial" w:cs="Arial" w:eastAsia="Arial" w:hAnsi="Arial"/>
          <w:sz w:val="18"/>
          <w:szCs w:val="18"/>
          <w:color w:val="auto"/>
        </w:rPr>
      </w:pPr>
    </w:p>
    <w:p>
      <w:pPr>
        <w:ind w:left="560" w:hanging="236"/>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17" w:lineRule="exact"/>
        <w:rPr>
          <w:rFonts w:ascii="Arial" w:cs="Arial" w:eastAsia="Arial" w:hAnsi="Arial"/>
          <w:sz w:val="18"/>
          <w:szCs w:val="18"/>
          <w:color w:val="auto"/>
        </w:rPr>
      </w:pPr>
    </w:p>
    <w:p>
      <w:pPr>
        <w:ind w:left="560" w:hanging="236"/>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17" w:lineRule="exact"/>
        <w:rPr>
          <w:rFonts w:ascii="Arial" w:cs="Arial" w:eastAsia="Arial" w:hAnsi="Arial"/>
          <w:sz w:val="18"/>
          <w:szCs w:val="18"/>
          <w:color w:val="auto"/>
        </w:rPr>
      </w:pPr>
    </w:p>
    <w:p>
      <w:pPr>
        <w:ind w:left="560" w:hanging="236"/>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or other drugs to accentuate the high.</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Abuse deterrent formulations of opioid dosages incorporate physical and/or chemical barriers or functionality in the formulations to prevent or discourage an abuser from inappropriately administering the product. The extent and manner in which any of the features of abuse deterrent opioids may be described in the FDA approved label for our pipeline products will be dependent on the results of and the acceptance by the FDA of our and our licensees’ studies for each product.</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Development of our Limitx and Aversion (if recommenced) product candidates will require one or more abuse deterrent studies consistent with FDA’s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and (c) dose proportionality of our formulation. A product candidate that does not achieve satisfactory pharmacokinetic results may require a phase III clinical pain study.</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Further development will likely also entail additional safety and/or efficacy assessment as may be identified by the FDA for each specific formulation during the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Limitx™ Technology</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Limitx Technology is intended to address an oral ETA or accidental consumption of multiple tablets and provide a margin of safety during accidental over-ingestion of tablets. Limitx is also expected to exhibit barriers to abuse by snorting and injection</w:t>
      </w:r>
    </w:p>
    <w:p>
      <w:pPr>
        <w:spacing w:after="0" w:line="17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FDA’s 2015 Guidance singles out immediate-release combination products with acetaminophen as being predominately abused by the oral route and that reducing nasal snorting of these products may not be meaningful. The initial Limitx formulation (LTX-04) utilizes hydromorphone as its sole active ingredient. We have initiated formulation development of a hydrocodone/APAP product candidate utilizing our Limitx Technology (LTX-03). In August 2015, the United States Patent and Trademark Office (“USPTO”) issued to us patent 9,101,636 covering, among other things, our Limitx Technology.</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Development of our Limitx Technology was supported by a $300 thousand grant (the “Grant”) by the National Institute on Drug Abuse (“NIDA”) of the National Institutes of Health for Phase I development, which entailed the development of an optimized formulation of LTX-04 suitable for commercial manufacture and human testing</w:t>
      </w:r>
      <w:r>
        <w:rPr>
          <w:rFonts w:ascii="Arial" w:cs="Arial" w:eastAsia="Arial" w:hAnsi="Arial"/>
          <w:sz w:val="18"/>
          <w:szCs w:val="18"/>
          <w:b w:val="1"/>
          <w:bCs w:val="1"/>
          <w:i w:val="1"/>
          <w:iCs w:val="1"/>
          <w:u w:val="single" w:color="auto"/>
          <w:color w:val="auto"/>
        </w:rPr>
        <w: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NIDA Disclaimer: Research on LTX-04 is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LTX-04 development program is also designated as Fast Track by the FDA for its potential to address an unmet medical need.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20" w:type="dxa"/>
            <w:vAlign w:val="bottom"/>
            <w:gridSpan w:val="2"/>
          </w:tcPr>
          <w:p>
            <w:pPr>
              <w:ind w:left="1760"/>
              <w:spacing w:after="0"/>
              <w:rPr>
                <w:sz w:val="20"/>
                <w:szCs w:val="20"/>
                <w:color w:val="auto"/>
              </w:rPr>
            </w:pPr>
            <w:r>
              <w:rPr>
                <w:rFonts w:ascii="Arial" w:cs="Arial" w:eastAsia="Arial" w:hAnsi="Arial"/>
                <w:sz w:val="18"/>
                <w:szCs w:val="18"/>
                <w:b w:val="1"/>
                <w:bCs w:val="1"/>
                <w:color w:val="auto"/>
              </w:rPr>
              <w:t>Limitx Technology Product</w:t>
            </w:r>
          </w:p>
        </w:tc>
        <w:tc>
          <w:tcPr>
            <w:tcW w:w="5580" w:type="dxa"/>
            <w:vAlign w:val="bottom"/>
          </w:tcPr>
          <w:p>
            <w:pPr>
              <w:ind w:left="2560"/>
              <w:spacing w:after="0"/>
              <w:rPr>
                <w:sz w:val="20"/>
                <w:szCs w:val="20"/>
                <w:color w:val="auto"/>
              </w:rPr>
            </w:pPr>
            <w:r>
              <w:rPr>
                <w:rFonts w:ascii="Arial" w:cs="Arial" w:eastAsia="Arial" w:hAnsi="Arial"/>
                <w:sz w:val="18"/>
                <w:szCs w:val="18"/>
                <w:b w:val="1"/>
                <w:bCs w:val="1"/>
                <w:color w:val="auto"/>
              </w:rPr>
              <w:t>Status</w:t>
            </w:r>
          </w:p>
        </w:tc>
      </w:tr>
      <w:tr>
        <w:trPr>
          <w:trHeight w:val="194"/>
        </w:trPr>
        <w:tc>
          <w:tcPr>
            <w:tcW w:w="20" w:type="dxa"/>
            <w:vAlign w:val="bottom"/>
          </w:tcPr>
          <w:p>
            <w:pPr>
              <w:spacing w:after="0"/>
              <w:rPr>
                <w:sz w:val="16"/>
                <w:szCs w:val="16"/>
                <w:color w:val="auto"/>
              </w:rPr>
            </w:pPr>
          </w:p>
        </w:tc>
        <w:tc>
          <w:tcPr>
            <w:tcW w:w="55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Immediate-release hydromorphone HCI (LTX-04)</w:t>
            </w:r>
          </w:p>
        </w:tc>
        <w:tc>
          <w:tcPr>
            <w:tcW w:w="240" w:type="dxa"/>
            <w:vAlign w:val="bottom"/>
          </w:tcPr>
          <w:p>
            <w:pPr>
              <w:spacing w:after="0"/>
              <w:rPr>
                <w:sz w:val="16"/>
                <w:szCs w:val="16"/>
                <w:color w:val="auto"/>
              </w:rPr>
            </w:pPr>
          </w:p>
        </w:tc>
        <w:tc>
          <w:tcPr>
            <w:tcW w:w="55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Phase I exploratory pharmacokinetic study completed</w:t>
            </w:r>
          </w:p>
        </w:tc>
      </w:tr>
      <w:tr>
        <w:trPr>
          <w:trHeight w:val="212"/>
        </w:trPr>
        <w:tc>
          <w:tcPr>
            <w:tcW w:w="5840" w:type="dxa"/>
            <w:vAlign w:val="bottom"/>
            <w:gridSpan w:val="3"/>
          </w:tcPr>
          <w:p>
            <w:pPr>
              <w:spacing w:after="0"/>
              <w:rPr>
                <w:sz w:val="20"/>
                <w:szCs w:val="20"/>
                <w:color w:val="auto"/>
              </w:rPr>
            </w:pPr>
            <w:r>
              <w:rPr>
                <w:rFonts w:ascii="Arial" w:cs="Arial" w:eastAsia="Arial" w:hAnsi="Arial"/>
                <w:sz w:val="18"/>
                <w:szCs w:val="18"/>
                <w:color w:val="auto"/>
              </w:rPr>
              <w:t>Immediate-release hydrocodone bitartrate with acetaminophen (LTX-03)</w:t>
            </w:r>
          </w:p>
        </w:tc>
        <w:tc>
          <w:tcPr>
            <w:tcW w:w="5580" w:type="dxa"/>
            <w:vAlign w:val="bottom"/>
          </w:tcPr>
          <w:p>
            <w:pPr>
              <w:spacing w:after="0"/>
              <w:rPr>
                <w:sz w:val="20"/>
                <w:szCs w:val="20"/>
                <w:color w:val="auto"/>
              </w:rPr>
            </w:pPr>
            <w:r>
              <w:rPr>
                <w:rFonts w:ascii="Arial" w:cs="Arial" w:eastAsia="Arial" w:hAnsi="Arial"/>
                <w:sz w:val="18"/>
                <w:szCs w:val="18"/>
                <w:color w:val="auto"/>
              </w:rPr>
              <w:t>Formulation development in process</w:t>
            </w:r>
          </w:p>
        </w:tc>
      </w:tr>
      <w:tr>
        <w:trPr>
          <w:trHeight w:val="223"/>
        </w:trPr>
        <w:tc>
          <w:tcPr>
            <w:tcW w:w="5840" w:type="dxa"/>
            <w:vAlign w:val="bottom"/>
            <w:gridSpan w:val="3"/>
          </w:tcPr>
          <w:p>
            <w:pPr>
              <w:spacing w:after="0"/>
              <w:rPr>
                <w:sz w:val="20"/>
                <w:szCs w:val="20"/>
                <w:color w:val="auto"/>
              </w:rPr>
            </w:pPr>
            <w:r>
              <w:rPr>
                <w:rFonts w:ascii="Arial" w:cs="Arial" w:eastAsia="Arial" w:hAnsi="Arial"/>
                <w:sz w:val="18"/>
                <w:szCs w:val="18"/>
                <w:color w:val="auto"/>
              </w:rPr>
              <w:t>Immediate-release oxycodone HCl (LTX-01) &amp; (LTX-02)</w:t>
            </w:r>
          </w:p>
        </w:tc>
        <w:tc>
          <w:tcPr>
            <w:tcW w:w="5580" w:type="dxa"/>
            <w:vAlign w:val="bottom"/>
          </w:tcPr>
          <w:p>
            <w:pPr>
              <w:spacing w:after="0"/>
              <w:rPr>
                <w:sz w:val="20"/>
                <w:szCs w:val="20"/>
                <w:color w:val="auto"/>
              </w:rPr>
            </w:pPr>
            <w:r>
              <w:rPr>
                <w:rFonts w:ascii="Arial" w:cs="Arial" w:eastAsia="Arial" w:hAnsi="Arial"/>
                <w:sz w:val="18"/>
                <w:szCs w:val="18"/>
                <w:color w:val="auto"/>
              </w:rPr>
              <w:t>Formulation development in process</w:t>
            </w:r>
          </w:p>
        </w:tc>
      </w:tr>
    </w:tbl>
    <w:p>
      <w:pPr>
        <w:spacing w:after="0" w:line="20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initial LTX-04 clinical study, Study AP-LTX-400, or Study 400, was a two cohort, open label, crossover design pharmacokinetic study in healthy adult subjects. Study 400 measured the rate and extent of absorption of the active drug ingredient into the bloodstream with the maximum concentration, or Cmax, typically associated with an increase in drug abuse. Cohort 1 enrolled 30 subjects who were randomized into three subgroups of 10 taking either 1, 2 or 3 tablets. Each subgroup subject orally swallowed the planned number of tablets in a randomized manner taking single doses of two different test formulations of LTX-04 (designated as LTX-04P and LTX-04S and distinguished by their respective acid neutralizing capacity) and Purdue Pharma’s marketed drug Dilaudid® as a comparator. The 1, 2 and 3 tablets subgroups in Cohort 1 completed 8, 10 and 8 subjects, respectively.</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Cohort 2 enrolled 30 subjects who were randomized into three subgroups of 10 taking either 4, 6 or 8 tablets. Each subgroup subject orally swallowed the planned number of tablets in a randomized manner taking single doses of LTX-04P and the marketed drug Dilaudid as a comparator. The 4, 6 and 8 tablets subgroups in Cohort 2 completed 8, 9 and 8 subjects,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28" w:name="page29"/>
    <w:bookmarkEnd w:id="28"/>
    <w:p>
      <w:pPr>
        <w:jc w:val="both"/>
        <w:spacing w:after="0" w:line="249" w:lineRule="auto"/>
        <w:rPr>
          <w:sz w:val="20"/>
          <w:szCs w:val="20"/>
          <w:color w:val="auto"/>
        </w:rPr>
      </w:pPr>
      <w:r>
        <w:rPr>
          <w:rFonts w:ascii="Arial" w:cs="Arial" w:eastAsia="Arial" w:hAnsi="Arial"/>
          <w:sz w:val="18"/>
          <w:szCs w:val="18"/>
          <w:color w:val="auto"/>
        </w:rPr>
        <w:t>All tablets contained 2mg of hydromorphone hydrochloride. All subjects received doses of naltrexone and there was a one week washout between doses. Blood samples were taken at pre-designated time-points after dosing and were subsequently analyzed for the concentration of hydromorphone contained in the sample. All subjects in Cohort 1 had continuous pH (a measure of acid concentration) monitoring of their gastric fluid. The objective of Cohort 1 was to determine if adequate active drug entered the blood stream when one or two Limitx tablets were swallowed and to begin assessing the ability of the Limitx Technology to start retarding the release of active ingredients when three tablets are ingested. The objective of Cohort 2 was to further explore the extent the release of the hydromorphone active ingredient from LTX-04P tablets is retarded as the dose level increases to abusive levels. A safety assessment of Limitx Hydromorphone will be made from both study cohorts.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topline interim results from Study 400 test formulation LTX-04P, successfully demonstrated the release of the active opioid ingredient was reduced when three or more intact tablets were ingested, but that additional formulation development will be required for LTX-04P to deliver a sufficient amount of the active ingredient to patients when one or two tablets are administered. Specifically, the topline interim results of Study 400 demonstrated:</w:t>
      </w:r>
    </w:p>
    <w:p>
      <w:pPr>
        <w:spacing w:after="0" w:line="172"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Subjects in Study 400 had an average 22% reduction in relative Cmax when 3 or more tablets were ingested as shown in the table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40" w:type="dxa"/>
            <w:vAlign w:val="bottom"/>
            <w:gridSpan w:val="2"/>
          </w:tcPr>
          <w:p>
            <w:pPr>
              <w:ind w:left="3460"/>
              <w:spacing w:after="0"/>
              <w:rPr>
                <w:sz w:val="20"/>
                <w:szCs w:val="20"/>
                <w:color w:val="auto"/>
              </w:rPr>
            </w:pPr>
            <w:r>
              <w:rPr>
                <w:rFonts w:ascii="Arial" w:cs="Arial" w:eastAsia="Arial" w:hAnsi="Arial"/>
                <w:sz w:val="18"/>
                <w:szCs w:val="18"/>
                <w:b w:val="1"/>
                <w:bCs w:val="1"/>
                <w:color w:val="auto"/>
                <w:w w:val="91"/>
              </w:rPr>
              <w:t>Study 400 – Mean Ratio of Cmax (ng/mL) by Dosing Group</w:t>
            </w: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8"/>
        </w:trPr>
        <w:tc>
          <w:tcPr>
            <w:tcW w:w="8040" w:type="dxa"/>
            <w:vAlign w:val="bottom"/>
            <w:gridSpan w:val="2"/>
          </w:tcPr>
          <w:p>
            <w:pPr>
              <w:ind w:left="3480"/>
              <w:spacing w:after="0"/>
              <w:rPr>
                <w:sz w:val="20"/>
                <w:szCs w:val="20"/>
                <w:color w:val="auto"/>
              </w:rPr>
            </w:pPr>
            <w:r>
              <w:rPr>
                <w:rFonts w:ascii="Arial" w:cs="Arial" w:eastAsia="Arial" w:hAnsi="Arial"/>
                <w:sz w:val="18"/>
                <w:szCs w:val="18"/>
                <w:b w:val="1"/>
                <w:bCs w:val="1"/>
                <w:color w:val="auto"/>
                <w:w w:val="91"/>
              </w:rPr>
              <w:t>Compared to the 1 Tablet Group for the Same Formulation</w:t>
            </w:r>
          </w:p>
        </w:tc>
        <w:tc>
          <w:tcPr>
            <w:tcW w:w="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6760" w:type="dxa"/>
            <w:vAlign w:val="bottom"/>
          </w:tcPr>
          <w:p>
            <w:pPr>
              <w:ind w:left="5780"/>
              <w:spacing w:after="0"/>
              <w:rPr>
                <w:sz w:val="20"/>
                <w:szCs w:val="20"/>
                <w:color w:val="auto"/>
              </w:rPr>
            </w:pPr>
            <w:r>
              <w:rPr>
                <w:rFonts w:ascii="Arial" w:cs="Arial" w:eastAsia="Arial" w:hAnsi="Arial"/>
                <w:sz w:val="18"/>
                <w:szCs w:val="18"/>
                <w:color w:val="auto"/>
                <w:w w:val="91"/>
              </w:rPr>
              <w:t>Dosing in mg</w:t>
            </w:r>
          </w:p>
        </w:tc>
        <w:tc>
          <w:tcPr>
            <w:tcW w:w="1880" w:type="dxa"/>
            <w:vAlign w:val="bottom"/>
            <w:gridSpan w:val="2"/>
          </w:tcPr>
          <w:p>
            <w:pPr>
              <w:ind w:left="540"/>
              <w:spacing w:after="0"/>
              <w:rPr>
                <w:sz w:val="20"/>
                <w:szCs w:val="20"/>
                <w:color w:val="auto"/>
              </w:rPr>
            </w:pPr>
            <w:r>
              <w:rPr>
                <w:rFonts w:ascii="Arial" w:cs="Arial" w:eastAsia="Arial" w:hAnsi="Arial"/>
                <w:sz w:val="18"/>
                <w:szCs w:val="18"/>
                <w:color w:val="auto"/>
              </w:rPr>
              <w:t>DILAUDID</w:t>
            </w:r>
          </w:p>
        </w:tc>
        <w:tc>
          <w:tcPr>
            <w:tcW w:w="1500" w:type="dxa"/>
            <w:vAlign w:val="bottom"/>
          </w:tcPr>
          <w:p>
            <w:pPr>
              <w:ind w:left="220"/>
              <w:spacing w:after="0"/>
              <w:rPr>
                <w:sz w:val="20"/>
                <w:szCs w:val="20"/>
                <w:color w:val="auto"/>
              </w:rPr>
            </w:pPr>
            <w:r>
              <w:rPr>
                <w:rFonts w:ascii="Arial" w:cs="Arial" w:eastAsia="Arial" w:hAnsi="Arial"/>
                <w:sz w:val="18"/>
                <w:szCs w:val="18"/>
                <w:color w:val="auto"/>
              </w:rPr>
              <w:t>LTX-04P</w:t>
            </w:r>
          </w:p>
        </w:tc>
        <w:tc>
          <w:tcPr>
            <w:tcW w:w="1280" w:type="dxa"/>
            <w:vAlign w:val="bottom"/>
          </w:tcPr>
          <w:p>
            <w:pPr>
              <w:jc w:val="right"/>
              <w:ind w:right="432"/>
              <w:spacing w:after="0"/>
              <w:rPr>
                <w:sz w:val="20"/>
                <w:szCs w:val="20"/>
                <w:color w:val="auto"/>
              </w:rPr>
            </w:pPr>
            <w:r>
              <w:rPr>
                <w:rFonts w:ascii="Arial" w:cs="Arial" w:eastAsia="Arial" w:hAnsi="Arial"/>
                <w:sz w:val="18"/>
                <w:szCs w:val="18"/>
                <w:color w:val="auto"/>
              </w:rPr>
              <w:t>Change</w:t>
            </w:r>
          </w:p>
        </w:tc>
      </w:tr>
      <w:tr>
        <w:trPr>
          <w:trHeight w:val="21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 Tablet Group</w:t>
            </w:r>
          </w:p>
        </w:tc>
        <w:tc>
          <w:tcPr>
            <w:tcW w:w="1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2x</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1.9x</w:t>
            </w:r>
          </w:p>
        </w:tc>
        <w:tc>
          <w:tcPr>
            <w:tcW w:w="15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2.2x</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3 Tablet Group</w:t>
            </w:r>
          </w:p>
        </w:tc>
        <w:tc>
          <w:tcPr>
            <w:tcW w:w="1280" w:type="dxa"/>
            <w:vAlign w:val="bottom"/>
          </w:tcPr>
          <w:p>
            <w:pPr>
              <w:ind w:left="40"/>
              <w:spacing w:after="0"/>
              <w:rPr>
                <w:sz w:val="20"/>
                <w:szCs w:val="20"/>
                <w:color w:val="auto"/>
              </w:rPr>
            </w:pPr>
            <w:r>
              <w:rPr>
                <w:rFonts w:ascii="Arial" w:cs="Arial" w:eastAsia="Arial" w:hAnsi="Arial"/>
                <w:sz w:val="18"/>
                <w:szCs w:val="18"/>
                <w:color w:val="auto"/>
              </w:rPr>
              <w:t>3x</w:t>
            </w:r>
          </w:p>
        </w:tc>
        <w:tc>
          <w:tcPr>
            <w:tcW w:w="600" w:type="dxa"/>
            <w:vAlign w:val="bottom"/>
          </w:tcPr>
          <w:p>
            <w:pPr>
              <w:ind w:left="80"/>
              <w:spacing w:after="0"/>
              <w:rPr>
                <w:sz w:val="20"/>
                <w:szCs w:val="20"/>
                <w:color w:val="auto"/>
              </w:rPr>
            </w:pPr>
            <w:r>
              <w:rPr>
                <w:rFonts w:ascii="Arial" w:cs="Arial" w:eastAsia="Arial" w:hAnsi="Arial"/>
                <w:sz w:val="18"/>
                <w:szCs w:val="18"/>
                <w:color w:val="auto"/>
              </w:rPr>
              <w:t>4.8x</w:t>
            </w:r>
          </w:p>
        </w:tc>
        <w:tc>
          <w:tcPr>
            <w:tcW w:w="1500" w:type="dxa"/>
            <w:vAlign w:val="bottom"/>
          </w:tcPr>
          <w:p>
            <w:pPr>
              <w:ind w:left="940"/>
              <w:spacing w:after="0"/>
              <w:rPr>
                <w:sz w:val="20"/>
                <w:szCs w:val="20"/>
                <w:color w:val="auto"/>
              </w:rPr>
            </w:pPr>
            <w:r>
              <w:rPr>
                <w:rFonts w:ascii="Arial" w:cs="Arial" w:eastAsia="Arial" w:hAnsi="Arial"/>
                <w:sz w:val="18"/>
                <w:szCs w:val="18"/>
                <w:color w:val="auto"/>
              </w:rPr>
              <w:t>3.8x</w:t>
            </w: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4 Tablet Group</w:t>
            </w:r>
          </w:p>
        </w:tc>
        <w:tc>
          <w:tcPr>
            <w:tcW w:w="1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4x</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6.4x</w:t>
            </w:r>
          </w:p>
        </w:tc>
        <w:tc>
          <w:tcPr>
            <w:tcW w:w="15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4.8x</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2"/>
        </w:trPr>
        <w:tc>
          <w:tcPr>
            <w:tcW w:w="6760" w:type="dxa"/>
            <w:vAlign w:val="bottom"/>
          </w:tcPr>
          <w:p>
            <w:pPr>
              <w:spacing w:after="0"/>
              <w:rPr>
                <w:sz w:val="20"/>
                <w:szCs w:val="20"/>
                <w:color w:val="auto"/>
              </w:rPr>
            </w:pPr>
            <w:r>
              <w:rPr>
                <w:rFonts w:ascii="Arial" w:cs="Arial" w:eastAsia="Arial" w:hAnsi="Arial"/>
                <w:sz w:val="18"/>
                <w:szCs w:val="18"/>
                <w:color w:val="auto"/>
              </w:rPr>
              <w:t>6 Tablet Group</w:t>
            </w:r>
          </w:p>
        </w:tc>
        <w:tc>
          <w:tcPr>
            <w:tcW w:w="1280" w:type="dxa"/>
            <w:vAlign w:val="bottom"/>
          </w:tcPr>
          <w:p>
            <w:pPr>
              <w:ind w:left="40"/>
              <w:spacing w:after="0"/>
              <w:rPr>
                <w:sz w:val="20"/>
                <w:szCs w:val="20"/>
                <w:color w:val="auto"/>
              </w:rPr>
            </w:pPr>
            <w:r>
              <w:rPr>
                <w:rFonts w:ascii="Arial" w:cs="Arial" w:eastAsia="Arial" w:hAnsi="Arial"/>
                <w:sz w:val="18"/>
                <w:szCs w:val="18"/>
                <w:color w:val="auto"/>
              </w:rPr>
              <w:t>6x</w:t>
            </w:r>
          </w:p>
        </w:tc>
        <w:tc>
          <w:tcPr>
            <w:tcW w:w="600" w:type="dxa"/>
            <w:vAlign w:val="bottom"/>
          </w:tcPr>
          <w:p>
            <w:pPr>
              <w:ind w:left="80"/>
              <w:spacing w:after="0"/>
              <w:rPr>
                <w:sz w:val="20"/>
                <w:szCs w:val="20"/>
                <w:color w:val="auto"/>
              </w:rPr>
            </w:pPr>
            <w:r>
              <w:rPr>
                <w:rFonts w:ascii="Arial" w:cs="Arial" w:eastAsia="Arial" w:hAnsi="Arial"/>
                <w:sz w:val="18"/>
                <w:szCs w:val="18"/>
                <w:color w:val="auto"/>
              </w:rPr>
              <w:t>6.2x</w:t>
            </w:r>
          </w:p>
        </w:tc>
        <w:tc>
          <w:tcPr>
            <w:tcW w:w="1500" w:type="dxa"/>
            <w:vAlign w:val="bottom"/>
          </w:tcPr>
          <w:p>
            <w:pPr>
              <w:ind w:left="940"/>
              <w:spacing w:after="0"/>
              <w:rPr>
                <w:sz w:val="20"/>
                <w:szCs w:val="20"/>
                <w:color w:val="auto"/>
              </w:rPr>
            </w:pPr>
            <w:r>
              <w:rPr>
                <w:rFonts w:ascii="Arial" w:cs="Arial" w:eastAsia="Arial" w:hAnsi="Arial"/>
                <w:sz w:val="18"/>
                <w:szCs w:val="18"/>
                <w:color w:val="auto"/>
              </w:rPr>
              <w:t>5.2x</w:t>
            </w: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2"/>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8 Tablet Group</w:t>
            </w:r>
          </w:p>
        </w:tc>
        <w:tc>
          <w:tcPr>
            <w:tcW w:w="1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8x</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8.4x</w:t>
            </w:r>
          </w:p>
        </w:tc>
        <w:tc>
          <w:tcPr>
            <w:tcW w:w="15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6.8x</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760" w:type="dxa"/>
            <w:vAlign w:val="bottom"/>
          </w:tcPr>
          <w:p>
            <w:pPr>
              <w:ind w:left="160"/>
              <w:spacing w:after="0"/>
              <w:rPr>
                <w:sz w:val="20"/>
                <w:szCs w:val="20"/>
                <w:color w:val="auto"/>
              </w:rPr>
            </w:pPr>
            <w:r>
              <w:rPr>
                <w:rFonts w:ascii="Arial" w:cs="Arial" w:eastAsia="Arial" w:hAnsi="Arial"/>
                <w:sz w:val="18"/>
                <w:szCs w:val="18"/>
                <w:color w:val="auto"/>
              </w:rPr>
              <w:t>Average 3-8</w:t>
            </w: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88" w:lineRule="exact"/>
        <w:rPr>
          <w:sz w:val="20"/>
          <w:szCs w:val="20"/>
          <w:color w:val="auto"/>
        </w:rPr>
      </w:pPr>
    </w:p>
    <w:p>
      <w:pPr>
        <w:ind w:left="640" w:hanging="316"/>
        <w:spacing w:after="0" w:line="265"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Subjects in cohort 2 had extent of drug absorption (measured by AUC) for LTX-04P comparable to Dilaudid when the same number of tablets were ingested. Likewise, the time to maximum plasma concentration, or Tmax, was comparable at all doses to Dilaudid.</w:t>
      </w:r>
    </w:p>
    <w:p>
      <w:pPr>
        <w:spacing w:after="0" w:line="179" w:lineRule="exact"/>
        <w:rPr>
          <w:rFonts w:ascii="Arial" w:cs="Arial" w:eastAsia="Arial" w:hAnsi="Arial"/>
          <w:sz w:val="18"/>
          <w:szCs w:val="18"/>
          <w:color w:val="auto"/>
        </w:rPr>
      </w:pPr>
    </w:p>
    <w:p>
      <w:pPr>
        <w:jc w:val="both"/>
        <w:ind w:left="640" w:hanging="316"/>
        <w:spacing w:after="0" w:line="252"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Subjects taking one or two tablets of both LTX-04 test formulations had comparable extent of drug absorption (measured by AUC) as the same number of tablets of Dilaudid. However, these tablets delivered approximately 50% less peak plasma concentration (Cmax) than Dilaudid. As such, the LTX-04 test formulations were considered to not have achieved equivalent blood levels of drug and will require further development. All study drugs were generally well tolerated and no serious adverse events were observed.</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analysis of the 3, 4, 6 and 8 tablet subgroups in Study 400 identified a subpopulation of patients in which LTX-04P appeared to demonstrate enhanced reduction in drug absorption as compared to Dilaudid. This subpopulation is characterized by their propensity to absorb the opioid in Dilaudid quickly, reaching maximum drug concentration in the blood in 30 minutes or less, while, on average, having maximum blood levels of drug 1.8 times that of the slower drug absorbing subjects. This subpopulation may represent a more vulnerable abuse population as speed of drug absorption and higher peak drug levels in the blood are typically associated with more drug abuse and possibly addiction.</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the faster absorbing subpopulation of subjects, assuming each subject should have an expected Cmax for LTX-04P consistent with the average seen in the 1 and 2 tablets subgroups of 53% of Dilaudid, the subpopulations demonstrated:</w:t>
      </w:r>
    </w:p>
    <w:p>
      <w:pPr>
        <w:spacing w:after="0" w:line="179"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82% of subjects had an estimated reduction in Cmax associated with Limitx</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38% average estimated reduction in Cmax associated with Limitx</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66% maximum reduction in estimated Cmax observed in two of 17 subjects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1.6x average increase in Tmax associated with Limitx</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29" w:name="page30"/>
    <w:bookmarkEnd w:id="29"/>
    <w:p>
      <w:pPr>
        <w:spacing w:after="0"/>
        <w:rPr>
          <w:sz w:val="20"/>
          <w:szCs w:val="20"/>
          <w:color w:val="auto"/>
        </w:rPr>
      </w:pPr>
      <w:r>
        <w:rPr>
          <w:rFonts w:ascii="Arial" w:cs="Arial" w:eastAsia="Arial" w:hAnsi="Arial"/>
          <w:sz w:val="15"/>
          <w:szCs w:val="15"/>
          <w:color w:val="auto"/>
        </w:rPr>
        <w:t>In July 2016, we submitted the topline results of Study 400 to the FDA under our LTX-04 Fast Track designation and are awaiting comments from the FDA.</w:t>
      </w:r>
    </w:p>
    <w:p>
      <w:pPr>
        <w:spacing w:after="0" w:line="252"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We have completed reformulation work on the Limitx Technology micro-particles and have two candidates which we believe will improve the drug delivery with one and two tablets. We intend to study these new micro-particle formulation in the next clinical study. Subsequent to the completion of Study 400, we observed discoloration of the LTX-04 tablets. We will need to eliminate this discoloration effect in our tablets prior to initiating dosing in the next clinical study.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five issued U.S. patents, which expire between 2023 and 2025. Our Aversion Technology products are intended to provide the same therapeutic benefits of the active drug ingredient as currently marketed products containing the same active pharmaceutical ingredient.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Egalet pursuant to which we exclusively licensed to Egalet worldwide rights to manufacture and commercialize Oxaydo. Oxaydo is approved in 5mg and 7.5mg strengths. Egalet launched Oxaydo in the United States late in the third quarter of 2015. On September 15, 2016, Egalet announced that a new 15 mg strength of Oxaydo that they are developing achieved bioequivalence to a reference dose in support of a potential NDA supplement filing.</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2015 market for immediate-release oxycodone products was 19.3 million dispensed prescription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77"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53" w:lineRule="exact"/>
        <w:rPr>
          <w:sz w:val="20"/>
          <w:szCs w:val="20"/>
          <w:color w:val="auto"/>
        </w:rPr>
      </w:pPr>
    </w:p>
    <w:p>
      <w:pPr>
        <w:ind w:left="640" w:hanging="316"/>
        <w:spacing w:after="0" w:line="252"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ind w:left="640" w:hanging="316"/>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subjects taking Oxaydo reported a higher incidence of nasopharyngeal and facial adverse events compared to immediate-release oxycodone;</w:t>
      </w:r>
    </w:p>
    <w:p>
      <w:pPr>
        <w:spacing w:after="0" w:line="16" w:lineRule="exact"/>
        <w:rPr>
          <w:rFonts w:ascii="Arial" w:cs="Arial" w:eastAsia="Arial" w:hAnsi="Arial"/>
          <w:sz w:val="17"/>
          <w:szCs w:val="17"/>
          <w:color w:val="auto"/>
        </w:rPr>
      </w:pPr>
    </w:p>
    <w:p>
      <w:pPr>
        <w:ind w:left="640" w:hanging="316"/>
        <w:spacing w:after="0" w:line="24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small numeric differences in the median and mean drug liking scores, which were lower in response to Oxaydo than immediate-release oxycodone.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0" w:name="page31"/>
    <w:bookmarkEnd w:id="30"/>
    <w:p>
      <w:pPr>
        <w:jc w:val="both"/>
        <w:spacing w:after="0" w:line="250"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Egalet have a post-approval commitment with the FDA to perform an epidemiology study to assess the actual impact on abuse of Oxaydo tablets.</w:t>
      </w:r>
    </w:p>
    <w:p>
      <w:pPr>
        <w:spacing w:after="0" w:line="195"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Egalet has advised us that it has commenced formulation work on a 15mg dosage strength for Oxaydo, has achieved bioequivalence of this new strength to a reference formulation, and has set a target date for submission of this new dosage strength to the FDA in the second half of 2017. Egalet is also evaluating possible alternatives to enhance Oxaydo’s product label.</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are advised that Egalet commenced promoting Oxaydo in September 2015 and has since expanded its target physician group to approximately 11,500 immediate-release opioid prescribing physicians using approximately 71 sales representatives. Commercial shipments of Oxaydo commenced in early October 2015. Egalet has further advised us that they have implemented a co-pay support program in which any non-government insurance covered patient receiving an Oxaydo prescription will be eligible to receive a credit such that their out-of-pocket cost, or co-pay, is limited to $15 per prescription. Egalet is in the early stages of promoting Oxaydo to physicians and addressing the challenges of establishing retail pharmacy stocking of a Schedule II narcotic.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Egalet Agreement Covering Oxaydo</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7, 2015, we and Egalet US, Inc. and Egalet Ltd., each a subsidiary of Egalet Corporation, (collectively, “Egalet”) entered into a Collaboration and License Agreement (the “Egalet Agreement”) to commercialize Oxaydo tablets containing our Aversion® Technology. Oxaydo is approved by the FDA for marketing in the United States in 5 mg and 7.5 mg strengths. Under the terms of the Egalet Agreement, we transferred the approved NDA for Oxaydo to Egalet and Egalet is granted an exclusive license under our intellectual property rights for development and commercialization of Oxaydo worldwide (the “Territory”) in all strengths, subject to our right to co-promote Oxaydo in the United States.</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accordance with the Egalet Agreement, we and Egalet have formed a joint steering committee to oversee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Egalet paid us an upfront payment of $5 million upon signing of the Egalet Agreement and a $2.5 million milestone in October 2015 in connection with the launch of Oxaydo. In addition, we will be entitled to a one-time $12.5 million milestone payment when worldwide Oxaydo net sales reach $150 million in a calendar year. In addition,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Egalet to acquire intellectual property rights to commercialize Oxaydo, with an aggregate minimum floor.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KemPharm Agreement Covering Opioid Prodrugs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13, 2016, we and KemPharm Inc. (”KemPharm”) entered into a worldwide License Agreement (the “Agreement”) pursuant to which we licensed our Aversion® technology to KemPharm for its use in the development and commercialization of three products using 2 of KemPharm’s prodrug candidates. KemPharm has also been granted an option to extend the KemPharm Agreement to cover two additional prodrug candidates. KemPharm is responsible for all development, manufacturing and commercialization activities, although we may provide initial technical assistance.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Upon execution of the KemPharm Agreement, KemPharm paid us an upfront payment of $3.5 million. If KemPharm exercises its option to use our Aversion technology with more than the 2 prodrugs licensed, then KemPharm will pay us up to $1.0 million for each additional prodrug license. In addition, we will receive from KemPharm a low single digit royalty on commercial sales by KemPharm of products developed using our Aversion technology under the KemPharm Agreement. KemPharm’s royalty payment obligations commence on the first commercial sale of a product using our Aversion technology and expire, on a country-by-country basis, upon the expiration of the last to expire patent claim of the Aversion technology covering a product in such country, at which time the license for the particular product and country becomes fully paid and royalty free.</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KemPharm Agreement expires upon the expiration of KemPharm’s royalty payment obligations in all countries. Either party may terminate the KemPharm Agreement in its entirety if the other party materially breaches the KemPharm Agreement, subject to applicable cure periods. Acura or KemPharm may terminate the KemPharm Agreement with respect to the U.S. and other countries if the other party challenges the patents covering the licensed products. KemPharm may terminate the KemPharm Agreement for convenience on ninety (90) days prior written notice. Termination does not affect a party’s rights accrued prior thereto, but there are no stated payments in connection with termination other than payments of obligations previously accrued. For all terminations (but not expiration), the KemPharm Agreement provides for termination of our license grant to KemPharm.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3"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On April 9, 2015, we announced the indefinite suspension of further development of our Aversion hydrocodone/APAP product candidate. We currently have 6 additional opioids at various stages of formulation development using the Aversion Technology which are not being actively developed.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November 15, 2016, we expect the USPTO to issue to us patent number 9,492,443 in connection with our Aversion Technology.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1.0 Technology</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Impede 1.0 Technology, a proprietary mixture of inactive ingredients, prevents the extraction of PSE from tablets using known extraction methods and disrupts the direct conversion of PSE from tablets into methamphetamine.</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2.0 Technology</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developed a next generation, or Impede 2.0 Technology to improve the meth-resistance of our technology. We have completed one-pot, direct conversion meth testing performed by our CRO on the following commercially available products and on our Nexafed Impede 2.0 extended-release product, with the following results:</w:t>
      </w:r>
    </w:p>
    <w:p>
      <w:pPr>
        <w:spacing w:after="0" w:line="189"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Meth Resistant</w:t>
            </w:r>
          </w:p>
        </w:tc>
        <w:tc>
          <w:tcPr>
            <w:tcW w:w="1180" w:type="dxa"/>
            <w:vAlign w:val="bottom"/>
            <w:vMerge w:val="restart"/>
          </w:tcPr>
          <w:p>
            <w:pPr>
              <w:ind w:left="20"/>
              <w:spacing w:after="0"/>
              <w:rPr>
                <w:sz w:val="20"/>
                <w:szCs w:val="20"/>
                <w:color w:val="auto"/>
              </w:rPr>
            </w:pPr>
            <w:r>
              <w:rPr>
                <w:rFonts w:ascii="Arial" w:cs="Arial" w:eastAsia="Arial" w:hAnsi="Arial"/>
                <w:sz w:val="18"/>
                <w:szCs w:val="18"/>
                <w:color w:val="auto"/>
                <w:w w:val="86"/>
              </w:rPr>
              <w:t>Meth Recovery</w:t>
            </w:r>
            <w:r>
              <w:rPr>
                <w:rFonts w:ascii="Arial" w:cs="Arial" w:eastAsia="Arial" w:hAnsi="Arial"/>
                <w:sz w:val="29"/>
                <w:szCs w:val="29"/>
                <w:color w:val="auto"/>
                <w:w w:val="86"/>
                <w:vertAlign w:val="superscript"/>
              </w:rPr>
              <w:t>1</w:t>
            </w:r>
          </w:p>
        </w:tc>
        <w:tc>
          <w:tcPr>
            <w:tcW w:w="240" w:type="dxa"/>
            <w:vAlign w:val="bottom"/>
            <w:vMerge w:val="restart"/>
          </w:tcPr>
          <w:p>
            <w:pPr>
              <w:spacing w:after="0"/>
              <w:rPr>
                <w:sz w:val="18"/>
                <w:szCs w:val="18"/>
                <w:color w:val="auto"/>
              </w:rPr>
            </w:pPr>
          </w:p>
        </w:tc>
        <w:tc>
          <w:tcPr>
            <w:tcW w:w="1120" w:type="dxa"/>
            <w:vAlign w:val="bottom"/>
            <w:vMerge w:val="restart"/>
          </w:tcPr>
          <w:p>
            <w:pPr>
              <w:ind w:left="320"/>
              <w:spacing w:after="0"/>
              <w:rPr>
                <w:sz w:val="20"/>
                <w:szCs w:val="20"/>
                <w:color w:val="auto"/>
              </w:rPr>
            </w:pPr>
            <w:r>
              <w:rPr>
                <w:rFonts w:ascii="Arial" w:cs="Arial" w:eastAsia="Arial" w:hAnsi="Arial"/>
                <w:sz w:val="18"/>
                <w:szCs w:val="18"/>
                <w:color w:val="auto"/>
              </w:rPr>
              <w:t>Purity</w:t>
            </w:r>
            <w:r>
              <w:rPr>
                <w:rFonts w:ascii="Arial" w:cs="Arial" w:eastAsia="Arial" w:hAnsi="Arial"/>
                <w:sz w:val="29"/>
                <w:szCs w:val="29"/>
                <w:color w:val="auto"/>
                <w:vertAlign w:val="superscript"/>
              </w:rPr>
              <w:t>2</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Product/Formulation</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Technology</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CCEEFF"/>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Sudafed® 30mg Tablets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84"/>
              </w:rPr>
              <w:t>none</w:t>
            </w:r>
          </w:p>
        </w:tc>
        <w:tc>
          <w:tcPr>
            <w:tcW w:w="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67%</w:t>
            </w:r>
          </w:p>
        </w:tc>
        <w:tc>
          <w:tcPr>
            <w:tcW w:w="12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2"/>
        </w:trPr>
        <w:tc>
          <w:tcPr>
            <w:tcW w:w="6260" w:type="dxa"/>
            <w:vAlign w:val="bottom"/>
            <w:gridSpan w:val="2"/>
          </w:tcPr>
          <w:p>
            <w:pPr>
              <w:spacing w:after="0"/>
              <w:rPr>
                <w:sz w:val="20"/>
                <w:szCs w:val="20"/>
                <w:color w:val="auto"/>
              </w:rPr>
            </w:pPr>
            <w:r>
              <w:rPr>
                <w:rFonts w:ascii="Arial" w:cs="Arial" w:eastAsia="Arial" w:hAnsi="Arial"/>
                <w:sz w:val="18"/>
                <w:szCs w:val="18"/>
                <w:color w:val="auto"/>
              </w:rPr>
              <w:t>Nexafed 30mg Technology</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Impede® 1.0</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2"/>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13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Tarex®</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Nexafed 120mg Extended-release tablets</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Impede® 2.0</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760" w:hanging="118"/>
        <w:spacing w:after="0"/>
        <w:tabs>
          <w:tab w:leader="none" w:pos="76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Total methamphetamine HCl recovered from the equivalent of 100 PSE 30mg tablets divided by the maximum theoretical yield of 2.7 grams.</w:t>
      </w:r>
    </w:p>
    <w:p>
      <w:pPr>
        <w:spacing w:after="0" w:line="42" w:lineRule="exact"/>
        <w:rPr>
          <w:rFonts w:ascii="Arial" w:cs="Arial" w:eastAsia="Arial" w:hAnsi="Arial"/>
          <w:sz w:val="28"/>
          <w:szCs w:val="28"/>
          <w:color w:val="auto"/>
          <w:vertAlign w:val="superscript"/>
        </w:rPr>
      </w:pPr>
    </w:p>
    <w:p>
      <w:pPr>
        <w:ind w:left="640"/>
        <w:spacing w:after="0"/>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Total methamphetamine HCl recovered from the equivalent of 100 PSE 30mg tablets divided by the total weight of powder recovered.</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demonstrated in a pilot clinical study the bioequivalence of a formulation of our Nexafed extended release tablets utilizing our Impede 2.0 Technology to Sudafed® 12-hour Tablets. We have completed a project to integrate Impede 2.0 Technology into our commercially available Nexafed 30mg tablet while moving supply to an alternate contract manufacturer. We expect to perform process validation on this new formulation in the first half of 2017 and introduce the new formulation into the market.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Nexafed Products</w:t>
      </w:r>
    </w:p>
    <w:p>
      <w:pPr>
        <w:spacing w:after="0" w:line="22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Nexafed product line consists of immediate release tablets which currently utilize our patented Impede 1.0 Technology. Nexafed is a 30mg pseudoephedrine tablet and Nexafed Sinus Pressure + Pain is a 30/325mg pseudoephedrine and acetaminophen tablet.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 However, as meth-resistant products become pervasive, we believe meth cooks will migrate to other, larger selling, PSE containing products.</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We are capitalizing on this consumer-pharmacist interaction at the point of sale by soliciting distribution to pharmacies and educating and encouraging pharmacists to recommend Nexafed to their customers. We are using telemarketing, direct mail, and online and journal advertising to educate pharmacists about Nexafed and encourage pharmacists to recommend Nexafed to their customers.</w:t>
      </w:r>
    </w:p>
    <w:p>
      <w:pPr>
        <w:spacing w:after="0" w:line="18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launched Nexafed commercially in mid-December 2012 into the United States OTC market for cold and allergy products. We have built a distribution system of several regional and national drug wholesalers for redistribution to pharmacies which includes the three largest U.S. drug wholesalers: McKesson, Cardinal Health and AmerisourceBergen. We also ship directly to the warehouses of certain pharmacy chains. Nexafed is currently stocked in approximately 13,900 pharmacies or about approximately 21%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are actively recommending Nexafed to their customers while some have replaced all 30mg PSE products, brand and generic, with Nexafed. Rite Aid, the nation’s fourth largest pharmacy operator, began purchasing Nexafed in late 2013. In late 2014, Kmart and Kroger initiated chain-wide stocking of Nexafed.</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We estimate that approximately 56% of Nexafed stocking pharmacies are repeat customers, excluding Rite Aid and Kroger which purchase directly from us and we therefore do not have individual store data.</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February 2015, we began initial shipments of Nexafed Sinus Pressure + Pain. We are marketing this product consistent with our Nexafed marketing efforts to pharmacists concerned with meth abuse of their products. We are not aware of any branded non-prescription product that contains PSE and acetaminophen believing that brands containing these ingredients have either been discontinued or reformulated with phenylephrine. We expect Nexafed Sinus Pressure + Pain to compete primarily against Advil® Cold and Sinus (PSE/ibuprofen) and to a lesser extent Aleve®-D and Sudafed® Pressure + Pain which are extended-release products.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We are marketing our Nexafed product and our Nexafed Sinus Pressure + Pain product under FDA’s regulations applicable to OTC Monograph products.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Nexafed and Nexafed Sinus Pressure + Pain tablets are offered in 24-count blister packaged cartons.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understand that in 2014, a majority pharmacies in West Virginia voluntarily began selling on only meth-resistant products for the single-ingredient immediate-release PSE offerings. In 2015, newspapers reported about 60% of single-ingredient immediate-release PSE sales in West Virginia were for meth-resistant formulations. In March 2016, Indiana enacted legislation, subject to adoption of rule and policy making by the Indiana Board of Pharmacy, to require state pharmacists to use professional discretion when selling PSE-containing cold and allergy products, including encouraging the use of new meth-resistant formulations, in an effort to help reduce local methamphetamine production. According to media reports, Rite Aid pharmacies and many independent pharmacies in small geography in Maine have, at the request of local authorities and community leaders, removed all traditional pseudoephedrine-containing products from their shelves and stock only meth-resistant formulations such as Nexafed.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3"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are developing additional products for our Nexafed franchise:</w:t>
      </w:r>
    </w:p>
    <w:p>
      <w:pPr>
        <w:sectPr>
          <w:pgSz w:w="11900" w:h="16838" w:orient="portrait"/>
          <w:cols w:equalWidth="0" w:num="1">
            <w:col w:w="11420"/>
          </w:cols>
          <w:pgMar w:left="240" w:top="890" w:right="239" w:bottom="1440" w:gutter="0" w:footer="0" w:header="0"/>
        </w:sectPr>
      </w:pPr>
    </w:p>
    <w:p>
      <w:pPr>
        <w:spacing w:after="0" w:line="179" w:lineRule="exact"/>
        <w:rPr>
          <w:sz w:val="20"/>
          <w:szCs w:val="20"/>
          <w:color w:val="auto"/>
        </w:rPr>
      </w:pPr>
    </w:p>
    <w:p>
      <w:pPr>
        <w:ind w:left="240" w:right="1420" w:firstLine="1685"/>
        <w:spacing w:after="0" w:line="312" w:lineRule="auto"/>
        <w:rPr>
          <w:sz w:val="20"/>
          <w:szCs w:val="20"/>
          <w:color w:val="auto"/>
        </w:rPr>
      </w:pPr>
      <w:r>
        <w:rPr>
          <w:rFonts w:ascii="Arial" w:cs="Arial" w:eastAsia="Arial" w:hAnsi="Arial"/>
          <w:sz w:val="15"/>
          <w:szCs w:val="15"/>
          <w:color w:val="auto"/>
        </w:rPr>
        <w:t>Impede Technology Product Nexafed 30mg with Impede 2.0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-141605</wp:posOffset>
            </wp:positionV>
            <wp:extent cx="34099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9950" cy="825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5"/>
          <w:szCs w:val="15"/>
          <w:color w:val="auto"/>
        </w:rPr>
        <w:t>Immediate-release pseudoephedrine HCl in combination with other cold</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 allergy active ingredients</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Extended-release formulation utilizing Impede 2.0 Technology</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Extended-release combination products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Methamphetamine resistant pseudoephedrine – containing product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34016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1695" cy="8255"/>
                    </a:xfrm>
                    <a:prstGeom prst="rect">
                      <a:avLst/>
                    </a:prstGeom>
                    <a:noFill/>
                  </pic:spPr>
                </pic:pic>
              </a:graphicData>
            </a:graphic>
          </wp:anchor>
        </w:drawing>
      </w:r>
    </w:p>
    <w:p>
      <w:pPr>
        <w:ind w:right="600"/>
        <w:spacing w:after="0" w:line="250" w:lineRule="auto"/>
        <w:rPr>
          <w:sz w:val="20"/>
          <w:szCs w:val="20"/>
          <w:color w:val="auto"/>
        </w:rPr>
      </w:pPr>
      <w:r>
        <w:rPr>
          <w:rFonts w:ascii="Arial" w:cs="Arial" w:eastAsia="Arial" w:hAnsi="Arial"/>
          <w:sz w:val="18"/>
          <w:szCs w:val="18"/>
          <w:color w:val="auto"/>
        </w:rPr>
        <w:t>Transferring to alternate supplier and scaling-up to commercial supply Nexafed Sinus Pressure + Pain launched Other formulations being considered</w:t>
      </w:r>
    </w:p>
    <w:p>
      <w:pPr>
        <w:spacing w:after="0" w:line="1" w:lineRule="exact"/>
        <w:rPr>
          <w:sz w:val="20"/>
          <w:szCs w:val="20"/>
          <w:color w:val="auto"/>
        </w:rPr>
      </w:pPr>
    </w:p>
    <w:p>
      <w:pPr>
        <w:ind w:right="460"/>
        <w:spacing w:after="0" w:line="245" w:lineRule="auto"/>
        <w:rPr>
          <w:sz w:val="20"/>
          <w:szCs w:val="20"/>
          <w:color w:val="auto"/>
        </w:rPr>
      </w:pPr>
      <w:r>
        <w:rPr>
          <w:rFonts w:ascii="Arial" w:cs="Arial" w:eastAsia="Arial" w:hAnsi="Arial"/>
          <w:sz w:val="18"/>
          <w:szCs w:val="18"/>
          <w:color w:val="auto"/>
        </w:rPr>
        <w:t>Pilot pharmacokinetic testing demonstrated bioequivalence to Sudafed® 12-hour Tablets. Pre-IND meeting held with the FDA Formulations being considered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 development pursuant to Bayer Agreement</w:t>
      </w:r>
    </w:p>
    <w:p>
      <w:pPr>
        <w:spacing w:after="0" w:line="200" w:lineRule="exact"/>
        <w:rPr>
          <w:sz w:val="20"/>
          <w:szCs w:val="20"/>
          <w:color w:val="auto"/>
        </w:rPr>
      </w:pPr>
    </w:p>
    <w:p>
      <w:pPr>
        <w:sectPr>
          <w:pgSz w:w="11900" w:h="16838" w:orient="portrait"/>
          <w:cols w:equalWidth="0" w:num="2">
            <w:col w:w="5340" w:space="500"/>
            <w:col w:w="5580"/>
          </w:cols>
          <w:pgMar w:left="240" w:top="890" w:right="239" w:bottom="1440" w:gutter="0" w:footer="0" w:header="0"/>
          <w:type w:val="continuous"/>
        </w:sectPr>
      </w:pPr>
    </w:p>
    <w:p>
      <w:pPr>
        <w:spacing w:after="0" w:line="6"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have submitted additional “meth-resistant” testing information to the FDA for review prior to submitting an IND. In October 2016, we received FDA recommendations on our meth-resistant testing protocols for our Nexafed extended release tablets. We can now scale-up our manufacture batch size at a contract manufacturer which allow us to submit an IND to the FDA for our Nexafed extended release tablets, however, we have not yet committed to that level of development.</w:t>
      </w:r>
    </w:p>
    <w:p>
      <w:pPr>
        <w:spacing w:after="0" w:line="15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objective is to establish our own Nexafed franchise in the United States with multiple product offerings, including both immediate and extended release products utilizing both single and combinations of active ingredients. We aim to make meth-resistant PSE product the standard of care in all U.S. pharmacies. We will evaluate possible licensing of our Impede Technology with commercial partners. Within the United States, we may consider additional licenses with appropriate partners that can: (a) help advance our distribution network with the goal of making meth-resistant products the standard of care in all U.S. pharmacies, and/or (b) extend our internal development resources to develop difficult to formulate products, such as extended-release.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Agreement</w:t>
      </w:r>
    </w:p>
    <w:p>
      <w:pPr>
        <w:spacing w:after="0" w:line="22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On June 15, 2015, we and Bayer entered into a License and Development Agreement pursuant to which we granted Bayer an exclusive worldwide license to our Impede® Technology for use in an undisclosed methamphetamine resistant pseudoephedrine-containing product and providing for the joint development of such product using our Impede Technology for the U.S. market. The Agreement also grants Bayer first right to negotiate a license to the Impede® Technology for certain other products. We are eligible to receive reimbursement of certain our development expenses, success-based development and regulatory milestone payments, and low mid-single digit royalties on the net sales of the developed product in countries with patent coverage and a reduced royalty elsewhere.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type w:val="continuous"/>
        </w:sectPr>
      </w:pPr>
    </w:p>
    <w:bookmarkStart w:id="35" w:name="page36"/>
    <w:bookmarkEnd w:id="35"/>
    <w:tbl>
      <w:tblPr>
        <w:tblLayout w:type="fixed"/>
        <w:tblInd w:w="640" w:type="dxa"/>
        <w:tblCellMar>
          <w:top w:w="0" w:type="dxa"/>
          <w:left w:w="0" w:type="dxa"/>
          <w:bottom w:w="0" w:type="dxa"/>
          <w:right w:w="0" w:type="dxa"/>
        </w:tblCellMar>
      </w:tblPr>
      <w:tr>
        <w:trPr>
          <w:trHeight w:val="212"/>
        </w:trPr>
        <w:tc>
          <w:tcPr>
            <w:tcW w:w="5040" w:type="dxa"/>
            <w:vAlign w:val="bottom"/>
            <w:vMerge w:val="restart"/>
          </w:tcPr>
          <w:p>
            <w:pPr>
              <w:ind w:left="1880"/>
              <w:spacing w:after="0"/>
              <w:rPr>
                <w:sz w:val="20"/>
                <w:szCs w:val="20"/>
                <w:color w:val="auto"/>
              </w:rPr>
            </w:pPr>
            <w:r>
              <w:rPr>
                <w:rFonts w:ascii="Arial" w:cs="Arial" w:eastAsia="Arial" w:hAnsi="Arial"/>
                <w:sz w:val="18"/>
                <w:szCs w:val="18"/>
                <w:color w:val="auto"/>
              </w:rPr>
              <w:t>Reference Brand</w:t>
            </w:r>
            <w:r>
              <w:rPr>
                <w:rFonts w:ascii="Arial" w:cs="Arial" w:eastAsia="Arial" w:hAnsi="Arial"/>
                <w:sz w:val="29"/>
                <w:szCs w:val="29"/>
                <w:color w:val="auto"/>
                <w:vertAlign w:val="superscript"/>
              </w:rPr>
              <w:t>1</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Active</w:t>
            </w:r>
          </w:p>
        </w:tc>
        <w:tc>
          <w:tcPr>
            <w:tcW w:w="1320" w:type="dxa"/>
            <w:vAlign w:val="bottom"/>
            <w:gridSpan w:val="3"/>
          </w:tcPr>
          <w:p>
            <w:pPr>
              <w:spacing w:after="0"/>
              <w:rPr>
                <w:sz w:val="20"/>
                <w:szCs w:val="20"/>
                <w:color w:val="auto"/>
              </w:rPr>
            </w:pPr>
            <w:r>
              <w:rPr>
                <w:rFonts w:ascii="Arial" w:cs="Arial" w:eastAsia="Arial" w:hAnsi="Arial"/>
                <w:sz w:val="18"/>
                <w:szCs w:val="18"/>
                <w:color w:val="auto"/>
                <w:w w:val="92"/>
              </w:rPr>
              <w:t>2014 Retail Sales</w:t>
            </w:r>
          </w:p>
        </w:tc>
        <w:tc>
          <w:tcPr>
            <w:tcW w:w="0" w:type="dxa"/>
            <w:vAlign w:val="bottom"/>
          </w:tcPr>
          <w:p>
            <w:pPr>
              <w:spacing w:after="0"/>
              <w:rPr>
                <w:sz w:val="1"/>
                <w:szCs w:val="1"/>
                <w:color w:val="auto"/>
              </w:rPr>
            </w:pPr>
          </w:p>
        </w:tc>
      </w:tr>
      <w:tr>
        <w:trPr>
          <w:trHeight w:val="225"/>
        </w:trPr>
        <w:tc>
          <w:tcPr>
            <w:tcW w:w="5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6"/>
              </w:rPr>
              <w:t>Brand Company</w:t>
            </w: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Ingredient(s)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Millions)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Claritin-D</w:t>
            </w: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Bayer</w:t>
            </w: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line="245" w:lineRule="exact"/>
              <w:rPr>
                <w:sz w:val="20"/>
                <w:szCs w:val="20"/>
                <w:color w:val="auto"/>
              </w:rPr>
            </w:pPr>
            <w:r>
              <w:rPr>
                <w:rFonts w:ascii="Arial" w:cs="Arial" w:eastAsia="Arial" w:hAnsi="Arial"/>
                <w:sz w:val="17"/>
                <w:szCs w:val="17"/>
                <w:color w:val="auto"/>
              </w:rPr>
              <w:t>PSE &amp; Loraditine</w:t>
            </w:r>
            <w:r>
              <w:rPr>
                <w:rFonts w:ascii="Arial" w:cs="Arial" w:eastAsia="Arial" w:hAnsi="Arial"/>
                <w:sz w:val="28"/>
                <w:szCs w:val="28"/>
                <w:color w:val="auto"/>
                <w:vertAlign w:val="superscript"/>
              </w:rPr>
              <w:t>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040" w:type="dxa"/>
            <w:vAlign w:val="bottom"/>
          </w:tcPr>
          <w:p>
            <w:pPr>
              <w:spacing w:after="0"/>
              <w:rPr>
                <w:sz w:val="20"/>
                <w:szCs w:val="20"/>
                <w:color w:val="auto"/>
              </w:rPr>
            </w:pPr>
            <w:r>
              <w:rPr>
                <w:rFonts w:ascii="Arial" w:cs="Arial" w:eastAsia="Arial" w:hAnsi="Arial"/>
                <w:sz w:val="18"/>
                <w:szCs w:val="18"/>
                <w:color w:val="auto"/>
              </w:rPr>
              <w:t>Allegra-D</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Chattem</w:t>
            </w:r>
          </w:p>
        </w:tc>
        <w:tc>
          <w:tcPr>
            <w:tcW w:w="2200" w:type="dxa"/>
            <w:vAlign w:val="bottom"/>
            <w:gridSpan w:val="3"/>
          </w:tcPr>
          <w:p>
            <w:pPr>
              <w:ind w:left="100"/>
              <w:spacing w:after="0" w:line="252"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29"/>
                <w:szCs w:val="29"/>
                <w:color w:val="auto"/>
                <w:vertAlign w:val="superscript"/>
              </w:rPr>
              <w:t>2</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Zyrtec-D</w:t>
            </w: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Pfizer</w:t>
            </w:r>
          </w:p>
        </w:tc>
        <w:tc>
          <w:tcPr>
            <w:tcW w:w="2200" w:type="dxa"/>
            <w:vAlign w:val="bottom"/>
            <w:gridSpan w:val="3"/>
            <w:shd w:val="clear" w:color="auto" w:fill="CCEEFF"/>
          </w:tcPr>
          <w:p>
            <w:pPr>
              <w:ind w:left="100"/>
              <w:spacing w:after="0" w:line="252"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040" w:type="dxa"/>
            <w:vAlign w:val="bottom"/>
          </w:tcPr>
          <w:p>
            <w:pPr>
              <w:spacing w:after="0"/>
              <w:rPr>
                <w:sz w:val="20"/>
                <w:szCs w:val="20"/>
                <w:color w:val="auto"/>
              </w:rPr>
            </w:pPr>
            <w:r>
              <w:rPr>
                <w:rFonts w:ascii="Arial" w:cs="Arial" w:eastAsia="Arial" w:hAnsi="Arial"/>
                <w:sz w:val="18"/>
                <w:szCs w:val="18"/>
                <w:color w:val="auto"/>
              </w:rPr>
              <w:t>Advil Sinus</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Pfizer</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PSE &amp; Ibuprofen</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2"/>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J&amp;J</w:t>
            </w:r>
          </w:p>
        </w:tc>
        <w:tc>
          <w:tcPr>
            <w:tcW w:w="2200" w:type="dxa"/>
            <w:vAlign w:val="bottom"/>
            <w:gridSpan w:val="3"/>
            <w:shd w:val="clear" w:color="auto" w:fill="CCEEFF"/>
          </w:tcPr>
          <w:p>
            <w:pPr>
              <w:ind w:left="100"/>
              <w:spacing w:after="0" w:line="252"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Sudafed 30mg</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J&amp;J</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PSE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760" w:hanging="118"/>
        <w:spacing w:after="0"/>
        <w:tabs>
          <w:tab w:leader="none" w:pos="76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Branded product only. Does not include store brand sales.</w:t>
      </w:r>
    </w:p>
    <w:p>
      <w:pPr>
        <w:spacing w:after="0" w:line="42" w:lineRule="exact"/>
        <w:rPr>
          <w:rFonts w:ascii="Arial" w:cs="Arial" w:eastAsia="Arial" w:hAnsi="Arial"/>
          <w:sz w:val="29"/>
          <w:szCs w:val="29"/>
          <w:color w:val="auto"/>
          <w:vertAlign w:val="superscript"/>
        </w:rPr>
      </w:pPr>
    </w:p>
    <w:p>
      <w:pPr>
        <w:ind w:left="640"/>
        <w:spacing w:after="0" w:line="238"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Extended release PSE formulations</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2014 market for 30mg PSE tablets, including store brands was approximately 470 million tablets or 19 million boxes of 24 tablets. Nexafed is currently priced at $4.39 for a box of 24 tablets and Nexafed Sinus Pressure + Pain is currently priced at $7.50 for a box of 24 tablets.</w:t>
      </w:r>
    </w:p>
    <w:p>
      <w:pPr>
        <w:spacing w:after="0" w:line="179"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marketing our Nexafed and Nexafed Sinus Pressure + Pain products pursuant to the FDA’s OTC Monograph regulations, which require that our product have labeling as specified in the regulations. We are advertising the extraction characteristics and methamphetamine-resistant benefits of our Nexafed products which is supported by our published research studies.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misuse and abuse of controlled prescription drugs (CPDs) in general, and opioid analgesics in particular, continues to constitute a dynamic and challenging threat to the United States and is the nation’s fastest growing drug problem. Results from the 2013 National Drug Threat Assessment conducted by the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 84,671 to 179,787— between 2006 and 2010. Immediate release, or IR, opioid products comprise the vast majority of this abuse compared with extended release, or ER, opioid products.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233 million tablet and capsule prescriptions dispensed in 2015 of which approximately 219 million were for IR opioid products and 15 million were for ER opioid products. However, physicians and other health care providers at times are reluctant to prescribe opioid analgesics for fear of misuse, abuse, and diversion of legitimate prescriptions for illicit use.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6" w:name="page37"/>
    <w:bookmarkEnd w:id="36"/>
    <w:p>
      <w:pPr>
        <w:jc w:val="both"/>
        <w:spacing w:after="0" w:line="249"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65 tablets or capsules. According to IMS Health, in 2015, sales in the IR opioid product segment were approximately $2.9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2015 is provided below:</w:t>
      </w:r>
    </w:p>
    <w:p>
      <w:pPr>
        <w:spacing w:after="0" w:line="197" w:lineRule="exact"/>
        <w:rPr>
          <w:sz w:val="20"/>
          <w:szCs w:val="20"/>
          <w:color w:val="auto"/>
        </w:rPr>
      </w:pPr>
    </w:p>
    <w:tbl>
      <w:tblPr>
        <w:tblLayout w:type="fixed"/>
        <w:tblInd w:w="2100" w:type="dxa"/>
        <w:tblCellMar>
          <w:top w:w="0" w:type="dxa"/>
          <w:left w:w="0" w:type="dxa"/>
          <w:bottom w:w="0" w:type="dxa"/>
          <w:right w:w="0" w:type="dxa"/>
        </w:tblCellMar>
      </w:tblPr>
      <w:tr>
        <w:trPr>
          <w:trHeight w:val="212"/>
        </w:trPr>
        <w:tc>
          <w:tcPr>
            <w:tcW w:w="3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2015 US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3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Prescriptions</w:t>
            </w:r>
          </w:p>
        </w:tc>
        <w:tc>
          <w:tcPr>
            <w:tcW w:w="118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63"/>
        </w:trPr>
        <w:tc>
          <w:tcPr>
            <w:tcW w:w="3020" w:type="dxa"/>
            <w:vAlign w:val="bottom"/>
            <w:tcBorders>
              <w:bottom w:val="single" w:sz="8" w:color="auto"/>
            </w:tcBorders>
          </w:tcPr>
          <w:p>
            <w:pPr>
              <w:spacing w:after="0" w:line="262" w:lineRule="exact"/>
              <w:rPr>
                <w:sz w:val="20"/>
                <w:szCs w:val="20"/>
                <w:color w:val="auto"/>
              </w:rPr>
            </w:pPr>
            <w:r>
              <w:rPr>
                <w:rFonts w:ascii="Arial" w:cs="Arial" w:eastAsia="Arial" w:hAnsi="Arial"/>
                <w:sz w:val="18"/>
                <w:szCs w:val="18"/>
                <w:color w:val="auto"/>
              </w:rPr>
              <w:t>IR Opioid Products</w:t>
            </w:r>
            <w:r>
              <w:rPr>
                <w:rFonts w:ascii="Arial" w:cs="Arial" w:eastAsia="Arial" w:hAnsi="Arial"/>
                <w:sz w:val="29"/>
                <w:szCs w:val="29"/>
                <w:color w:val="auto"/>
                <w:vertAlign w:val="superscript"/>
              </w:rPr>
              <w:t>(1)</w:t>
            </w:r>
          </w:p>
        </w:tc>
        <w:tc>
          <w:tcPr>
            <w:tcW w:w="4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color w:val="auto"/>
                <w:w w:val="91"/>
              </w:rPr>
              <w:t>(Millions)</w:t>
            </w:r>
            <w:r>
              <w:rPr>
                <w:rFonts w:ascii="Arial" w:cs="Arial" w:eastAsia="Arial" w:hAnsi="Arial"/>
                <w:sz w:val="29"/>
                <w:szCs w:val="29"/>
                <w:color w:val="auto"/>
                <w:w w:val="91"/>
                <w:vertAlign w:val="superscript"/>
              </w:rPr>
              <w:t>(2)</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of Total</w:t>
            </w:r>
          </w:p>
        </w:tc>
        <w:tc>
          <w:tcPr>
            <w:tcW w:w="160" w:type="dxa"/>
            <w:vAlign w:val="bottom"/>
            <w:tcBorders>
              <w:bottom w:val="single" w:sz="8" w:color="CCEEFF"/>
            </w:tcBorders>
          </w:tcPr>
          <w:p>
            <w:pPr>
              <w:spacing w:after="0"/>
              <w:rPr>
                <w:sz w:val="22"/>
                <w:szCs w:val="22"/>
                <w:color w:val="auto"/>
              </w:rPr>
            </w:pPr>
          </w:p>
        </w:tc>
      </w:tr>
      <w:tr>
        <w:trPr>
          <w:trHeight w:val="205"/>
        </w:trPr>
        <w:tc>
          <w:tcPr>
            <w:tcW w:w="3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Hydrocodone</w:t>
            </w: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44%</w:t>
            </w:r>
          </w:p>
        </w:tc>
      </w:tr>
      <w:tr>
        <w:trPr>
          <w:trHeight w:val="212"/>
        </w:trPr>
        <w:tc>
          <w:tcPr>
            <w:tcW w:w="3060" w:type="dxa"/>
            <w:vAlign w:val="bottom"/>
            <w:gridSpan w:val="2"/>
          </w:tcPr>
          <w:p>
            <w:pPr>
              <w:spacing w:after="0"/>
              <w:rPr>
                <w:sz w:val="20"/>
                <w:szCs w:val="20"/>
                <w:color w:val="auto"/>
              </w:rPr>
            </w:pPr>
            <w:r>
              <w:rPr>
                <w:rFonts w:ascii="Arial" w:cs="Arial" w:eastAsia="Arial" w:hAnsi="Arial"/>
                <w:sz w:val="18"/>
                <w:szCs w:val="18"/>
                <w:color w:val="auto"/>
              </w:rPr>
              <w:t>Oxycodone</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2"/>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Tramadol</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2"/>
        </w:trPr>
        <w:tc>
          <w:tcPr>
            <w:tcW w:w="3060" w:type="dxa"/>
            <w:vAlign w:val="bottom"/>
            <w:gridSpan w:val="2"/>
          </w:tcPr>
          <w:p>
            <w:pPr>
              <w:spacing w:after="0"/>
              <w:rPr>
                <w:sz w:val="20"/>
                <w:szCs w:val="20"/>
                <w:color w:val="auto"/>
              </w:rPr>
            </w:pPr>
            <w:r>
              <w:rPr>
                <w:rFonts w:ascii="Arial" w:cs="Arial" w:eastAsia="Arial" w:hAnsi="Arial"/>
                <w:sz w:val="18"/>
                <w:szCs w:val="18"/>
                <w:color w:val="auto"/>
              </w:rPr>
              <w:t>Codeine</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Others</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060" w:type="dxa"/>
            <w:vAlign w:val="bottom"/>
            <w:gridSpan w:val="2"/>
          </w:tcPr>
          <w:p>
            <w:pPr>
              <w:ind w:left="1340"/>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228" w:lineRule="exact"/>
        <w:rPr>
          <w:sz w:val="20"/>
          <w:szCs w:val="20"/>
          <w:color w:val="auto"/>
        </w:rPr>
      </w:pPr>
    </w:p>
    <w:p>
      <w:pPr>
        <w:ind w:left="2240" w:right="4400" w:hanging="166"/>
        <w:spacing w:after="0" w:line="216" w:lineRule="auto"/>
        <w:tabs>
          <w:tab w:leader="none" w:pos="2191"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Includes all salts and esters of the opioid and opioids in combination with other active ingredients such as acetaminophen.</w:t>
      </w:r>
    </w:p>
    <w:p>
      <w:pPr>
        <w:ind w:left="2180" w:hanging="106"/>
        <w:spacing w:after="0" w:line="188" w:lineRule="auto"/>
        <w:tabs>
          <w:tab w:leader="none" w:pos="218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IMS Health, 2015</w:t>
      </w:r>
    </w:p>
    <w:p>
      <w:pPr>
        <w:spacing w:after="0" w:line="201"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Abuse-Deterrent Opioid Products</w:t>
      </w:r>
    </w:p>
    <w:p>
      <w:pPr>
        <w:spacing w:after="0" w:line="223"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5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We or our licensee may seek to include descriptions of studies that characterize the abuse-deterrent properties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Egalet has committed to the FDA to undertake epidemiological studies to assess the actual consequences of abuse of Oxaydo in the market. Under the terms of the Egalet Agreement, we share a minority portion of the fees and expenses relating to such FDA required epidemiological studies.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9"/>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w w:val="95"/>
              </w:rPr>
              <w:t>Patents and Patent Applications</w:t>
            </w:r>
          </w:p>
        </w:tc>
        <w:tc>
          <w:tcPr>
            <w:tcW w:w="2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24"/>
        </w:trPr>
        <w:tc>
          <w:tcPr>
            <w:tcW w:w="7780" w:type="dxa"/>
            <w:vAlign w:val="bottom"/>
            <w:gridSpan w:val="5"/>
          </w:tcPr>
          <w:p>
            <w:pPr>
              <w:spacing w:after="0"/>
              <w:rPr>
                <w:sz w:val="20"/>
                <w:szCs w:val="20"/>
                <w:color w:val="auto"/>
              </w:rPr>
            </w:pPr>
            <w:r>
              <w:rPr>
                <w:rFonts w:ascii="Arial" w:cs="Arial" w:eastAsia="Arial" w:hAnsi="Arial"/>
                <w:sz w:val="18"/>
                <w:szCs w:val="18"/>
                <w:color w:val="auto"/>
              </w:rPr>
              <w:t>We have the following issued patent covering, among other things, our Limitx Technology:</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25"/>
        </w:trPr>
        <w:tc>
          <w:tcPr>
            <w:tcW w:w="2640" w:type="dxa"/>
            <w:vAlign w:val="bottom"/>
            <w:gridSpan w:val="3"/>
          </w:tcPr>
          <w:p>
            <w:pPr>
              <w:spacing w:after="0"/>
              <w:rPr>
                <w:sz w:val="20"/>
                <w:szCs w:val="20"/>
                <w:color w:val="auto"/>
              </w:rPr>
            </w:pPr>
            <w:r>
              <w:rPr>
                <w:rFonts w:ascii="Arial" w:cs="Arial" w:eastAsia="Arial" w:hAnsi="Arial"/>
                <w:sz w:val="18"/>
                <w:szCs w:val="18"/>
                <w:color w:val="auto"/>
              </w:rPr>
              <w:t>Patent No. (Jurisdiction)</w:t>
            </w: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Subject matter</w:t>
            </w:r>
          </w:p>
        </w:tc>
        <w:tc>
          <w:tcPr>
            <w:tcW w:w="1940" w:type="dxa"/>
            <w:vAlign w:val="bottom"/>
            <w:gridSpan w:val="3"/>
          </w:tcPr>
          <w:p>
            <w:pPr>
              <w:ind w:left="240"/>
              <w:spacing w:after="0"/>
              <w:rPr>
                <w:sz w:val="20"/>
                <w:szCs w:val="20"/>
                <w:color w:val="auto"/>
              </w:rPr>
            </w:pPr>
            <w:r>
              <w:rPr>
                <w:rFonts w:ascii="Arial" w:cs="Arial" w:eastAsia="Arial" w:hAnsi="Arial"/>
                <w:sz w:val="18"/>
                <w:szCs w:val="18"/>
                <w:color w:val="auto"/>
              </w:rPr>
              <w:t>Issued</w:t>
            </w:r>
          </w:p>
        </w:tc>
        <w:tc>
          <w:tcPr>
            <w:tcW w:w="1700" w:type="dxa"/>
            <w:vAlign w:val="bottom"/>
          </w:tcPr>
          <w:p>
            <w:pPr>
              <w:spacing w:after="0"/>
              <w:rPr>
                <w:sz w:val="20"/>
                <w:szCs w:val="20"/>
                <w:color w:val="auto"/>
              </w:rPr>
            </w:pPr>
            <w:r>
              <w:rPr>
                <w:rFonts w:ascii="Arial" w:cs="Arial" w:eastAsia="Arial" w:hAnsi="Arial"/>
                <w:sz w:val="18"/>
                <w:szCs w:val="18"/>
                <w:color w:val="auto"/>
              </w:rPr>
              <w:t>Expires</w:t>
            </w:r>
          </w:p>
        </w:tc>
      </w:tr>
      <w:tr>
        <w:trPr>
          <w:trHeight w:val="194"/>
        </w:trPr>
        <w:tc>
          <w:tcPr>
            <w:tcW w:w="20" w:type="dxa"/>
            <w:vAlign w:val="bottom"/>
          </w:tcPr>
          <w:p>
            <w:pPr>
              <w:spacing w:after="0"/>
              <w:rPr>
                <w:sz w:val="16"/>
                <w:szCs w:val="16"/>
                <w:color w:val="auto"/>
              </w:rPr>
            </w:pPr>
          </w:p>
        </w:tc>
        <w:tc>
          <w:tcPr>
            <w:tcW w:w="7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87"/>
              </w:rPr>
              <w:t>9,101,636</w:t>
            </w:r>
          </w:p>
        </w:tc>
        <w:tc>
          <w:tcPr>
            <w:tcW w:w="1900" w:type="dxa"/>
            <w:vAlign w:val="bottom"/>
            <w:tcBorders>
              <w:top w:val="single" w:sz="8" w:color="auto"/>
            </w:tcBorders>
          </w:tcPr>
          <w:p>
            <w:pPr>
              <w:ind w:left="20"/>
              <w:spacing w:after="0" w:line="194" w:lineRule="exact"/>
              <w:rPr>
                <w:sz w:val="20"/>
                <w:szCs w:val="20"/>
                <w:color w:val="auto"/>
              </w:rPr>
            </w:pPr>
            <w:r>
              <w:rPr>
                <w:rFonts w:ascii="Arial" w:cs="Arial" w:eastAsia="Arial" w:hAnsi="Arial"/>
                <w:sz w:val="18"/>
                <w:szCs w:val="18"/>
                <w:color w:val="auto"/>
              </w:rPr>
              <w:t>(US)</w:t>
            </w:r>
          </w:p>
        </w:tc>
        <w:tc>
          <w:tcPr>
            <w:tcW w:w="240" w:type="dxa"/>
            <w:vAlign w:val="bottom"/>
          </w:tcPr>
          <w:p>
            <w:pPr>
              <w:spacing w:after="0"/>
              <w:rPr>
                <w:sz w:val="16"/>
                <w:szCs w:val="16"/>
                <w:color w:val="auto"/>
              </w:rPr>
            </w:pPr>
          </w:p>
        </w:tc>
        <w:tc>
          <w:tcPr>
            <w:tcW w:w="49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90"/>
              </w:rPr>
              <w:t>Abuse deterrent products wherein the release of active ingredient is</w:t>
            </w:r>
          </w:p>
        </w:tc>
        <w:tc>
          <w:tcPr>
            <w:tcW w:w="24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0"/>
              </w:rPr>
              <w:t>Aug. 2015</w:t>
            </w:r>
          </w:p>
        </w:tc>
        <w:tc>
          <w:tcPr>
            <w:tcW w:w="24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0"/>
              </w:rPr>
              <w:t>Nov. 2033</w:t>
            </w: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retarded when 3 or more doses are consumed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2"/>
        </w:trPr>
        <w:tc>
          <w:tcPr>
            <w:tcW w:w="740" w:type="dxa"/>
            <w:vAlign w:val="bottom"/>
            <w:gridSpan w:val="2"/>
          </w:tcPr>
          <w:p>
            <w:pPr>
              <w:spacing w:after="0"/>
              <w:rPr>
                <w:sz w:val="20"/>
                <w:szCs w:val="20"/>
                <w:color w:val="auto"/>
              </w:rPr>
            </w:pPr>
            <w:r>
              <w:rPr>
                <w:rFonts w:ascii="Arial" w:cs="Arial" w:eastAsia="Arial" w:hAnsi="Arial"/>
                <w:sz w:val="18"/>
                <w:szCs w:val="18"/>
                <w:color w:val="auto"/>
                <w:w w:val="89"/>
              </w:rPr>
              <w:t>9,320,796</w:t>
            </w:r>
          </w:p>
        </w:tc>
        <w:tc>
          <w:tcPr>
            <w:tcW w:w="1900" w:type="dxa"/>
            <w:vAlign w:val="bottom"/>
          </w:tcPr>
          <w:p>
            <w:pPr>
              <w:ind w:left="20"/>
              <w:spacing w:after="0"/>
              <w:rPr>
                <w:sz w:val="20"/>
                <w:szCs w:val="20"/>
                <w:color w:val="auto"/>
              </w:rPr>
            </w:pPr>
            <w:r>
              <w:rPr>
                <w:rFonts w:ascii="Arial" w:cs="Arial" w:eastAsia="Arial" w:hAnsi="Arial"/>
                <w:sz w:val="18"/>
                <w:szCs w:val="18"/>
                <w:color w:val="auto"/>
              </w:rPr>
              <w:t>(US)</w:t>
            </w: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w w:val="90"/>
              </w:rPr>
              <w:t>Abuse deterrent products wherein the release of active ingredient is</w:t>
            </w: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Apr. 2016</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2033</w:t>
            </w: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retarded when 3 or more doses are consumed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2"/>
        </w:trPr>
        <w:tc>
          <w:tcPr>
            <w:tcW w:w="740" w:type="dxa"/>
            <w:vAlign w:val="bottom"/>
            <w:gridSpan w:val="2"/>
          </w:tcPr>
          <w:p>
            <w:pPr>
              <w:spacing w:after="0"/>
              <w:rPr>
                <w:sz w:val="20"/>
                <w:szCs w:val="20"/>
                <w:color w:val="auto"/>
              </w:rPr>
            </w:pPr>
            <w:r>
              <w:rPr>
                <w:rFonts w:ascii="Arial" w:cs="Arial" w:eastAsia="Arial" w:hAnsi="Arial"/>
                <w:sz w:val="18"/>
                <w:szCs w:val="18"/>
                <w:color w:val="auto"/>
                <w:w w:val="89"/>
              </w:rPr>
              <w:t>2,892,908</w:t>
            </w:r>
          </w:p>
        </w:tc>
        <w:tc>
          <w:tcPr>
            <w:tcW w:w="1900" w:type="dxa"/>
            <w:vAlign w:val="bottom"/>
          </w:tcPr>
          <w:p>
            <w:pPr>
              <w:ind w:left="20"/>
              <w:spacing w:after="0"/>
              <w:rPr>
                <w:sz w:val="20"/>
                <w:szCs w:val="20"/>
                <w:color w:val="auto"/>
              </w:rPr>
            </w:pPr>
            <w:r>
              <w:rPr>
                <w:rFonts w:ascii="Arial" w:cs="Arial" w:eastAsia="Arial" w:hAnsi="Arial"/>
                <w:sz w:val="18"/>
                <w:szCs w:val="18"/>
                <w:color w:val="auto"/>
              </w:rPr>
              <w:t>(CAN)</w:t>
            </w: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w w:val="90"/>
              </w:rPr>
              <w:t>Abuse deterrent products wherein the release of active ingredient is</w:t>
            </w: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Apr. 2016</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2033</w:t>
            </w: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retarded when excessive doses are consumed</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2"/>
        </w:trPr>
        <w:tc>
          <w:tcPr>
            <w:tcW w:w="740" w:type="dxa"/>
            <w:vAlign w:val="bottom"/>
            <w:gridSpan w:val="2"/>
          </w:tcPr>
          <w:p>
            <w:pPr>
              <w:spacing w:after="0"/>
              <w:rPr>
                <w:sz w:val="20"/>
                <w:szCs w:val="20"/>
                <w:color w:val="auto"/>
              </w:rPr>
            </w:pPr>
            <w:r>
              <w:rPr>
                <w:rFonts w:ascii="Arial" w:cs="Arial" w:eastAsia="Arial" w:hAnsi="Arial"/>
                <w:sz w:val="18"/>
                <w:szCs w:val="18"/>
                <w:color w:val="auto"/>
                <w:w w:val="89"/>
              </w:rPr>
              <w:t>5,922,851</w:t>
            </w:r>
          </w:p>
        </w:tc>
        <w:tc>
          <w:tcPr>
            <w:tcW w:w="1900" w:type="dxa"/>
            <w:vAlign w:val="bottom"/>
          </w:tcPr>
          <w:p>
            <w:pPr>
              <w:ind w:left="20"/>
              <w:spacing w:after="0"/>
              <w:rPr>
                <w:sz w:val="20"/>
                <w:szCs w:val="20"/>
                <w:color w:val="auto"/>
              </w:rPr>
            </w:pPr>
            <w:r>
              <w:rPr>
                <w:rFonts w:ascii="Arial" w:cs="Arial" w:eastAsia="Arial" w:hAnsi="Arial"/>
                <w:sz w:val="18"/>
                <w:szCs w:val="18"/>
                <w:color w:val="auto"/>
              </w:rPr>
              <w:t>(JAPAN)</w:t>
            </w: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w w:val="90"/>
              </w:rPr>
              <w:t>Abuse deterrent products wherein the release of active ingredient is</w:t>
            </w: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Apr. 2016</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2033</w:t>
            </w: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retarded when excessive doses are consumed</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24"/>
        </w:trPr>
        <w:tc>
          <w:tcPr>
            <w:tcW w:w="7780" w:type="dxa"/>
            <w:vAlign w:val="bottom"/>
            <w:gridSpan w:val="5"/>
          </w:tcPr>
          <w:p>
            <w:pPr>
              <w:spacing w:after="0"/>
              <w:rPr>
                <w:sz w:val="20"/>
                <w:szCs w:val="20"/>
                <w:color w:val="auto"/>
              </w:rPr>
            </w:pPr>
            <w:r>
              <w:rPr>
                <w:rFonts w:ascii="Arial" w:cs="Arial" w:eastAsia="Arial" w:hAnsi="Arial"/>
                <w:sz w:val="18"/>
                <w:szCs w:val="18"/>
                <w:color w:val="auto"/>
                <w:w w:val="91"/>
              </w:rPr>
              <w:t>We have the following issued patents covering, among other things, Oxaydo and our Aversion Technology:</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25"/>
        </w:trPr>
        <w:tc>
          <w:tcPr>
            <w:tcW w:w="2640" w:type="dxa"/>
            <w:vAlign w:val="bottom"/>
            <w:gridSpan w:val="3"/>
          </w:tcPr>
          <w:p>
            <w:pPr>
              <w:spacing w:after="0"/>
              <w:rPr>
                <w:sz w:val="20"/>
                <w:szCs w:val="20"/>
                <w:color w:val="auto"/>
              </w:rPr>
            </w:pPr>
            <w:r>
              <w:rPr>
                <w:rFonts w:ascii="Arial" w:cs="Arial" w:eastAsia="Arial" w:hAnsi="Arial"/>
                <w:sz w:val="18"/>
                <w:szCs w:val="18"/>
                <w:color w:val="auto"/>
              </w:rPr>
              <w:t>Patent No. (Jurisdiction)</w:t>
            </w: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Subject Matter</w:t>
            </w:r>
          </w:p>
        </w:tc>
        <w:tc>
          <w:tcPr>
            <w:tcW w:w="240" w:type="dxa"/>
            <w:vAlign w:val="bottom"/>
          </w:tcPr>
          <w:p>
            <w:pPr>
              <w:spacing w:after="0"/>
              <w:rPr>
                <w:sz w:val="24"/>
                <w:szCs w:val="2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Issued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194"/>
        </w:trPr>
        <w:tc>
          <w:tcPr>
            <w:tcW w:w="20" w:type="dxa"/>
            <w:vAlign w:val="bottom"/>
          </w:tcPr>
          <w:p>
            <w:pPr>
              <w:spacing w:after="0"/>
              <w:rPr>
                <w:sz w:val="16"/>
                <w:szCs w:val="16"/>
                <w:color w:val="auto"/>
              </w:rPr>
            </w:pPr>
          </w:p>
        </w:tc>
        <w:tc>
          <w:tcPr>
            <w:tcW w:w="7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87"/>
              </w:rPr>
              <w:t>7,201,920</w:t>
            </w:r>
          </w:p>
        </w:tc>
        <w:tc>
          <w:tcPr>
            <w:tcW w:w="1900" w:type="dxa"/>
            <w:vAlign w:val="bottom"/>
            <w:tcBorders>
              <w:top w:val="single" w:sz="8" w:color="auto"/>
            </w:tcBorders>
          </w:tcPr>
          <w:p>
            <w:pPr>
              <w:ind w:left="20"/>
              <w:spacing w:after="0" w:line="194" w:lineRule="exact"/>
              <w:rPr>
                <w:sz w:val="20"/>
                <w:szCs w:val="20"/>
                <w:color w:val="auto"/>
              </w:rPr>
            </w:pPr>
            <w:r>
              <w:rPr>
                <w:rFonts w:ascii="Arial" w:cs="Arial" w:eastAsia="Arial" w:hAnsi="Arial"/>
                <w:sz w:val="18"/>
                <w:szCs w:val="18"/>
                <w:color w:val="auto"/>
              </w:rPr>
              <w:t>(US)</w:t>
            </w:r>
          </w:p>
        </w:tc>
        <w:tc>
          <w:tcPr>
            <w:tcW w:w="240" w:type="dxa"/>
            <w:vAlign w:val="bottom"/>
          </w:tcPr>
          <w:p>
            <w:pPr>
              <w:spacing w:after="0"/>
              <w:rPr>
                <w:sz w:val="16"/>
                <w:szCs w:val="16"/>
                <w:color w:val="auto"/>
              </w:rPr>
            </w:pPr>
          </w:p>
        </w:tc>
        <w:tc>
          <w:tcPr>
            <w:tcW w:w="49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93"/>
              </w:rPr>
              <w:t>Pharmaceutical  compositions  including  a  mixture  of  functional</w:t>
            </w:r>
          </w:p>
        </w:tc>
        <w:tc>
          <w:tcPr>
            <w:tcW w:w="24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89"/>
              </w:rPr>
              <w:t>Apr. 2007</w:t>
            </w:r>
          </w:p>
        </w:tc>
        <w:tc>
          <w:tcPr>
            <w:tcW w:w="24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1"/>
              </w:rPr>
              <w:t>Mar. 2025</w:t>
            </w: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inactive ingredients and specific opioid analgesics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2"/>
        </w:trPr>
        <w:tc>
          <w:tcPr>
            <w:tcW w:w="740" w:type="dxa"/>
            <w:vAlign w:val="bottom"/>
            <w:gridSpan w:val="2"/>
          </w:tcPr>
          <w:p>
            <w:pPr>
              <w:spacing w:after="0"/>
              <w:rPr>
                <w:sz w:val="20"/>
                <w:szCs w:val="20"/>
                <w:color w:val="auto"/>
              </w:rPr>
            </w:pPr>
            <w:r>
              <w:rPr>
                <w:rFonts w:ascii="Arial" w:cs="Arial" w:eastAsia="Arial" w:hAnsi="Arial"/>
                <w:sz w:val="18"/>
                <w:szCs w:val="18"/>
                <w:color w:val="auto"/>
                <w:w w:val="89"/>
              </w:rPr>
              <w:t>7,510,726</w:t>
            </w:r>
          </w:p>
        </w:tc>
        <w:tc>
          <w:tcPr>
            <w:tcW w:w="1900" w:type="dxa"/>
            <w:vAlign w:val="bottom"/>
          </w:tcPr>
          <w:p>
            <w:pPr>
              <w:ind w:left="20"/>
              <w:spacing w:after="0"/>
              <w:rPr>
                <w:sz w:val="20"/>
                <w:szCs w:val="20"/>
                <w:color w:val="auto"/>
              </w:rPr>
            </w:pPr>
            <w:r>
              <w:rPr>
                <w:rFonts w:ascii="Arial" w:cs="Arial" w:eastAsia="Arial" w:hAnsi="Arial"/>
                <w:sz w:val="18"/>
                <w:szCs w:val="18"/>
                <w:color w:val="auto"/>
              </w:rPr>
              <w:t>(US)</w:t>
            </w: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w w:val="89"/>
              </w:rPr>
              <w:t>A wider range of compositions than those described in the 7,201,920</w:t>
            </w: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Mar. 2009</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Patent</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2"/>
        </w:trPr>
        <w:tc>
          <w:tcPr>
            <w:tcW w:w="740" w:type="dxa"/>
            <w:vAlign w:val="bottom"/>
            <w:gridSpan w:val="2"/>
          </w:tcPr>
          <w:p>
            <w:pPr>
              <w:spacing w:after="0"/>
              <w:rPr>
                <w:sz w:val="20"/>
                <w:szCs w:val="20"/>
                <w:color w:val="auto"/>
              </w:rPr>
            </w:pPr>
            <w:r>
              <w:rPr>
                <w:rFonts w:ascii="Arial" w:cs="Arial" w:eastAsia="Arial" w:hAnsi="Arial"/>
                <w:sz w:val="18"/>
                <w:szCs w:val="18"/>
                <w:color w:val="auto"/>
                <w:w w:val="89"/>
              </w:rPr>
              <w:t>7,981,439</w:t>
            </w:r>
          </w:p>
        </w:tc>
        <w:tc>
          <w:tcPr>
            <w:tcW w:w="1900" w:type="dxa"/>
            <w:vAlign w:val="bottom"/>
          </w:tcPr>
          <w:p>
            <w:pPr>
              <w:ind w:left="20"/>
              <w:spacing w:after="0"/>
              <w:rPr>
                <w:sz w:val="20"/>
                <w:szCs w:val="20"/>
                <w:color w:val="auto"/>
              </w:rPr>
            </w:pPr>
            <w:r>
              <w:rPr>
                <w:rFonts w:ascii="Arial" w:cs="Arial" w:eastAsia="Arial" w:hAnsi="Arial"/>
                <w:sz w:val="18"/>
                <w:szCs w:val="18"/>
                <w:color w:val="auto"/>
              </w:rPr>
              <w:t>(US)</w:t>
            </w: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w w:val="92"/>
              </w:rPr>
              <w:t>Pharmaceutical  compositions  including  any  water  soluble  drug</w:t>
            </w: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Jul. 2011</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Aug. 2024</w:t>
            </w: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susceptible to abuse</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2"/>
        </w:trPr>
        <w:tc>
          <w:tcPr>
            <w:tcW w:w="740" w:type="dxa"/>
            <w:vAlign w:val="bottom"/>
            <w:gridSpan w:val="2"/>
          </w:tcPr>
          <w:p>
            <w:pPr>
              <w:spacing w:after="0"/>
              <w:rPr>
                <w:sz w:val="20"/>
                <w:szCs w:val="20"/>
                <w:color w:val="auto"/>
              </w:rPr>
            </w:pPr>
            <w:r>
              <w:rPr>
                <w:rFonts w:ascii="Arial" w:cs="Arial" w:eastAsia="Arial" w:hAnsi="Arial"/>
                <w:sz w:val="18"/>
                <w:szCs w:val="18"/>
                <w:color w:val="auto"/>
                <w:w w:val="89"/>
              </w:rPr>
              <w:t>8,409,616</w:t>
            </w:r>
          </w:p>
        </w:tc>
        <w:tc>
          <w:tcPr>
            <w:tcW w:w="1900" w:type="dxa"/>
            <w:vAlign w:val="bottom"/>
          </w:tcPr>
          <w:p>
            <w:pPr>
              <w:ind w:left="20"/>
              <w:spacing w:after="0"/>
              <w:rPr>
                <w:sz w:val="20"/>
                <w:szCs w:val="20"/>
                <w:color w:val="auto"/>
              </w:rPr>
            </w:pPr>
            <w:r>
              <w:rPr>
                <w:rFonts w:ascii="Arial" w:cs="Arial" w:eastAsia="Arial" w:hAnsi="Arial"/>
                <w:sz w:val="18"/>
                <w:szCs w:val="18"/>
                <w:color w:val="auto"/>
              </w:rPr>
              <w:t>(US)</w:t>
            </w: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w w:val="90"/>
              </w:rPr>
              <w:t>Pharmaceutical compositions of immediate-release abuse deterrent</w:t>
            </w: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Apr. 2013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dosage forms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2"/>
        </w:trPr>
        <w:tc>
          <w:tcPr>
            <w:tcW w:w="740" w:type="dxa"/>
            <w:vAlign w:val="bottom"/>
            <w:gridSpan w:val="2"/>
          </w:tcPr>
          <w:p>
            <w:pPr>
              <w:spacing w:after="0"/>
              <w:rPr>
                <w:sz w:val="20"/>
                <w:szCs w:val="20"/>
                <w:color w:val="auto"/>
              </w:rPr>
            </w:pPr>
            <w:r>
              <w:rPr>
                <w:rFonts w:ascii="Arial" w:cs="Arial" w:eastAsia="Arial" w:hAnsi="Arial"/>
                <w:sz w:val="18"/>
                <w:szCs w:val="18"/>
                <w:color w:val="auto"/>
                <w:w w:val="89"/>
              </w:rPr>
              <w:t>8,637,540</w:t>
            </w:r>
          </w:p>
        </w:tc>
        <w:tc>
          <w:tcPr>
            <w:tcW w:w="1900" w:type="dxa"/>
            <w:vAlign w:val="bottom"/>
          </w:tcPr>
          <w:p>
            <w:pPr>
              <w:ind w:left="20"/>
              <w:spacing w:after="0"/>
              <w:rPr>
                <w:sz w:val="20"/>
                <w:szCs w:val="20"/>
                <w:color w:val="auto"/>
              </w:rPr>
            </w:pPr>
            <w:r>
              <w:rPr>
                <w:rFonts w:ascii="Arial" w:cs="Arial" w:eastAsia="Arial" w:hAnsi="Arial"/>
                <w:sz w:val="18"/>
                <w:szCs w:val="18"/>
                <w:color w:val="auto"/>
              </w:rPr>
              <w:t>(US)</w:t>
            </w: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w w:val="90"/>
              </w:rPr>
              <w:t>Pharmaceutical compositions of immediate-release abuse deterrent</w:t>
            </w: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Jan. 2014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opioid products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2"/>
        </w:trPr>
        <w:tc>
          <w:tcPr>
            <w:tcW w:w="740" w:type="dxa"/>
            <w:vAlign w:val="bottom"/>
            <w:gridSpan w:val="2"/>
          </w:tcPr>
          <w:p>
            <w:pPr>
              <w:spacing w:after="0"/>
              <w:rPr>
                <w:sz w:val="20"/>
                <w:szCs w:val="20"/>
                <w:color w:val="auto"/>
              </w:rPr>
            </w:pPr>
            <w:r>
              <w:rPr>
                <w:rFonts w:ascii="Arial" w:cs="Arial" w:eastAsia="Arial" w:hAnsi="Arial"/>
                <w:sz w:val="18"/>
                <w:szCs w:val="18"/>
                <w:color w:val="auto"/>
                <w:w w:val="89"/>
              </w:rPr>
              <w:t>9,492,443</w:t>
            </w:r>
          </w:p>
        </w:tc>
        <w:tc>
          <w:tcPr>
            <w:tcW w:w="1900" w:type="dxa"/>
            <w:vAlign w:val="bottom"/>
          </w:tcPr>
          <w:p>
            <w:pPr>
              <w:ind w:left="20"/>
              <w:spacing w:after="0"/>
              <w:rPr>
                <w:sz w:val="20"/>
                <w:szCs w:val="20"/>
                <w:color w:val="auto"/>
              </w:rPr>
            </w:pPr>
            <w:r>
              <w:rPr>
                <w:rFonts w:ascii="Arial" w:cs="Arial" w:eastAsia="Arial" w:hAnsi="Arial"/>
                <w:sz w:val="18"/>
                <w:szCs w:val="18"/>
                <w:color w:val="auto"/>
              </w:rPr>
              <w:t>(US)</w:t>
            </w: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w w:val="90"/>
              </w:rPr>
              <w:t>Pharmaceutical compositions of immediate-release abuse deterrent</w:t>
            </w: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Nov. 2016</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140" w:type="dxa"/>
            <w:vAlign w:val="bottom"/>
            <w:gridSpan w:val="2"/>
          </w:tcPr>
          <w:p>
            <w:pPr>
              <w:ind w:left="240"/>
              <w:spacing w:after="0"/>
              <w:rPr>
                <w:sz w:val="20"/>
                <w:szCs w:val="20"/>
                <w:color w:val="auto"/>
              </w:rPr>
            </w:pPr>
            <w:r>
              <w:rPr>
                <w:rFonts w:ascii="Arial" w:cs="Arial" w:eastAsia="Arial" w:hAnsi="Arial"/>
                <w:sz w:val="18"/>
                <w:szCs w:val="18"/>
                <w:color w:val="auto"/>
              </w:rPr>
              <w:t>opioid products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additional issued patents related to our Aversion Technology: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640" w:type="dxa"/>
            <w:vAlign w:val="bottom"/>
            <w:gridSpan w:val="3"/>
          </w:tcPr>
          <w:p>
            <w:pPr>
              <w:spacing w:after="0"/>
              <w:rPr>
                <w:sz w:val="20"/>
                <w:szCs w:val="20"/>
                <w:color w:val="auto"/>
              </w:rPr>
            </w:pPr>
            <w:r>
              <w:rPr>
                <w:rFonts w:ascii="Arial" w:cs="Arial" w:eastAsia="Arial" w:hAnsi="Arial"/>
                <w:sz w:val="18"/>
                <w:szCs w:val="18"/>
                <w:color w:val="auto"/>
              </w:rPr>
              <w:t>Patent No. (Jurisdiction)</w:t>
            </w: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Subject Matter</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Issued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194"/>
        </w:trPr>
        <w:tc>
          <w:tcPr>
            <w:tcW w:w="20" w:type="dxa"/>
            <w:vAlign w:val="bottom"/>
          </w:tcPr>
          <w:p>
            <w:pPr>
              <w:spacing w:after="0"/>
              <w:rPr>
                <w:sz w:val="16"/>
                <w:szCs w:val="16"/>
                <w:color w:val="auto"/>
              </w:rPr>
            </w:pPr>
          </w:p>
        </w:tc>
        <w:tc>
          <w:tcPr>
            <w:tcW w:w="7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87"/>
              </w:rPr>
              <w:t>7,476,402</w:t>
            </w:r>
          </w:p>
        </w:tc>
        <w:tc>
          <w:tcPr>
            <w:tcW w:w="1900" w:type="dxa"/>
            <w:vAlign w:val="bottom"/>
            <w:tcBorders>
              <w:top w:val="single" w:sz="8" w:color="auto"/>
            </w:tcBorders>
          </w:tcPr>
          <w:p>
            <w:pPr>
              <w:ind w:left="20"/>
              <w:spacing w:after="0" w:line="194" w:lineRule="exact"/>
              <w:rPr>
                <w:sz w:val="20"/>
                <w:szCs w:val="20"/>
                <w:color w:val="auto"/>
              </w:rPr>
            </w:pPr>
            <w:r>
              <w:rPr>
                <w:rFonts w:ascii="Arial" w:cs="Arial" w:eastAsia="Arial" w:hAnsi="Arial"/>
                <w:sz w:val="18"/>
                <w:szCs w:val="18"/>
                <w:color w:val="auto"/>
              </w:rPr>
              <w:t>(US)</w:t>
            </w:r>
          </w:p>
        </w:tc>
        <w:tc>
          <w:tcPr>
            <w:tcW w:w="240" w:type="dxa"/>
            <w:vAlign w:val="bottom"/>
          </w:tcPr>
          <w:p>
            <w:pPr>
              <w:spacing w:after="0"/>
              <w:rPr>
                <w:sz w:val="16"/>
                <w:szCs w:val="16"/>
                <w:color w:val="auto"/>
              </w:rPr>
            </w:pPr>
          </w:p>
        </w:tc>
        <w:tc>
          <w:tcPr>
            <w:tcW w:w="49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91"/>
              </w:rPr>
              <w:t>Pharmaceutical compositions of certain combinations of kappa and</w:t>
            </w:r>
          </w:p>
        </w:tc>
        <w:tc>
          <w:tcPr>
            <w:tcW w:w="24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83"/>
              </w:rPr>
              <w:t>Jan. 2009</w:t>
            </w:r>
          </w:p>
        </w:tc>
        <w:tc>
          <w:tcPr>
            <w:tcW w:w="24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0"/>
              </w:rPr>
              <w:t>Nov. 2023</w:t>
            </w: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w w:val="95"/>
              </w:rPr>
              <w:t>mu opioid receptor agonists and other ingredients intended to deter</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opioid analgesic product misuse and abuse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2"/>
        </w:trPr>
        <w:tc>
          <w:tcPr>
            <w:tcW w:w="740" w:type="dxa"/>
            <w:vAlign w:val="bottom"/>
            <w:gridSpan w:val="2"/>
          </w:tcPr>
          <w:p>
            <w:pPr>
              <w:spacing w:after="0"/>
              <w:rPr>
                <w:sz w:val="20"/>
                <w:szCs w:val="20"/>
                <w:color w:val="auto"/>
              </w:rPr>
            </w:pPr>
            <w:r>
              <w:rPr>
                <w:rFonts w:ascii="Arial" w:cs="Arial" w:eastAsia="Arial" w:hAnsi="Arial"/>
                <w:sz w:val="18"/>
                <w:szCs w:val="18"/>
                <w:color w:val="auto"/>
                <w:w w:val="89"/>
              </w:rPr>
              <w:t>8,822,489</w:t>
            </w:r>
          </w:p>
        </w:tc>
        <w:tc>
          <w:tcPr>
            <w:tcW w:w="1900" w:type="dxa"/>
            <w:vAlign w:val="bottom"/>
          </w:tcPr>
          <w:p>
            <w:pPr>
              <w:ind w:left="20"/>
              <w:spacing w:after="0"/>
              <w:rPr>
                <w:sz w:val="20"/>
                <w:szCs w:val="20"/>
                <w:color w:val="auto"/>
              </w:rPr>
            </w:pPr>
            <w:r>
              <w:rPr>
                <w:rFonts w:ascii="Arial" w:cs="Arial" w:eastAsia="Arial" w:hAnsi="Arial"/>
                <w:sz w:val="18"/>
                <w:szCs w:val="18"/>
                <w:color w:val="auto"/>
              </w:rPr>
              <w:t>(US)</w:t>
            </w: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w w:val="92"/>
              </w:rPr>
              <w:t>Pharmaceutical compositions of certain abuse deterrent products that</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Jul. 2014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2023</w:t>
            </w:r>
          </w:p>
        </w:tc>
      </w:tr>
      <w:tr>
        <w:trPr>
          <w:trHeight w:val="212"/>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contain polymers, surfactant and polysorb 80</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2"/>
        </w:trPr>
        <w:tc>
          <w:tcPr>
            <w:tcW w:w="2640" w:type="dxa"/>
            <w:vAlign w:val="bottom"/>
            <w:gridSpan w:val="3"/>
          </w:tcPr>
          <w:p>
            <w:pPr>
              <w:spacing w:after="0"/>
              <w:rPr>
                <w:sz w:val="20"/>
                <w:szCs w:val="20"/>
                <w:color w:val="auto"/>
              </w:rPr>
            </w:pPr>
            <w:r>
              <w:rPr>
                <w:rFonts w:ascii="Arial" w:cs="Arial" w:eastAsia="Arial" w:hAnsi="Arial"/>
                <w:sz w:val="18"/>
                <w:szCs w:val="18"/>
                <w:color w:val="auto"/>
              </w:rPr>
              <w:t>2,004,294,953 (AUS)</w:t>
            </w: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Abuse deterrent pharmaceuticals</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Apr. 2010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2"/>
        </w:trPr>
        <w:tc>
          <w:tcPr>
            <w:tcW w:w="2640" w:type="dxa"/>
            <w:vAlign w:val="bottom"/>
            <w:gridSpan w:val="3"/>
          </w:tcPr>
          <w:p>
            <w:pPr>
              <w:spacing w:after="0"/>
              <w:rPr>
                <w:sz w:val="20"/>
                <w:szCs w:val="20"/>
                <w:color w:val="auto"/>
              </w:rPr>
            </w:pPr>
            <w:r>
              <w:rPr>
                <w:rFonts w:ascii="Arial" w:cs="Arial" w:eastAsia="Arial" w:hAnsi="Arial"/>
                <w:sz w:val="18"/>
                <w:szCs w:val="18"/>
                <w:color w:val="auto"/>
              </w:rPr>
              <w:t>2,010,200,979 (AUS)</w:t>
            </w: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Abuse deterrent pharmaceuticals</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Aug. 2010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2"/>
        </w:trPr>
        <w:tc>
          <w:tcPr>
            <w:tcW w:w="740" w:type="dxa"/>
            <w:vAlign w:val="bottom"/>
            <w:gridSpan w:val="2"/>
          </w:tcPr>
          <w:p>
            <w:pPr>
              <w:spacing w:after="0"/>
              <w:rPr>
                <w:sz w:val="20"/>
                <w:szCs w:val="20"/>
                <w:color w:val="auto"/>
              </w:rPr>
            </w:pPr>
            <w:r>
              <w:rPr>
                <w:rFonts w:ascii="Arial" w:cs="Arial" w:eastAsia="Arial" w:hAnsi="Arial"/>
                <w:sz w:val="18"/>
                <w:szCs w:val="18"/>
                <w:color w:val="auto"/>
                <w:w w:val="89"/>
              </w:rPr>
              <w:t>2,547,334</w:t>
            </w:r>
          </w:p>
        </w:tc>
        <w:tc>
          <w:tcPr>
            <w:tcW w:w="1900" w:type="dxa"/>
            <w:vAlign w:val="bottom"/>
          </w:tcPr>
          <w:p>
            <w:pPr>
              <w:ind w:left="20"/>
              <w:spacing w:after="0"/>
              <w:rPr>
                <w:sz w:val="20"/>
                <w:szCs w:val="20"/>
                <w:color w:val="auto"/>
              </w:rPr>
            </w:pPr>
            <w:r>
              <w:rPr>
                <w:rFonts w:ascii="Arial" w:cs="Arial" w:eastAsia="Arial" w:hAnsi="Arial"/>
                <w:sz w:val="18"/>
                <w:szCs w:val="18"/>
                <w:color w:val="auto"/>
              </w:rPr>
              <w:t>(CAN)</w:t>
            </w: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Abuse deterrent pharmaceuticals</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Aug. 2010</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2"/>
        </w:trPr>
        <w:tc>
          <w:tcPr>
            <w:tcW w:w="740" w:type="dxa"/>
            <w:vAlign w:val="bottom"/>
            <w:gridSpan w:val="2"/>
          </w:tcPr>
          <w:p>
            <w:pPr>
              <w:spacing w:after="0"/>
              <w:rPr>
                <w:sz w:val="20"/>
                <w:szCs w:val="20"/>
                <w:color w:val="auto"/>
              </w:rPr>
            </w:pPr>
            <w:r>
              <w:rPr>
                <w:rFonts w:ascii="Arial" w:cs="Arial" w:eastAsia="Arial" w:hAnsi="Arial"/>
                <w:sz w:val="18"/>
                <w:szCs w:val="18"/>
                <w:color w:val="auto"/>
                <w:w w:val="89"/>
              </w:rPr>
              <w:t>2,647,360</w:t>
            </w:r>
          </w:p>
        </w:tc>
        <w:tc>
          <w:tcPr>
            <w:tcW w:w="1900" w:type="dxa"/>
            <w:vAlign w:val="bottom"/>
          </w:tcPr>
          <w:p>
            <w:pPr>
              <w:ind w:left="20"/>
              <w:spacing w:after="0"/>
              <w:rPr>
                <w:sz w:val="20"/>
                <w:szCs w:val="20"/>
                <w:color w:val="auto"/>
              </w:rPr>
            </w:pPr>
            <w:r>
              <w:rPr>
                <w:rFonts w:ascii="Arial" w:cs="Arial" w:eastAsia="Arial" w:hAnsi="Arial"/>
                <w:sz w:val="18"/>
                <w:szCs w:val="18"/>
                <w:color w:val="auto"/>
              </w:rPr>
              <w:t>(CAN)</w:t>
            </w: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Abuse deterrent pharmaceuticals</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May 2012</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Apr. 2027</w:t>
            </w:r>
          </w:p>
        </w:tc>
      </w:tr>
      <w:tr>
        <w:trPr>
          <w:trHeight w:val="212"/>
        </w:trPr>
        <w:tc>
          <w:tcPr>
            <w:tcW w:w="2640" w:type="dxa"/>
            <w:vAlign w:val="bottom"/>
            <w:gridSpan w:val="3"/>
          </w:tcPr>
          <w:p>
            <w:pPr>
              <w:spacing w:after="0"/>
              <w:rPr>
                <w:sz w:val="20"/>
                <w:szCs w:val="20"/>
                <w:color w:val="auto"/>
              </w:rPr>
            </w:pPr>
            <w:r>
              <w:rPr>
                <w:rFonts w:ascii="Arial" w:cs="Arial" w:eastAsia="Arial" w:hAnsi="Arial"/>
                <w:sz w:val="18"/>
                <w:szCs w:val="18"/>
                <w:color w:val="auto"/>
              </w:rPr>
              <w:t>175,863 (ISR)</w:t>
            </w: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Abuse deterrent pharmaceuticals</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Nov. 2004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23"/>
        </w:trPr>
        <w:tc>
          <w:tcPr>
            <w:tcW w:w="2640" w:type="dxa"/>
            <w:vAlign w:val="bottom"/>
            <w:gridSpan w:val="3"/>
          </w:tcPr>
          <w:p>
            <w:pPr>
              <w:spacing w:after="0"/>
              <w:rPr>
                <w:sz w:val="20"/>
                <w:szCs w:val="20"/>
                <w:color w:val="auto"/>
              </w:rPr>
            </w:pPr>
            <w:r>
              <w:rPr>
                <w:rFonts w:ascii="Arial" w:cs="Arial" w:eastAsia="Arial" w:hAnsi="Arial"/>
                <w:sz w:val="18"/>
                <w:szCs w:val="18"/>
                <w:color w:val="auto"/>
              </w:rPr>
              <w:t>221,018 (ISR)</w:t>
            </w: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Abuse deterrent pharmaceuticals</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Nov. 2004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637"/>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
          </w:tcPr>
          <w:p>
            <w:pPr>
              <w:jc w:val="right"/>
              <w:ind w:right="1892"/>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We have the following issued patent covering, among other things, our Nexafed product line and Impede 1.0 and 2.0 technologies: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640" w:type="dxa"/>
            <w:vAlign w:val="bottom"/>
            <w:gridSpan w:val="2"/>
          </w:tcPr>
          <w:p>
            <w:pPr>
              <w:spacing w:after="0"/>
              <w:rPr>
                <w:sz w:val="20"/>
                <w:szCs w:val="20"/>
                <w:color w:val="auto"/>
              </w:rPr>
            </w:pPr>
            <w:r>
              <w:rPr>
                <w:rFonts w:ascii="Arial" w:cs="Arial" w:eastAsia="Arial" w:hAnsi="Arial"/>
                <w:sz w:val="18"/>
                <w:szCs w:val="18"/>
                <w:color w:val="auto"/>
              </w:rPr>
              <w:t>Patent No. (Jurisdiction)</w:t>
            </w: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Subject Matter</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Issued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Expires</w:t>
            </w:r>
          </w:p>
        </w:tc>
      </w:tr>
      <w:tr>
        <w:trPr>
          <w:trHeight w:val="194"/>
        </w:trPr>
        <w:tc>
          <w:tcPr>
            <w:tcW w:w="20" w:type="dxa"/>
            <w:vAlign w:val="bottom"/>
          </w:tcPr>
          <w:p>
            <w:pPr>
              <w:spacing w:after="0"/>
              <w:rPr>
                <w:sz w:val="16"/>
                <w:szCs w:val="16"/>
                <w:color w:val="auto"/>
              </w:rPr>
            </w:pPr>
          </w:p>
        </w:tc>
        <w:tc>
          <w:tcPr>
            <w:tcW w:w="26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8,901,113 (US)</w:t>
            </w:r>
          </w:p>
        </w:tc>
        <w:tc>
          <w:tcPr>
            <w:tcW w:w="240" w:type="dxa"/>
            <w:vAlign w:val="bottom"/>
          </w:tcPr>
          <w:p>
            <w:pPr>
              <w:spacing w:after="0"/>
              <w:rPr>
                <w:sz w:val="16"/>
                <w:szCs w:val="16"/>
                <w:color w:val="auto"/>
              </w:rPr>
            </w:pPr>
          </w:p>
        </w:tc>
        <w:tc>
          <w:tcPr>
            <w:tcW w:w="49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96"/>
              </w:rPr>
              <w:t>Pharmaceutical compositions suitable for reducing the chemical</w:t>
            </w:r>
          </w:p>
        </w:tc>
        <w:tc>
          <w:tcPr>
            <w:tcW w:w="24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90"/>
              </w:rPr>
              <w:t>Dec. 2014</w:t>
            </w:r>
          </w:p>
        </w:tc>
        <w:tc>
          <w:tcPr>
            <w:tcW w:w="24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color w:val="auto"/>
                <w:w w:val="86"/>
              </w:rPr>
              <w:t>Feb. 2032</w:t>
            </w:r>
          </w:p>
        </w:tc>
      </w:tr>
      <w:tr>
        <w:trPr>
          <w:trHeight w:val="212"/>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conversion of precursor compounds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2"/>
        </w:trPr>
        <w:tc>
          <w:tcPr>
            <w:tcW w:w="2640" w:type="dxa"/>
            <w:vAlign w:val="bottom"/>
            <w:gridSpan w:val="2"/>
          </w:tcPr>
          <w:p>
            <w:pPr>
              <w:spacing w:after="0"/>
              <w:rPr>
                <w:sz w:val="20"/>
                <w:szCs w:val="20"/>
                <w:color w:val="auto"/>
              </w:rPr>
            </w:pPr>
            <w:r>
              <w:rPr>
                <w:rFonts w:ascii="Arial" w:cs="Arial" w:eastAsia="Arial" w:hAnsi="Arial"/>
                <w:sz w:val="18"/>
                <w:szCs w:val="18"/>
                <w:color w:val="auto"/>
              </w:rPr>
              <w:t>2010300641 (AUS)</w:t>
            </w: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Pharmaceutical compositions suitable for reducing the chemical</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Allowed, not yet</w:t>
            </w:r>
          </w:p>
        </w:tc>
        <w:tc>
          <w:tcPr>
            <w:tcW w:w="17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conversion of precursor compounds</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issued</w:t>
            </w:r>
          </w:p>
        </w:tc>
        <w:tc>
          <w:tcPr>
            <w:tcW w:w="1700" w:type="dxa"/>
            <w:vAlign w:val="bottom"/>
          </w:tcPr>
          <w:p>
            <w:pPr>
              <w:spacing w:after="0"/>
              <w:rPr>
                <w:sz w:val="18"/>
                <w:szCs w:val="18"/>
                <w:color w:val="auto"/>
              </w:rPr>
            </w:pPr>
          </w:p>
        </w:tc>
      </w:tr>
      <w:tr>
        <w:trPr>
          <w:trHeight w:val="212"/>
        </w:trPr>
        <w:tc>
          <w:tcPr>
            <w:tcW w:w="2640" w:type="dxa"/>
            <w:vAlign w:val="bottom"/>
            <w:gridSpan w:val="2"/>
          </w:tcPr>
          <w:p>
            <w:pPr>
              <w:spacing w:after="0"/>
              <w:rPr>
                <w:sz w:val="20"/>
                <w:szCs w:val="20"/>
                <w:color w:val="auto"/>
              </w:rPr>
            </w:pPr>
            <w:r>
              <w:rPr>
                <w:rFonts w:ascii="Arial" w:cs="Arial" w:eastAsia="Arial" w:hAnsi="Arial"/>
                <w:sz w:val="18"/>
                <w:szCs w:val="18"/>
                <w:color w:val="auto"/>
              </w:rPr>
              <w:t>2,775,890 (CAN)</w:t>
            </w: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Pharmaceutical compositions suitable for reducing the chemical</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Jun. 2016</w:t>
            </w: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Sep. 2030</w:t>
            </w:r>
          </w:p>
        </w:tc>
      </w:tr>
      <w:tr>
        <w:trPr>
          <w:trHeight w:val="212"/>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conversion of precursor compounds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2"/>
        </w:trPr>
        <w:tc>
          <w:tcPr>
            <w:tcW w:w="2640" w:type="dxa"/>
            <w:vAlign w:val="bottom"/>
            <w:gridSpan w:val="2"/>
          </w:tcPr>
          <w:p>
            <w:pPr>
              <w:spacing w:after="0"/>
              <w:rPr>
                <w:sz w:val="20"/>
                <w:szCs w:val="20"/>
                <w:color w:val="auto"/>
              </w:rPr>
            </w:pPr>
            <w:r>
              <w:rPr>
                <w:rFonts w:ascii="Arial" w:cs="Arial" w:eastAsia="Arial" w:hAnsi="Arial"/>
                <w:sz w:val="18"/>
                <w:szCs w:val="18"/>
                <w:color w:val="auto"/>
              </w:rPr>
              <w:t>2,488,029 (EUR)</w:t>
            </w: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Pharmaceutical compositions suitable for reducing the chemical</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Mar. 2016</w:t>
            </w: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Sep. 2030</w:t>
            </w:r>
          </w:p>
        </w:tc>
      </w:tr>
      <w:tr>
        <w:trPr>
          <w:trHeight w:val="212"/>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conversion of precursor compounds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2"/>
        </w:trPr>
        <w:tc>
          <w:tcPr>
            <w:tcW w:w="2640" w:type="dxa"/>
            <w:vAlign w:val="bottom"/>
            <w:gridSpan w:val="2"/>
          </w:tcPr>
          <w:p>
            <w:pPr>
              <w:spacing w:after="0"/>
              <w:rPr>
                <w:sz w:val="20"/>
                <w:szCs w:val="20"/>
                <w:color w:val="auto"/>
              </w:rPr>
            </w:pPr>
            <w:r>
              <w:rPr>
                <w:rFonts w:ascii="Arial" w:cs="Arial" w:eastAsia="Arial" w:hAnsi="Arial"/>
                <w:sz w:val="18"/>
                <w:szCs w:val="18"/>
                <w:color w:val="auto"/>
              </w:rPr>
              <w:t>218533 (ISR)</w:t>
            </w: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Pharmaceutical compositions suitable for reducing the chemical</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Jan. 2016</w:t>
            </w:r>
          </w:p>
        </w:tc>
        <w:tc>
          <w:tcPr>
            <w:tcW w:w="17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80" w:type="dxa"/>
            <w:vAlign w:val="bottom"/>
            <w:gridSpan w:val="3"/>
          </w:tcPr>
          <w:p>
            <w:pPr>
              <w:ind w:left="240"/>
              <w:spacing w:after="0"/>
              <w:rPr>
                <w:sz w:val="20"/>
                <w:szCs w:val="20"/>
                <w:color w:val="auto"/>
              </w:rPr>
            </w:pPr>
            <w:r>
              <w:rPr>
                <w:rFonts w:ascii="Arial" w:cs="Arial" w:eastAsia="Arial" w:hAnsi="Arial"/>
                <w:sz w:val="18"/>
                <w:szCs w:val="18"/>
                <w:color w:val="auto"/>
              </w:rPr>
              <w:t>conversion of precursor compounds</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2012, the USPTO issued to us U.S. Patent No. 8,101,630, or the 630 Patent with a single claim that encompasses an extended release abuse deterrent dosage form of oxycodone or a pharmaceutically acceptable salt thereof. The 630 Patent expires in August 2024. In October 2014, we ceded priority of the 630 patent to a patent application filed by Purdue Pharma and expect this patent to be rescinded</w:t>
      </w:r>
      <w:r>
        <w:rPr>
          <w:rFonts w:ascii="Arial" w:cs="Arial" w:eastAsia="Arial" w:hAnsi="Arial"/>
          <w:sz w:val="18"/>
          <w:szCs w:val="18"/>
          <w:b w:val="1"/>
          <w:bCs w:val="1"/>
          <w:color w:val="auto"/>
        </w:rPr>
        <w:t>.</w:t>
      </w:r>
    </w:p>
    <w:p>
      <w:pPr>
        <w:spacing w:after="0" w:line="18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addition to our issued patents listed above and additional unlisted issued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Egalet Agreement and the Bayer Agreement, we have retained all intellectual property rights to our Aversion Technology, Impede Technology, Limitx Technology and related product candidates.</w:t>
      </w:r>
    </w:p>
    <w:p>
      <w:pPr>
        <w:spacing w:after="0" w:line="147"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In 2012 and 2013, we received Paragraph IV Certification Notices from five generic sponsors of ANDAs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our Annual Report on Form 10-K under the caption “Item 1A. Risk Factors – Generic manufacturers are using litigation and regulatory means to seek approval for generic versions of Oxaydo, which could cause Egalet’s sales to suffer and adversely impact our royalty revenue” for a discussion of the settlements and license grants relating to such patent litigation. 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58"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“007 Patent”). In April 2016, Purdue commenced a second patent infringement lawsuit against us and Egalet in the United States District Court for the District of Delaware alleging our Oxaydo product infringes Purdue’s newly issued U.S. Patent No. 9,308,171 (the “ 171 Patent”). The actions regarding the 007 Patent and the 171 Patent are collectively referred to as the “Actions”. On April 6, 2016, we filed a petition for Inter Parties Review (the “IPR Review”) with the USPTO seeking to invalidate Purdue’s 007 Patent.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39" w:name="page40"/>
    <w:bookmarkEnd w:id="39"/>
    <w:p>
      <w:pPr>
        <w:jc w:val="both"/>
        <w:spacing w:after="0" w:line="250" w:lineRule="auto"/>
        <w:rPr>
          <w:sz w:val="20"/>
          <w:szCs w:val="20"/>
          <w:color w:val="auto"/>
        </w:rPr>
      </w:pPr>
      <w:r>
        <w:rPr>
          <w:rFonts w:ascii="Arial" w:cs="Arial" w:eastAsia="Arial" w:hAnsi="Arial"/>
          <w:sz w:val="18"/>
          <w:szCs w:val="18"/>
          <w:color w:val="auto"/>
        </w:rPr>
        <w:t>On May 20, 2016, we, Purdue and Egalet entered into a settlement agreement to settle the Actions and the IPR Review. Under the Settlement Agreement the parties dismissed or withdrew the Actions, requested that the USPTO terminate the IPR Review and exchanged mutual releases. No payments were made by the parties under the Settlement Agreement. See Note 17 – Commitments and Contingencies, for a summary discussion of the Settlement Agreement. The Settlement Agreement specifically excludes our patents related to our Impede and Limitx technologies from the scope of our patents subject to the Settlement Agreement.</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Reference is made to the Risk Factors contained in our Annual Report on Form 10-K for the year ended December 31, 2015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1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At September 30, 2016, we had cash and cash equivalents of $4.3 million compared to $13.3 million of cash, cash equivalents and marketable securities at December 31, 2015. Under our term loan with Oxford Finance LLC (“Oxford”), we are required to maintain a $2.5 million compensating balance until such time as we raise an additional $6.0 million (excluding payments under our KemPharm Agreement) through the issuance of equity securities and from upfront payments under license, joint venture, collaboration or other partnering transactions. We had an accumulated deficit of approximately $376.2 million and $367.3 million at September 30, 2016 and December 31, 2015, respectively. We had a loss from operations of $8.3 million and a net loss of $8.9 million for the nine months ended September 30, 2016, compared to a net loss from operations of $3.3 million and net loss of $4.1 million for the nine months ended September 30, 2015. As of October 31, 2016, our unrestricted cash and cash equivalents was $4.2 million (which includes the $3.5 million payment received under the KemPharm Agreement and is after the deduction of the $2.5 million compensating balance requirement under our term loan with Oxford).</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estimate that our unrestricted cash and cash equivalents, milestone and royalty payments, if any, that may be made under the Egalet Agreement, the Bayer Agreement and the KemPharm Agreement and revenues from our commercialization of our Nexafed products will be sufficient to fund our continuing operations through March 2017 while maintaining compliance with the $2.5 million compensating balance requirement under our term loan with Oxford. Moreover, our cash requirements for operating activities may increase in the future as we continue to conduct pre-clinical studies and clinical trials for our product candidates, maintain, defend, and expand the scope of our intellectual property, hire additional personnel, commercialize our Nexafed products, or invest in other areas, thereby accelerating the date at which we may exhaust our funding resources.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to our $2.5 million cash reserve requirement, our term loan agreement with Oxford contains customary affirmative and negative covenants. One such covenant is that the Company must submit on an annual basis to Oxford, within 120 days after the end of its fiscal year, audited consolidated financial statements, together with an unqualified audit opinion from an independent registered public accounting firm (the “Unqualified Audit Opinion Covenant”). Failure to comply with the Unqualified Audit Opinion Covenant is a breach of the term loan agreement and unless such covenant or breach is waived, Oxford would have the option of accelerating the debt under the term loan agreement and initiating enforcement collection actions, foreclosing on collateral (which includes most assets of the Company) and, among other things, preventing the Company from using any funds in its bank or securities accounts. Per the term loan agreement an audit opinion with an explanatory paragraph noting substantial doubt about the Company’s ability to continue in business (the “going concern opinion”) is deemed to violate the Unqualified Audit Opinion Covenant. We anticipate that unless the Company raises approximately $10.0 million prior to the completion of the audit of our 2016 financial statements, projected to occur by early March 2017, our auditor’s opinion will contain a going concern opinion and absent a waiver from Oxford, we will be in breach of our term loan agreement. There can be no assurance that we will be able to raise such funds. We expect to engage in discussions with Oxford in order to seek a waiver from the Unqualified Audit Opinion Covenant, but there can be no assurance Oxford will grant such a waiver.</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 fund further operations and product development activities beyond March 2017,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0" w:name="page41"/>
    <w:bookmarkEnd w:id="40"/>
    <w:p>
      <w:pPr>
        <w:jc w:val="both"/>
        <w:spacing w:after="0" w:line="249" w:lineRule="auto"/>
        <w:rPr>
          <w:sz w:val="20"/>
          <w:szCs w:val="20"/>
          <w:color w:val="auto"/>
        </w:rPr>
      </w:pPr>
      <w:r>
        <w:rPr>
          <w:rFonts w:ascii="Arial" w:cs="Arial" w:eastAsia="Arial" w:hAnsi="Arial"/>
          <w:sz w:val="18"/>
          <w:szCs w:val="18"/>
          <w:color w:val="auto"/>
        </w:rPr>
        <w:t>Our losses have resulted principally from costs incurred in connection with research and development activities, salaries and other personnel-related costs and sales, marketing and general corporate expenses. Research and development activities include costs of pre-clinical studies, clinical trials, and clinical trial product supplies associated with our product candidates as well as cost sharing expenses of line extension studies as well as cost sharing expense of post-marketing studies under the Egalet Agreement. Sales and marketing expenses include costs associated with the Nexafed product line advertising .Salaries and other personnel-related costs include the stock-based compensation associated with stock options and restricted stock units granted to employees and non-employee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2016 Compared to Three months Ended September 30, 2015</w:t>
      </w:r>
    </w:p>
    <w:p>
      <w:pPr>
        <w:spacing w:after="0" w:line="231" w:lineRule="exact"/>
        <w:rPr>
          <w:sz w:val="20"/>
          <w:szCs w:val="20"/>
          <w:color w:val="auto"/>
        </w:rPr>
      </w:pPr>
    </w:p>
    <w:tbl>
      <w:tblPr>
        <w:tblLayout w:type="fixed"/>
        <w:tblInd w:w="7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4"/>
          </w:tcPr>
          <w:p>
            <w:pPr>
              <w:jc w:val="right"/>
              <w:ind w:right="780"/>
              <w:spacing w:after="0"/>
              <w:rPr>
                <w:sz w:val="20"/>
                <w:szCs w:val="20"/>
                <w:color w:val="auto"/>
              </w:rPr>
            </w:pPr>
            <w:r>
              <w:rPr>
                <w:rFonts w:ascii="Arial" w:cs="Arial" w:eastAsia="Arial" w:hAnsi="Arial"/>
                <w:sz w:val="18"/>
                <w:szCs w:val="18"/>
                <w:color w:val="auto"/>
              </w:rPr>
              <w:t>September 30</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rPr>
              <w:t>2016</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gridSpan w:val="3"/>
          </w:tcPr>
          <w:p>
            <w:pPr>
              <w:jc w:val="right"/>
              <w:ind w:right="680"/>
              <w:spacing w:after="0"/>
              <w:rPr>
                <w:sz w:val="20"/>
                <w:szCs w:val="20"/>
                <w:color w:val="auto"/>
              </w:rPr>
            </w:pPr>
            <w:r>
              <w:rPr>
                <w:rFonts w:ascii="Arial" w:cs="Arial" w:eastAsia="Arial" w:hAnsi="Arial"/>
                <w:sz w:val="18"/>
                <w:szCs w:val="18"/>
                <w:color w:val="auto"/>
                <w:w w:val="94"/>
              </w:rPr>
              <w:t>Increase (decrease)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6"/>
              </w:rPr>
              <w:t>$000’s</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License fee revenue</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Collaboration revenue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Royalty revenue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39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Total revenues, net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and expenses: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 (excluding inventory write-downs)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Inventory write-downs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409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Sales, marketing, general and administrative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1,338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(686)</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costs and expenses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2,287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(328)</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loss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(2,069)</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(2,405)</w:t>
            </w:r>
          </w:p>
        </w:tc>
        <w:tc>
          <w:tcPr>
            <w:tcW w:w="3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(336)</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income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c>
          <w:tcPr>
            <w:tcW w:w="3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(68)</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Total other expense, net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(63)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(2,250)</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(2,649)</w:t>
            </w:r>
          </w:p>
        </w:tc>
        <w:tc>
          <w:tcPr>
            <w:tcW w:w="3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(399)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(2,250)</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(2,649)</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(399)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1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On January 7, 2015, we and Egalet US, Inc. and Egalet Ltd., each a subsidiary of Egalet Corporation (collectively, “Egalet”) entered into a Collaboration and License Agreement to commercialize Oxaydo tablets (formerly known as Oxecta) utilizing our Aversion® Technology.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Collaboration Revenue</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Collaboration revenue is derived from reimbursement of development expenses under various development agreements, such as the collaboration agreement with Bayer, and is recognized when costs are incurred pursuant to the collaboration agreement. We recognized $74 thousand and $95 thousand of collaboration revenue during the three months ended September 30, 2016 and 2015,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our Collaboration and License Agreement with Egalet to commercialize Oxaydo tablets we receive a stepped royalty at percentage rates ranging from mid-single digits to double-digits on net sales during a calendar year based on Oxaydo net sales during such year (excluding net sales resulting from any of our co-promotion efforts). Egalet’s first commercial sale of Oxaydo occurred in October 2015 and received a $2.5 million product launch milestone payment. We began to earn royalties on Oxaydo net sales in the fourth quarter of 2015. We have recorded royalties of $39 thousand on net sales for the three month period ended September 30, 2016.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Nexafed® was launched by us in December 2012. Nexafed® Sinus Pressure + Pain was launched by us in February 2015. The Company sells the Nexafed® product line in the United States to wholesale pharmaceutical distributors and as well as directly to chain drug stores. The product line is sold subject to the right of return usually for a period of up to twelve months after the product expiration. Both products had an initial shelf life of twenty-four months from the date of manufacture, which shelf life has been extended to thirty-six months for Nexafed product supplied from one of the Company’s contract manufacturers. Revenue is being recognized at the time the product is sold to a customer. Our net product sales for the three months ended September 30, 2016 and 2015 were $105 thousand and $115 thousand,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17"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Cost of sales includes third-party acquisition costs, third-party warehousing, third-party distribution charges and inventory reserve expenses for the Nexafed product line. For the three months ended September 30, 2016 and 2015, cost of sales was $108 thousand and $132 thousand, respectively.</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Included in cost and expenses for the three months ended September 30, 2016 and 2015, is $0 thousand and $27 thousand of inventory reserve expenses on finished goods,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Research and development expense (R&amp;D) for the three months ended September 30, 2016 was primarily for our Limitx Technology development including costs of preclinical and non-clinical, clinical trials, clinical supplies and related formulation and design costs, salaries and other personnel related expenses, and facility costs. During the third quarter 2016, we did not incur additional cost sharing expenses associated with clinical studies for product line extensions (additional strengths) of Oxaydo for the United States under the Egalet Agreement nor cost sharing expenses of the FDA required post-marketing study for Oxaydo under the Egalet Agreement. The initial LTX-04 clinical study, Study AP-LTX-400, or Study 400, was completed during the third quarter 2016 for expenses of approximately $237 thousand. R&amp;D expense for the three months ended September 30, 2015 was primarily for our Aversion and our Impede Technologies development including costs of preclinical and non-clinical, clinical trials, clinical supplies and related formulation and design costs, salaries and other personnel related expenses, and facility costs. Included in each of 2016 and 2015 third quarter results are non-cash share-based compensation expenses of approximately $43 thousand and $39 thousand, respectively. Excluding the share-based compensation expense, our R&amp;D expenses increased approximately $0.4 million between reporting periods.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Selling and marketing expenses for the three months ended 2016 was primarily of advertising and marketing activities on the Nexafed product. Our general and administrative expenses primarily consisted of legal, audit and other professional services, corporate insurance, and payroll. Included in each of the 2016 and 2015 third quarter results are non-cash share-based compensation expenses of approximately $0.1 million. Excluding the share-based compensation expense our selling, marketing, general and administrative expenses decreased by approximately $0.7 million between reporting periods, resulting primarily from decreases in advertising and marketing activities.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During the three months ended September 30, 2016 and 2015, non-operating expense consisted principally of interest expense on our term loan from Oxford Finance LLC, less investment income derived from our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2016 and 2015 include no federal or state income tax benefit provisions due to uncertainty of their future utilization.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2016 Compared to Nine months Ended September 30, 2015</w:t>
      </w:r>
    </w:p>
    <w:p>
      <w:pPr>
        <w:spacing w:after="0" w:line="231" w:lineRule="exact"/>
        <w:rPr>
          <w:sz w:val="20"/>
          <w:szCs w:val="20"/>
          <w:color w:val="auto"/>
        </w:rPr>
      </w:pPr>
    </w:p>
    <w:tbl>
      <w:tblPr>
        <w:tblLayout w:type="fixed"/>
        <w:tblInd w:w="7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4"/>
          </w:tcPr>
          <w:p>
            <w:pPr>
              <w:jc w:val="right"/>
              <w:ind w:right="780"/>
              <w:spacing w:after="0"/>
              <w:rPr>
                <w:sz w:val="20"/>
                <w:szCs w:val="20"/>
                <w:color w:val="auto"/>
              </w:rPr>
            </w:pPr>
            <w:r>
              <w:rPr>
                <w:rFonts w:ascii="Arial" w:cs="Arial" w:eastAsia="Arial" w:hAnsi="Arial"/>
                <w:sz w:val="18"/>
                <w:szCs w:val="18"/>
                <w:color w:val="auto"/>
              </w:rPr>
              <w:t>September 30</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rPr>
              <w:t>2016</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20" w:type="dxa"/>
            <w:vAlign w:val="bottom"/>
            <w:gridSpan w:val="3"/>
          </w:tcPr>
          <w:p>
            <w:pPr>
              <w:jc w:val="right"/>
              <w:ind w:right="680"/>
              <w:spacing w:after="0"/>
              <w:rPr>
                <w:sz w:val="20"/>
                <w:szCs w:val="20"/>
                <w:color w:val="auto"/>
              </w:rPr>
            </w:pPr>
            <w:r>
              <w:rPr>
                <w:rFonts w:ascii="Arial" w:cs="Arial" w:eastAsia="Arial" w:hAnsi="Arial"/>
                <w:sz w:val="18"/>
                <w:szCs w:val="18"/>
                <w:color w:val="auto"/>
                <w:w w:val="94"/>
              </w:rPr>
              <w:t>Increase (decrease)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6"/>
              </w:rPr>
              <w:t>$000’s</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License fee revenue</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5,250</w:t>
            </w:r>
          </w:p>
        </w:tc>
        <w:tc>
          <w:tcPr>
            <w:tcW w:w="120" w:type="dxa"/>
            <w:vAlign w:val="bottom"/>
          </w:tcPr>
          <w:p>
            <w:pPr>
              <w:spacing w:after="0"/>
              <w:rPr>
                <w:sz w:val="18"/>
                <w:szCs w:val="18"/>
                <w:color w:val="auto"/>
              </w:rPr>
            </w:pP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(5,250)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Collaboration revenue</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Royalty revenue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86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306</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(257)</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Total revenues, net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699</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(5,209)</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 and expenses: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 (excluding inventory write-down)</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(245)</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Inventory write-downs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(308)</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3,258</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1,351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Sales, marketing, general and administrative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5,392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(1,012)</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costs and expenses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8,985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Operating loss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(8,286)</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(3,291)</w:t>
            </w:r>
          </w:p>
        </w:tc>
        <w:tc>
          <w:tcPr>
            <w:tcW w:w="34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4,995</w:t>
            </w: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income</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c>
          <w:tcPr>
            <w:tcW w:w="3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(195)</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ind w:left="300"/>
              <w:spacing w:after="0"/>
              <w:rPr>
                <w:sz w:val="20"/>
                <w:szCs w:val="20"/>
                <w:color w:val="auto"/>
              </w:rPr>
            </w:pPr>
            <w:r>
              <w:rPr>
                <w:rFonts w:ascii="Arial" w:cs="Arial" w:eastAsia="Arial" w:hAnsi="Arial"/>
                <w:sz w:val="18"/>
                <w:szCs w:val="18"/>
                <w:color w:val="auto"/>
              </w:rPr>
              <w:t>Total other expense, net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(782)</w:t>
            </w:r>
          </w:p>
        </w:tc>
        <w:tc>
          <w:tcPr>
            <w:tcW w:w="3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(146)</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(8,922)</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(4,073)</w:t>
            </w:r>
          </w:p>
        </w:tc>
        <w:tc>
          <w:tcPr>
            <w:tcW w:w="340" w:type="dxa"/>
            <w:vAlign w:val="bottom"/>
          </w:tcPr>
          <w:p>
            <w:pPr>
              <w:spacing w:after="0"/>
              <w:rPr>
                <w:sz w:val="18"/>
                <w:szCs w:val="18"/>
                <w:color w:val="auto"/>
              </w:rPr>
            </w:pP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4,849</w:t>
            </w: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(8,922)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(4,073)</w:t>
            </w:r>
          </w:p>
        </w:tc>
        <w:tc>
          <w:tcPr>
            <w:tcW w:w="3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4,849</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7, 2015, we and Egalet US, Inc. and Egalet Ltd., each a subsidiary of Egalet Corporation (collectively, “Egalet”) entered into a Collaboration and License Agreement to commercialize Oxaydo tablets (formerly known as Oxecta) utilizing our Aversion® Technology. Egalet paid us an upfront payment of $5.0 million upon signing the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3" w:name="page44"/>
    <w:bookmarkEnd w:id="43"/>
    <w:p>
      <w:pPr>
        <w:jc w:val="both"/>
        <w:spacing w:after="0" w:line="265" w:lineRule="auto"/>
        <w:rPr>
          <w:sz w:val="20"/>
          <w:szCs w:val="20"/>
          <w:color w:val="auto"/>
        </w:rPr>
      </w:pPr>
      <w:r>
        <w:rPr>
          <w:rFonts w:ascii="Arial" w:cs="Arial" w:eastAsia="Arial" w:hAnsi="Arial"/>
          <w:sz w:val="18"/>
          <w:szCs w:val="18"/>
          <w:color w:val="auto"/>
        </w:rPr>
        <w:t>The Company received a $250 thousand payment from Purdue Pharma L.P. in June 2015 relating to a December 2014 agreement to settle a patent interference action on U.S. Patent No. 8,101,630 issued to Acura.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Collaboration revenue is derived from reimbursement of development expenses under various development agreements, such as the collaboration agreement with Bayer, and are recognized when costs are incurred pursuant to the collaboration agreement. We recognized $307 thousand and $95 thousand of collaboration revenue during the nine months ended September 30, 2016 and 2015,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our Collaboration and License Agreement with Egalet to commercialize Oxaydo tablets we receive a stepped royalty at percentage rates ranging from mid-single digits to double-digits on net sales during a calendar year based on Oxaydo net sales during such year (excluding net sales resulting from any of our co-promotion efforts). Egalet’s first commercial sale of Oxaydo occurred in October 2015 where we received a $2.5 million milestone payment and accordingly, we began to earn royalties in the fourth quarter of 2015. We have recorded royalties of $86 thousand on net sales for the nine month period ended September 30, 2016.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1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Nexafed® was launched by us in December 2012. Nexafed® Sinus Pressure + Pain was launched by us in February 2015. The Company sells the Nexafed® product line in the United States to wholesale pharmaceutical distributors and as well as directly to chain drug stores. The product line is sold subject to the right of return usually for a period of up to twelve months after the product expiration. Both products had an initial shelf life of twenty-four months from the date of manufacture, which shelf life has been extended to thirty-six months for Nexafed product supplied from one of the Company’s contract manufacturers.</w:t>
      </w:r>
    </w:p>
    <w:p>
      <w:pPr>
        <w:spacing w:after="0" w:line="14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Given the limited sales history of Nexafed, we could not reliably estimate expected returns of the product at the time of shipment to certain customers and accordingly we had deferred revenue. As of December 31, 2014, we had $353 thousand of deferred revenue on our balance sheet related to Nexafed shipments which occurred since its commercial launch.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net revenue of $314 thousand. Revenue is being recognized at the time the product is sold to a customer. Our net product sales for the nine months ended September 30, 2016 and 2015 were $306 thousand and $563 thousand,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Cost of sales includes third-party acquisition costs, third-party warehousing and product distribution charges and inventory reserve expense for the Nexafed product line.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cost of sales of $255 thousand. For the nine months ended September 30, 2016 and 2015, cost of sales was $309 thousand and $554 thousand, respectively.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Included in cost and expenses for the nine months ended September 30, 2016 and 2015, is $26 thousand and $74 thousand of inventory reserve expense on finished goods, respectively. During the nine months ended September 30, 2015, we recorded reserves and wrote off against these reserves, $260 thousand of raw and packaging material inventories we purchased from Pfizer for the Oxaydo product we reacquired from Pfizer.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Research and development expense (R&amp;D) for the nine months ended 2016 was primarily for our Limitx and our Impede Technologies development including costs of preclinical and non-clinical, clinical trials, clinical supplies and related formulation and design costs, salaries and other personnel related expenses, and facility costs as well as approximately $200 thousand of cost sharing expenses of clinical studies for product line extensions (additional strengths) of Oxaydo for the United States under the Egalet Agreement and approximately $100 thousand of cost sharing expenses of the FDA required post-marketing study for Oxaydo under the Egalet Agreement. The initial LTX-04 clinical study, Study AP-LTX-400, or Study 400, was ongoing and completed during the first nine months of 2016 for expenses of approximately $1.0 million. R&amp;D expense for the nine months ended 2015 was primarily for our Aversion and our Impede Technologies development including costs of preclinical and non-clinical, clinical trials, clinical supplies and related formulation and design costs, salaries and other personnel related expenses, and facility costs. Included in each of 2016 and 2015 nine month results are non-cash share-based compensation expenses of approximately $0.1 million. Excluding the share-based compensation expense, our R&amp;D expenses increased approximately $1.3 million between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17"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Selling and marketing expenses for the nine months ended 2016 was primarily of advertising and marketing activities on the Nexafed product. Our general and administrative expenses primarily consisted of legal, audit and other professional services, corporate insurance, and payroll. Included in each of the 2016 and 2015 nine month results are non-cash share-based compensation expenses of approximately $0.3 million. Excluding the share-based compensation expense our selling, marketing, general and administrative expenses decreased by approximately $1.0 million between reporting periods, resulting primarily from decreases in advertising and marketing activities and offset by increases in our patent legal and litigation expenses with Purdue Pharma and the cost sharing expenses under the Egalet Agreement. On May 20, 2016, a settlement agreement was entered into between Purdue Pharma on behalf of themselves and certain affiliates, Egalet Corporation, on behalf of itself and its affiliates and we, on behalf of ourselves and our affiliates.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17"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During the nine months ended September 30, 2016 and 2015, non-operating expense consisted principally of interest expense on our term loan from Oxford Finance LLC, less investment income derived from our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2016 and 2015 include no federal or state income tax benefit provisions due to uncertainty of their future utilization.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At September 30, 2016, we had cash and cash equivalents of $4.3 million compared to cash, cash equivalents, and marketable securities of $13.3 million at December 31, 2015. Under our term loan with Oxford Finance LLC (“Oxford”), we are required to maintain a $2.5 million compensating balance. As of October 31, 2016, our unrestricted cash and cash equivalents was $4.2 million (which includes the $3.5 million payment received under the KemPharm Agreement and is after the deduction of the $2.5 million compensating balance requirement under our term loan with Oxford). We estimate that our unrestricted working capital together with milestone and royalty payments, if any, that may be made under the Egalet Agreement and the Bayer Agreement, and revenues from our commercialization of our Nexafed Products will be sufficient to fund our continuing operations through March 2017 while maintaining compliance with the $2.5 million compensating balance requirement under our term with Oxford.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17"/>
          <w:szCs w:val="17"/>
          <w:color w:val="auto"/>
        </w:rPr>
        <w:t>In addition to our $2.5 million cash reserve requirement, our term loan agreement with Oxford Finance LLC contains customary affirmative and negative covenants. One such covenant is that the Company must submit on an annual basis to Oxford, within 120 days after the end of its fiscal year, audited consolidated financial statements, together with an unqualified audit opinion from an independent registered public accounting firm (the “Unqualified Audit Opinion Covenant”). Failure to comply with the Unqualified Audit Opinion Covenant is a breach of the term loan agreement and unless such covenant or breach is waived, Oxford would have the option of accelerating the debt under the term loan agreement and initiating enforcement collection actions, foreclosing on collateral (which includes most assets of the Company) and, among other things, preventing the Company from using any funds in its bank or securities accounts. Per the term loan agreement an audit opinion with an explanatory paragraph noting substantial doubt about the Company’s ability to continue in business (the “going concern opinion”) is deemed to violate the Unqualified Audit Opinion Covenant. We anticipate that unless the Company raises approximately $10.0 million prior to the completion of the audit of our 2016 financial statements, projected to occur by early March 2017, our auditor’s opinion will contain a going concern opinion and absent a waiver from Oxford, we will be in breach of our term loan agreement. There can be no assurance that we will be able to raise such funds. We expect to engage in discussions with Oxford in order to seek a waiver from the Unqualified Audit Opinion Covenant, but there can be no assurance Oxford will grant such a waiver.</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 fund further operations and product development activities beyond March 2017, we must raise additional financing or enter into license or collaboration agreements with third parties relating to our technologies. No assurance can be given that we will be successful in obtaining any such financing or in securing license or collaboration agreements with third parties on acceptable terms, if at all, or if secured, that such financing or license or collaboration agreements will provide payments to the Company sufficient to fund continued operations. In the absence of such financing or third-party license or collaboration agreements, there will be substantial doubt about the Company’s ability to continue as a going concern and the Company will be required to scale back or terminate operations and/or seek protection under applicable bankruptcy laws. An extended delay or cessation of the Company’s continuing product development efforts will have a material adverse effect on the Company’s financial condition and results of operations.</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Company’s accompanying balance sheets is dependent upon continued operations of the Company, which in turn is dependent upon the Company’s ability to meet its financing requirements on a continuous basis, to maintain existing financing and to succeed in its future operations. The Company’s financial statements do not include any adjustment relating to the recoverability and classification of recorded asset amounts and classification of liabilities that might be necessary should the Company be unable to continue in existence.</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future sources of revenue, if any, will be derived from milestone payments and royalties under the Egalet Agreement, the Bayer Agreement, the KemPharm Agreement and similar agreements for our Limitx products in development with other pharmaceutical company partners, for which there can be no assurance, and from the commercialization of our Nexafed products.</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Note A of the Notes to Consolidated Financial Statements, in the Company’s 2015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2015 Annual Report are also applicable to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17" w:lineRule="exact"/>
        <w:rPr>
          <w:sz w:val="20"/>
          <w:szCs w:val="20"/>
          <w:color w:val="auto"/>
        </w:rPr>
      </w:pPr>
    </w:p>
    <w:p>
      <w:pPr>
        <w:jc w:val="both"/>
        <w:ind w:firstLine="6"/>
        <w:spacing w:after="0" w:line="265" w:lineRule="auto"/>
        <w:tabs>
          <w:tab w:leader="none" w:pos="368" w:val="left"/>
        </w:tabs>
        <w:numPr>
          <w:ilvl w:val="0"/>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6" w:name="page47"/>
    <w:bookmarkEnd w:id="46"/>
    <w:p>
      <w:pPr>
        <w:ind w:right="20" w:firstLine="6"/>
        <w:spacing w:after="0" w:line="294" w:lineRule="auto"/>
        <w:tabs>
          <w:tab w:leader="none" w:pos="392" w:val="left"/>
        </w:tabs>
        <w:numPr>
          <w:ilvl w:val="0"/>
          <w:numId w:val="19"/>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third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2016 that have materially affected, or are reasonably likely to materially affect, our internal controls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required by this Item is incorporated by reference to Note 14, “Commitments and Contingencies,” in Part I, 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Investors in our common stock should consider the following risk factor, in addition to those risk factors set forth in our 2015 Annual Report on Form 10-K:</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require additional funding</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anticipate that we will require additional financing or entry into license or collaborative agreements with third parties providing for net proceeds to us in order to continue to fund operations. No assurance can be given that we will be successful in obtaining any such financing or in securing license or collaborative agreements with third parties on acceptable terms, if at all, or if secured, that such financing or license or collaborative agreements will provide for funding or payments to us sufficient to continue to fund operations. Under our term loan with Oxford Finance LLC, we are required to maintain a $2.5 million compensating balance until we raise an additional $6.0 million (excluding any payments under our License Agreement with KemPharm) through the issuance of equity securities and from upfront payments under license, joint venture, collaboration or other partnering transactions, provided that at least $3.0 million must be through the sale of our equity securities. Giving effect to our term loan compensating balance requirement, we believe we have unrestricted cash and cash equivalents sufficient to fund operations through March 2017 while maintaining the compensating balance requirement. In the absence of the receipt of additional financing or payments under third-party license or collaborative agreements prior to such time there will be substantial doubt about the Company’s ability to continue as a going concern and we will be required to scale back or terminate operations and/or seek protection under applicable bankruptcy laws.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operations.</w:t>
      </w:r>
    </w:p>
    <w:p>
      <w:pPr>
        <w:spacing w:after="0" w:line="185" w:lineRule="exact"/>
        <w:rPr>
          <w:sz w:val="20"/>
          <w:szCs w:val="20"/>
          <w:color w:val="auto"/>
        </w:rPr>
      </w:pPr>
    </w:p>
    <w:p>
      <w:pPr>
        <w:ind w:left="320"/>
        <w:spacing w:after="0" w:line="265" w:lineRule="auto"/>
        <w:rPr>
          <w:sz w:val="20"/>
          <w:szCs w:val="20"/>
          <w:color w:val="auto"/>
        </w:rPr>
      </w:pPr>
      <w:r>
        <w:rPr>
          <w:rFonts w:ascii="Arial" w:cs="Arial" w:eastAsia="Arial" w:hAnsi="Arial"/>
          <w:sz w:val="18"/>
          <w:szCs w:val="18"/>
          <w:b w:val="1"/>
          <w:bCs w:val="1"/>
          <w:i w:val="1"/>
          <w:iCs w:val="1"/>
          <w:color w:val="auto"/>
        </w:rPr>
        <w:t>If we fail to comply with the covenants and other obligations under our term loan, the lender may be able to accelerate amounts owed under the facility and may foreclose upon the assets securing our obligations.</w:t>
      </w:r>
    </w:p>
    <w:p>
      <w:pPr>
        <w:spacing w:after="0" w:line="17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In December 2013, we (including our wholly-owned subsidiary Acura Pharmaceutical Technologies, Inc. (“APT”)) entered into a loan and security agreement with Oxford Finance LLC (“Oxford”) pursuant to which we borrowed $10 million from Oxford. Our loan and security agreement with Oxford was amended on January 7, 2015 in connection with our collaboration and license agreement with Egalet and again on October 13, 2016 in connection with our license agreement with KemPharm. Under the Oxford loan agreement, as amended, we are subject to a variety of affirmative and negative covenants, including required financial reporting, providing an unqualified auditor’s opinion together with our annual financial statements within 120 days of the end of our fiscal year (the “Unqualified Audit Opinion Covenant”), limitations on certain dispositions and licensing of assets, limitations on the incurrence of additional debt, and the requirement to maintain at least $2.5 million in cash reserves until we raise an additional $6.0 million following the execution of our license agreement with KemPharm through the issuance of equity securities and from upfront payments under license, joint venture, collaboration or other partnering transactions, provided that at least $3.0 million of such amount must be through the issuance and sale of our equity securities. To secure our performance of our obligations under this loan and security agreement, we granted Oxford a security interest in substantially all of our assets, other than intellectual property assets, and pledged to Oxford the stock of APT. Our failure to comply with the terms of the loan and security agreement, including the Unqualified Audit Opinion Covenant, the occurrence of a material adverse change in our business, operations or condition (financial or otherwise) or prospects, the material impairment in our prospect of repayment, a material impairment in the perfection or priority of the Oxford’s lien on our assets or the value of Oxford’s collateral, or the occurrence of certain other specified events could result in an event of default that, if not cured or waived, could result in the acceleration of all or a substantial portion of our loan, coupled with prepayment penalties, an additional interest payment of $795,000, potential foreclosure on our assets, and other adverse results.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7" w:name="page48"/>
    <w:bookmarkEnd w:id="47"/>
    <w:p>
      <w:pPr>
        <w:jc w:val="both"/>
        <w:spacing w:after="0" w:line="267" w:lineRule="auto"/>
        <w:rPr>
          <w:sz w:val="20"/>
          <w:szCs w:val="20"/>
          <w:color w:val="auto"/>
        </w:rPr>
      </w:pPr>
      <w:r>
        <w:rPr>
          <w:rFonts w:ascii="Arial" w:cs="Arial" w:eastAsia="Arial" w:hAnsi="Arial"/>
          <w:sz w:val="17"/>
          <w:szCs w:val="17"/>
          <w:color w:val="auto"/>
        </w:rPr>
        <w:t>We anticipate that unless the Company raises approximately $10.0 million prior to the completion of the audit of our 2016 financial statements, projected to occur by early March 2017, our auditor’s opinion will contain a going concern opinion and absent a waiver from Oxford, we will be in breach of the Unqualified Audit Opinion Covenant. If such breach were to occur, Oxford would have the option, among other things, of accelerating the debt under our loan and security agreement and foreclosing on the Company’s assets pledged as collateral for the term loan. There can be no assurance that we will be able to raise the funds needed to allow for compliance with the Unqualified Audit Opinion Covenant. We expect to engage in discussions with Oxford in order to seek a waiver from the Unqualified Audit Opinion Covenant, but there can be no assurance Oxford will grant such a waiver.</w:t>
      </w:r>
    </w:p>
    <w:p>
      <w:pPr>
        <w:spacing w:after="0" w:line="180" w:lineRule="exact"/>
        <w:rPr>
          <w:sz w:val="20"/>
          <w:szCs w:val="20"/>
          <w:color w:val="auto"/>
        </w:rPr>
      </w:pPr>
    </w:p>
    <w:p>
      <w:pPr>
        <w:ind w:left="320"/>
        <w:spacing w:after="0" w:line="294" w:lineRule="auto"/>
        <w:rPr>
          <w:sz w:val="20"/>
          <w:szCs w:val="20"/>
          <w:color w:val="auto"/>
        </w:rPr>
      </w:pPr>
      <w:r>
        <w:rPr>
          <w:rFonts w:ascii="Arial" w:cs="Arial" w:eastAsia="Arial" w:hAnsi="Arial"/>
          <w:sz w:val="17"/>
          <w:szCs w:val="17"/>
          <w:b w:val="1"/>
          <w:bCs w:val="1"/>
          <w:i w:val="1"/>
          <w:iCs w:val="1"/>
          <w:color w:val="auto"/>
        </w:rPr>
        <w:t>If we do not meet the continued listing standards of the NASDAQ Capital Market, our common stock could be delisted from trading, which could limit investors’ ability to make transactions in our common stock and subject us to additional trading restrictions.</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common stock is listed on the NASDAQ Capital Market, a national securities exchange, which imposes continued listing requirements with respect to listed shares. Such continued listing requirements include, for example, NASDAQ Listing Rule 5450(a)(1), which requires that the closing bid price of our common stock shall not fall below $1.00 for thirty consecutive business days and NASDAQ Listing Rule 5550(b)(1), which requires that we maintain $2.5 million in stockholders’ equity for continued listing (or meet the alternatives of market value of listed securities of $35 million or net income from continuing operations). Failure to comply with NASDAQ’s continued listing standards will result in the issuance of a non-compliance letter and/or initiation of delisting proceedings by NASDAQ.</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August 16, 2016, we received a letter from the Listing Qualifications Staff of the NASDAQ Stock Market notifying us that because our Form 10-Q for the period ended June 30, 2016 reported stockholders’ equity of $1,637,000 and we did meet the alternative tests of market value of listed securities or net income, we no longer complied with Listing Rule 5550(b)(1). We had 45 days to submit a plan of compliance which we submitted on September 29, 2016 and which detailed our plan to regain compliance with NASDAQ’s $2.5 million minimum stockholders’ equity requirement, and in which we requested an extension of time to regain compliance. On October 6, 2017 NASDAQ granted us a grace period of 180 days from the date of Nasdaq’s initial letter, or until February 10, 2017, to regain compliance with Listing Rule 5550(b)(1). If we fail to successfully meet NASDAQ’s minimum stockholders’ equity requirement by such date, or if met, fail to continue to meet such requirement following February 10, 2017, of which no assurance can be given, our common stock will be subject to delisting from the NASDAQ Capital Market.</w:t>
      </w:r>
    </w:p>
    <w:p>
      <w:pPr>
        <w:spacing w:after="0" w:line="183"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If our securities are delisted from trading on the NASDAQ Capital Market and we are not able to list our securities on another exchange, such as the NYSE, our securities could then be quoted on the OTC Bulletin Board or on the “pink sheets.” As a result, we could face significant adverse consequences including:</w:t>
      </w:r>
    </w:p>
    <w:p>
      <w:pPr>
        <w:spacing w:after="0" w:line="110"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6" w:lineRule="exact"/>
        <w:rPr>
          <w:rFonts w:ascii="Arial" w:cs="Arial" w:eastAsia="Arial" w:hAnsi="Arial"/>
          <w:sz w:val="18"/>
          <w:szCs w:val="18"/>
          <w:color w:val="auto"/>
        </w:rPr>
      </w:pPr>
    </w:p>
    <w:p>
      <w:pPr>
        <w:ind w:left="640" w:hanging="316"/>
        <w:spacing w:after="0" w:line="245"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us; and</w:t>
      </w:r>
    </w:p>
    <w:p>
      <w:pPr>
        <w:spacing w:after="0" w:line="5" w:lineRule="exact"/>
        <w:rPr>
          <w:rFonts w:ascii="Arial" w:cs="Arial" w:eastAsia="Arial" w:hAnsi="Arial"/>
          <w:sz w:val="18"/>
          <w:szCs w:val="18"/>
          <w:color w:val="auto"/>
        </w:rPr>
      </w:pPr>
    </w:p>
    <w:p>
      <w:pPr>
        <w:ind w:left="640" w:hanging="316"/>
        <w:spacing w:after="0" w:line="251"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(including pursuant to short-form registration statements on Form S-3 or obtain additional financing in the future).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280" w:type="dxa"/>
            <w:vAlign w:val="bottom"/>
          </w:tcPr>
          <w:p>
            <w:pPr>
              <w:ind w:left="480"/>
              <w:spacing w:after="0"/>
              <w:rPr>
                <w:sz w:val="20"/>
                <w:szCs w:val="20"/>
                <w:color w:val="auto"/>
              </w:rPr>
            </w:pPr>
            <w:r>
              <w:rPr>
                <w:rFonts w:ascii="Arial" w:cs="Arial" w:eastAsia="Arial" w:hAnsi="Arial"/>
                <w:sz w:val="18"/>
                <w:szCs w:val="18"/>
                <w:color w:val="auto"/>
                <w:w w:val="91"/>
              </w:rPr>
              <w:t>Certification of Periodic Report by Chief Executive Officer pursuant to Rule 13a-14 and 15d-14 of the Securities Exchange Act of 1934.</w:t>
            </w:r>
          </w:p>
        </w:tc>
      </w:tr>
      <w:tr>
        <w:trPr>
          <w:trHeight w:val="424"/>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280" w:type="dxa"/>
            <w:vAlign w:val="bottom"/>
          </w:tcPr>
          <w:p>
            <w:pPr>
              <w:ind w:left="480"/>
              <w:spacing w:after="0"/>
              <w:rPr>
                <w:sz w:val="20"/>
                <w:szCs w:val="20"/>
                <w:color w:val="auto"/>
              </w:rPr>
            </w:pPr>
            <w:r>
              <w:rPr>
                <w:rFonts w:ascii="Arial" w:cs="Arial" w:eastAsia="Arial" w:hAnsi="Arial"/>
                <w:sz w:val="18"/>
                <w:szCs w:val="18"/>
                <w:color w:val="auto"/>
                <w:w w:val="91"/>
              </w:rPr>
              <w:t>Certification of Periodic Report by Chief Financial Officer pursuant to Rule 13a-14 and 15d-14 of the Securities Exchange Act of 1934.</w:t>
            </w:r>
          </w:p>
        </w:tc>
      </w:tr>
      <w:tr>
        <w:trPr>
          <w:trHeight w:val="413"/>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10280" w:type="dxa"/>
            <w:vAlign w:val="bottom"/>
          </w:tcPr>
          <w:p>
            <w:pPr>
              <w:ind w:left="480"/>
              <w:spacing w:after="0"/>
              <w:rPr>
                <w:sz w:val="20"/>
                <w:szCs w:val="20"/>
                <w:color w:val="auto"/>
              </w:rPr>
            </w:pPr>
            <w:r>
              <w:rPr>
                <w:rFonts w:ascii="Arial" w:cs="Arial" w:eastAsia="Arial" w:hAnsi="Arial"/>
                <w:sz w:val="18"/>
                <w:szCs w:val="18"/>
                <w:color w:val="auto"/>
                <w:w w:val="95"/>
              </w:rPr>
              <w:t>Certification of Periodic Report by the Chief Executive Officer and Chief Financial Officer pursuant to 18 U.S.C. Section 1350, as</w:t>
            </w:r>
          </w:p>
        </w:tc>
      </w:tr>
      <w:tr>
        <w:trPr>
          <w:trHeight w:val="223"/>
        </w:trPr>
        <w:tc>
          <w:tcPr>
            <w:tcW w:w="1140" w:type="dxa"/>
            <w:vAlign w:val="bottom"/>
          </w:tcPr>
          <w:p>
            <w:pPr>
              <w:spacing w:after="0"/>
              <w:rPr>
                <w:sz w:val="19"/>
                <w:szCs w:val="19"/>
                <w:color w:val="auto"/>
              </w:rPr>
            </w:pPr>
          </w:p>
        </w:tc>
        <w:tc>
          <w:tcPr>
            <w:tcW w:w="10280" w:type="dxa"/>
            <w:vAlign w:val="bottom"/>
          </w:tcPr>
          <w:p>
            <w:pPr>
              <w:ind w:left="48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424"/>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280" w:type="dxa"/>
            <w:vAlign w:val="bottom"/>
          </w:tcPr>
          <w:p>
            <w:pPr>
              <w:ind w:left="480"/>
              <w:spacing w:after="0"/>
              <w:rPr>
                <w:sz w:val="20"/>
                <w:szCs w:val="20"/>
                <w:color w:val="auto"/>
              </w:rPr>
            </w:pPr>
            <w:r>
              <w:rPr>
                <w:rFonts w:ascii="Arial" w:cs="Arial" w:eastAsia="Arial" w:hAnsi="Arial"/>
                <w:sz w:val="18"/>
                <w:szCs w:val="18"/>
                <w:color w:val="auto"/>
              </w:rPr>
              <w:t>XBRL Instance Document</w:t>
            </w:r>
          </w:p>
        </w:tc>
      </w:tr>
      <w:tr>
        <w:trPr>
          <w:trHeight w:val="424"/>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280" w:type="dxa"/>
            <w:vAlign w:val="bottom"/>
          </w:tcPr>
          <w:p>
            <w:pPr>
              <w:ind w:left="480"/>
              <w:spacing w:after="0"/>
              <w:rPr>
                <w:sz w:val="20"/>
                <w:szCs w:val="20"/>
                <w:color w:val="auto"/>
              </w:rPr>
            </w:pPr>
            <w:r>
              <w:rPr>
                <w:rFonts w:ascii="Arial" w:cs="Arial" w:eastAsia="Arial" w:hAnsi="Arial"/>
                <w:sz w:val="18"/>
                <w:szCs w:val="18"/>
                <w:color w:val="auto"/>
              </w:rPr>
              <w:t>XBRL Taxonomy Extension Schema Document</w:t>
            </w:r>
          </w:p>
        </w:tc>
      </w:tr>
      <w:tr>
        <w:trPr>
          <w:trHeight w:val="424"/>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280" w:type="dxa"/>
            <w:vAlign w:val="bottom"/>
          </w:tcPr>
          <w:p>
            <w:pPr>
              <w:ind w:left="480"/>
              <w:spacing w:after="0"/>
              <w:rPr>
                <w:sz w:val="20"/>
                <w:szCs w:val="20"/>
                <w:color w:val="auto"/>
              </w:rPr>
            </w:pPr>
            <w:r>
              <w:rPr>
                <w:rFonts w:ascii="Arial" w:cs="Arial" w:eastAsia="Arial" w:hAnsi="Arial"/>
                <w:sz w:val="18"/>
                <w:szCs w:val="18"/>
                <w:color w:val="auto"/>
              </w:rPr>
              <w:t>XBRL Taxonomy Extension Calculation Linkbase</w:t>
            </w:r>
          </w:p>
        </w:tc>
      </w:tr>
      <w:tr>
        <w:trPr>
          <w:trHeight w:val="424"/>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280" w:type="dxa"/>
            <w:vAlign w:val="bottom"/>
          </w:tcPr>
          <w:p>
            <w:pPr>
              <w:ind w:left="480"/>
              <w:spacing w:after="0"/>
              <w:rPr>
                <w:sz w:val="20"/>
                <w:szCs w:val="20"/>
                <w:color w:val="auto"/>
              </w:rPr>
            </w:pPr>
            <w:r>
              <w:rPr>
                <w:rFonts w:ascii="Arial" w:cs="Arial" w:eastAsia="Arial" w:hAnsi="Arial"/>
                <w:sz w:val="18"/>
                <w:szCs w:val="18"/>
                <w:color w:val="auto"/>
              </w:rPr>
              <w:t>XBRL Taxonomy Extension Label Linkbase</w:t>
            </w:r>
          </w:p>
        </w:tc>
      </w:tr>
      <w:tr>
        <w:trPr>
          <w:trHeight w:val="424"/>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280" w:type="dxa"/>
            <w:vAlign w:val="bottom"/>
          </w:tcPr>
          <w:p>
            <w:pPr>
              <w:ind w:left="480"/>
              <w:spacing w:after="0"/>
              <w:rPr>
                <w:sz w:val="20"/>
                <w:szCs w:val="20"/>
                <w:color w:val="auto"/>
              </w:rPr>
            </w:pPr>
            <w:r>
              <w:rPr>
                <w:rFonts w:ascii="Arial" w:cs="Arial" w:eastAsia="Arial" w:hAnsi="Arial"/>
                <w:sz w:val="18"/>
                <w:szCs w:val="18"/>
                <w:color w:val="auto"/>
              </w:rPr>
              <w:t>XBRL Taxonomy Extension Presentation Linkbase</w:t>
            </w:r>
          </w:p>
        </w:tc>
      </w:tr>
      <w:tr>
        <w:trPr>
          <w:trHeight w:val="424"/>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280" w:type="dxa"/>
            <w:vAlign w:val="bottom"/>
          </w:tcPr>
          <w:p>
            <w:pPr>
              <w:ind w:left="48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Signatures</w:t>
      </w:r>
    </w:p>
    <w:p>
      <w:pPr>
        <w:spacing w:after="0" w:line="217" w:lineRule="exact"/>
        <w:rPr>
          <w:sz w:val="20"/>
          <w:szCs w:val="20"/>
          <w:color w:val="auto"/>
        </w:rPr>
      </w:pPr>
    </w:p>
    <w:p>
      <w:pPr>
        <w:ind w:left="960"/>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p>
      <w:pPr>
        <w:ind w:left="960"/>
        <w:spacing w:after="0"/>
        <w:tabs>
          <w:tab w:leader="none" w:pos="5700" w:val="left"/>
        </w:tabs>
        <w:rPr>
          <w:sz w:val="20"/>
          <w:szCs w:val="20"/>
          <w:color w:val="auto"/>
        </w:rPr>
      </w:pPr>
      <w:r>
        <w:rPr>
          <w:rFonts w:ascii="Arial" w:cs="Arial" w:eastAsia="Arial" w:hAnsi="Arial"/>
          <w:sz w:val="18"/>
          <w:szCs w:val="18"/>
          <w:color w:val="auto"/>
        </w:rPr>
        <w:t>November 14, 2016</w:t>
      </w:r>
      <w:r>
        <w:rPr>
          <w:sz w:val="20"/>
          <w:szCs w:val="20"/>
          <w:color w:val="auto"/>
        </w:rPr>
        <w:tab/>
      </w:r>
      <w:r>
        <w:rPr>
          <w:rFonts w:ascii="Arial" w:cs="Arial" w:eastAsia="Arial" w:hAnsi="Arial"/>
          <w:sz w:val="17"/>
          <w:szCs w:val="17"/>
          <w:color w:val="auto"/>
        </w:rPr>
        <w:t>ACURA PHARMACEUTICALS, INC.</w:t>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wp:posOffset>
            </wp:positionV>
            <wp:extent cx="36201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20135" cy="8255"/>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8"/>
          <w:szCs w:val="18"/>
          <w:color w:val="auto"/>
        </w:rPr>
        <w:t>Robert B. Jones</w:t>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wp:posOffset>
            </wp:positionV>
            <wp:extent cx="36201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0135" cy="8255"/>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8"/>
          <w:szCs w:val="18"/>
          <w:color w:val="auto"/>
        </w:rPr>
        <w:t>Peter A. Clemens</w:t>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17" w:lineRule="exact"/>
        <w:rPr>
          <w:sz w:val="20"/>
          <w:szCs w:val="20"/>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17" w:lineRule="exact"/>
        <w:rPr>
          <w:rFonts w:ascii="Arial" w:cs="Arial" w:eastAsia="Arial" w:hAnsi="Arial"/>
          <w:sz w:val="18"/>
          <w:szCs w:val="18"/>
          <w:color w:val="auto"/>
        </w:rPr>
      </w:pPr>
    </w:p>
    <w:p>
      <w:pPr>
        <w:jc w:val="both"/>
        <w:ind w:left="320" w:hanging="314"/>
        <w:spacing w:after="0" w:line="255"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8" w:lineRule="exact"/>
        <w:rPr>
          <w:rFonts w:ascii="Arial" w:cs="Arial" w:eastAsia="Arial" w:hAnsi="Arial"/>
          <w:sz w:val="18"/>
          <w:szCs w:val="18"/>
          <w:color w:val="auto"/>
        </w:rPr>
      </w:pPr>
    </w:p>
    <w:p>
      <w:pPr>
        <w:ind w:left="320" w:hanging="314"/>
        <w:spacing w:after="0" w:line="294"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7" w:lineRule="exact"/>
        <w:rPr>
          <w:rFonts w:ascii="Arial" w:cs="Arial" w:eastAsia="Arial" w:hAnsi="Arial"/>
          <w:sz w:val="17"/>
          <w:szCs w:val="17"/>
          <w:color w:val="auto"/>
        </w:rPr>
      </w:pPr>
    </w:p>
    <w:p>
      <w:pPr>
        <w:jc w:val="both"/>
        <w:ind w:left="320" w:hanging="314"/>
        <w:spacing w:after="0" w:line="255"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8" w:lineRule="exact"/>
        <w:rPr>
          <w:rFonts w:ascii="Arial" w:cs="Arial" w:eastAsia="Arial" w:hAnsi="Arial"/>
          <w:sz w:val="18"/>
          <w:szCs w:val="18"/>
          <w:color w:val="auto"/>
        </w:rPr>
      </w:pPr>
    </w:p>
    <w:p>
      <w:pPr>
        <w:jc w:val="both"/>
        <w:ind w:left="320" w:firstLine="4"/>
        <w:spacing w:after="0" w:line="255" w:lineRule="auto"/>
        <w:tabs>
          <w:tab w:leader="none" w:pos="7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8" w:lineRule="exact"/>
        <w:rPr>
          <w:rFonts w:ascii="Arial" w:cs="Arial" w:eastAsia="Arial" w:hAnsi="Arial"/>
          <w:sz w:val="18"/>
          <w:szCs w:val="18"/>
          <w:color w:val="auto"/>
        </w:rPr>
      </w:pPr>
    </w:p>
    <w:p>
      <w:pPr>
        <w:jc w:val="both"/>
        <w:ind w:left="320" w:firstLine="4"/>
        <w:spacing w:after="0" w:line="255" w:lineRule="auto"/>
        <w:tabs>
          <w:tab w:leader="none" w:pos="7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8" w:lineRule="exact"/>
        <w:rPr>
          <w:rFonts w:ascii="Arial" w:cs="Arial" w:eastAsia="Arial" w:hAnsi="Arial"/>
          <w:sz w:val="18"/>
          <w:szCs w:val="18"/>
          <w:color w:val="auto"/>
        </w:rPr>
      </w:pPr>
    </w:p>
    <w:p>
      <w:pPr>
        <w:ind w:left="320" w:firstLine="4"/>
        <w:spacing w:after="0" w:line="294" w:lineRule="auto"/>
        <w:tabs>
          <w:tab w:leader="none" w:pos="735"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7"/>
          <w:szCs w:val="17"/>
          <w:color w:val="auto"/>
        </w:rPr>
      </w:pPr>
    </w:p>
    <w:p>
      <w:pPr>
        <w:ind w:left="320" w:firstLine="4"/>
        <w:spacing w:after="0" w:line="294" w:lineRule="auto"/>
        <w:tabs>
          <w:tab w:leader="none" w:pos="8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57" w:lineRule="exact"/>
        <w:rPr>
          <w:rFonts w:ascii="Arial" w:cs="Arial" w:eastAsia="Arial" w:hAnsi="Arial"/>
          <w:sz w:val="17"/>
          <w:szCs w:val="17"/>
          <w:color w:val="auto"/>
        </w:rPr>
      </w:pPr>
    </w:p>
    <w:p>
      <w:pPr>
        <w:ind w:left="320" w:hanging="314"/>
        <w:spacing w:after="0" w:line="265"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9" w:lineRule="exact"/>
        <w:rPr>
          <w:rFonts w:ascii="Arial" w:cs="Arial" w:eastAsia="Arial" w:hAnsi="Arial"/>
          <w:sz w:val="18"/>
          <w:szCs w:val="18"/>
          <w:color w:val="auto"/>
        </w:rPr>
      </w:pPr>
    </w:p>
    <w:p>
      <w:pPr>
        <w:ind w:left="320" w:firstLine="4"/>
        <w:spacing w:after="0" w:line="294" w:lineRule="auto"/>
        <w:tabs>
          <w:tab w:leader="none" w:pos="863"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57" w:lineRule="exact"/>
        <w:rPr>
          <w:rFonts w:ascii="Arial" w:cs="Arial" w:eastAsia="Arial" w:hAnsi="Arial"/>
          <w:sz w:val="17"/>
          <w:szCs w:val="17"/>
          <w:color w:val="auto"/>
        </w:rPr>
      </w:pPr>
    </w:p>
    <w:p>
      <w:pPr>
        <w:ind w:left="740" w:hanging="416"/>
        <w:spacing w:after="0"/>
        <w:tabs>
          <w:tab w:leader="none" w:pos="740" w:val="left"/>
        </w:tabs>
        <w:numPr>
          <w:ilvl w:val="1"/>
          <w:numId w:val="2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560" w:type="dxa"/>
            <w:vAlign w:val="bottom"/>
          </w:tcPr>
          <w:p>
            <w:pPr>
              <w:ind w:left="320"/>
              <w:spacing w:after="0"/>
              <w:rPr>
                <w:sz w:val="20"/>
                <w:szCs w:val="20"/>
                <w:color w:val="auto"/>
              </w:rPr>
            </w:pPr>
            <w:r>
              <w:rPr>
                <w:rFonts w:ascii="Arial" w:cs="Arial" w:eastAsia="Arial" w:hAnsi="Arial"/>
                <w:sz w:val="18"/>
                <w:szCs w:val="18"/>
                <w:color w:val="auto"/>
              </w:rPr>
              <w:t>November 14, 2016</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4"/>
        </w:trPr>
        <w:tc>
          <w:tcPr>
            <w:tcW w:w="7560" w:type="dxa"/>
            <w:vAlign w:val="bottom"/>
          </w:tcPr>
          <w:p>
            <w:pPr>
              <w:spacing w:after="0"/>
              <w:rPr>
                <w:sz w:val="16"/>
                <w:szCs w:val="16"/>
                <w:color w:val="auto"/>
              </w:rPr>
            </w:pPr>
          </w:p>
        </w:tc>
        <w:tc>
          <w:tcPr>
            <w:tcW w:w="3860" w:type="dxa"/>
            <w:vAlign w:val="bottom"/>
          </w:tcPr>
          <w:p>
            <w:pPr>
              <w:spacing w:after="0" w:line="194" w:lineRule="exact"/>
              <w:rPr>
                <w:sz w:val="20"/>
                <w:szCs w:val="20"/>
                <w:color w:val="auto"/>
              </w:rPr>
            </w:pPr>
            <w:r>
              <w:rPr>
                <w:rFonts w:ascii="Arial" w:cs="Arial" w:eastAsia="Arial" w:hAnsi="Arial"/>
                <w:sz w:val="18"/>
                <w:szCs w:val="18"/>
                <w:color w:val="auto"/>
              </w:rPr>
              <w:t>Robert B. Jones</w:t>
            </w:r>
          </w:p>
        </w:tc>
      </w:tr>
      <w:tr>
        <w:trPr>
          <w:trHeight w:val="223"/>
        </w:trPr>
        <w:tc>
          <w:tcPr>
            <w:tcW w:w="75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64"/>
        </w:trPr>
        <w:tc>
          <w:tcPr>
            <w:tcW w:w="75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17" w:lineRule="exact"/>
        <w:rPr>
          <w:sz w:val="20"/>
          <w:szCs w:val="20"/>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17" w:lineRule="exact"/>
        <w:rPr>
          <w:rFonts w:ascii="Arial" w:cs="Arial" w:eastAsia="Arial" w:hAnsi="Arial"/>
          <w:sz w:val="18"/>
          <w:szCs w:val="18"/>
          <w:color w:val="auto"/>
        </w:rPr>
      </w:pPr>
    </w:p>
    <w:p>
      <w:pPr>
        <w:jc w:val="both"/>
        <w:ind w:left="320" w:hanging="314"/>
        <w:spacing w:after="0" w:line="255"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8" w:lineRule="exact"/>
        <w:rPr>
          <w:rFonts w:ascii="Arial" w:cs="Arial" w:eastAsia="Arial" w:hAnsi="Arial"/>
          <w:sz w:val="18"/>
          <w:szCs w:val="18"/>
          <w:color w:val="auto"/>
        </w:rPr>
      </w:pPr>
    </w:p>
    <w:p>
      <w:pPr>
        <w:ind w:left="320" w:hanging="314"/>
        <w:spacing w:after="0" w:line="294" w:lineRule="auto"/>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7" w:lineRule="exact"/>
        <w:rPr>
          <w:rFonts w:ascii="Arial" w:cs="Arial" w:eastAsia="Arial" w:hAnsi="Arial"/>
          <w:sz w:val="17"/>
          <w:szCs w:val="17"/>
          <w:color w:val="auto"/>
        </w:rPr>
      </w:pPr>
    </w:p>
    <w:p>
      <w:pPr>
        <w:jc w:val="both"/>
        <w:ind w:left="320" w:hanging="314"/>
        <w:spacing w:after="0" w:line="255"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8" w:lineRule="exact"/>
        <w:rPr>
          <w:rFonts w:ascii="Arial" w:cs="Arial" w:eastAsia="Arial" w:hAnsi="Arial"/>
          <w:sz w:val="18"/>
          <w:szCs w:val="18"/>
          <w:color w:val="auto"/>
        </w:rPr>
      </w:pPr>
    </w:p>
    <w:p>
      <w:pPr>
        <w:jc w:val="both"/>
        <w:ind w:left="320" w:firstLine="4"/>
        <w:spacing w:after="0" w:line="255" w:lineRule="auto"/>
        <w:tabs>
          <w:tab w:leader="none" w:pos="7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8" w:lineRule="exact"/>
        <w:rPr>
          <w:rFonts w:ascii="Arial" w:cs="Arial" w:eastAsia="Arial" w:hAnsi="Arial"/>
          <w:sz w:val="18"/>
          <w:szCs w:val="18"/>
          <w:color w:val="auto"/>
        </w:rPr>
      </w:pPr>
    </w:p>
    <w:p>
      <w:pPr>
        <w:jc w:val="both"/>
        <w:ind w:left="320" w:firstLine="4"/>
        <w:spacing w:after="0" w:line="255" w:lineRule="auto"/>
        <w:tabs>
          <w:tab w:leader="none" w:pos="7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320" w:firstLine="4"/>
        <w:spacing w:after="0" w:line="294" w:lineRule="auto"/>
        <w:tabs>
          <w:tab w:leader="none" w:pos="735"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7"/>
          <w:szCs w:val="17"/>
          <w:color w:val="auto"/>
        </w:rPr>
      </w:pPr>
    </w:p>
    <w:p>
      <w:pPr>
        <w:ind w:left="320" w:firstLine="4"/>
        <w:spacing w:after="0" w:line="294" w:lineRule="auto"/>
        <w:tabs>
          <w:tab w:leader="none" w:pos="8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57" w:lineRule="exact"/>
        <w:rPr>
          <w:rFonts w:ascii="Arial" w:cs="Arial" w:eastAsia="Arial" w:hAnsi="Arial"/>
          <w:sz w:val="17"/>
          <w:szCs w:val="17"/>
          <w:color w:val="auto"/>
        </w:rPr>
      </w:pPr>
    </w:p>
    <w:p>
      <w:pPr>
        <w:ind w:left="320" w:hanging="314"/>
        <w:spacing w:after="0" w:line="265"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9" w:lineRule="exact"/>
        <w:rPr>
          <w:rFonts w:ascii="Arial" w:cs="Arial" w:eastAsia="Arial" w:hAnsi="Arial"/>
          <w:sz w:val="18"/>
          <w:szCs w:val="18"/>
          <w:color w:val="auto"/>
        </w:rPr>
      </w:pPr>
    </w:p>
    <w:p>
      <w:pPr>
        <w:ind w:left="320" w:firstLine="4"/>
        <w:spacing w:after="0" w:line="294" w:lineRule="auto"/>
        <w:tabs>
          <w:tab w:leader="none" w:pos="863"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57" w:lineRule="exact"/>
        <w:rPr>
          <w:rFonts w:ascii="Arial" w:cs="Arial" w:eastAsia="Arial" w:hAnsi="Arial"/>
          <w:sz w:val="17"/>
          <w:szCs w:val="17"/>
          <w:color w:val="auto"/>
        </w:rPr>
      </w:pPr>
    </w:p>
    <w:p>
      <w:pPr>
        <w:ind w:left="740" w:hanging="416"/>
        <w:spacing w:after="0"/>
        <w:tabs>
          <w:tab w:leader="none" w:pos="740" w:val="left"/>
        </w:tabs>
        <w:numPr>
          <w:ilvl w:val="1"/>
          <w:numId w:val="2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80" w:type="dxa"/>
            <w:vAlign w:val="bottom"/>
          </w:tcPr>
          <w:p>
            <w:pPr>
              <w:ind w:left="320"/>
              <w:spacing w:after="0"/>
              <w:rPr>
                <w:sz w:val="20"/>
                <w:szCs w:val="20"/>
                <w:color w:val="auto"/>
              </w:rPr>
            </w:pPr>
            <w:r>
              <w:rPr>
                <w:rFonts w:ascii="Arial" w:cs="Arial" w:eastAsia="Arial" w:hAnsi="Arial"/>
                <w:sz w:val="18"/>
                <w:szCs w:val="18"/>
                <w:color w:val="auto"/>
              </w:rPr>
              <w:t>November 14, 2016</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4"/>
        </w:trPr>
        <w:tc>
          <w:tcPr>
            <w:tcW w:w="7780" w:type="dxa"/>
            <w:vAlign w:val="bottom"/>
          </w:tcPr>
          <w:p>
            <w:pPr>
              <w:spacing w:after="0"/>
              <w:rPr>
                <w:sz w:val="16"/>
                <w:szCs w:val="16"/>
                <w:color w:val="auto"/>
              </w:rPr>
            </w:pPr>
          </w:p>
        </w:tc>
        <w:tc>
          <w:tcPr>
            <w:tcW w:w="3640" w:type="dxa"/>
            <w:vAlign w:val="bottom"/>
          </w:tcPr>
          <w:p>
            <w:pPr>
              <w:spacing w:after="0" w:line="194" w:lineRule="exact"/>
              <w:rPr>
                <w:sz w:val="20"/>
                <w:szCs w:val="20"/>
                <w:color w:val="auto"/>
              </w:rPr>
            </w:pPr>
            <w:r>
              <w:rPr>
                <w:rFonts w:ascii="Arial" w:cs="Arial" w:eastAsia="Arial" w:hAnsi="Arial"/>
                <w:sz w:val="18"/>
                <w:szCs w:val="18"/>
                <w:color w:val="auto"/>
              </w:rPr>
              <w:t>Peter A. Clemens</w:t>
            </w:r>
          </w:p>
        </w:tc>
      </w:tr>
      <w:tr>
        <w:trPr>
          <w:trHeight w:val="223"/>
        </w:trPr>
        <w:tc>
          <w:tcPr>
            <w:tcW w:w="77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64"/>
        </w:trPr>
        <w:tc>
          <w:tcPr>
            <w:tcW w:w="77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9"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 connection with the Quarterly Report of Acura Pharmaceuticals, Inc. (the "Company") on Form 10-Q for the period ending September 30, 2016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37" w:lineRule="exact"/>
        <w:rPr>
          <w:sz w:val="20"/>
          <w:szCs w:val="20"/>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left="320" w:hanging="314"/>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20" w:type="dxa"/>
            <w:vAlign w:val="bottom"/>
          </w:tcPr>
          <w:p>
            <w:pPr>
              <w:ind w:left="320"/>
              <w:spacing w:after="0"/>
              <w:rPr>
                <w:sz w:val="20"/>
                <w:szCs w:val="20"/>
                <w:color w:val="auto"/>
              </w:rPr>
            </w:pPr>
            <w:r>
              <w:rPr>
                <w:rFonts w:ascii="Arial" w:cs="Arial" w:eastAsia="Arial" w:hAnsi="Arial"/>
                <w:sz w:val="18"/>
                <w:szCs w:val="18"/>
                <w:color w:val="auto"/>
              </w:rPr>
              <w:t>November 14,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4"/>
        </w:trPr>
        <w:tc>
          <w:tcPr>
            <w:tcW w:w="5720" w:type="dxa"/>
            <w:vAlign w:val="bottom"/>
          </w:tcPr>
          <w:p>
            <w:pPr>
              <w:spacing w:after="0"/>
              <w:rPr>
                <w:sz w:val="16"/>
                <w:szCs w:val="16"/>
                <w:color w:val="auto"/>
              </w:rPr>
            </w:pPr>
          </w:p>
        </w:tc>
        <w:tc>
          <w:tcPr>
            <w:tcW w:w="5700" w:type="dxa"/>
            <w:vAlign w:val="bottom"/>
          </w:tcPr>
          <w:p>
            <w:pPr>
              <w:spacing w:after="0" w:line="194" w:lineRule="exact"/>
              <w:rPr>
                <w:sz w:val="20"/>
                <w:szCs w:val="20"/>
                <w:color w:val="auto"/>
              </w:rPr>
            </w:pPr>
            <w:r>
              <w:rPr>
                <w:rFonts w:ascii="Arial" w:cs="Arial" w:eastAsia="Arial" w:hAnsi="Arial"/>
                <w:sz w:val="18"/>
                <w:szCs w:val="18"/>
                <w:color w:val="auto"/>
              </w:rPr>
              <w:t>Robert B. Jones</w:t>
            </w:r>
          </w:p>
        </w:tc>
      </w:tr>
      <w:tr>
        <w:trPr>
          <w:trHeight w:val="223"/>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25"/>
        </w:trPr>
        <w:tc>
          <w:tcPr>
            <w:tcW w:w="57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4"/>
        </w:trPr>
        <w:tc>
          <w:tcPr>
            <w:tcW w:w="5720" w:type="dxa"/>
            <w:vAlign w:val="bottom"/>
          </w:tcPr>
          <w:p>
            <w:pPr>
              <w:spacing w:after="0"/>
              <w:rPr>
                <w:sz w:val="16"/>
                <w:szCs w:val="16"/>
                <w:color w:val="auto"/>
              </w:rPr>
            </w:pPr>
          </w:p>
        </w:tc>
        <w:tc>
          <w:tcPr>
            <w:tcW w:w="5700" w:type="dxa"/>
            <w:vAlign w:val="bottom"/>
          </w:tcPr>
          <w:p>
            <w:pPr>
              <w:spacing w:after="0" w:line="194" w:lineRule="exact"/>
              <w:rPr>
                <w:sz w:val="20"/>
                <w:szCs w:val="20"/>
                <w:color w:val="auto"/>
              </w:rPr>
            </w:pPr>
            <w:r>
              <w:rPr>
                <w:rFonts w:ascii="Arial" w:cs="Arial" w:eastAsia="Arial" w:hAnsi="Arial"/>
                <w:sz w:val="18"/>
                <w:szCs w:val="18"/>
                <w:color w:val="auto"/>
              </w:rPr>
              <w:t>Peter A. Clemens</w:t>
            </w:r>
          </w:p>
        </w:tc>
      </w:tr>
      <w:tr>
        <w:trPr>
          <w:trHeight w:val="223"/>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64"/>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þ"/>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bullet"/>
      <w:start w:val="1"/>
    </w:lvl>
  </w:abstractNum>
  <w:abstractNum w:abstractNumId="14">
    <w:nsid w:val="7C83E458"/>
    <w:multiLevelType w:val="hybridMultilevel"/>
    <w:lvl w:ilvl="0">
      <w:lvlJc w:val="left"/>
      <w:lvlText w:val="1"/>
      <w:numFmt w:val="bullet"/>
      <w:start w:val="1"/>
    </w:lvl>
  </w:abstractNum>
  <w:abstractNum w:abstractNumId="15">
    <w:nsid w:val="257130A3"/>
    <w:multiLevelType w:val="hybridMultilevel"/>
    <w:lvl w:ilvl="0">
      <w:lvlJc w:val="left"/>
      <w:lvlText w:val="1"/>
      <w:numFmt w:val="bullet"/>
      <w:start w:val="1"/>
    </w:lvl>
  </w:abstractNum>
  <w:abstractNum w:abstractNumId="16">
    <w:nsid w:val="62BBD95A"/>
    <w:multiLevelType w:val="hybridMultilevel"/>
    <w:lvl w:ilvl="0">
      <w:lvlJc w:val="left"/>
      <w:lvlText w:val="2"/>
      <w:numFmt w:val="bullet"/>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2019-12-29T10:17:33Z</dcterms:created>
  <dcterms:modified xsi:type="dcterms:W3CDTF">2019-12-29T10:17:33Z</dcterms:modified>
</cp:coreProperties>
</file>