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60"/>
        <w:spacing w:after="0"/>
        <w:rPr>
          <w:sz w:val="20"/>
          <w:szCs w:val="20"/>
          <w:color w:val="auto"/>
        </w:rPr>
      </w:pPr>
      <w:r>
        <w:rPr>
          <w:rFonts w:ascii="Arial" w:cs="Arial" w:eastAsia="Arial" w:hAnsi="Arial"/>
          <w:sz w:val="16"/>
          <w:szCs w:val="16"/>
          <w:color w:val="auto"/>
        </w:rPr>
        <w:t>(Mark One)</w:t>
      </w:r>
    </w:p>
    <w:p>
      <w:pPr>
        <w:spacing w:after="0" w:line="140" w:lineRule="exact"/>
        <w:rPr>
          <w:sz w:val="24"/>
          <w:szCs w:val="24"/>
          <w:color w:val="auto"/>
        </w:rPr>
      </w:pPr>
    </w:p>
    <w:p>
      <w:pPr>
        <w:ind w:left="6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41"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right="2480"/>
        <w:spacing w:after="0" w:line="261"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jc w:val="center"/>
        <w:ind w:right="126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1000"/>
        <w:spacing w:after="0" w:line="26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80"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Commission file number 1-10113</w:t>
      </w:r>
    </w:p>
    <w:p>
      <w:pPr>
        <w:spacing w:after="0" w:line="225"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ectPr>
          <w:pgSz w:w="11900" w:h="16838" w:orient="portrait"/>
          <w:cols w:equalWidth="0" w:num="2">
            <w:col w:w="900" w:space="360"/>
            <w:col w:w="10160"/>
          </w:cols>
          <w:pgMar w:left="240" w:top="472" w:right="239" w:bottom="1440" w:gutter="0" w:footer="0" w:header="0"/>
        </w:sectPr>
      </w:pPr>
    </w:p>
    <w:p>
      <w:pPr>
        <w:spacing w:after="0" w:line="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528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New York</w:t>
            </w:r>
          </w:p>
        </w:tc>
        <w:tc>
          <w:tcPr>
            <w:tcW w:w="4320" w:type="dxa"/>
            <w:vAlign w:val="bottom"/>
          </w:tcPr>
          <w:p>
            <w:pPr>
              <w:jc w:val="right"/>
              <w:ind w:right="11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280" w:type="dxa"/>
            <w:vAlign w:val="bottom"/>
          </w:tcPr>
          <w:p>
            <w:pPr>
              <w:jc w:val="center"/>
              <w:ind w:right="8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28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4320" w:type="dxa"/>
            <w:vAlign w:val="bottom"/>
          </w:tcPr>
          <w:p>
            <w:pPr>
              <w:jc w:val="right"/>
              <w:ind w:right="13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280" w:type="dxa"/>
            <w:vAlign w:val="bottom"/>
          </w:tcPr>
          <w:p>
            <w:pPr>
              <w:jc w:val="center"/>
              <w:ind w:right="790"/>
              <w:spacing w:after="0"/>
              <w:rPr>
                <w:sz w:val="20"/>
                <w:szCs w:val="20"/>
                <w:color w:val="auto"/>
              </w:rPr>
            </w:pPr>
            <w:r>
              <w:rPr>
                <w:rFonts w:ascii="Arial" w:cs="Arial" w:eastAsia="Arial" w:hAnsi="Arial"/>
                <w:sz w:val="18"/>
                <w:szCs w:val="18"/>
                <w:color w:val="auto"/>
                <w:w w:val="93"/>
              </w:rPr>
              <w:t>(Address of principal administrative office)</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3"/>
              </w:rPr>
              <w:t>(Zip code)</w:t>
            </w:r>
          </w:p>
        </w:tc>
      </w:tr>
      <w:tr>
        <w:trPr>
          <w:trHeight w:val="432"/>
        </w:trPr>
        <w:tc>
          <w:tcPr>
            <w:tcW w:w="9600" w:type="dxa"/>
            <w:vAlign w:val="bottom"/>
            <w:gridSpan w:val="2"/>
          </w:tcPr>
          <w:p>
            <w:pPr>
              <w:ind w:left="25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tc>
      </w:tr>
      <w:tr>
        <w:trPr>
          <w:trHeight w:val="418"/>
        </w:trPr>
        <w:tc>
          <w:tcPr>
            <w:tcW w:w="5280" w:type="dxa"/>
            <w:vAlign w:val="bottom"/>
          </w:tcPr>
          <w:p>
            <w:pPr>
              <w:jc w:val="center"/>
              <w:ind w:right="81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4320" w:type="dxa"/>
            <w:vAlign w:val="bottom"/>
          </w:tcPr>
          <w:p>
            <w:pPr>
              <w:jc w:val="center"/>
              <w:ind w:left="8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5280" w:type="dxa"/>
            <w:vAlign w:val="bottom"/>
          </w:tcPr>
          <w:p>
            <w:pPr>
              <w:jc w:val="center"/>
              <w:ind w:right="810"/>
              <w:spacing w:after="0"/>
              <w:rPr>
                <w:sz w:val="20"/>
                <w:szCs w:val="20"/>
                <w:color w:val="auto"/>
              </w:rPr>
            </w:pPr>
            <w:r>
              <w:rPr>
                <w:rFonts w:ascii="Arial" w:cs="Arial" w:eastAsia="Arial" w:hAnsi="Arial"/>
                <w:sz w:val="18"/>
                <w:szCs w:val="18"/>
                <w:color w:val="auto"/>
                <w:w w:val="89"/>
              </w:rPr>
              <w:t>Common Stock, par value $0.01 per share</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5"/>
              </w:rPr>
              <w:t>NASDAQ Capital Market</w:t>
            </w: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o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Based on the last sale price on the NASDAQ Capital Market of the Common Stock of $3.14 on June 29, 2012 (the last business day of the registrant's most recently completed second fiscal quarter), the aggregate market value of the voting stock held by non-affiliates of the registrant was approximately $38.2 million.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2013, the registrant had 46,369,966 shares of Common Stock, par value $0.01, outstanding.</w:t>
      </w:r>
    </w:p>
    <w:p>
      <w:pPr>
        <w:spacing w:after="0" w:line="23" w:lineRule="exact"/>
        <w:rPr>
          <w:sz w:val="24"/>
          <w:szCs w:val="24"/>
          <w:color w:val="auto"/>
        </w:rPr>
      </w:pPr>
    </w:p>
    <w:p>
      <w:pPr>
        <w:ind w:right="160"/>
        <w:spacing w:after="0" w:line="261" w:lineRule="auto"/>
        <w:rPr>
          <w:sz w:val="20"/>
          <w:szCs w:val="20"/>
          <w:color w:val="auto"/>
        </w:rPr>
      </w:pPr>
      <w:r>
        <w:rPr>
          <w:rFonts w:ascii="Arial" w:cs="Arial" w:eastAsia="Arial" w:hAnsi="Arial"/>
          <w:sz w:val="18"/>
          <w:szCs w:val="18"/>
          <w:color w:val="auto"/>
        </w:rPr>
        <w:t>DOCUMENTS INCORPORATED BY REFERENCE</w:t>
      </w:r>
      <w:r>
        <w:rPr>
          <w:rFonts w:ascii="Arial" w:cs="Arial" w:eastAsia="Arial" w:hAnsi="Arial"/>
          <w:sz w:val="18"/>
          <w:szCs w:val="18"/>
          <w:b w:val="1"/>
          <w:bCs w:val="1"/>
          <w:color w:val="auto"/>
        </w:rPr>
        <w:t>:</w:t>
      </w:r>
      <w:r>
        <w:rPr>
          <w:rFonts w:ascii="Arial" w:cs="Arial" w:eastAsia="Arial" w:hAnsi="Arial"/>
          <w:sz w:val="18"/>
          <w:szCs w:val="18"/>
          <w:color w:val="auto"/>
        </w:rPr>
        <w:t xml:space="preserve"> Portions of the Proxy Statement for the registrant’s Annual Meeting of Shareholders to be held on or about May 1, 2013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3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Acura Pharmaceuticals, Inc.</w:t>
            </w:r>
          </w:p>
        </w:tc>
        <w:tc>
          <w:tcPr>
            <w:tcW w:w="114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9320" w:type="dxa"/>
            <w:vAlign w:val="bottom"/>
          </w:tcPr>
          <w:p>
            <w:pPr>
              <w:jc w:val="center"/>
              <w:ind w:left="90"/>
              <w:spacing w:after="0"/>
              <w:rPr>
                <w:sz w:val="20"/>
                <w:szCs w:val="20"/>
                <w:color w:val="auto"/>
              </w:rPr>
            </w:pPr>
            <w:r>
              <w:rPr>
                <w:rFonts w:ascii="Arial" w:cs="Arial" w:eastAsia="Arial" w:hAnsi="Arial"/>
                <w:sz w:val="18"/>
                <w:szCs w:val="18"/>
                <w:b w:val="1"/>
                <w:bCs w:val="1"/>
                <w:color w:val="auto"/>
                <w:w w:val="96"/>
              </w:rPr>
              <w:t>Form 10-K</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93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For the Fiscal Year Ended December 31, 2012</w:t>
            </w:r>
          </w:p>
        </w:tc>
        <w:tc>
          <w:tcPr>
            <w:tcW w:w="11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932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Tablet of Contents</w:t>
            </w:r>
          </w:p>
        </w:tc>
        <w:tc>
          <w:tcPr>
            <w:tcW w:w="1140" w:type="dxa"/>
            <w:vAlign w:val="bottom"/>
          </w:tcPr>
          <w:p>
            <w:pPr>
              <w:spacing w:after="0"/>
              <w:rPr>
                <w:sz w:val="24"/>
                <w:szCs w:val="24"/>
                <w:color w:val="auto"/>
              </w:rPr>
            </w:pPr>
          </w:p>
        </w:tc>
      </w:tr>
      <w:tr>
        <w:trPr>
          <w:trHeight w:val="432"/>
        </w:trPr>
        <w:tc>
          <w:tcPr>
            <w:tcW w:w="960" w:type="dxa"/>
            <w:vAlign w:val="bottom"/>
            <w:tcBorders>
              <w:bottom w:val="single" w:sz="8" w:color="CCFFCC"/>
            </w:tcBorders>
          </w:tcPr>
          <w:p>
            <w:pPr>
              <w:spacing w:after="0"/>
              <w:rPr>
                <w:sz w:val="24"/>
                <w:szCs w:val="24"/>
                <w:color w:val="auto"/>
              </w:rPr>
            </w:pPr>
          </w:p>
        </w:tc>
        <w:tc>
          <w:tcPr>
            <w:tcW w:w="9320" w:type="dxa"/>
            <w:vAlign w:val="bottom"/>
            <w:tcBorders>
              <w:bottom w:val="single" w:sz="8" w:color="CCFFCC"/>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PAGE</w:t>
            </w:r>
          </w:p>
        </w:tc>
      </w:tr>
      <w:tr>
        <w:trPr>
          <w:trHeight w:val="210"/>
        </w:trPr>
        <w:tc>
          <w:tcPr>
            <w:tcW w:w="960" w:type="dxa"/>
            <w:vAlign w:val="bottom"/>
            <w:shd w:val="clear" w:color="auto" w:fill="CCFFCC"/>
          </w:tcPr>
          <w:p>
            <w:pPr>
              <w:spacing w:after="0"/>
              <w:rPr>
                <w:sz w:val="18"/>
                <w:szCs w:val="18"/>
                <w:color w:val="auto"/>
              </w:rPr>
            </w:pPr>
          </w:p>
        </w:tc>
        <w:tc>
          <w:tcPr>
            <w:tcW w:w="9320" w:type="dxa"/>
            <w:vAlign w:val="bottom"/>
            <w:shd w:val="clear" w:color="auto" w:fill="CCFFCC"/>
          </w:tcPr>
          <w:p>
            <w:pPr>
              <w:jc w:val="center"/>
              <w:ind w:left="250"/>
              <w:spacing w:after="0"/>
              <w:rPr>
                <w:sz w:val="20"/>
                <w:szCs w:val="20"/>
                <w:color w:val="auto"/>
              </w:rPr>
            </w:pPr>
            <w:r>
              <w:rPr>
                <w:rFonts w:ascii="Arial" w:cs="Arial" w:eastAsia="Arial" w:hAnsi="Arial"/>
                <w:sz w:val="18"/>
                <w:szCs w:val="18"/>
                <w:color w:val="auto"/>
                <w:w w:val="92"/>
              </w:rPr>
              <w:t>PART I</w:t>
            </w:r>
          </w:p>
        </w:tc>
        <w:tc>
          <w:tcPr>
            <w:tcW w:w="1140" w:type="dxa"/>
            <w:vAlign w:val="bottom"/>
            <w:shd w:val="clear" w:color="auto" w:fill="CCFFCC"/>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320" w:type="dxa"/>
            <w:vAlign w:val="bottom"/>
          </w:tcPr>
          <w:p>
            <w:pPr>
              <w:ind w:left="320"/>
              <w:spacing w:after="0"/>
              <w:rPr>
                <w:sz w:val="20"/>
                <w:szCs w:val="20"/>
                <w:color w:val="auto"/>
              </w:rPr>
            </w:pPr>
            <w:r>
              <w:rPr>
                <w:rFonts w:ascii="Arial" w:cs="Arial" w:eastAsia="Arial" w:hAnsi="Arial"/>
                <w:sz w:val="18"/>
                <w:szCs w:val="18"/>
                <w:color w:val="auto"/>
              </w:rPr>
              <w:t>Business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320" w:type="dxa"/>
            <w:vAlign w:val="bottom"/>
          </w:tcPr>
          <w:p>
            <w:pPr>
              <w:ind w:left="320"/>
              <w:spacing w:after="0"/>
              <w:rPr>
                <w:sz w:val="20"/>
                <w:szCs w:val="20"/>
                <w:color w:val="auto"/>
              </w:rPr>
            </w:pPr>
            <w:r>
              <w:rPr>
                <w:rFonts w:ascii="Arial" w:cs="Arial" w:eastAsia="Arial" w:hAnsi="Arial"/>
                <w:sz w:val="18"/>
                <w:szCs w:val="18"/>
                <w:color w:val="auto"/>
              </w:rPr>
              <w:t>Unresolved Staff Comments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Properties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32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960" w:type="dxa"/>
            <w:vAlign w:val="bottom"/>
          </w:tcPr>
          <w:p>
            <w:pPr>
              <w:spacing w:after="0"/>
              <w:rPr>
                <w:sz w:val="18"/>
                <w:szCs w:val="18"/>
                <w:color w:val="auto"/>
              </w:rPr>
            </w:pPr>
          </w:p>
        </w:tc>
        <w:tc>
          <w:tcPr>
            <w:tcW w:w="9320" w:type="dxa"/>
            <w:vAlign w:val="bottom"/>
          </w:tcPr>
          <w:p>
            <w:pPr>
              <w:jc w:val="center"/>
              <w:ind w:left="230"/>
              <w:spacing w:after="0"/>
              <w:rPr>
                <w:sz w:val="20"/>
                <w:szCs w:val="20"/>
                <w:color w:val="auto"/>
              </w:rPr>
            </w:pPr>
            <w:r>
              <w:rPr>
                <w:rFonts w:ascii="Arial" w:cs="Arial" w:eastAsia="Arial" w:hAnsi="Arial"/>
                <w:sz w:val="18"/>
                <w:szCs w:val="18"/>
                <w:color w:val="auto"/>
                <w:w w:val="95"/>
              </w:rPr>
              <w:t>PART II</w:t>
            </w:r>
          </w:p>
        </w:tc>
        <w:tc>
          <w:tcPr>
            <w:tcW w:w="1140" w:type="dxa"/>
            <w:vAlign w:val="bottom"/>
          </w:tcPr>
          <w:p>
            <w:pPr>
              <w:spacing w:after="0"/>
              <w:rPr>
                <w:sz w:val="18"/>
                <w:szCs w:val="18"/>
                <w:color w:val="auto"/>
              </w:rPr>
            </w:pP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320" w:type="dxa"/>
            <w:vAlign w:val="bottom"/>
          </w:tcPr>
          <w:p>
            <w:pPr>
              <w:ind w:left="320"/>
              <w:spacing w:after="0"/>
              <w:rPr>
                <w:sz w:val="20"/>
                <w:szCs w:val="20"/>
                <w:color w:val="auto"/>
              </w:rPr>
            </w:pPr>
            <w:r>
              <w:rPr>
                <w:rFonts w:ascii="Arial" w:cs="Arial" w:eastAsia="Arial" w:hAnsi="Arial"/>
                <w:sz w:val="18"/>
                <w:szCs w:val="18"/>
                <w:color w:val="auto"/>
              </w:rPr>
              <w:t>Selected Financial Data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9320" w:type="dxa"/>
            <w:vAlign w:val="bottom"/>
          </w:tcPr>
          <w:p>
            <w:pPr>
              <w:ind w:left="32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8.</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Financial Statements and Supplementary Data</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320" w:type="dxa"/>
            <w:vAlign w:val="bottom"/>
          </w:tcPr>
          <w:p>
            <w:pPr>
              <w:ind w:left="320"/>
              <w:spacing w:after="0"/>
              <w:rPr>
                <w:sz w:val="20"/>
                <w:szCs w:val="20"/>
                <w:color w:val="auto"/>
              </w:rPr>
            </w:pPr>
            <w:r>
              <w:rPr>
                <w:rFonts w:ascii="Arial" w:cs="Arial" w:eastAsia="Arial" w:hAnsi="Arial"/>
                <w:sz w:val="18"/>
                <w:szCs w:val="18"/>
                <w:color w:val="auto"/>
              </w:rPr>
              <w:t>Changes in and Disagreement with Accountants on Accounting and Financial Disclosure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9A.</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9320" w:type="dxa"/>
            <w:vAlign w:val="bottom"/>
          </w:tcPr>
          <w:p>
            <w:pPr>
              <w:ind w:left="320"/>
              <w:spacing w:after="0"/>
              <w:rPr>
                <w:sz w:val="20"/>
                <w:szCs w:val="20"/>
                <w:color w:val="auto"/>
              </w:rPr>
            </w:pPr>
            <w:r>
              <w:rPr>
                <w:rFonts w:ascii="Arial" w:cs="Arial" w:eastAsia="Arial" w:hAnsi="Arial"/>
                <w:sz w:val="18"/>
                <w:szCs w:val="18"/>
                <w:color w:val="auto"/>
              </w:rPr>
              <w:t>Other Information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960" w:type="dxa"/>
            <w:vAlign w:val="bottom"/>
            <w:shd w:val="clear" w:color="auto" w:fill="CCFFCC"/>
          </w:tcPr>
          <w:p>
            <w:pPr>
              <w:spacing w:after="0"/>
              <w:rPr>
                <w:sz w:val="18"/>
                <w:szCs w:val="18"/>
                <w:color w:val="auto"/>
              </w:rPr>
            </w:pPr>
          </w:p>
        </w:tc>
        <w:tc>
          <w:tcPr>
            <w:tcW w:w="9320" w:type="dxa"/>
            <w:vAlign w:val="bottom"/>
            <w:shd w:val="clear" w:color="auto" w:fill="CCFFCC"/>
          </w:tcPr>
          <w:p>
            <w:pPr>
              <w:jc w:val="center"/>
              <w:ind w:left="250"/>
              <w:spacing w:after="0"/>
              <w:rPr>
                <w:sz w:val="20"/>
                <w:szCs w:val="20"/>
                <w:color w:val="auto"/>
              </w:rPr>
            </w:pPr>
            <w:r>
              <w:rPr>
                <w:rFonts w:ascii="Arial" w:cs="Arial" w:eastAsia="Arial" w:hAnsi="Arial"/>
                <w:sz w:val="18"/>
                <w:szCs w:val="18"/>
                <w:color w:val="auto"/>
                <w:w w:val="96"/>
              </w:rPr>
              <w:t>PART III</w:t>
            </w:r>
          </w:p>
        </w:tc>
        <w:tc>
          <w:tcPr>
            <w:tcW w:w="1140" w:type="dxa"/>
            <w:vAlign w:val="bottom"/>
            <w:shd w:val="clear" w:color="auto" w:fill="CCFFCC"/>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9320" w:type="dxa"/>
            <w:vAlign w:val="bottom"/>
          </w:tcPr>
          <w:p>
            <w:pPr>
              <w:ind w:left="320"/>
              <w:spacing w:after="0"/>
              <w:rPr>
                <w:sz w:val="20"/>
                <w:szCs w:val="20"/>
                <w:color w:val="auto"/>
              </w:rPr>
            </w:pPr>
            <w:r>
              <w:rPr>
                <w:rFonts w:ascii="Arial" w:cs="Arial" w:eastAsia="Arial" w:hAnsi="Arial"/>
                <w:sz w:val="18"/>
                <w:szCs w:val="18"/>
                <w:color w:val="auto"/>
              </w:rPr>
              <w:t>Directors, Executive Officers and Corporate Governance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11.</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Executive Compensation</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9320" w:type="dxa"/>
            <w:vAlign w:val="bottom"/>
          </w:tcPr>
          <w:p>
            <w:pPr>
              <w:ind w:left="3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Item 13.</w:t>
            </w: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9320" w:type="dxa"/>
            <w:vAlign w:val="bottom"/>
          </w:tcPr>
          <w:p>
            <w:pPr>
              <w:ind w:left="320"/>
              <w:spacing w:after="0"/>
              <w:rPr>
                <w:sz w:val="20"/>
                <w:szCs w:val="20"/>
                <w:color w:val="auto"/>
              </w:rPr>
            </w:pPr>
            <w:r>
              <w:rPr>
                <w:rFonts w:ascii="Arial" w:cs="Arial" w:eastAsia="Arial" w:hAnsi="Arial"/>
                <w:sz w:val="18"/>
                <w:szCs w:val="18"/>
                <w:color w:val="auto"/>
              </w:rPr>
              <w:t>Principal Accountant Fees and Services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FFCC"/>
          </w:tcPr>
          <w:p>
            <w:pPr>
              <w:spacing w:after="0"/>
              <w:rPr>
                <w:sz w:val="18"/>
                <w:szCs w:val="18"/>
                <w:color w:val="auto"/>
              </w:rPr>
            </w:pPr>
          </w:p>
        </w:tc>
        <w:tc>
          <w:tcPr>
            <w:tcW w:w="9320" w:type="dxa"/>
            <w:vAlign w:val="bottom"/>
            <w:shd w:val="clear" w:color="auto" w:fill="CCFFCC"/>
          </w:tcPr>
          <w:p>
            <w:pPr>
              <w:jc w:val="center"/>
              <w:ind w:left="230"/>
              <w:spacing w:after="0"/>
              <w:rPr>
                <w:sz w:val="20"/>
                <w:szCs w:val="20"/>
                <w:color w:val="auto"/>
              </w:rPr>
            </w:pPr>
            <w:r>
              <w:rPr>
                <w:rFonts w:ascii="Arial" w:cs="Arial" w:eastAsia="Arial" w:hAnsi="Arial"/>
                <w:sz w:val="18"/>
                <w:szCs w:val="18"/>
                <w:color w:val="auto"/>
                <w:w w:val="97"/>
              </w:rPr>
              <w:t>PART IV</w:t>
            </w:r>
          </w:p>
        </w:tc>
        <w:tc>
          <w:tcPr>
            <w:tcW w:w="1140" w:type="dxa"/>
            <w:vAlign w:val="bottom"/>
            <w:shd w:val="clear" w:color="auto" w:fill="CCFFCC"/>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9320" w:type="dxa"/>
            <w:vAlign w:val="bottom"/>
          </w:tcPr>
          <w:p>
            <w:pPr>
              <w:ind w:left="320"/>
              <w:spacing w:after="0"/>
              <w:rPr>
                <w:sz w:val="20"/>
                <w:szCs w:val="20"/>
                <w:color w:val="auto"/>
              </w:rPr>
            </w:pPr>
            <w:r>
              <w:rPr>
                <w:rFonts w:ascii="Arial" w:cs="Arial" w:eastAsia="Arial" w:hAnsi="Arial"/>
                <w:sz w:val="18"/>
                <w:szCs w:val="18"/>
                <w:color w:val="auto"/>
              </w:rPr>
              <w:t>Exhibits, Financial Statement Schedules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960" w:type="dxa"/>
            <w:vAlign w:val="bottom"/>
            <w:shd w:val="clear" w:color="auto" w:fill="CCFFCC"/>
          </w:tcPr>
          <w:p>
            <w:pPr>
              <w:spacing w:after="0"/>
              <w:rPr>
                <w:sz w:val="18"/>
                <w:szCs w:val="18"/>
                <w:color w:val="auto"/>
              </w:rPr>
            </w:pPr>
          </w:p>
        </w:tc>
        <w:tc>
          <w:tcPr>
            <w:tcW w:w="93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Signatures</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56</w:t>
            </w:r>
          </w:p>
        </w:tc>
      </w:tr>
      <w:tr>
        <w:trPr>
          <w:trHeight w:val="230"/>
        </w:trPr>
        <w:tc>
          <w:tcPr>
            <w:tcW w:w="960" w:type="dxa"/>
            <w:vAlign w:val="bottom"/>
          </w:tcPr>
          <w:p>
            <w:pPr>
              <w:spacing w:after="0"/>
              <w:rPr>
                <w:sz w:val="20"/>
                <w:szCs w:val="20"/>
                <w:color w:val="auto"/>
              </w:rPr>
            </w:pPr>
          </w:p>
        </w:tc>
        <w:tc>
          <w:tcPr>
            <w:tcW w:w="9320" w:type="dxa"/>
            <w:vAlign w:val="bottom"/>
          </w:tcPr>
          <w:p>
            <w:pPr>
              <w:ind w:left="320"/>
              <w:spacing w:after="0"/>
              <w:rPr>
                <w:sz w:val="20"/>
                <w:szCs w:val="20"/>
                <w:color w:val="auto"/>
              </w:rPr>
            </w:pPr>
            <w:r>
              <w:rPr>
                <w:rFonts w:ascii="Arial" w:cs="Arial" w:eastAsia="Arial" w:hAnsi="Arial"/>
                <w:sz w:val="18"/>
                <w:szCs w:val="18"/>
                <w:color w:val="auto"/>
              </w:rPr>
              <w:t>Index to Financial Statements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F-1</w:t>
            </w:r>
          </w:p>
        </w:tc>
      </w:tr>
      <w:tr>
        <w:trPr>
          <w:trHeight w:val="634"/>
        </w:trPr>
        <w:tc>
          <w:tcPr>
            <w:tcW w:w="96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price discounting that may be offered by Pfizer for Oxecta, our and our licensee’s ability to obtain necessary regulatory approvals and commercialize products utilizing our technologies and the market acceptance of and competitive environment for any of our products, the willingness of wholesalers and pharmacies to stock Nexafed Tablets, expectations regarding potential market share for our products and the timing of first sales, our ability to enter into additional license agreements for our Aversion Technology product candidates, our exposure to product liability and other lawsuits in connection with the commercialization of our products, the increasing cost of insurance and the availability of product liability insurance coverage, the ability to avoid infringement of patents, trademarks and other proprietary rights of third parties, and the ability of our patents to protect our products from generic competition, our ability to protect and enforce our patent rights in any paragraph IV patent infringement litigation, and 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or the Pfizer Agreement. We have also developed our Impede™ Technology which is a combination of inactive ingredients that prevent the extraction of pseudoephedrine from tablets and disrupt the direct conversion of pseudoephedrine from tablets into methamphetamine. We have launched in the United States Nexafed® (pseudoephedrine HC1) tablets formulated with our Impede Technology.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both"/>
        <w:ind w:firstLine="648"/>
        <w:spacing w:after="0" w:line="271" w:lineRule="auto"/>
        <w:rPr>
          <w:sz w:val="20"/>
          <w:szCs w:val="20"/>
          <w:color w:val="auto"/>
        </w:rPr>
      </w:pPr>
      <w:r>
        <w:rPr>
          <w:rFonts w:ascii="Arial" w:cs="Arial" w:eastAsia="Arial" w:hAnsi="Arial"/>
          <w:sz w:val="17"/>
          <w:szCs w:val="17"/>
          <w:color w:val="auto"/>
        </w:rPr>
        <w:t>We have 7 additional opioid products utilizing Aversion in various stages of development. Pursuant to a September 24, 2012 letter agreement with Pfizer, all rights to these development-stage opioid products have reverted back to us. Our product containing hydrocodone bitartrate and acetaminophen utilizing the Aversion technology, or hydrocodone/acetaminophen, is the most advanced opioid product in development and the primary focus of our opioid development efforts. Hydrocodone/acetaminophen is the most widely prescribed and often abused opioid product in the United States. Pfizer previously completed a clinical study demonstrating the hydrocodone/acetaminophen product is bioequivalent to its reference listed drug. We filed an Investigational New Drug Application, or IND, with the Food and Drug Administration, or FDA, on December 20, 2012. We expect that the development program for our hydrocodone/acetaminophen product and our other Aversion opioid products in development will be consistent with that of Oxecta. We anticipate submitting a 505(b)(2) NDA with the FDA for our hydrocodone/acetaminophen product in the first half of 2014.</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launched Nexafed commercially in mid-December 2012 into the $1 billion United States over the counter market, or OTC, for cold and allergy products containing a decongestant.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We also have been working on the next generation of our Impede Technology in order to further improve our Nexafed franchise.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technologies that address medication abuse and misuse</w:t>
      </w:r>
      <w:r>
        <w:rPr>
          <w:rFonts w:ascii="Arial" w:cs="Arial" w:eastAsia="Arial" w:hAnsi="Arial"/>
          <w:sz w:val="18"/>
          <w:szCs w:val="18"/>
          <w:color w:val="auto"/>
        </w:rPr>
        <w:t>. We have two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commercially launched containing our Aversion and Impede Technologies. We continue to invest in improvements in these technologies and to innovate new technologies to address medication abuse and misuse.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Leverage our technologies by developing a full line of pharmaceutical products which utilize our proprietary technologies</w:t>
      </w:r>
      <w:r>
        <w:rPr>
          <w:rFonts w:ascii="Arial" w:cs="Arial" w:eastAsia="Arial" w:hAnsi="Arial"/>
          <w:sz w:val="18"/>
          <w:szCs w:val="18"/>
          <w:color w:val="auto"/>
        </w:rPr>
        <w:t>. Medication abuse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misuse is not limited to single drugs but often pervades entire drug categories. We intend to develop multiple products in the prescription opioid and OTC cold/allergy markets with our technologies.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Commercialize our products with our internal resources or license to strategically focused companies in the United States and other geographic territories</w:t>
      </w:r>
      <w:r>
        <w:rPr>
          <w:rFonts w:ascii="Arial" w:cs="Arial" w:eastAsia="Arial" w:hAnsi="Arial"/>
          <w:sz w:val="18"/>
          <w:szCs w:val="18"/>
          <w:color w:val="auto"/>
        </w:rPr>
        <w:t>. We have developed a small infrastructure to commercialize our OTC products that utilize the Impede Technology. We have licensed our</w:t>
      </w:r>
      <w:r>
        <w:rPr>
          <w:rFonts w:ascii="Arial" w:cs="Arial" w:eastAsia="Arial" w:hAnsi="Arial"/>
          <w:sz w:val="18"/>
          <w:szCs w:val="18"/>
          <w:i w:val="1"/>
          <w:iCs w:val="1"/>
          <w:color w:val="auto"/>
        </w:rPr>
        <w:t xml:space="preserve"> </w:t>
      </w:r>
      <w:r>
        <w:rPr>
          <w:rFonts w:ascii="Arial" w:cs="Arial" w:eastAsia="Arial" w:hAnsi="Arial"/>
          <w:sz w:val="18"/>
          <w:szCs w:val="18"/>
          <w:color w:val="auto"/>
        </w:rPr>
        <w:t>Aversion Technology to Pfizer for use in Oxecta in the United States, Canada and Mexico. We are seeking licensing partners for our other Aversion technology worldwide and marketing partners for Nexafed outside the United States.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Maintain an efficient internal cost structure</w:t>
      </w:r>
      <w:r>
        <w:rPr>
          <w:rFonts w:ascii="Arial" w:cs="Arial" w:eastAsia="Arial" w:hAnsi="Arial"/>
          <w:sz w:val="18"/>
          <w:szCs w:val="18"/>
          <w:color w:val="auto"/>
        </w:rPr>
        <w:t>. We maintain an efficient internal cost structure focused on discovering new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 formulations using those technologies. We also have a small, focused OTC marketing and sales team. We outsource many high cost elements of development and commercialization, such as clinical trials and commercial manufacturing that minimize required fixed overhead and capital investment and thereby reduces our business risk.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In-license or acquire technologies and/or products to expand our portfolio of technologies and products</w:t>
      </w:r>
      <w:r>
        <w:rPr>
          <w:rFonts w:ascii="Arial" w:cs="Arial" w:eastAsia="Arial" w:hAnsi="Arial"/>
          <w:sz w:val="18"/>
          <w:szCs w:val="18"/>
          <w:color w:val="auto"/>
        </w:rPr>
        <w:t>. We intend to pursue the in-license 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product candidates and technologies that will allow us to expand our portfolio of products. Such in-licensing or acquisition transactions, if successfully completed, of which no assurance can be given, may include product candidates or technologies for pain relief, addiction, and other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We have three issued U.S. patents covering all of our Aversion Technology opioid products, which patents expire between 2023 and 2025. Our Aversion Technology products are intended to provide the same therapeutic benefits of the active drug ingredient as currently marketed products containing the same active pharmaceutical ingredient, while simultaneously discouraging some of the common methods of pharmaceutical product misuse and abuse described below.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extent and manner in which any of the features described below will be described in the FDA approved label for our pipeline products will be dependent on the results of and the acceptance by the FDA of our and our licensees’ studies for each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Intended to Deter I.V. Injection of Opioids Extracted from Dissolved Tablets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Intended to Deter Nasal Snorting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Oxecta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Oxecta is a Schedule II narcotic indicated for the management of acute and chronic moderate to severe pain where the use of an opioid analgesic is appropriate. Oxecta utilizes our Aversion Technology. Pfizer received FDA approval for its 505(b)(2) NDA for Oxecta on June 17, 2011 and introduced the product into the market in February 2012. To our knowledge, Pfizer has not initiated marketing of Oxecta to physicians and is awaiting advice from the FDA on their proposed physician promotion materials which were submitted to the FDA in July 2012. As such, Pfizer’s attained no meaningful sales of Oxecta in 2012.</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ind w:left="98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subjects taking Oxecta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980" w:hanging="324"/>
        <w:spacing w:after="0" w:line="261"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Oxecta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have multiple opioid products utilizing our Aversion Technology in various stages of development. Pursuant to a September 24, 2012 agreement with Pfizer, the license and/or option rights to these products were returned to us by Pfizer and we retain all rights to develop and commercial these products worldwide.</w:t>
      </w:r>
    </w:p>
    <w:p>
      <w:pPr>
        <w:sectPr>
          <w:pgSz w:w="11900" w:h="16838" w:orient="portrait"/>
          <w:cols w:equalWidth="0" w:num="1">
            <w:col w:w="11420"/>
          </w:cols>
          <w:pgMar w:left="240" w:top="881" w:right="23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tcPr>
          <w:p>
            <w:pPr>
              <w:ind w:left="440"/>
              <w:spacing w:after="0"/>
              <w:rPr>
                <w:sz w:val="20"/>
                <w:szCs w:val="20"/>
                <w:color w:val="auto"/>
              </w:rPr>
            </w:pPr>
            <w:r>
              <w:rPr>
                <w:rFonts w:ascii="Arial" w:cs="Arial" w:eastAsia="Arial" w:hAnsi="Arial"/>
                <w:sz w:val="18"/>
                <w:szCs w:val="18"/>
                <w:color w:val="auto"/>
              </w:rPr>
              <w:t>Comparable Brand</w:t>
            </w:r>
          </w:p>
        </w:tc>
      </w:tr>
      <w:tr>
        <w:trPr>
          <w:trHeight w:val="267"/>
        </w:trPr>
        <w:tc>
          <w:tcPr>
            <w:tcW w:w="4000" w:type="dxa"/>
            <w:vAlign w:val="bottom"/>
            <w:gridSpan w:val="3"/>
          </w:tcPr>
          <w:p>
            <w:pPr>
              <w:spacing w:after="0"/>
              <w:rPr>
                <w:sz w:val="20"/>
                <w:szCs w:val="20"/>
                <w:color w:val="auto"/>
              </w:rPr>
            </w:pPr>
            <w:r>
              <w:rPr>
                <w:rFonts w:ascii="Arial" w:cs="Arial" w:eastAsia="Arial" w:hAnsi="Arial"/>
                <w:sz w:val="18"/>
                <w:szCs w:val="18"/>
                <w:color w:val="auto"/>
              </w:rPr>
              <w:t>Aversion Technology Tablets</w:t>
            </w:r>
          </w:p>
        </w:tc>
        <w:tc>
          <w:tcPr>
            <w:tcW w:w="2300" w:type="dxa"/>
            <w:vAlign w:val="bottom"/>
          </w:tcPr>
          <w:p>
            <w:pPr>
              <w:ind w:left="900"/>
              <w:spacing w:after="0" w:line="266" w:lineRule="exact"/>
              <w:rPr>
                <w:sz w:val="20"/>
                <w:szCs w:val="20"/>
                <w:color w:val="auto"/>
              </w:rPr>
            </w:pPr>
            <w:r>
              <w:rPr>
                <w:rFonts w:ascii="Arial" w:cs="Arial" w:eastAsia="Arial" w:hAnsi="Arial"/>
                <w:sz w:val="18"/>
                <w:szCs w:val="18"/>
                <w:color w:val="auto"/>
              </w:rPr>
              <w:t>Name</w:t>
            </w:r>
            <w:r>
              <w:rPr>
                <w:rFonts w:ascii="Arial" w:cs="Arial" w:eastAsia="Arial" w:hAnsi="Arial"/>
                <w:sz w:val="30"/>
                <w:szCs w:val="30"/>
                <w:color w:val="auto"/>
                <w:vertAlign w:val="superscript"/>
              </w:rPr>
              <w:t>1</w:t>
            </w:r>
          </w:p>
        </w:tc>
      </w:tr>
      <w:tr>
        <w:trPr>
          <w:trHeight w:val="224"/>
        </w:trPr>
        <w:tc>
          <w:tcPr>
            <w:tcW w:w="20" w:type="dxa"/>
            <w:vAlign w:val="bottom"/>
          </w:tcPr>
          <w:p>
            <w:pPr>
              <w:spacing w:after="0"/>
              <w:rPr>
                <w:sz w:val="19"/>
                <w:szCs w:val="19"/>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Hydrocodone bitartrate/acetaminophen</w:t>
            </w:r>
          </w:p>
        </w:tc>
        <w:tc>
          <w:tcPr>
            <w:tcW w:w="220" w:type="dxa"/>
            <w:vAlign w:val="bottom"/>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Vicodin®, Lortab®, Norco®</w:t>
            </w:r>
          </w:p>
        </w:tc>
      </w:tr>
      <w:tr>
        <w:trPr>
          <w:trHeight w:val="647"/>
        </w:trPr>
        <w:tc>
          <w:tcPr>
            <w:tcW w:w="4000" w:type="dxa"/>
            <w:vAlign w:val="bottom"/>
            <w:gridSpan w:val="3"/>
          </w:tcPr>
          <w:p>
            <w:pPr>
              <w:spacing w:after="0"/>
              <w:rPr>
                <w:sz w:val="20"/>
                <w:szCs w:val="20"/>
                <w:color w:val="auto"/>
              </w:rPr>
            </w:pPr>
            <w:r>
              <w:rPr>
                <w:rFonts w:ascii="Arial" w:cs="Arial" w:eastAsia="Arial" w:hAnsi="Arial"/>
                <w:sz w:val="18"/>
                <w:szCs w:val="18"/>
                <w:color w:val="auto"/>
              </w:rPr>
              <w:t>Hydromorphone HCl</w:t>
            </w:r>
          </w:p>
        </w:tc>
        <w:tc>
          <w:tcPr>
            <w:tcW w:w="2300" w:type="dxa"/>
            <w:vAlign w:val="bottom"/>
          </w:tcPr>
          <w:p>
            <w:pPr>
              <w:spacing w:after="0"/>
              <w:rPr>
                <w:sz w:val="20"/>
                <w:szCs w:val="20"/>
                <w:color w:val="auto"/>
              </w:rPr>
            </w:pPr>
            <w:r>
              <w:rPr>
                <w:rFonts w:ascii="Arial" w:cs="Arial" w:eastAsia="Arial" w:hAnsi="Arial"/>
                <w:sz w:val="18"/>
                <w:szCs w:val="18"/>
                <w:color w:val="auto"/>
              </w:rPr>
              <w:t>Dilaudid®</w:t>
            </w:r>
          </w:p>
        </w:tc>
      </w:tr>
      <w:tr>
        <w:trPr>
          <w:trHeight w:val="243"/>
        </w:trPr>
        <w:tc>
          <w:tcPr>
            <w:tcW w:w="4000" w:type="dxa"/>
            <w:vAlign w:val="bottom"/>
            <w:gridSpan w:val="3"/>
          </w:tcPr>
          <w:p>
            <w:pPr>
              <w:spacing w:after="0"/>
              <w:rPr>
                <w:sz w:val="20"/>
                <w:szCs w:val="20"/>
                <w:color w:val="auto"/>
              </w:rPr>
            </w:pPr>
            <w:r>
              <w:rPr>
                <w:rFonts w:ascii="Arial" w:cs="Arial" w:eastAsia="Arial" w:hAnsi="Arial"/>
                <w:sz w:val="18"/>
                <w:szCs w:val="18"/>
                <w:color w:val="auto"/>
              </w:rPr>
              <w:t>Methadone HCl</w:t>
            </w:r>
          </w:p>
        </w:tc>
        <w:tc>
          <w:tcPr>
            <w:tcW w:w="2300" w:type="dxa"/>
            <w:vAlign w:val="bottom"/>
          </w:tcPr>
          <w:p>
            <w:pPr>
              <w:spacing w:after="0"/>
              <w:rPr>
                <w:sz w:val="20"/>
                <w:szCs w:val="20"/>
                <w:color w:val="auto"/>
              </w:rPr>
            </w:pPr>
            <w:r>
              <w:rPr>
                <w:rFonts w:ascii="Arial" w:cs="Arial" w:eastAsia="Arial" w:hAnsi="Arial"/>
                <w:sz w:val="18"/>
                <w:szCs w:val="18"/>
                <w:color w:val="auto"/>
              </w:rPr>
              <w:t>Methadose</w:t>
            </w: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Morphine Sulfate</w:t>
            </w:r>
          </w:p>
        </w:tc>
        <w:tc>
          <w:tcPr>
            <w:tcW w:w="2300" w:type="dxa"/>
            <w:vAlign w:val="bottom"/>
          </w:tcPr>
          <w:p>
            <w:pPr>
              <w:spacing w:after="0"/>
              <w:rPr>
                <w:sz w:val="20"/>
                <w:szCs w:val="20"/>
                <w:color w:val="auto"/>
              </w:rPr>
            </w:pPr>
            <w:r>
              <w:rPr>
                <w:rFonts w:ascii="Arial" w:cs="Arial" w:eastAsia="Arial" w:hAnsi="Arial"/>
                <w:sz w:val="18"/>
                <w:szCs w:val="18"/>
                <w:color w:val="auto"/>
              </w:rPr>
              <w:t>MSIR®</w:t>
            </w: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Oxycodone HCl/acetaminophen</w:t>
            </w:r>
          </w:p>
        </w:tc>
        <w:tc>
          <w:tcPr>
            <w:tcW w:w="2300" w:type="dxa"/>
            <w:vAlign w:val="bottom"/>
          </w:tcPr>
          <w:p>
            <w:pPr>
              <w:spacing w:after="0"/>
              <w:rPr>
                <w:sz w:val="20"/>
                <w:szCs w:val="20"/>
                <w:color w:val="auto"/>
              </w:rPr>
            </w:pPr>
            <w:r>
              <w:rPr>
                <w:rFonts w:ascii="Arial" w:cs="Arial" w:eastAsia="Arial" w:hAnsi="Arial"/>
                <w:sz w:val="18"/>
                <w:szCs w:val="18"/>
                <w:color w:val="auto"/>
              </w:rPr>
              <w:t>Percocet®</w:t>
            </w: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Oxymorphone HCl</w:t>
            </w:r>
          </w:p>
        </w:tc>
        <w:tc>
          <w:tcPr>
            <w:tcW w:w="2300" w:type="dxa"/>
            <w:vAlign w:val="bottom"/>
          </w:tcPr>
          <w:p>
            <w:pPr>
              <w:spacing w:after="0"/>
              <w:rPr>
                <w:sz w:val="20"/>
                <w:szCs w:val="20"/>
                <w:color w:val="auto"/>
              </w:rPr>
            </w:pPr>
            <w:r>
              <w:rPr>
                <w:rFonts w:ascii="Arial" w:cs="Arial" w:eastAsia="Arial" w:hAnsi="Arial"/>
                <w:sz w:val="18"/>
                <w:szCs w:val="18"/>
                <w:color w:val="auto"/>
              </w:rPr>
              <w:t>Opana®</w:t>
            </w:r>
          </w:p>
        </w:tc>
      </w:tr>
      <w:tr>
        <w:trPr>
          <w:trHeight w:val="257"/>
        </w:trPr>
        <w:tc>
          <w:tcPr>
            <w:tcW w:w="4000" w:type="dxa"/>
            <w:vAlign w:val="bottom"/>
            <w:gridSpan w:val="3"/>
          </w:tcPr>
          <w:p>
            <w:pPr>
              <w:spacing w:after="0"/>
              <w:rPr>
                <w:sz w:val="20"/>
                <w:szCs w:val="20"/>
                <w:color w:val="auto"/>
              </w:rPr>
            </w:pPr>
            <w:r>
              <w:rPr>
                <w:rFonts w:ascii="Arial" w:cs="Arial" w:eastAsia="Arial" w:hAnsi="Arial"/>
                <w:sz w:val="18"/>
                <w:szCs w:val="18"/>
                <w:color w:val="auto"/>
              </w:rPr>
              <w:t>Tramadol HCl</w:t>
            </w:r>
          </w:p>
        </w:tc>
        <w:tc>
          <w:tcPr>
            <w:tcW w:w="2300" w:type="dxa"/>
            <w:vAlign w:val="bottom"/>
          </w:tcPr>
          <w:p>
            <w:pPr>
              <w:spacing w:after="0"/>
              <w:rPr>
                <w:sz w:val="20"/>
                <w:szCs w:val="20"/>
                <w:color w:val="auto"/>
              </w:rPr>
            </w:pPr>
            <w:r>
              <w:rPr>
                <w:rFonts w:ascii="Arial" w:cs="Arial" w:eastAsia="Arial" w:hAnsi="Arial"/>
                <w:sz w:val="18"/>
                <w:szCs w:val="18"/>
                <w:color w:val="auto"/>
              </w:rPr>
              <w:t>Ultram®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Bioequivalence to reference listed drug demonstrated.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IND submitted to the FDA on December 20, 2012.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NDA submission targeted for the first half of 2014.</w:t>
      </w:r>
    </w:p>
    <w:p>
      <w:pPr>
        <w:spacing w:after="0" w:line="193" w:lineRule="auto"/>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39" w:lineRule="exact"/>
        <w:rPr>
          <w:sz w:val="20"/>
          <w:szCs w:val="20"/>
          <w:color w:val="auto"/>
        </w:rPr>
      </w:pPr>
    </w:p>
    <w:p>
      <w:pPr>
        <w:sectPr>
          <w:pgSz w:w="11900" w:h="16838" w:orient="portrait"/>
          <w:cols w:equalWidth="0" w:num="2">
            <w:col w:w="6300" w:space="220"/>
            <w:col w:w="4900"/>
          </w:cols>
          <w:pgMar w:left="240" w:top="881" w:right="239" w:bottom="1440" w:gutter="0" w:footer="0" w:header="0"/>
          <w:type w:val="continuous"/>
        </w:sectPr>
      </w:pPr>
    </w:p>
    <w:p>
      <w:pPr>
        <w:ind w:left="180" w:hanging="172"/>
        <w:spacing w:after="0" w:line="194" w:lineRule="auto"/>
        <w:tabs>
          <w:tab w:leader="none" w:pos="13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Comparable Brand Name refers to currently marketed prescription products in the United States containing the same active analgesic ingredient(s) as in the corresponding Aversion Technology product.</w:t>
      </w:r>
    </w:p>
    <w:p>
      <w:pPr>
        <w:spacing w:after="0" w:line="27" w:lineRule="exact"/>
        <w:rPr>
          <w:sz w:val="20"/>
          <w:szCs w:val="20"/>
          <w:color w:val="auto"/>
        </w:rPr>
      </w:pPr>
    </w:p>
    <w:p>
      <w:pPr>
        <w:ind w:left="180" w:hanging="172"/>
        <w:spacing w:after="0" w:line="194" w:lineRule="auto"/>
        <w:tabs>
          <w:tab w:leader="none" w:pos="13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Proof of Concept is attained upon demonstration of product stability and bioavailability parameters. All proof of concept formulations contain niacin and will require reformulation.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Development of Hydrocodone/Acetaminophen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hydrocodone/acetaminophen product was previously under development by Pfizer who, before returning the product to us: (a) successfully removed niacin from the formulation, (2) demonstrated bioequivalence to a reference listed drug and (3) held a pre-IND meeting with the FDA. We expect our clinical development program for our hydrocodone/acetaminophen product to consist of:</w:t>
      </w:r>
    </w:p>
    <w:p>
      <w:pPr>
        <w:spacing w:after="0" w:line="181" w:lineRule="exact"/>
        <w:rPr>
          <w:sz w:val="20"/>
          <w:szCs w:val="20"/>
          <w:color w:val="auto"/>
        </w:rPr>
      </w:pPr>
    </w:p>
    <w:p>
      <w:pPr>
        <w:ind w:left="130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pharmacokinetic study in about 36 fasted subjects to establish bioequivalence of product made by a new contract manufacturer to the FDA’s reference listed drug and determine the food effect on our drug;</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pharmacokinetic study in about 24 subjects to establish safety compared to the reference listed drugs tramadol/acetaminophen (for acetaminophen) and hydrocodone bitartrate/ibuprofen (for hydrocodone);</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pharmacokinetic study in about 24 subjects demonstrating dose proportionality of our formulation;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and particle size characteristics of our product;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submitted an IND to the FDA for our hydrocodone/acetaminophen product on December 20, 2012 which became effective in late January 2013 and allows us to commence clinical trials. Based on the development program outlined above, we anticipate preparing and submitting a 505(b)(2) NDA for our hydrocodone/acetaminophen product in the first half of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possible partnering of our Aversion development products with alternative strategic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misuse and abuse of prescription drug products in general, and opioid analgesics in particular, is a significant societal problem that has been described as epidemic in nature by Joseph A. Califano, Jr., Chairman and President, National Center for Addiction and Substance Abuse at Columbia University, July 2005. Results from the 2009 National Survey on Drug Use and Health indicate prescription drug abusers have supplanted abusers of all illicit drugs except marijuana. The survey estimated that 35 million people in the United States, or more than 10% of the population, have engaged in the non-medical use of prescription opioid analgesics at some point in their lifetime. IR Opioid Products comprise the vast majority of this abuse compared with ER Opioid Products. In addition, 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260 million tablet and capsule prescriptions dispensed in 2011 of which approximately 244 million were for IR Opioid Products and 16 million were for ER Opioid Products. However, physicians and other health care providers at times are reluctant to prescribe opioid analgesics for fear of misuse, abuse, and diversion of legitimate prescriptions for illicit use.</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Aversion Technology opioid product(s), to compete primarily in the IR Opioid Product segment of the United States opioid analgesic market. IR Opioid Product prescriptions have grown at a 3.8% compounded annual rate over the last five years. Because IR Opioid Products are used for both acute and chronic pain, a prescription, on average, contains 62 tablets or capsules. According to IMS Health, in 2011, sales in the IR Opioid Product segment were approximately $2.1 billion, of which ~97%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Oxecta and our Aversion Technology products in development include the active opioid ingredients representing approximately 78% of the U.S. IR Opioid Product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2011 US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0"/>
        </w:trPr>
        <w:tc>
          <w:tcPr>
            <w:tcW w:w="1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Prescriptions</w:t>
            </w:r>
          </w:p>
        </w:tc>
        <w:tc>
          <w:tcPr>
            <w:tcW w:w="10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67"/>
        </w:trPr>
        <w:tc>
          <w:tcPr>
            <w:tcW w:w="1440" w:type="dxa"/>
            <w:vAlign w:val="bottom"/>
          </w:tcPr>
          <w:p>
            <w:pPr>
              <w:spacing w:after="0"/>
              <w:rPr>
                <w:sz w:val="23"/>
                <w:szCs w:val="23"/>
                <w:color w:val="auto"/>
              </w:rPr>
            </w:pPr>
          </w:p>
        </w:tc>
        <w:tc>
          <w:tcPr>
            <w:tcW w:w="2900" w:type="dxa"/>
            <w:vAlign w:val="bottom"/>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3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180"/>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of Total</w:t>
            </w:r>
          </w:p>
        </w:tc>
        <w:tc>
          <w:tcPr>
            <w:tcW w:w="1440" w:type="dxa"/>
            <w:vAlign w:val="bottom"/>
          </w:tcPr>
          <w:p>
            <w:pPr>
              <w:spacing w:after="0"/>
              <w:rPr>
                <w:sz w:val="23"/>
                <w:szCs w:val="23"/>
                <w:color w:val="auto"/>
              </w:rPr>
            </w:pPr>
          </w:p>
        </w:tc>
      </w:tr>
      <w:tr>
        <w:trPr>
          <w:trHeight w:val="210"/>
        </w:trPr>
        <w:tc>
          <w:tcPr>
            <w:tcW w:w="1440" w:type="dxa"/>
            <w:vAlign w:val="bottom"/>
          </w:tcPr>
          <w:p>
            <w:pPr>
              <w:spacing w:after="0"/>
              <w:rPr>
                <w:sz w:val="18"/>
                <w:szCs w:val="18"/>
                <w:color w:val="auto"/>
              </w:rPr>
            </w:pPr>
          </w:p>
        </w:tc>
        <w:tc>
          <w:tcPr>
            <w:tcW w:w="29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Hydrocodone</w:t>
            </w:r>
          </w:p>
        </w:tc>
        <w:tc>
          <w:tcPr>
            <w:tcW w:w="3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top w:val="single" w:sz="8" w:color="CCFFCC"/>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FFCC"/>
            </w:tcBorders>
            <w:shd w:val="clear" w:color="auto" w:fill="CCFFCC"/>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Oxycodone</w:t>
            </w:r>
          </w:p>
        </w:tc>
        <w:tc>
          <w:tcPr>
            <w:tcW w:w="4480" w:type="dxa"/>
            <w:vAlign w:val="bottom"/>
            <w:gridSpan w:val="4"/>
          </w:tcPr>
          <w:p>
            <w:pPr>
              <w:jc w:val="right"/>
              <w:ind w:right="160"/>
              <w:spacing w:after="0"/>
              <w:rPr>
                <w:sz w:val="20"/>
                <w:szCs w:val="20"/>
                <w:color w:val="auto"/>
              </w:rPr>
            </w:pPr>
            <w:r>
              <w:rPr>
                <w:rFonts w:ascii="Arial" w:cs="Arial" w:eastAsia="Arial" w:hAnsi="Arial"/>
                <w:sz w:val="18"/>
                <w:szCs w:val="18"/>
                <w:color w:val="auto"/>
              </w:rPr>
              <w:t>54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Tramadol</w:t>
            </w:r>
          </w:p>
        </w:tc>
        <w:tc>
          <w:tcPr>
            <w:tcW w:w="448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Codeine</w:t>
            </w:r>
          </w:p>
        </w:tc>
        <w:tc>
          <w:tcPr>
            <w:tcW w:w="4480" w:type="dxa"/>
            <w:vAlign w:val="bottom"/>
            <w:gridSpan w:val="4"/>
          </w:tcPr>
          <w:p>
            <w:pPr>
              <w:jc w:val="right"/>
              <w:ind w:right="16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900" w:type="dxa"/>
            <w:vAlign w:val="bottom"/>
            <w:shd w:val="clear" w:color="auto" w:fill="CCFFCC"/>
          </w:tcPr>
          <w:p>
            <w:pPr>
              <w:spacing w:after="0"/>
              <w:rPr>
                <w:sz w:val="20"/>
                <w:szCs w:val="20"/>
                <w:color w:val="auto"/>
              </w:rPr>
            </w:pPr>
            <w:r>
              <w:rPr>
                <w:rFonts w:ascii="Arial" w:cs="Arial" w:eastAsia="Arial" w:hAnsi="Arial"/>
                <w:sz w:val="18"/>
                <w:szCs w:val="18"/>
                <w:color w:val="auto"/>
              </w:rPr>
              <w:t>3 others</w:t>
            </w:r>
          </w:p>
        </w:tc>
        <w:tc>
          <w:tcPr>
            <w:tcW w:w="448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Total (Average)</w:t>
            </w:r>
          </w:p>
        </w:tc>
        <w:tc>
          <w:tcPr>
            <w:tcW w:w="4480" w:type="dxa"/>
            <w:vAlign w:val="bottom"/>
            <w:gridSpan w:val="4"/>
          </w:tcPr>
          <w:p>
            <w:pPr>
              <w:jc w:val="right"/>
              <w:ind w:right="160"/>
              <w:spacing w:after="0"/>
              <w:rPr>
                <w:sz w:val="20"/>
                <w:szCs w:val="20"/>
                <w:color w:val="auto"/>
              </w:rPr>
            </w:pPr>
            <w:r>
              <w:rPr>
                <w:rFonts w:ascii="Arial" w:cs="Arial" w:eastAsia="Arial" w:hAnsi="Arial"/>
                <w:sz w:val="18"/>
                <w:szCs w:val="18"/>
                <w:color w:val="auto"/>
              </w:rPr>
              <w:t>244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20"/>
                <w:szCs w:val="20"/>
                <w:color w:val="auto"/>
              </w:rPr>
            </w:pPr>
          </w:p>
        </w:tc>
      </w:tr>
      <w:tr>
        <w:trPr>
          <w:trHeight w:val="661"/>
        </w:trPr>
        <w:tc>
          <w:tcPr>
            <w:tcW w:w="14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7" w:name="page8"/>
    <w:bookmarkEnd w:id="7"/>
    <w:p>
      <w:pPr>
        <w:ind w:left="760" w:hanging="104"/>
        <w:spacing w:after="0"/>
        <w:tabs>
          <w:tab w:leader="none" w:pos="76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42" w:lineRule="exact"/>
        <w:rPr>
          <w:rFonts w:ascii="Arial" w:cs="Arial" w:eastAsia="Arial" w:hAnsi="Arial"/>
          <w:sz w:val="28"/>
          <w:szCs w:val="28"/>
          <w:color w:val="auto"/>
          <w:vertAlign w:val="superscript"/>
        </w:rPr>
      </w:pPr>
    </w:p>
    <w:p>
      <w:pPr>
        <w:ind w:left="660"/>
        <w:spacing w:after="0" w:line="234"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IMS Health, 2011</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35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Lifetime Non-Medical Use of Selected Pain Relievers, Age 12 or Older: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360035" cy="2872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003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Source: SAMHSA, Office of Applied Studies, 2010 National Survey on Drug Use and Health.</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 2011 survey of 400 opioid prescribing physicians conducted for us by an independent research firm, 39% of physicians indicated they were highly concerned with the diversion of their opioid prescriptions for non-medical purposes and 42% were highly concerned about opioid misuse by their patients. However, less than 17% of these same physicians indicated they were confident they could adequately identify patients who are diverting or misusing their opioid prescriptions. Further, 77% and 66% of the physicians indicated that abuse of their opioid prescription by injection and snorting, respectively, would likely lead to serious adverse health consequences for the abuser as compared to only 38% for abuse by oral administration.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majority of pharmaceutical products in the United States are paid for by third-party payers such as insurers, pharmacy benefit managers, self-insured companies and the federal and state governments through Medicare, Medicaid and other health care programs. We believe our product candidates must demonstrate a clinical benefit to the patient and/or an economic benefit to third-party payers and/or a benefit to health care providers to receive favorable reimbursement status by the third-party payers, of which no assurance can be given.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7" w:right="239" w:bottom="1440" w:gutter="0" w:footer="0" w:header="0"/>
        </w:sectPr>
      </w:pPr>
    </w:p>
    <w:bookmarkStart w:id="8" w:name="page9"/>
    <w:bookmarkEnd w:id="8"/>
    <w:p>
      <w:pPr>
        <w:jc w:val="both"/>
        <w:ind w:firstLine="648"/>
        <w:spacing w:after="0" w:line="255" w:lineRule="auto"/>
        <w:rPr>
          <w:sz w:val="20"/>
          <w:szCs w:val="20"/>
          <w:color w:val="auto"/>
        </w:rPr>
      </w:pPr>
      <w:r>
        <w:rPr>
          <w:rFonts w:ascii="Arial" w:cs="Arial" w:eastAsia="Arial" w:hAnsi="Arial"/>
          <w:sz w:val="18"/>
          <w:szCs w:val="18"/>
          <w:color w:val="auto"/>
        </w:rPr>
        <w:t>Several independent organizations have estimated the potential cost impact of prescription opioid abuse to insurers. An analysis of health and pharmacy insurance claims between 1998 and 2002 for almost two million Americans conducted by Analysis Group, Inc. and others indicated that enrollees with a diagnosis of opioid abuse had average claims of approximately $14,000 per year higher than an age-gender matched non-opioid abuse sample. A 2007 report by the Coalition Against Insurance Fraud, after adjusting for inflation, estimated this excess cost per patient at more than $16,000 for 2007. By applying the U.S. government’s estimated 4.4 million annual opioid abusers, this organization concluded that abuse of IR and ER Opioid Products could cost health insurers up to $72.5 billion a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Aversion Technology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2013, the FDA published a draft guidance for industry on the evaluation and labeling of abuse-deterrent opioids. While this guidance is non-binding on the FDA, it outlines FDA’s current thinking on the labeling of abuse-deterrent products.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FDA has limited data correlating the potentially abuse-deterrent properties of certain opioid drug products with actual reduction in abuse or adverse events associated with abuse. When the data predict or show that a product’s potentially abuse-deterrent properties can be expected to, or actually do, result in a significant reduction in that product’s abuse potential, these data, together with an accurate characterization of what the data mean, should be included in product labeling.</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Technology products in development. Although the FDA approved label for Oxecta contains limitations on exposing Oxecta tablets to water and other solvents and administration through feeding tubes, the FDA approved Oxecta label does not contain a description of the I.V. injection studies we performed to characterize the abuse deterrent properties of Oxecta. Pfizer has committed to the FDA to undertake epidemiological studies to assess the actual consequences of abuse of Oxecta in the market. The extent to which a description of the abuse-deterrent properties or results of epidemiological or other studies will be added to or included in the FDA approved product label for our products will be the subject of our discussions with the FDA as part of the NDA review process, even after having obtained approval of Oxecta.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Agreement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30, 2007, we and King Pharmaceuticals Research and Development, Inc., now a wholly-owned subsidiary of Pfizer, entered into the Pfizer Agreement to develop and commercialize in the United States, Canada and Mexico certain opioid analgesic products utilizing our proprietary Aversion Technology. The Pfizer Agreement initially provided Pfizer with an exclusive license in the United States, Canada and Mexico, or the Pfizer Territory, for Oxecta (oxycodone HCl) Tablets and oxycodone HCl/acetaminophen tablets utilizing Aversion Technology. In addition, the Pfizer Agreement provided Pfizer with an option to license in the Pfizer Territory certain future opioid analgesic products developed utilizing Aversion Technology. Pfizer exercised its option to license two additional product candidates including an undisclosed immediate-release opioid analgesic tablet product and hydrocodone bitartrate/acetaminophen tablets, each of which utilize our Aversion Technology. On September 24, 2012, we entered into a letter agreement with Pfizer which amends the Pfizer Agreement and provides for the termination of Pfizer’s license to our Aversion® Technology used in the three development-stage products licensed to Pfizer and for the transfer of these products back to us. These development-stage products are hydrocodone bitartrate/acetaminophen tablets, oxycodone HCl/acetaminophen tablets and an undisclosed opioid. See the discussion above under the caption “Aversion Technology Opioid Products in Development” for further information regarding the development of these products.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ind w:firstLine="648"/>
        <w:spacing w:after="0" w:line="312" w:lineRule="auto"/>
        <w:rPr>
          <w:sz w:val="20"/>
          <w:szCs w:val="20"/>
          <w:color w:val="auto"/>
        </w:rPr>
      </w:pPr>
      <w:r>
        <w:rPr>
          <w:rFonts w:ascii="Arial" w:cs="Arial" w:eastAsia="Arial" w:hAnsi="Arial"/>
          <w:sz w:val="16"/>
          <w:szCs w:val="16"/>
          <w:color w:val="auto"/>
        </w:rPr>
        <w:t>Pursuant to the Pfizer Agreement, we and Pfizer formed a joint steering committee to oversee development and commercialization strategies for Oxecta. Pfizer is responsible, at its own expense, for all regulatory, manufacturing and commercialization activities for Oxecta in all Pfizer Territories. Subject to the Pfizer Agreement, Pfizer will have final decision making authority with respect to all regulatory and commercialization activities for Oxecta.</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2012, we had received aggregate payments of $78.5 million from Pfizer, consisting of a $30.0 million non-refundable upfront cash payment, $17.5 million in reimbursed research and development expenses relating to licensed products, $6.0 million in fees relating to Pfizer’s exercise of its option to license an undisclosed immediate-release opioid analgesic tablet product and hydrocodone bitartrate/acetaminophen tablets, a $5.0 million milestone fee relating to our successful achievement of the primary endpoints for our pivotal Phase III clinical study for Aversion oxycodone HCl with niacin tablets and a $20.0 million milestone fee relating to the FDA’s approval of the Oxecta Tablets NDA. We can also receive a one-time $50 million sales milestone payment upon the first attainment of $750 million in net sales of Oxecta across all Pfizer Territories. In addition, for Oxecta sales occurring on and following February 2, 2013 (the one year anniversary of the first commercial sale of Oxecta), Pfizer will pay us a royalty at one of six rates ranging from 5% to 25% based on the level of annual net sales for Oxecta across all Pfizer Territories, with the highest applicable royalty rate applied to such annual sales.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Impede Technology, a proprietary mixture of inactive ingredients, prevents the extraction of pseudoephedrine, or PSE, from tablets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firstLine="648"/>
        <w:spacing w:after="0" w:line="253" w:lineRule="auto"/>
        <w:rPr>
          <w:sz w:val="20"/>
          <w:szCs w:val="20"/>
          <w:color w:val="auto"/>
        </w:rPr>
      </w:pPr>
      <w:r>
        <w:rPr>
          <w:rFonts w:ascii="Arial" w:cs="Arial" w:eastAsia="Arial" w:hAnsi="Arial"/>
          <w:sz w:val="18"/>
          <w:szCs w:val="18"/>
          <w:color w:val="auto"/>
        </w:rPr>
        <w:t>Studies sponsored by us at an independent laboratory and confirmed by a law enforcement agency,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Nexafed product is an immediate-release pseudoephedrine HCl, tablet which utilizes our patent pending Impede Technology. PSE is a widely-used nasal decongestant available in many non-prescription and prescription cold, sinus and allergy products We have demonstrated that our Nexafed 30mg tablets is bioequivalent to Johnson &amp; Johnson’s Sudafed® 30mg Tablets when a single 2 tablets dose is administered. Commencing in 2006, the Combat Methamphetamine Epidemic Act, or CMEA,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launched Nexafed commercially in mid-December 2012 into the United States OTC market for cold and allergy products following the demonstration in a clinical study that Nexafed met the FDA Guideline standards for bioequivalence to the reference drug Sudafed® marketed by Johnson &amp; Johnson Corporation.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shipped Nexafed to several regional and national drug wholesalers for redistribution to pharmacies. We continue to work to expand the wholesaler distribution network for Nexafed. Many of these stocking wholesalers have placed multiple orders with us as pharmacies have begun stocking Nexafed and are depleting the wholesaler inventory.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using telemarketing, direct mail, and online and journal advertising to educate pharmacists about Nexafed and encourage pharmacists to recommend Nexafed to their customers. Due to the influence of pharmacists in stocking decisions and pharmacy operations in independent (non-chain) pharmacies, we believe that most of our pharmacy distribution, at this time, is in independent pharmacies, however, we believe that some chain pharmacy stores are stocking Nexafed purchased directly by the store from wholesalers. Transshipment reports provided to us from one wholesaler shows some pharmacies have placed multiple orders with the wholesaler, potentially indicating we are generating some pharmacist recommendations and consumer demand. Through January, 2013 we have shipped approximately $20 thousand in Nexafed sales.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marketing our 30mg Nexafed product under FDA’s regulations applicable to OTC Monograph products. Nexafed tablets are offered in 24-count blister packaged cartons and priced comparable to other branded PSE 30mg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 in Development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assessing our initial success with the launch of Nexafed and are considering our product development options: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Impede Technology Product</w:t>
            </w:r>
          </w:p>
        </w:tc>
        <w:tc>
          <w:tcPr>
            <w:tcW w:w="200" w:type="dxa"/>
            <w:vAlign w:val="bottom"/>
          </w:tcPr>
          <w:p>
            <w:pPr>
              <w:spacing w:after="0"/>
              <w:rPr>
                <w:sz w:val="20"/>
                <w:szCs w:val="20"/>
                <w:color w:val="auto"/>
              </w:rPr>
            </w:pPr>
          </w:p>
        </w:tc>
        <w:tc>
          <w:tcPr>
            <w:tcW w:w="458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Status</w:t>
            </w: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w w:val="95"/>
              </w:rPr>
              <w:t>Immediate-release pseudoephedrine HCl in combination with other cold</w:t>
            </w:r>
          </w:p>
        </w:tc>
        <w:tc>
          <w:tcPr>
            <w:tcW w:w="20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Formulation developed and stability testing ongoing</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and allergy active ingredients</w:t>
            </w:r>
          </w:p>
        </w:tc>
        <w:tc>
          <w:tcPr>
            <w:tcW w:w="200" w:type="dxa"/>
            <w:vAlign w:val="bottom"/>
          </w:tcPr>
          <w:p>
            <w:pPr>
              <w:spacing w:after="0"/>
              <w:rPr>
                <w:sz w:val="20"/>
                <w:szCs w:val="20"/>
                <w:color w:val="auto"/>
              </w:rPr>
            </w:pPr>
          </w:p>
        </w:tc>
        <w:tc>
          <w:tcPr>
            <w:tcW w:w="4580" w:type="dxa"/>
            <w:vAlign w:val="bottom"/>
          </w:tcPr>
          <w:p>
            <w:pPr>
              <w:spacing w:after="0"/>
              <w:rPr>
                <w:sz w:val="20"/>
                <w:szCs w:val="20"/>
                <w:color w:val="auto"/>
              </w:rPr>
            </w:pPr>
          </w:p>
        </w:tc>
      </w:tr>
    </w:tbl>
    <w:p>
      <w:pPr>
        <w:spacing w:after="0" w:line="202" w:lineRule="exact"/>
        <w:rPr>
          <w:sz w:val="20"/>
          <w:szCs w:val="20"/>
          <w:color w:val="auto"/>
        </w:rPr>
      </w:pPr>
    </w:p>
    <w:p>
      <w:pPr>
        <w:jc w:val="both"/>
        <w:ind w:firstLine="701"/>
        <w:spacing w:after="0" w:line="277" w:lineRule="auto"/>
        <w:rPr>
          <w:sz w:val="20"/>
          <w:szCs w:val="20"/>
          <w:color w:val="auto"/>
        </w:rPr>
      </w:pPr>
      <w:r>
        <w:rPr>
          <w:rFonts w:ascii="Arial" w:cs="Arial" w:eastAsia="Arial" w:hAnsi="Arial"/>
          <w:sz w:val="18"/>
          <w:szCs w:val="18"/>
          <w:color w:val="auto"/>
        </w:rPr>
        <w:t>We also have been working on a next generation Impede Technology, an improvement for our Nexafed franchise which is an enhancement on the methamphetamine resistance of our current technology in the one-pot methamphetamine conversion method.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evaluate possible licensing of our Impede products with commercial partners for distribution outside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Methamphetamine is a highly addictive illicit drug used non-medically by an estimated 13 million people at some point in their lifetime. In 2006, the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Laboratory seizures were down 12% in 2011. In response to the ongoing methamphetamine problem, several local jurisdictions (state, counties and/or local municipalities) have enacted or propose to enact legislation to require a physician’s prescription to obtain a PSE-containing product.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2009, AC Nielsen reported approximately $1.0 billion in sales of non-prescription products containing either PSE or phenylephrine as a nasal decongestant, of which approximately 47% contained PSE.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2010 market research study showed that 93% of the 204 pharmacists surveyed believe that PSE has superior efficacy as a nasal decongestant compared to phenylephrine.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Our 2009 survey of PSE 30mg tablet prices at these top four drug chains indicates that branded PSE products were priced, on average, to the consumer at approximately $0.25 per tablet as compared to approximately $0.12 per tablet for the corresponding store brand.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marketing our Nexafed product pursuant to the FDA’s OTC Monograph regulations, which require that our product have labeling as specified in the regulations. We are advertising the extraction characteristics and methaphetamine-resistant benefits of our Nexafed product which is supported by our research studies.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conduct research, development, laboratory, manufacturing, and warehousing activities at our operations facility in Culver, Indiana and lease an administrative office in Palatine, Illinois. The 25,000 square foot facility is registered with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volumes sufficient to meet FDA standards for NDAs.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Pfizer is responsible for commercial manufacturer of Oxecta under the Pfizer Agreement. We expect that future opioid product candidates developed and licensed by us will be commercially manufactured by our licensees or other qualified third party contract manufacturers.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a contract manufacture to manufacture, package and supply our commercial quantities of Nexafed. Initially, we will source our commercial requirements of Nexafed from a single manufacturer and will not have a second source. Although we believe there are alternate sources of supply that can satisfy our commercial requirements, replacing or adding a contract manufacture will result in additional costs and may delay or interrupt the supply of Nexafed.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2012, we completed initial discovery research on a new technology to address abuse and misuse of prescription pharmaceutical tablets though the intentional or accidental ingestion of multiple tablets in excess of the recommended dose. In a laboratory proof of concept study with prototype tablets, 100% of the active ingredient from 2 tablets was released in release approximately 15 to 20 minutes compared with approximately 20% being released in the same timeframe when 8 tablets are tested. The synergistic effect of the ingredients in the technology retards the release of the active ingredient when multiple tablets are co-administered. The objective of this technology, if it can be optimized and it translates consistently to human use, of which no assurance can be given, will be to reduce the peak plasma concentration of drug which may be associated with adverse health consequences.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ind w:firstLine="648"/>
        <w:spacing w:after="0" w:line="273" w:lineRule="auto"/>
        <w:rPr>
          <w:sz w:val="20"/>
          <w:szCs w:val="20"/>
          <w:color w:val="auto"/>
        </w:rPr>
      </w:pPr>
      <w:r>
        <w:rPr>
          <w:rFonts w:ascii="Arial" w:cs="Arial" w:eastAsia="Arial" w:hAnsi="Arial"/>
          <w:sz w:val="17"/>
          <w:szCs w:val="17"/>
          <w:color w:val="auto"/>
        </w:rPr>
        <w:t>We believe potential competitors may be developing opioid abuse deterrent technologies and products. Such potential competitors include, but may not be limited to, Pain Therapeutics, in collaboration with Pfizer, Purdue Pharma, Atlantic Pharmaceuticals, Egalet a/s, KemPharm and Collegium Pharmaceuticals, Inc. These companies appear to be focusing their development efforts on ER opioid Products, except for Atlantic Pharmaceuticals, while the majority of our Aversion Technology opioid analgesic product candidates under development, are IR opioid Products. Pfizer, our partner for Oxecta,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aware that some large pharmaceutical companies in the past have sought to develop PSE technologies or products that resist conversion into methamphetamine, but believe those efforts have been discontinued, although there can be no assurance that this is the case. Highland Pharmaceuticals has recently launched in certain test markets a PSE product that is stated to resist PSE extraction in aqueous solutions.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consider licensing our Impede Technology or products utilizing such technology for commercialization.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2007, the United States Patent and Trademark Office, or USPTO, issued to us U.S. Patent No. 7,201,920 titled “Methods and Compositions for Deterring Abuse of Opioid Containing Dosage Forms,” or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2009, the USPTO issued to us U.S. Patent No. 7,476,402, or the 402 Patent, with 18 allowed claims. The 402 Patent encompasses certain combinations of kappa and mu opioid receptor agonists and other ingredients intended to deter opioid analgesic product misuse and abuse.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2009, the USPTO issued to us U.S. Patent No. 7,510,726, or the 726 Patent, with 20 allowed claims. The ‘726 Patent encompasses a wider range of abuse deterrent compositions than our ’920 Patent.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2011, the USPTO issued to us U.S. Patent No. 7,981,439, or the 439 Patent, with 7 allowed claims. The 439 Patent encompasses certain compositions including any water soluble drug of abuse intended to deter the most common methods of prescription opioid analgesic product misuse and abuse. We believe our stimulant product candidate currently in development is encompassed by the 439 Patent.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Technology. Except for those rights conferred in the Pfizer Agreement, we have retained all intellectual property rights to our Aversion Technology, Impede Technology, and related product candidates. See below under the caption Legal Proceedings contained in Item 3 of this Report for a discussion of our pending patent infringement actions against three generic sponsors of ANDAs for generic drugs listing Oxecta as the reference drug.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the Risk Factors contained in item 1A of this Report for a discussion, among other things, of patent applications and patents owned by third parties including claims that may encompass our Aversion Technology and Oxecta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Other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must be obtained,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Phase 1</w:t>
      </w:r>
      <w:r>
        <w:rPr>
          <w:rFonts w:ascii="Arial" w:cs="Arial" w:eastAsia="Arial" w:hAnsi="Arial"/>
          <w:sz w:val="17"/>
          <w:szCs w:val="17"/>
          <w:color w:val="auto"/>
        </w:rPr>
        <w:t>: This phase is typically the first involving human participants, and involves the smallest number of human participants (typically, 20-50).</w:t>
      </w:r>
      <w:r>
        <w:rPr>
          <w:rFonts w:ascii="Arial" w:cs="Arial" w:eastAsia="Arial" w:hAnsi="Arial"/>
          <w:sz w:val="17"/>
          <w:szCs w:val="17"/>
          <w:b w:val="1"/>
          <w:bCs w:val="1"/>
          <w:color w:val="auto"/>
        </w:rPr>
        <w:t xml:space="preserve"> </w:t>
      </w:r>
      <w:r>
        <w:rPr>
          <w:rFonts w:ascii="Arial" w:cs="Arial" w:eastAsia="Arial" w:hAnsi="Arial"/>
          <w:sz w:val="17"/>
          <w:szCs w:val="17"/>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58"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b w:val="1"/>
          <w:bCs w:val="1"/>
          <w:color w:val="auto"/>
        </w:rPr>
        <w:t>Phase 2</w:t>
      </w:r>
      <w:r>
        <w:rPr>
          <w:rFonts w:ascii="Arial" w:cs="Arial" w:eastAsia="Arial" w:hAnsi="Arial"/>
          <w:sz w:val="16"/>
          <w:szCs w:val="16"/>
          <w:color w:val="auto"/>
        </w:rPr>
        <w:t>: Once the preliminary safety and tolerability of the drug in humans is confirmed during phase 1, phase 2 involves studies in a somewhat</w:t>
      </w:r>
      <w:r>
        <w:rPr>
          <w:rFonts w:ascii="Arial" w:cs="Arial" w:eastAsia="Arial" w:hAnsi="Arial"/>
          <w:sz w:val="16"/>
          <w:szCs w:val="16"/>
          <w:b w:val="1"/>
          <w:bCs w:val="1"/>
          <w:color w:val="auto"/>
        </w:rPr>
        <w:t xml:space="preserve"> </w:t>
      </w:r>
      <w:r>
        <w:rPr>
          <w:rFonts w:ascii="Arial" w:cs="Arial" w:eastAsia="Arial" w:hAnsi="Arial"/>
          <w:sz w:val="16"/>
          <w:szCs w:val="16"/>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5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Phase 3</w:t>
      </w:r>
      <w:r>
        <w:rPr>
          <w:rFonts w:ascii="Arial" w:cs="Arial" w:eastAsia="Arial" w:hAnsi="Arial"/>
          <w:sz w:val="18"/>
          <w:szCs w:val="18"/>
          <w:color w:val="auto"/>
        </w:rPr>
        <w:t>: Phase 3 trials typically involve a large numbers of patients affected by the disease or condition for which the product candidate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80"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Phase 4</w:t>
      </w:r>
      <w:r>
        <w:rPr>
          <w:rFonts w:ascii="Arial" w:cs="Arial" w:eastAsia="Arial" w:hAnsi="Arial"/>
          <w:sz w:val="17"/>
          <w:szCs w:val="17"/>
          <w:color w:val="auto"/>
        </w:rPr>
        <w:t>: Phase 4 trials may be required by FDA after the approval of the NDA for the product, as a condition of the approval, or may be undertaken</w:t>
      </w:r>
      <w:r>
        <w:rPr>
          <w:rFonts w:ascii="Arial" w:cs="Arial" w:eastAsia="Arial" w:hAnsi="Arial"/>
          <w:sz w:val="17"/>
          <w:szCs w:val="17"/>
          <w:b w:val="1"/>
          <w:bCs w:val="1"/>
          <w:color w:val="auto"/>
        </w:rPr>
        <w:t xml:space="preserve"> </w:t>
      </w:r>
      <w:r>
        <w:rPr>
          <w:rFonts w:ascii="Arial" w:cs="Arial" w:eastAsia="Arial" w:hAnsi="Arial"/>
          <w:sz w:val="17"/>
          <w:szCs w:val="17"/>
          <w:color w:val="auto"/>
        </w:rPr>
        <w:t>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both"/>
        <w:ind w:firstLine="648"/>
        <w:spacing w:after="0" w:line="287"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ANDA to the FDA including the results of the preclinical and clinical testing, together with, among other things, detailed information on the chemistry, manufacturing, quality controls, and proposed product labeling. There are two types of NDAs; a 505(b)(1) NDA and a 505(b)(2) NDA. A 505(b)(1) 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 Pfizer’s submission for Oxecta Tablets was accepted for filing by FDA as a 505(b)(2) NDA.</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NDA requires payment of a user fee, pursuant to the requirements of the Prescription Drug User Fee Act, or PDUFA, as periodically amended. According to FDA’s fee schedule, effective on October 1, 2012, for the 2013 fiscal year, the user fee for an application fee requiring clinical data, such as an NDA is $1,958,800. The FDA adjusts PDUFA user fees on an annual basis. PDUFA also imposes annual product and facility fees. The annual product fee for prescription drugs and biologics for the 2013 fiscal year is $98,380 and the annual facility fee for facilities used to manufacture prescription drugs and biologics for the 2013 fiscal year is $526,500. A written request can be submitted for a waiver of the application fee for the first human drug application that is filed by a small business, but no waivers for product or establishment fees are available. Where we are subject to these fees, they are significant expenditures that may be incurred in the future and must be paid at the time of submission of each application to FDA.</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ind w:firstLine="648"/>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Pfizer is exempt from the pediatric studies requirement of the PREA for Oxecta.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Oxecta Tablets on Pfizer’s commitment to conduct Phase 4 epidemiological studies to assess the actual abuse levels of Oxecta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Further, drug products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 The FDA has indicated Pfizer is not required to maintain a REMS for Oxecta.</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820" w:hanging="164"/>
        <w:spacing w:after="0" w:line="308"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46" w:lineRule="exact"/>
        <w:rPr>
          <w:rFonts w:ascii="Arial" w:cs="Arial" w:eastAsia="Arial" w:hAnsi="Arial"/>
          <w:sz w:val="17"/>
          <w:szCs w:val="17"/>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820" w:hanging="164"/>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recall.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of our products,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Oxecta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Oxecta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263" w:lineRule="exact"/>
        <w:rPr>
          <w:rFonts w:ascii="Arial" w:cs="Arial" w:eastAsia="Arial" w:hAnsi="Arial"/>
          <w:sz w:val="17"/>
          <w:szCs w:val="17"/>
          <w:color w:val="auto"/>
        </w:rPr>
      </w:pPr>
    </w:p>
    <w:p>
      <w:pPr>
        <w:ind w:left="1300" w:right="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not know the full effects of the Health Care Reform Law until applicable federal and state agencies issue regulations or guidance under the new law. 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Our or our licensees’ results of operations could be adversely affected by current and future healthcare reforms.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15 full-time employees, nine of whom are engaged in the research, development and manufacture of product candidates utilizing our proprietary Aversion® and Impede™ Technologies. The remaining employees are engaged in administrative legal, accounting, finance, marketing, market research, and business development activities. All of our senior management and most of our other employees have had prior experience in pharmaceutical or biotechnology companies. None of our employees is covered by collective bargaining agreements. We believe that our relations with our employees are good.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largely dependent on the commercial success of Oxecta and we have not generated any revenue from sales of Oxecta.</w:t>
      </w:r>
    </w:p>
    <w:p>
      <w:pPr>
        <w:spacing w:after="0" w:line="22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We anticipate that, for at least the next several years, our ability to generate revenues and become profitable will depend in large part on the commercial success of our only FDA approved product, Oxecta, which in turn, will depend on several factors, including our licensee Pfizer’s ability to:</w:t>
      </w:r>
    </w:p>
    <w:p>
      <w:pPr>
        <w:spacing w:after="0" w:line="12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launch of Oxecta in the United States;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Oxecta;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acceptance of Oxecta by physicians and patients;</w:t>
      </w:r>
    </w:p>
    <w:p>
      <w:pPr>
        <w:spacing w:after="0" w:line="252"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obtain and maintain adequate levels of coverage and reimbursement for Oxecta from commercial health plans and government health programs, which we refer to collectively as third-party payors, particularly in light of the availability of other branded and generic competitive products;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Oxecta competitively and enter into price discounting contracts with third-party payors;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and supply Oxecta to meet commercial demand, including obtaining sufficient quota from the Drug Enforcement Adminstration;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 intellectual property protection for Oxecta and obtaining favorable drug listing treatment by the FDA to minimize generic competition.</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can be no assurance that Pfizer will devote sufficient resources to the marketing and commercialization of Oxecta. Pfizer’s marketing of Oxecta may result in low market acceptance and insufficient demand for, and sales of, the product. If Pfizer fails to successfully commercialize Oxecta and increase sales, we may be unable to generate sufficient revenues to sustain or grow our business and we may never become profitable, and our business, financial condition and results of operations will be materially affected.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Pfizer is not successful in commercializing Oxecta our revenues and our business will suffer.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our license, development and commercialization agreement with a subsidiary of Pfizer, or the Pfizer Agreement, Pfizer is responsible for manufacturing, marketing, pricing, promoting, selling, and distributing Oxecta in the United States, Canada and Mexico, or the Pfizer Territory. If such agreement is terminated in accordance with its terms, including due to a party’s failure to perform its obligations or responsibilities under the agreement, then we would need to commercialize Oxecta ourselves for which we currently have no infrastructure, or alternatively enter into a new agreement with another pharmaceutical company, of which no assurance can be given. If we are unable to build the necessary infrastructure to commercialize Oxecta ourselves, which would substantially increase our expenses and capital requirements that we might not be able to fund, or are unable to find a suitable replacement commercialization partner, we would be unable to generate any revenue from Oxecta. Even if we are successful at replacing the commercialization capabilities of Pfizer, our revenues and/or royalties from Oxecta could be adversely impacted.</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Pfizer’s manufacturing facility is currently the sole commercial source of supply for Oxecta. If Pfizer’s manufacturing facility fails to obtain sufficient DEA quotas for oxycodone, fails to source adequate quantities of active and inactive ingredients, fails to comply with regulatory requirements, or otherwise experiences disruptions in commercial supply of Oxecta, product revenue and our royalties could be adversely impacted.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Pfizer has a diversified product line for which Oxecta Tablets will vie for Pfizer’s promotional, marketing, and selling resources. If Pfizer fails to commit sufficient promotional, marketing and selling resources to Oxecta, product revenue and our royalties could be adversely impacted. Additionally, in view of Pfizer’s recent acquisition of King Pharmaceuticals in February 2011, there can be no assurance that Pfizer will commit the resources required for the successful commercialization of Oxecta Tablets.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for our opioid product candidates is highly competitive with many marketed non-abuse deterrent brand and generic products and other abuse deterrent product candidates in development. If Pfizer prices Oxecta inappropriately, fails to position Oxecta properly, targets inappropriate physician specialties, or otherwise does not provide sufficient promotional support, product revenue and our royalties could be adversely impacted.</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Pfizer’s promotional, marketing and sales activities in connection with Oxecta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Pfizer’s activities are found to be in violation of these laws or any other federal and state fraud and abuse laws, Pfizer may be subject to penalties, including civil and criminal penalties, damages, fines and the curtailment or restructuring of its activities with regard to the commercialization of our products, which could harm the commercial success of Oxecta and materially affect our business, financial condition and results of operations.</w:t>
      </w:r>
    </w:p>
    <w:p>
      <w:pPr>
        <w:spacing w:after="0" w:line="179"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Our failure to continue the development of the three development stage products terminated by Pfizer under the Pfizer Agreement, or to successfully establish a license agreement with a pharmaceutical company for the development and commercialization of such products, will adversely impact our ability to develop, market and sell such products and our revenues and business will suffer.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July 2012 Pfizer exercised its right to terminate the license to the three products in development, or the returned products, under the Pfizer Agreement. The termination of such license provides for the return to us of oxycodone hydrochloride with acetaminophen, hydrocodone bitartrate with acetaminophen and another undisclosed opioid product. Pursuant to a letter agreement between us and Pfizer dated September 24, 2012, the effective date of such termination was accelerated from the 12-month period provided in the Pfizer Agreement to the date of the letter agreement. As of such date, we have the right to develop the returned products on our own or in partnership with a third party. Our plan for developing, manufacturing and commercialize the returned products includes entering into an agreement similar to the Pfizer Agreement with a strategically focused pharmaceutical company. However, there can be no assurance that we will be successful in entering into such an agreement. Pending any such agreement, we expect to continue the development of our hydrocodone bitartrate with acetaminophen product on our own. Although we believe we have sufficient cash resources to fund the development of such product and submit a corresponding NDA to the FDA, there can be no assurance that this will be the case. The continued development of our hydrocodone bitartrate with acetaminophen product and the other returned products may require additional financing, which may not be available on acceptable terms, or at all. In the absence of available financing, or our failure to successfully enter into a license agreement with a pharmaceutical company to develop and commercialize the returned products, we may have to limit the size or scope of, or delay or abandon the development of some or all of the returned products, which would adversely impact our financial condition and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a net loss of $9.7 million for the year ended December 31, 2012, net income of $10.4 million for the year ended December 31, 2011 and a net loss of $12.7 million and $15.8 million for the years ended December 31, 2010 and 2009, respectively. Our future profitability will depend on several factors, including: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receipt of royalties relating to our FDA approved Oxecta Tablets, for which we only receive royalties on sales occurring on and following February 2, 2013, the one year anniversary of the first commercial sale of Oxecta Tablets;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Aversion Technology products in development, including the products returned by Pfizer, from future licensees, of which no assurance can be given;</w:t>
      </w:r>
    </w:p>
    <w:p>
      <w:pPr>
        <w:spacing w:after="0" w:line="197"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receipt of FDA approval and the successful commercialization by future licensees (if any) of products utilizing our Aversion Technology and our ability to commercialize our Impede Technology without infringing the patents and other intellectual property rights of third parties; and</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successful launch and marketing of Nexafed and other products utilizing our Impede Technology, and market acceptance, increased demand for and sales of Nexafed.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assure you that our Oxecta or Nexafed products will be successfully commercialized or our Aversion Technology products in development will be successfully developed or be approved for commercialization by the FDA.</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recognized revenues of $0, $20.5 million, $3.3 million and $3.8 million in the years ended December 31, 2012, 2011, 2010 and 2009, respectively, from payments received under the Pfizer Agreement. However, we have not yet generated any royalty revenues from Oxecta product sales. Even if Pfizer succeeds in commercializing Oxecta, or if we or a licensee succeed in developing and commercializing one or more of our pipeline Aversion Technology products, or if we are successful in commercializing our Impede Technology products, we expect to continue using cash reserves for the foreseeable future. Our expenses may increase in the foreseeable future as a result of continued research and development of our product candidates, including the three products returned to us by Pfizer under the Pfizer Agreement, maintaining and expanding the scope of our intellectual property, commercializing our Nexafed product, and hiring of additional research and development staff.</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need to generate revenues from direct product sales or indirectly from royalties on sales to achieve and maintain profitability. If we cannot successfully commercialize Nexafed, if Pfizer does not successfully commercialize Oxecta, or if we or our licensee (if any) cannot successfully develop, obtain regulatory approval and commercialize our products in development, we will not be able to generate such royalty revenues or achieve future profitability. Our failure to achieve or maintain profitability would have a material adverse impact on the market price of our common stock.</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must rely on current cash reserves, technology licensing fees and third party financing to fund operations.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Pending the receipt of royalties, if any, under the Pfizer Agreement or milestone payments and royalties under similar license agreements that we may enter into with other pharmaceutical companies in the future, of which no assurance can be given, we must rely on our current cash reserves, revenues from sales of Nexafed and third-party financing to fund operations and product development activities. No assurance can be given that current cash reserves or revenues from Nexafed product sales will be sufficient to fund the continued operations and development of our product candidates until such time as we generate additional revenue from the Pfizer Agreement or any similar future license agreements. Moreover, no assurance can be given that we will be successful in raising additional financing or, if funding is obtained, that such funding will be sufficient to fund operations until product candidates utilizing our Aversion and Impede Technologies may be commercialized.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Oxecta and other Aversion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commercial success of our Aversion Technology products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 has publicly stated that explicit indications or claims of abuse deterrence will not be permitted unless such indications or claims are supported by double blind controlled clinical studies demonstrating an actual reduction in product abuse by patients or drug abusers. Because the cost, time and practicality of designing and implementing clinical studies adequate to support explicit claims of abuse deterrence are prohibitive, we and Pfizer are not pursuing and have not conducted the clinical trials necessary to include an explicit product label claim of abuse deterrence. Instead, we will rely on certain clinical and laboratory studies to support product labeling describing the relative difficulty of abusing or misusing our products and such products’ abuse deterrent features. However, the extent to which such information is included in the FDA approved product label is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Oxecta includes the results from a clinical study which evaluated the effects of nasally snorting crushed Oxecta and commercially available oxycodone tablets and limitations on wetting or dissolving Oxecta, it does not, however, include the results of our laboratory studies intended to evaluate Oxecta’s potential to limit extraction of oxycodone HCl from dissolved Oxecta Tablets and resist conversion into an injectable, or IV solution. The absence of the results of these extraction and syringe studies in the FDA approved label for Oxecta may substantially limit Pfizer’s ability to differentiate Oxecta from other immediate release oxycodone products, which would have a material adverse effect on market acceptance of Oxecta and on our business and results of operations.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FDA approved labeling for Oxecta,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the FDA closely regulates promotional materials and other promotional activities, even if the FDA initially approves product labeling that includes a description of the abuse deterrent characteristics of our product, as in the case of Oxecta, the FDA may object to our or our licensee’s marketing claims and product advertising campaigns. This could lead to the issuance of warning letters or untitled letters, suspension or withdrawal of Oxecta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committing a majority of our resources to the development of product candidates utilizing our Aversion and Impede Technologies. Notwithstanding the receipt of FDA approval of Oxecta Tablets and our marketing of Nexafed, there can be no assurance that any other product candidate utilizing our Aversion or Impede Technologies will meet FDA’s standards for commercial distribution. Further there can be no assurance that other product candidates that may be developed using Aversion Technology or Impede Technology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effect on our financial condition.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the FDA disagrees with our determination that certain of our products meet the over-the-counter, or OTC, requirements, once those products are commercialized, they may be removed from the market; the FDA or the U.S. Federal Trade Commission, or FTC, may object to our advertisement and promotion of the extraction characteristics and benefits of Nexafed.</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Nexafed is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Nexafed which are supported by our research studies. No assurance can be given, however, that the FDA will agree that Nexafed may be sold under the FDA’s OTC monograph product regulations or that the FDA or FTC will not object to our advertisement and promotion of Nexafed’s extraction characteristics and benefits. If the FDA determines that Nexafed does not conform to the OTC monograph or if we fail to meet the general conditions, once commercialized, the product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If the FDA requires that we submit a NDA or ANDA to obtain marketing approval for Nexafed, this would result in substantial additional costs, suspend the commercialization of Nexafed and require FDA approval prior to sale, of which no assurance can be provided. In such case, the label for Nexafed would be subject to FDA review and approval and there can be no assurance that we will be able to market Nexafed with labeling sufficient to differentiate it from products that have comparable therapeutic profiles. If we are unable to advertise and promote the extraction characteristics of Nexafed, we may be unable to compete with national brands and pharmacy chain store brands.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Aversion and Impede Technology products may not be successful in limiting or impeding abuse or misuse upon commercialization.</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committing a majority of our resources to the development of products utilizing our Aversion and Impede Technologies. Notwithstanding the receipt of FDA approval of Oxecta Tablets and the results of our numerous clinical and laboratory studies for Oxecta, Nexafed, and our Aversion and Impede Technology products in development, there can be no assurance that Oxecta, Nexafed or any other product utilizing our Aversion or Impede Technologies will perform as tested and limit or impede the actual abuse or misuse of such products in commercial settings. Moreover, there can be no assurance that the post-approval epidemiological study required by the FDA as a condition of approval of Oxecta will show a reduction in the consequences of abuse and misuse by patients for whom Oxecta is prescribed. The failure of Oxecta, Nexafed or other products utilizing our Aversion and Impede Technologies to limit or impede actual abuse or misuse in practice will have a material adverse impact on market acceptance for such products and on our financial condition and results of operations.</w:t>
      </w:r>
    </w:p>
    <w:p>
      <w:pPr>
        <w:spacing w:after="0" w:line="192"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 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an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current good manufacturing practice or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drug products, including Nexafed,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for some reason our contract manufacturers cannot perform as agreed, we may be required to replace them. Although we believe there are a number of potential replacements, we may incur added costs and delays in identifying and qualifying any such replacements. In addition, a new manufacturer would have to be educated in, or develop substantially equivalent processes for, production of our drug candidates.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an NDA the FDA may refuse to file the application, deny approval of the application, require additional testing or data and/or require post-marketing testing and surveillance to monitor the safety or efficacy of a product. For instance, the FDA’s approval of Oxecta is conditioned on Pfizer conducting a post-approval epidemiological study to assess the actual abuse levels and consequences of Oxecta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never obtain regulatory approval for any of our product candidates in development. For example, we previously submitted an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Oxecta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8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or Impede Technologies, which could adversely affect our business and results of operations.</w:t>
      </w:r>
    </w:p>
    <w:p>
      <w:pPr>
        <w:spacing w:after="0" w:line="178"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Pfizer Agreement grants Pfizer an exclusive license to develop and commercialize Oxecta. We believe that opportunities exist to enter into agreements similar to the Pfizer Agreement with other partners for the commercialization of Oxecta outside the Pfizer Territory, for the development and commercialization of our other opioid analgesic products (including the products returned to us by Pfizer under the Pfizer Agreement) in the United States and worldwide,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adversely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part of our Pfizer Agreement or other future similar license agreements (if any), we do not and will not have day-to-day control over the activities of our licensees with respect to any product candidate. If a licensee fails to fulfill its obligations under an agreement with us, we may be unable to assume the development of the product candidate covered by that agreement or to enter into alternative arrangements with another third party. In addition, we may encounter delays in the commercialization of the product candidate that is the subject of a license agreement. Accordingly, our ability to receive any revenue from the product candidates covered by such agreements will be dependent on the efforts of our licensee. We could be involved in disputes with a licensee, which could lead to delays in or termination of, our development and commercialization programs and result in time consuming and expensive litigation or arbitration. In addition, any such dispute could diminish our licensee’s commitment to us and reduce the resources they devote to developing and commercializing our products. If any licensee terminates or breaches its agreement, or otherwise fails to complete its obligations in a timely manner, our chances of successfully developing or commercializing our product candidates would be materially adversely effected. Additionally, due to the nature of the market for our product candidates, it may be necessary for us to license all or a significant portion of our product candidates to a single company thereby eliminating our opportunity to commercialize other product candidates with other licensees.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maintain our license agreement with Pfizer, we may have to commercialize Oxecta on our own.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plan for manufacturing and commercializing Oxecta Tablets currently requires us to maintain our license agreement with Pfizer. In addition to other customary termination provisions, the Pfizer Agreement provides that Pfizer may terminate the Pfizer Agreement at any time upon written notice to us. If Pfizer elects to terminate the Pfizer Agreement, or if we are otherwise unable to maintain our existing relationship with Pfizer, we would have to commercialize Oxecta ourselves for which we currently have no infrastructure, or alternatively enter into a new agreement with another pharmaceutical company, of which no assurance can be given. Our ability to commercialize Oxecta on our own may require additional financing, which may not be available on acceptable terms, or at all.</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pharmacy chains to stock our Impede Technology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Oxecta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Impede Technology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left="180"/>
        <w:spacing w:after="0"/>
        <w:rPr>
          <w:sz w:val="20"/>
          <w:szCs w:val="20"/>
          <w:color w:val="auto"/>
        </w:rPr>
      </w:pPr>
      <w:r>
        <w:rPr>
          <w:rFonts w:ascii="Arial" w:cs="Arial" w:eastAsia="Arial" w:hAnsi="Arial"/>
          <w:sz w:val="18"/>
          <w:szCs w:val="18"/>
          <w:b w:val="1"/>
          <w:bCs w:val="1"/>
          <w:i w:val="1"/>
          <w:iCs w:val="1"/>
          <w:color w:val="auto"/>
        </w:rPr>
        <w:t>If we are not successful in commercializing Nexafed and other Impede Technology products our revenues and business will suffer.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commenced the launch and commercial distribution of Nexafed in mid-December 2012. Nexafed will compete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Nexafed will compete with national brands as well as pharmacy store brands that are offered at a lower price. There can be no assurance that we will succeed in commercializing Nexafed, or that even if commercialized, that the pricing of Nexafed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Nexafed as an OTC product and generate revenue from Nexafed product sales.</w:t>
      </w:r>
    </w:p>
    <w:p>
      <w:pPr>
        <w:spacing w:after="0" w:line="17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beginning in 2011;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 beginning in 2011;</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w:t>
      </w:r>
    </w:p>
    <w:p>
      <w:pPr>
        <w:spacing w:after="0" w:line="17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our agreement with Pfizer, Pfizer controls the price of Oxecta and may provide price discounts and price reductions in its discretion. Such price discounts and reductions will reduce the net sales of our licensed products and, correspondingly, our royalty payments, if any, under the Pfizer Agreement.</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 No. 7,201,920 and U.S. Patent No. 7,510,726 from the USPTO encompassing our opioid products utilizing our Aversion Technology, and U.S. Patent No. 7,981,439 encompassing certain non-opioid products utilizing our Aversion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affect on our operations and financial condition.</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rely on or intend to rely on our trademarks, trade names and brand names to distinguish our products from the products of our competitors, and have registered or applied to register many of these trademarks. However, our trademark applications may not be approved. Third parties may also oppose our trademark applications or otherwise challenge our use of the trademarks. In the event that our trademarks are successfully challenged, we could be forced to rebrand our product, which could result in loss of brand recognition and could require us to devote resources to advertising and marketing these new brands. Further, our competitors may infringe our trademarks, or we may not have adequate resources to enforce our trademarks.</w:t>
      </w:r>
    </w:p>
    <w:p>
      <w:pPr>
        <w:spacing w:after="0" w:line="15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hanging="324"/>
        <w:spacing w:after="0" w:line="261"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648"/>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our licensee Pfizer has the first right to control the enforcement of certain of our patents against third party infringers. Pfizer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Oxecta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Pfizer will not be sued for infringing these patents, and if sued, there can be no assurance that we or Pfizer will prevail in any such litigation. If we or Pfizer are found to infringe either or both of these patents, we or Pfizer may seek a license to use the patented technology. If we are unable to obtain such a license, of which no assurance can be given, we or Pfizer may be restricted or prevented from commercializing our Aversion products.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Oxecta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Pfizer or its oxycodone HCl supplier will not be sued for infringing these patents. In the event of an infringement action, Pfizer and their oxycodone HCl supplier would have to either: (a) demonstrate that the manufacture of the oxycodone HCl used in Oxecta does not infringe the patent claims, (b) demonstrate the patents are invalid or unenforceable, or (c) enter into a license with the patent owner. If Pfizer or their oxycodone HCl supplier is unable to demonstrate the foregoing, or obtain a license to these patients, Pfizer may be required or choose to withdraw Oxecta from the market.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648"/>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less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affect on our operations and financial condition.</w:t>
      </w:r>
    </w:p>
    <w:p>
      <w:pPr>
        <w:spacing w:after="0" w:line="181"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Oxecta, which could cause our and our licensee’s sales to suffer.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have 45 days to bring a patent infringement suit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Pfizer has advised us that it will not exercise its first right under our license agreement to control the enforcement of our patents licensed to Pfizer for Oxecta against these generic sponsors. As a result, on October 31, 2012, we initiated suit against each of Watson Laboratories, Inc. - Florida, Par Pharmaceutical, Inc., Impax Laboratories, Inc. and Sandoz Inc.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The above actions are referred to as the “</w:t>
      </w:r>
      <w:r>
        <w:rPr>
          <w:rFonts w:ascii="Arial" w:cs="Arial" w:eastAsia="Arial" w:hAnsi="Arial"/>
          <w:sz w:val="16"/>
          <w:szCs w:val="16"/>
          <w:i w:val="1"/>
          <w:iCs w:val="1"/>
          <w:color w:val="auto"/>
        </w:rPr>
        <w:t>Paragraph IV Proceedings</w:t>
      </w:r>
      <w:r>
        <w:rPr>
          <w:rFonts w:ascii="Arial" w:cs="Arial" w:eastAsia="Arial" w:hAnsi="Arial"/>
          <w:sz w:val="16"/>
          <w:szCs w:val="16"/>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 Paragraph IV Proceedings. If any of these generic companies prevails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 Paragraph IV Proceedings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Product liability claims might be made by patients, or health care providers or others that sell or consume our products. These claims may be made even with respect to those products that possess regulatory approval for commercial sale. We are currently covered by clinical trial product liability insurance on a claims-made basis and for product liability insurance covering our sale and distribution of Nexafed. This coverage may not be adequate to cover any product liability claims. Product liability coverage is expensive. In the future, we may not be able to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w:t>
      </w:r>
    </w:p>
    <w:p>
      <w:pPr>
        <w:spacing w:after="0" w:line="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discussed below under “Item 3. Legal Proceedings”. Such litigation may have material adverse consequences to our financial condition and results of operations.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Pain Therapeutics, in collaboration with Pfizer, Purdue Pharma, Atlantic Pharmaceuticals, Egalet a/s, KemPharm and Collegium Pharmaceuticals, Inc. These companies appear to be focusing their development efforts on ER Opioid Products, except for Atlantic Pharmaceuticals, while the majority of our Aversion Technology opioid analgesic product candidates under development are IR Opioid Products. Pfizer, our partner in commercializing Oxecta, is also developing and/or marketing ER Opioid Products, other analgesic products and non-analgesic products, all of which will compete for development and commercialization resources with our products, which may delay development or adversely impact the sales of our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648"/>
        <w:spacing w:after="0" w:line="276" w:lineRule="auto"/>
        <w:rPr>
          <w:sz w:val="20"/>
          <w:szCs w:val="20"/>
          <w:color w:val="auto"/>
        </w:rPr>
      </w:pPr>
      <w:r>
        <w:rPr>
          <w:rFonts w:ascii="Arial" w:cs="Arial" w:eastAsia="Arial" w:hAnsi="Arial"/>
          <w:sz w:val="17"/>
          <w:szCs w:val="17"/>
          <w:color w:val="auto"/>
        </w:rPr>
        <w:t>Our Impede Technology products containing PSE, including Nexafed,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directly with Johnson &amp; Johnson’s Sudafed® brand as well as generic formulations manufactured by Perrigo Company and others.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profits.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certain employees,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quarterly and annual operating results are likely to fluctuate in the future. These fluctuations could cause our stock price to decline. The nature of our business involves variable factors, such as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Volatility in stock prices of other companies may contribute to volatility in our stock price.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price of our common stock, like the market price for securities of pharmaceutical and biotechnology companies, has historically been highly volatile. The stock market from time to time experiences significant price and volume fluctuations unrelated to the operating performance of particular companies. Factors, such as fluctuations in our operating results, future sales of our common stock, announcements of the timing and amount of product sales, announcements of the status of development of our products, announcements of technological innovations or new therapeutic products by us or our competitors, announcements regarding collaborative agreements, laboratory or clinical trial results, government regulation, FDA determinations on the approval of a product candidate NDA submission, developments in patent or other proprietary rights, public concern as to the safety of drugs developed by us or others, changes in reimbursement policies, comments made by securities analysts and general market conditions may have a substantial effect on the market price of our common stock. In the past, following periods of volatility in the market price of a company’s securities, securities class action litigation and shareholder derivative litigation has often been instituted. A securities class action suit or shareholder derivative suit against us could result in substantial costs, potential liabilities and the diversion of management’s attention and resources and result in a material adverse affect on our financial condition and results of operations.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stock price has been volatile and there may not be an active, liquid trading market for our common stock.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stock price has experienced significant price and volume fluctuations and may continue to experience volatility in the future. Factors that may have a material impact on the price of our common stock, in addition to the other issues described herein, include the launch and commercial success of Oxecta and Nexafed, results of or delays in our pre-clinical and clinical studies, any delays in, or failure to receive FDA approval of our product candidates, the entry into collaboration or license agreements relating to our products in development, announcements of technological innovations or new commercial products by us or others, developments in patents and other proprietary rights by us or others, future sales of our common stock by existing stockholders, regulatory developments or changes in regulatory guidance, the departure of our officers, directors or key employees, and period-to-period fluctuations in our financial results. Also, you may not be able to sell your shares at the best market price if trading in our stock is not active or if the volume is low. There is no assurance that an active trading market for our common stock will be maintained on the NASDAQ Capital Market.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ind w:firstLine="648"/>
        <w:spacing w:after="0" w:line="297" w:lineRule="auto"/>
        <w:rPr>
          <w:sz w:val="20"/>
          <w:szCs w:val="20"/>
          <w:color w:val="auto"/>
        </w:rPr>
      </w:pPr>
      <w:r>
        <w:rPr>
          <w:rFonts w:ascii="Arial" w:cs="Arial" w:eastAsia="Arial" w:hAnsi="Arial"/>
          <w:sz w:val="16"/>
          <w:szCs w:val="16"/>
          <w:color w:val="auto"/>
        </w:rPr>
        <w:t>The National Association of Securities Dealers, Inc., or NASD, and the Securities and Exchange Commission, or SEC, have adopted rules relating to the listing of publicly traded stock. If we were unable to continue to comply with such rules, we could be delisted from trading on the NASDAQ Capital Market and thereafter trading in our common stock, if any, would be conducted through the Over-the-Counter Bulletin Board of the NASD. As a consequence of such delisting, an investor would likely find it more difficult to dispose of, or to obtain quotations as to the price of, our common stock. Delisting of our common stock from the NASDAQ Capital Market could also result in lower prices per share of our common stock than would otherwise prevail.</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Because Our Principal Shareholders Control A Large Percentage Of Our Voting Power, Other Stockholders' Voting Power May Be Limited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principal shareholders, Galen Partners III, L.P and its affiliates, Care Capital Investments II, LP and its affiliate and Essex Woodlands Health Ventures V, beneficially own approximately 29.8%, 23.0% and 22.2%, respectively, of our outstanding common stock (calculated in accordance with Rule 13d-3 promulgated under the Securities Exchange Act of 1934, as amended). Accordingly, these shareholders, individually or if they were to act as a group or vote in the same manner, may be able to influence the outcome of shareholder votes, including the adoption or amendment of provisions in our Certificate of Incorporation or By-Laws and the approval of mergers and other significant corporate transactions, including a sale of substantially all of our assets. These shareholders may make decisions that are adverse to other shareholders' interests. This ownership concentration may also adversely affect the market price of our common stock.</w:t>
      </w:r>
    </w:p>
    <w:p>
      <w:pPr>
        <w:spacing w:after="0" w:line="18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accordance with the terms of the Securities Purchase Agreement dated August 20, 2007 between us and the investors named therein, we filed a registration statement with and declared effective by the SEC, to register the shares included in our Units issued pursuant to the Securities Purchase Agreement, including shares underlying warrants included in the Units. In addition, pursuant to the exercise of previously granted piggyback registration rights, each of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34,243,273 shares (representing approximately 65% of our shares outstanding on a fully-diluted basis – including all derivative securities, whether or not currently exercisable) are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lower our value and make it more difficult for us to raise capital if needed in the future.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left="180"/>
        <w:spacing w:after="0"/>
        <w:rPr>
          <w:sz w:val="20"/>
          <w:szCs w:val="20"/>
          <w:color w:val="auto"/>
        </w:rPr>
      </w:pPr>
      <w:r>
        <w:rPr>
          <w:rFonts w:ascii="Arial" w:cs="Arial" w:eastAsia="Arial" w:hAnsi="Arial"/>
          <w:sz w:val="17"/>
          <w:szCs w:val="17"/>
          <w:b w:val="1"/>
          <w:bCs w:val="1"/>
          <w:i w:val="1"/>
          <w:iCs w:val="1"/>
          <w:color w:val="auto"/>
        </w:rPr>
        <w:t>Future sales of our common stock in the public market by our significant stockholders or other insiders could lower our share price.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of substantial amounts of our common stock in the public market, or the perception that the sales could occur, could cause the market price of our common stocks to decline and could materially impair our future ability to raise capital through offerings of our common stock. As of December 31, 2012, our directors, executive officers, Galen Partners III, L.P. and its affiliates, Care Capital Investments II, LP and its affiliate, and Essex Woodlands Health Ventures V, L.P. owned an aggregate of approximately 73% of our common stock, or 33,507,053 shares. They will be able to sell these shares under Rule 144 of the Securities Act, subject to restrictions in the case of shares held by persons deemed to be our affiliates, or pursuant to our registration statement declared effective by the SEC on November 20,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2012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from an unaffiliated Lessor, approximately 1,600 square feet of administrative office space at 616 N. North Court, Suite 120, Palatine, Illinois 60067. The lease agreement has a term expiring March 31, 2014. The lease agreement provides for rent, property taxes, common area maintenance, and janitorial services on an annualized basis of approximately $25,000 per year. We utilize this lease space for our administrative, marketing and business development functions.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and Impede Technologies at the facility we own located at 16235 State Road 17, Culver, Indiana. At this location, our wholly-owned subsidiary Acura Pharmaceutical Technologies, Inc.,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Pfizer has advised us that they will not exercise their first right under the Pfizer Agreement to control the enforcement of our patents licensed to Pfizer for Oxecta against these generic sponsors. As a result, on October 31, 2012, we initiated suit against each of Watson Laboratories, Inc. – Florida (Watson), Par Pharmaceutical, Inc., Impax Laboratories, Inc. and Sandoz Inc.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right="20" w:firstLine="648"/>
        <w:spacing w:after="0" w:line="308" w:lineRule="auto"/>
        <w:rPr>
          <w:sz w:val="20"/>
          <w:szCs w:val="20"/>
          <w:color w:val="auto"/>
        </w:rPr>
      </w:pPr>
      <w:r>
        <w:rPr>
          <w:rFonts w:ascii="Arial" w:cs="Arial" w:eastAsia="Arial" w:hAnsi="Arial"/>
          <w:sz w:val="17"/>
          <w:szCs w:val="17"/>
          <w:color w:val="auto"/>
        </w:rPr>
        <w:t>On January 2, 2013, our motion to dismiss the suit against Watson on the grounds that Watson had amended its ANDA from a Paragraph IV certification to Paragraph III, which indicated its intent not to market its product in advance of our patents expiring, was accepted by the Court.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these infringement actions. If any of these generic companies prevails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have a material adverse affect on our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Citizen’s Petition filing with FDA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designating Oxecta as an RLD, we believe the FDA has acknowledged that Oxecta contains unique properties and/or a unique label that is different from other FDA approved immediate-release oxycodone HCl tablets that do not contain abuse resistant characteristics. As required by the Food and Drug Administration Safety and Innovation Act of July 2012, the FDA published for comment a draft guidance on the development of abuse-deterrent drug products in January 2013. We believe the ANDA applicants that refer to Oxecta as an RLD will have to have substantially equivalent, if not identical, abuse deterrent characteristics to be considered by the FDA as therapeutically equivalent to Oxecta. There can be no assurance, however, that FDA will rely on such guidance for ANDA applicants.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September 21, 2012, Pfizer, as licensee of our Aversion Technology used in Oxecta under the Pfizer Agreement, filed a Citizen’s Petition with the FDA requesting that the FDA: (1) refrain from permitting an ANDA applicant to rely on Oxecta as a reference listed drug unless the ANDA applicant demonstrates that its product uses the same inactive ingredients as those in Oxecta; (ii) require an ANDA applicant seeking approval of a product that relies on Oxecta as the reference listed drug and uses inactive ingredients different from those in Oxecta to submit an NDA under Section 505(b)(2) of the Federal Food, Drug and Cosmetics Act; and (iii) refrain from rating a product as therapeutically equivalent to Oxecta unless it has the same inactive ingredients as Oxecta. On February 15, 2013 the FDA denied without comment this Citizen’s Petition.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Reglan®/Metoclopramide Litigation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Philadelphia,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On November 28, 2012, the Pennsylvania Superior Court heard the appellate oral argument. A decision on this appeal should be issued later this year and a further appeal to the Pennsylvania Supreme Court likely will follow.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California, the trial court issued an April 17, 2012 ruling (confirmed in a May 25, 2012 Order) denying Generic Defendants’ dispositive preemption motions. The Generics Defendants’ appeals from this order were denied by the California appellate courts. Therefore, plaintiffs are now permitted to proceed with their lawsuits including state law claims based on (1) failing to communicate warnings to physicians through “Dear Doctor” letters; (2) failure to update labeling to adopt brand labeling changes; and (3) failure to withdraw generic products from the market. Despite its refusal to grant the demurrer or motion to strike, the California trial court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As any potential loss is neither probable nor estimable, we have not accrued for any potential loss related to this matter as of December 31, 2012. Legal fees related to this matter are currently covered by our insurance carrier.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and Market Prices of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60" w:type="dxa"/>
            <w:vAlign w:val="bottom"/>
          </w:tcPr>
          <w:p>
            <w:pPr>
              <w:ind w:left="3140"/>
              <w:spacing w:after="0"/>
              <w:rPr>
                <w:sz w:val="20"/>
                <w:szCs w:val="20"/>
                <w:color w:val="auto"/>
              </w:rPr>
            </w:pPr>
            <w:r>
              <w:rPr>
                <w:rFonts w:ascii="Arial" w:cs="Arial" w:eastAsia="Arial" w:hAnsi="Arial"/>
                <w:sz w:val="18"/>
                <w:szCs w:val="18"/>
                <w:color w:val="auto"/>
              </w:rPr>
              <w:t>Period</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High</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4"/>
              </w:rPr>
              <w:t>Sale Prices</w:t>
            </w:r>
          </w:p>
        </w:tc>
        <w:tc>
          <w:tcPr>
            <w:tcW w:w="960" w:type="dxa"/>
            <w:vAlign w:val="bottom"/>
            <w:vMerge w:val="restart"/>
          </w:tcPr>
          <w:p>
            <w:pPr>
              <w:jc w:val="right"/>
              <w:ind w:right="47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2011 Fiscal Year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First Quarter</w:t>
            </w:r>
          </w:p>
        </w:tc>
        <w:tc>
          <w:tcPr>
            <w:tcW w:w="25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ind w:left="60"/>
              <w:spacing w:after="0"/>
              <w:rPr>
                <w:sz w:val="20"/>
                <w:szCs w:val="20"/>
                <w:color w:val="auto"/>
              </w:rPr>
            </w:pPr>
            <w:r>
              <w:rPr>
                <w:rFonts w:ascii="Arial" w:cs="Arial" w:eastAsia="Arial" w:hAnsi="Arial"/>
                <w:sz w:val="18"/>
                <w:szCs w:val="18"/>
                <w:color w:val="auto"/>
              </w:rPr>
              <w:t>3.62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Second Quarter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6.80</w:t>
            </w: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Third Quarter</w:t>
            </w:r>
          </w:p>
        </w:tc>
        <w:tc>
          <w:tcPr>
            <w:tcW w:w="25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4.10</w:t>
            </w:r>
          </w:p>
        </w:tc>
        <w:tc>
          <w:tcPr>
            <w:tcW w:w="4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Fourth Quarter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5.49</w:t>
            </w: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2012 Fiscal Year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First Quarter</w:t>
            </w:r>
          </w:p>
        </w:tc>
        <w:tc>
          <w:tcPr>
            <w:tcW w:w="25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ind w:left="60"/>
              <w:spacing w:after="0"/>
              <w:rPr>
                <w:sz w:val="20"/>
                <w:szCs w:val="20"/>
                <w:color w:val="auto"/>
              </w:rPr>
            </w:pPr>
            <w:r>
              <w:rPr>
                <w:rFonts w:ascii="Arial" w:cs="Arial" w:eastAsia="Arial" w:hAnsi="Arial"/>
                <w:sz w:val="18"/>
                <w:szCs w:val="18"/>
                <w:color w:val="auto"/>
              </w:rPr>
              <w:t>4.23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Second Quarter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3.56</w:t>
            </w: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Third Quarter</w:t>
            </w:r>
          </w:p>
        </w:tc>
        <w:tc>
          <w:tcPr>
            <w:tcW w:w="250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3.26</w:t>
            </w:r>
          </w:p>
        </w:tc>
        <w:tc>
          <w:tcPr>
            <w:tcW w:w="4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Fourth Quarter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4.50</w:t>
            </w: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2013 Fiscal Year</w:t>
            </w:r>
          </w:p>
        </w:tc>
        <w:tc>
          <w:tcPr>
            <w:tcW w:w="25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500"/>
              <w:spacing w:after="0"/>
              <w:rPr>
                <w:sz w:val="20"/>
                <w:szCs w:val="20"/>
                <w:color w:val="auto"/>
              </w:rPr>
            </w:pPr>
            <w:r>
              <w:rPr>
                <w:rFonts w:ascii="Arial" w:cs="Arial" w:eastAsia="Arial" w:hAnsi="Arial"/>
                <w:sz w:val="18"/>
                <w:szCs w:val="18"/>
                <w:color w:val="auto"/>
              </w:rPr>
              <w:t>First Quarter (through January 31, 2013)</w:t>
            </w:r>
          </w:p>
        </w:tc>
        <w:tc>
          <w:tcPr>
            <w:tcW w:w="25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ind w:left="60"/>
              <w:spacing w:after="0"/>
              <w:rPr>
                <w:sz w:val="20"/>
                <w:szCs w:val="20"/>
                <w:color w:val="auto"/>
              </w:rPr>
            </w:pPr>
            <w:r>
              <w:rPr>
                <w:rFonts w:ascii="Arial" w:cs="Arial" w:eastAsia="Arial" w:hAnsi="Arial"/>
                <w:sz w:val="18"/>
                <w:szCs w:val="18"/>
                <w:color w:val="auto"/>
              </w:rPr>
              <w:t>2.77</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approximately 600 holders of record of our common stock on February 28, 2013. This number, however, does not reflect the ultimate number of beneficial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Reference is made to the Company’s Proxy Statement for its 2013 Annual Meeting of Shareholders under the caption “Compensation of Executive Officers and Directors - Restricted Stock Unit Award Plan; and Securities Authorized for Issuance under Equity Compensation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2012, 2011, 2010, 2009 and 2008 are derived from our audited Consolidated Financial Statements. The Consolidated Financial Statements as of December 31, 2012 and 2011 and for each of the years in the three-year period ended December 31, 2012, and the reports thereon, are included elsewhere in this Report. The selected financial information presented for our 2009 and 2008 operations and for our 2010, 2009 and 2008 balance sheets are derived from our audited Consolidated Financial Statements not presented in this Report.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below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OPERATING DATA (in thousands) except per share data</w:t>
            </w:r>
          </w:p>
        </w:tc>
        <w:tc>
          <w:tcPr>
            <w:tcW w:w="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2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4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2009</w:t>
            </w:r>
          </w:p>
        </w:tc>
        <w:tc>
          <w:tcPr>
            <w:tcW w:w="14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FFCC"/>
            </w:tcBorders>
          </w:tcPr>
          <w:p>
            <w:pPr>
              <w:spacing w:after="0"/>
              <w:rPr>
                <w:sz w:val="20"/>
                <w:szCs w:val="20"/>
                <w:color w:val="auto"/>
              </w:rPr>
            </w:pPr>
          </w:p>
        </w:tc>
      </w:tr>
      <w:tr>
        <w:trPr>
          <w:trHeight w:val="223"/>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20,466</w:t>
            </w:r>
          </w:p>
        </w:tc>
        <w:tc>
          <w:tcPr>
            <w:tcW w:w="22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3,311</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3,835</w:t>
            </w:r>
          </w:p>
        </w:tc>
        <w:tc>
          <w:tcPr>
            <w:tcW w:w="14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44,437</w:t>
            </w:r>
          </w:p>
        </w:tc>
        <w:tc>
          <w:tcPr>
            <w:tcW w:w="100" w:type="dxa"/>
            <w:vAlign w:val="bottom"/>
            <w:shd w:val="clear" w:color="auto" w:fill="CCFFC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4160" w:type="dxa"/>
            <w:vAlign w:val="bottom"/>
            <w:shd w:val="clear" w:color="auto" w:fill="CCFFCC"/>
          </w:tcPr>
          <w:p>
            <w:pPr>
              <w:ind w:left="180"/>
              <w:spacing w:after="0" w:line="269"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30"/>
                <w:szCs w:val="30"/>
                <w:color w:val="auto"/>
                <w:vertAlign w:val="superscript"/>
              </w:rPr>
              <w:t>(1)</w:t>
            </w:r>
          </w:p>
        </w:tc>
        <w:tc>
          <w:tcPr>
            <w:tcW w:w="8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3,726</w:t>
            </w:r>
          </w:p>
        </w:tc>
        <w:tc>
          <w:tcPr>
            <w:tcW w:w="12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4,037</w:t>
            </w:r>
          </w:p>
        </w:tc>
        <w:tc>
          <w:tcPr>
            <w:tcW w:w="22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7,177</w:t>
            </w:r>
          </w:p>
        </w:tc>
        <w:tc>
          <w:tcPr>
            <w:tcW w:w="8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5,673</w:t>
            </w:r>
          </w:p>
        </w:tc>
        <w:tc>
          <w:tcPr>
            <w:tcW w:w="6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14,322</w:t>
            </w:r>
          </w:p>
        </w:tc>
      </w:tr>
      <w:tr>
        <w:trPr>
          <w:trHeight w:val="270"/>
        </w:trPr>
        <w:tc>
          <w:tcPr>
            <w:tcW w:w="4160" w:type="dxa"/>
            <w:vAlign w:val="bottom"/>
          </w:tcPr>
          <w:p>
            <w:pPr>
              <w:ind w:left="180"/>
              <w:spacing w:after="0" w:line="269"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30"/>
                <w:szCs w:val="30"/>
                <w:color w:val="auto"/>
                <w:vertAlign w:val="superscript"/>
              </w:rPr>
              <w:t>(2)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8,858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11,662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9,133</w:t>
            </w:r>
          </w:p>
        </w:tc>
      </w:tr>
      <w:tr>
        <w:trPr>
          <w:trHeight w:val="230"/>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30"/>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Other (expense) income</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(Loss) income before income tax</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10,532</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(12,696)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(13,356)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21,759</w:t>
            </w:r>
          </w:p>
        </w:tc>
      </w:tr>
      <w:tr>
        <w:trPr>
          <w:trHeight w:val="230"/>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7,285</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7"/>
              </w:rPr>
              <w:t>Net (loss) income applicable to common stockholders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10,385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(12,707)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(15,835)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14,474</w:t>
            </w:r>
          </w:p>
        </w:tc>
      </w:tr>
      <w:tr>
        <w:trPr>
          <w:trHeight w:val="230"/>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(Loss) earnings per share: Basic</w:t>
            </w:r>
          </w:p>
        </w:tc>
        <w:tc>
          <w:tcPr>
            <w:tcW w:w="3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(0.20)</w:t>
            </w:r>
          </w:p>
        </w:tc>
        <w:tc>
          <w:tcPr>
            <w:tcW w:w="400" w:type="dxa"/>
            <w:vAlign w:val="bottom"/>
            <w:gridSpan w:val="2"/>
            <w:shd w:val="clear" w:color="auto" w:fill="CCFFCC"/>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(0.35)</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0.32</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(Loss) earnings per share: Diluted</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r>
      <w:tr>
        <w:trPr>
          <w:trHeight w:val="202"/>
        </w:trPr>
        <w:tc>
          <w:tcPr>
            <w:tcW w:w="41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89"/>
              </w:rPr>
              <w:t>Weighted average shares used in computing net earnings</w:t>
            </w:r>
          </w:p>
        </w:tc>
        <w:tc>
          <w:tcPr>
            <w:tcW w:w="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44"/>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(loss) per share: Basic</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47,521</w:t>
            </w:r>
          </w:p>
        </w:tc>
        <w:tc>
          <w:tcPr>
            <w:tcW w:w="1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47,496</w:t>
            </w:r>
          </w:p>
        </w:tc>
        <w:tc>
          <w:tcPr>
            <w:tcW w:w="26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47,029</w:t>
            </w:r>
          </w:p>
        </w:tc>
        <w:tc>
          <w:tcPr>
            <w:tcW w:w="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45,932</w:t>
            </w:r>
          </w:p>
        </w:tc>
        <w:tc>
          <w:tcPr>
            <w:tcW w:w="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45,675</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w w:val="89"/>
              </w:rPr>
              <w:t>Weighted average shares used in computing net earnings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160" w:type="dxa"/>
            <w:vAlign w:val="bottom"/>
          </w:tcPr>
          <w:p>
            <w:pPr>
              <w:ind w:left="180"/>
              <w:spacing w:after="0"/>
              <w:rPr>
                <w:sz w:val="20"/>
                <w:szCs w:val="20"/>
                <w:color w:val="auto"/>
              </w:rPr>
            </w:pPr>
            <w:r>
              <w:rPr>
                <w:rFonts w:ascii="Arial" w:cs="Arial" w:eastAsia="Arial" w:hAnsi="Arial"/>
                <w:sz w:val="18"/>
                <w:szCs w:val="18"/>
                <w:color w:val="auto"/>
              </w:rPr>
              <w:t>(loss) per share: Diluted</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48,007</w:t>
            </w: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47,029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45,932</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49,416</w:t>
            </w:r>
          </w:p>
        </w:tc>
      </w:tr>
      <w:tr>
        <w:trPr>
          <w:trHeight w:val="675"/>
        </w:trPr>
        <w:tc>
          <w:tcPr>
            <w:tcW w:w="4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99"/>
              </w:rPr>
              <w:t>42</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44" w:name="page45"/>
    <w:bookmarkEnd w:id="44"/>
    <w:p>
      <w:pPr>
        <w:ind w:right="780" w:firstLine="8"/>
        <w:spacing w:after="0" w:line="258"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stock-based compensation expense of approximately $400, $500, $1,700, $1,900 and $600 for years 2012, 2011, 2010, 2009 and 2008, respectively.</w:t>
      </w:r>
    </w:p>
    <w:p>
      <w:pPr>
        <w:spacing w:after="0" w:line="1" w:lineRule="exact"/>
        <w:rPr>
          <w:rFonts w:ascii="Arial" w:cs="Arial" w:eastAsia="Arial" w:hAnsi="Arial"/>
          <w:sz w:val="18"/>
          <w:szCs w:val="18"/>
          <w:color w:val="auto"/>
        </w:rPr>
      </w:pPr>
    </w:p>
    <w:p>
      <w:pPr>
        <w:ind w:right="38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stock-based compensation expense of approximately $1,300, $1,900, $5,100, $7,300 and $3,300 for years 2012, 2011, 2010, 2009 and 2008, respectively.</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FFCC"/>
            </w:tcBorders>
          </w:tcPr>
          <w:p>
            <w:pPr>
              <w:spacing w:after="0"/>
              <w:rPr>
                <w:sz w:val="20"/>
                <w:szCs w:val="20"/>
                <w:color w:val="auto"/>
              </w:rPr>
            </w:pPr>
          </w:p>
        </w:tc>
      </w:tr>
      <w:tr>
        <w:trPr>
          <w:trHeight w:val="223"/>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26,572</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35,599</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28,750</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35,991</w:t>
            </w:r>
          </w:p>
        </w:tc>
        <w:tc>
          <w:tcPr>
            <w:tcW w:w="100" w:type="dxa"/>
            <w:vAlign w:val="bottom"/>
            <w:shd w:val="clear" w:color="auto" w:fill="CCFFC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42,961</w:t>
            </w:r>
          </w:p>
        </w:tc>
        <w:tc>
          <w:tcPr>
            <w:tcW w:w="100" w:type="dxa"/>
            <w:vAlign w:val="bottom"/>
          </w:tcPr>
          <w:p>
            <w:pPr>
              <w:spacing w:after="0"/>
              <w:rPr>
                <w:sz w:val="19"/>
                <w:szCs w:val="19"/>
                <w:color w:val="auto"/>
              </w:rPr>
            </w:pP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FFC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(335,211)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(325,543)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(335,928)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(323,221)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(307,386)</w:t>
            </w: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27,630</w:t>
            </w:r>
          </w:p>
        </w:tc>
        <w:tc>
          <w:tcPr>
            <w:tcW w:w="120" w:type="dxa"/>
            <w:vAlign w:val="bottom"/>
            <w:shd w:val="clear" w:color="auto" w:fill="CCFFCC"/>
          </w:tcPr>
          <w:p>
            <w:pPr>
              <w:spacing w:after="0"/>
              <w:rPr>
                <w:sz w:val="19"/>
                <w:szCs w:val="19"/>
                <w:color w:val="auto"/>
              </w:rPr>
            </w:pPr>
          </w:p>
        </w:tc>
        <w:tc>
          <w:tcPr>
            <w:tcW w:w="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36,643</w:t>
            </w:r>
          </w:p>
        </w:tc>
        <w:tc>
          <w:tcPr>
            <w:tcW w:w="120" w:type="dxa"/>
            <w:vAlign w:val="bottom"/>
            <w:shd w:val="clear" w:color="auto" w:fill="CCFFCC"/>
          </w:tcPr>
          <w:p>
            <w:pPr>
              <w:spacing w:after="0"/>
              <w:rPr>
                <w:sz w:val="19"/>
                <w:szCs w:val="19"/>
                <w:color w:val="auto"/>
              </w:rPr>
            </w:pP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24,341</w:t>
            </w:r>
          </w:p>
        </w:tc>
        <w:tc>
          <w:tcPr>
            <w:tcW w:w="120" w:type="dxa"/>
            <w:vAlign w:val="bottom"/>
            <w:shd w:val="clear" w:color="auto" w:fill="CCFFCC"/>
          </w:tcPr>
          <w:p>
            <w:pPr>
              <w:spacing w:after="0"/>
              <w:rPr>
                <w:sz w:val="19"/>
                <w:szCs w:val="19"/>
                <w:color w:val="auto"/>
              </w:rPr>
            </w:pPr>
          </w:p>
        </w:tc>
        <w:tc>
          <w:tcPr>
            <w:tcW w:w="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shd w:val="clear" w:color="auto" w:fill="CCFFCC"/>
          </w:tcPr>
          <w:p>
            <w:pPr>
              <w:spacing w:after="0"/>
              <w:rPr>
                <w:sz w:val="19"/>
                <w:szCs w:val="19"/>
                <w:color w:val="auto"/>
              </w:rPr>
            </w:pPr>
          </w:p>
        </w:tc>
        <w:tc>
          <w:tcPr>
            <w:tcW w:w="30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37,064</w:t>
            </w:r>
          </w:p>
        </w:tc>
        <w:tc>
          <w:tcPr>
            <w:tcW w:w="100" w:type="dxa"/>
            <w:vAlign w:val="bottom"/>
            <w:shd w:val="clear" w:color="auto" w:fill="CCFFC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an October 2007 license agreement, or Pfizer Agreement, with a subsidiary of Pfizer. We have also developed our Impede™ Technology which is a combination of inactive ingredients that prevent the extraction of pseudoephedrine from tablets and disrupt the direct conversion of pseudoephedrine from tablets into methamphetamine. We have launched Nexafed® (pseudoephedrine HC1) tablets formulated with our Impede Technology.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firstLine="648"/>
        <w:spacing w:after="0" w:line="271" w:lineRule="auto"/>
        <w:rPr>
          <w:sz w:val="20"/>
          <w:szCs w:val="20"/>
          <w:color w:val="auto"/>
        </w:rPr>
      </w:pPr>
      <w:r>
        <w:rPr>
          <w:rFonts w:ascii="Arial" w:cs="Arial" w:eastAsia="Arial" w:hAnsi="Arial"/>
          <w:sz w:val="17"/>
          <w:szCs w:val="17"/>
          <w:color w:val="auto"/>
        </w:rPr>
        <w:t>We have 7 additional opioid products utilizing Aversion in various stages of development. Pursuant to a September 24, 2012 letter agreement with Pfizer, all rights to these development-stage opioid products have reverted back to us. Hydrocodone bitartrate with acetaminophen, or hydrocodone/acetaminophen, is the most advanced opioid product in development and the primary focus of our opioid development efforts. Hydrocodone/acetaminophen is the most widely prescribed and often abused opioid product in the United States. Pfizer previously completed a clinical study demonstrating the hydrocodone/acetaminophen product is bioequivalent to its reference listed drug. We filed an Investigation New Drug application, or IND, with the Food and Drug Administration, or FDA, on December 20, 2012. We expect that the development program for our hydrocodone/acetaminophen product and our other Aversion opioid products in development will be consistent with that of Oxecta. We anticipate submitting a 505(b)(2) New Drug Application, or NDA, with the FDA for our hydrocodone/acetaminophen product in the first half of 2014.</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launched Nexafed commercially in mid-December 2012 into the $1 billion United States over the counter, or OTC, market for cold and allergy products.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We also have been working on the next generation of our Impede Technology in order to further improve our Nexafed franchise.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2012, we had cash, cash equivalents and marketable securities of $27.4 million compared to $35.7 million of cash and cash equivalents at December 31, 2011. We had working capital of $26.6 million at December 31, 2012 compared to working capital of $35.6 million at December 31, 2011. We had an accumulated deficit of approximately $335.2 million and $325.5 million at December 31, 2012 and December 31, 2011, respectively. We had a loss from operations of $9.7 million and a net loss of $9.7 million for the year ended December 31, 2012, compared to income from operations of $10.5 million and net income of $10.4 million for the year ended December 31, 2011. As of January 31, 2013 we had cash, cash equivalents and marketable securities of approximately $25.5 million.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year ended December 31, 2012, we recognized gross product sales of $6 thousand derived from the sale of our Nexafed Tablets to two regional wholesalers which were completely offset by a return goods reserve until demand for Nexafed is established. During the year ended December 31, 2011, we recognized revenues of $0.5 million derived from the amortized portion of the $30.0 million upfront cash payment received from Pfizer’s King Pharmaceuticals subsidiary in December 2007, and a $20.0 million milestone fee paid by Pfizer under the Pfizer Agreement relating to FDA approval of the NDA for Oxecta. During the year ended December 31, 2010, we recognized revenues of $3.3 million derived from the $1.1 million amortized portion of the $30.0 million upfront cash payment received from Pfizer’s King Pharmaceutical subsidiary in December 2007 and $2.2 million for reimbursement of research and development expenses for Oxecta Tablets. We have yet to generate any royalty revenues from Pfizer’s sale of Oxecta Tablets. To fund our continued operations, we expect to rely on our current cash resources, additional payments that may be made under Pfizer Agreement and under future license agreements with other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including the prosecution of the Paragraph IV Proceedings, hire additional personnel, commercialize our Nexafed Tablets, or invest in other areas.</w:t>
      </w:r>
    </w:p>
    <w:p>
      <w:pPr>
        <w:spacing w:after="0" w:line="18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non-cash, stock-based compensation associated with stock options and restricted stock units granted to employees and non-employee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Results of Operations for the Years Ended December 31, 2012 and 2011</w:t>
            </w:r>
          </w:p>
        </w:tc>
        <w:tc>
          <w:tcPr>
            <w:tcW w:w="1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7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7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2012</w:t>
            </w: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2011</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$000’s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$000’s</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w w:val="96"/>
              </w:rPr>
              <w:t>Percent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7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(466)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Milestone revenue</w:t>
            </w:r>
          </w:p>
        </w:tc>
        <w:tc>
          <w:tcPr>
            <w:tcW w:w="174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(20,000)</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20,466</w:t>
            </w:r>
          </w:p>
        </w:tc>
        <w:tc>
          <w:tcPr>
            <w:tcW w:w="18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(20,466)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3,726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4,037</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(311)</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6,013</w:t>
            </w:r>
          </w:p>
        </w:tc>
        <w:tc>
          <w:tcPr>
            <w:tcW w:w="780" w:type="dxa"/>
            <w:vAlign w:val="bottom"/>
          </w:tcPr>
          <w:p>
            <w:pPr>
              <w:jc w:val="right"/>
              <w:spacing w:after="0"/>
              <w:rPr>
                <w:sz w:val="20"/>
                <w:szCs w:val="20"/>
                <w:color w:val="auto"/>
              </w:rPr>
            </w:pPr>
            <w:r>
              <w:rPr>
                <w:rFonts w:ascii="Arial" w:cs="Arial" w:eastAsia="Arial" w:hAnsi="Arial"/>
                <w:sz w:val="18"/>
                <w:szCs w:val="18"/>
                <w:color w:val="auto"/>
              </w:rPr>
              <w:t>5,895</w:t>
            </w:r>
          </w:p>
        </w:tc>
        <w:tc>
          <w:tcPr>
            <w:tcW w:w="180" w:type="dxa"/>
            <w:vAlign w:val="bottom"/>
          </w:tcPr>
          <w:p>
            <w:pPr>
              <w:spacing w:after="0"/>
              <w:rPr>
                <w:sz w:val="18"/>
                <w:szCs w:val="18"/>
                <w:color w:val="auto"/>
              </w:rPr>
            </w:pP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118</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74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9,739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9,932</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(193)</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Income (loss) from operations</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(9,739)</w:t>
            </w:r>
          </w:p>
        </w:tc>
        <w:tc>
          <w:tcPr>
            <w:tcW w:w="780" w:type="dxa"/>
            <w:vAlign w:val="bottom"/>
          </w:tcPr>
          <w:p>
            <w:pPr>
              <w:jc w:val="right"/>
              <w:spacing w:after="0"/>
              <w:rPr>
                <w:sz w:val="20"/>
                <w:szCs w:val="20"/>
                <w:color w:val="auto"/>
              </w:rPr>
            </w:pPr>
            <w:r>
              <w:rPr>
                <w:rFonts w:ascii="Arial" w:cs="Arial" w:eastAsia="Arial" w:hAnsi="Arial"/>
                <w:sz w:val="18"/>
                <w:szCs w:val="18"/>
                <w:color w:val="auto"/>
              </w:rPr>
              <w:t>10,534</w:t>
            </w:r>
          </w:p>
        </w:tc>
        <w:tc>
          <w:tcPr>
            <w:tcW w:w="18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(20,273)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50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174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47</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740" w:type="dxa"/>
            <w:vAlign w:val="bottom"/>
          </w:tcPr>
          <w:p>
            <w:pPr>
              <w:jc w:val="right"/>
              <w:ind w:right="450"/>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26</w:t>
            </w: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other income (expense)</w:t>
            </w:r>
          </w:p>
        </w:tc>
        <w:tc>
          <w:tcPr>
            <w:tcW w:w="174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15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73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(loss) before income tax</w:t>
            </w:r>
          </w:p>
        </w:tc>
        <w:tc>
          <w:tcPr>
            <w:tcW w:w="17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(9,668)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10,532</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(20,200)</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(147)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income (loss)</w:t>
            </w:r>
          </w:p>
        </w:tc>
        <w:tc>
          <w:tcPr>
            <w:tcW w:w="17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(9,668)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(20,053)</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2012 we recorded $6.0 thousand from gross product sales of Nexafed from two regional wholesalers which we completely offset with a returned goods reserve . This compares to revenues in 2011 of $20.5 million all from the Pfizer Agreement comprised of a $20.0 million milestone payment for achieving the FDA approval of Oxecta and the amortization of the final amount of the initial upfront fee received back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during 2012 and 2011 were primarily for product candidates utilizing our Aversion and Impede Technologies, including costs of preclinical studies, clinical trials, clinical supplies and related formulation and design costs, salaries and other personnel related expenses, and facility costs. Included in the 2012 and 2011 results are non-cash stock-based compensation charges of $0.4 million and $0.5 million, respectively, associated with the grant of stock options and restricted stock units. Excluding the stock-based compensation expense, in 2012 there was a $0.2 million decrease in development expenses compared to 2011.</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Marketing expenses during 2012 and 2011 consisted of market research studies on our Impede Technology. Our general and administrative expenses primarily consisted of legal, audit and other professional fees, corporate insurance, and payroll. Included in the 2012 and 2011 results are non-cash stock-based compensation charges of $1.3 million and $1.9 million, respectively, associated with the grant of stock options and restricted stock units. Excluding the stock-based compensation expense, in 2012 there was an increase of $0.7 million in marketing, general and administrative expenses compared to 2011 primarily attributable to Nexafed development and promotion.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fourth quarter of 2012 the Company amended its investment policy allowing greater flexibility in investment selections. As such, some investments were shifted from lower yielding money market funds to high grade corporate bonds resulting in significant improvement in interest income over the prior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net loss of $9.7 million for 2012 includes no federal or state income tax benefit provisions due to uncertainty of their future utilization. In 2011, the Company was able to utilize existing net operating loss carryforwards to offset the majority of its 2011 federal and state income taxes. The income tax expense for 2011 is comprised of federal alternative minimum taxes as well as state income taxes totaling $0.1 million. The Company has maintained a full valuation allowance on its deferred tax asset due to the uncertainty of future utilization of the Company’s net operating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Results of Operations for the Years Ended December 31, 2011 and 2010</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540" w:type="dxa"/>
            <w:vAlign w:val="bottom"/>
            <w:gridSpan w:val="3"/>
          </w:tcPr>
          <w:p>
            <w:pPr>
              <w:jc w:val="right"/>
              <w:ind w:right="880"/>
              <w:spacing w:after="0"/>
              <w:rPr>
                <w:sz w:val="20"/>
                <w:szCs w:val="20"/>
                <w:color w:val="auto"/>
              </w:rPr>
            </w:pPr>
            <w:r>
              <w:rPr>
                <w:rFonts w:ascii="Arial" w:cs="Arial" w:eastAsia="Arial" w:hAnsi="Arial"/>
                <w:sz w:val="18"/>
                <w:szCs w:val="18"/>
                <w:color w:val="auto"/>
              </w:rPr>
              <w:t>December 31</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Change</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2011</w:t>
            </w: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$000’s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$000’s</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0"/>
              </w:rPr>
              <w:t>Percent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Program fee revenue</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466</w:t>
            </w:r>
          </w:p>
        </w:tc>
        <w:tc>
          <w:tcPr>
            <w:tcW w:w="82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(622)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Collaboration fee revenue</w:t>
            </w:r>
          </w:p>
        </w:tc>
        <w:tc>
          <w:tcPr>
            <w:tcW w:w="15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(2,233)</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Milestone revenue</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20,000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20,000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revenue</w:t>
            </w:r>
          </w:p>
        </w:tc>
        <w:tc>
          <w:tcPr>
            <w:tcW w:w="15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20,466</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3,311</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17,155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4,037</w:t>
            </w:r>
          </w:p>
        </w:tc>
        <w:tc>
          <w:tcPr>
            <w:tcW w:w="820" w:type="dxa"/>
            <w:vAlign w:val="bottom"/>
          </w:tcPr>
          <w:p>
            <w:pPr>
              <w:jc w:val="right"/>
              <w:spacing w:after="0"/>
              <w:rPr>
                <w:sz w:val="20"/>
                <w:szCs w:val="20"/>
                <w:color w:val="auto"/>
              </w:rPr>
            </w:pPr>
            <w:r>
              <w:rPr>
                <w:rFonts w:ascii="Arial" w:cs="Arial" w:eastAsia="Arial" w:hAnsi="Arial"/>
                <w:sz w:val="18"/>
                <w:szCs w:val="18"/>
                <w:color w:val="auto"/>
              </w:rPr>
              <w:t>7,177</w:t>
            </w:r>
          </w:p>
        </w:tc>
        <w:tc>
          <w:tcPr>
            <w:tcW w:w="2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(3,140)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5,895</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8,858</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(2,963)</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9,932</w:t>
            </w:r>
          </w:p>
        </w:tc>
        <w:tc>
          <w:tcPr>
            <w:tcW w:w="820" w:type="dxa"/>
            <w:vAlign w:val="bottom"/>
          </w:tcPr>
          <w:p>
            <w:pPr>
              <w:jc w:val="right"/>
              <w:spacing w:after="0"/>
              <w:rPr>
                <w:sz w:val="20"/>
                <w:szCs w:val="20"/>
                <w:color w:val="auto"/>
              </w:rPr>
            </w:pPr>
            <w:r>
              <w:rPr>
                <w:rFonts w:ascii="Arial" w:cs="Arial" w:eastAsia="Arial" w:hAnsi="Arial"/>
                <w:sz w:val="18"/>
                <w:szCs w:val="18"/>
                <w:color w:val="auto"/>
              </w:rPr>
              <w:t>16,035</w:t>
            </w:r>
          </w:p>
        </w:tc>
        <w:tc>
          <w:tcPr>
            <w:tcW w:w="2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(6,103)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Income (loss) from operations</w:t>
            </w:r>
          </w:p>
        </w:tc>
        <w:tc>
          <w:tcPr>
            <w:tcW w:w="15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10,534</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(12,724)</w:t>
            </w:r>
          </w:p>
        </w:tc>
        <w:tc>
          <w:tcPr>
            <w:tcW w:w="14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23,258</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expense</w:t>
            </w:r>
          </w:p>
        </w:tc>
        <w:tc>
          <w:tcPr>
            <w:tcW w:w="15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(34)</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w:t>
            </w:r>
          </w:p>
        </w:tc>
        <w:tc>
          <w:tcPr>
            <w:tcW w:w="1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Total other income (expense)</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Income (loss) before income tax</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10,532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(12,696)</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23,228</w:t>
            </w: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Income tax expense</w:t>
            </w:r>
          </w:p>
        </w:tc>
        <w:tc>
          <w:tcPr>
            <w:tcW w:w="152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147</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FFCC"/>
          </w:tcPr>
          <w:p>
            <w:pPr>
              <w:spacing w:after="0"/>
              <w:rPr>
                <w:sz w:val="18"/>
                <w:szCs w:val="18"/>
                <w:color w:val="auto"/>
              </w:rPr>
            </w:pPr>
          </w:p>
        </w:tc>
        <w:tc>
          <w:tcPr>
            <w:tcW w:w="146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136</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10,385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(12,707)</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23,092</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December 2007, Pfizer paid us a $30.0 million upfront fee in connection with the closing of the Pfizer Agreement. Program fee revenue recognized during 2011 from amortizing this upfront fee was $0.5 million compared to $1.1 million in 2010. We have assigned an equal portion of the program fee revenue to each of three product candidates identified under the Pfizer Agreement. We have completed our development activities on all 3 product candidates, fully amortized the portion of the upfront fee for two product candidates in 2008, and fully amortized the portion of the upfront fee for the third product candidate in 2011. We had milestone revenue of $20.0 million and $0 in 2011 and 2010, respectively.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2011 we incurred no development or regulatory expenses relating to the licensed products pursuant to the Pfizer Agreement, and therefore recognized no collaboration revenue for such year. We do not expect collaboration revenue from Pfizer in 2012. The Company had collaboration revenue of $2.2 million for 2010.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during 2011 and 2010 were primarily for product candidates utilizing our Aversion and Impede Technologies, including costs of preclinical studies, clinical trials, clinical supplies and related formulation and design costs, salaries and other personnel related expenses, and facility costs. Included in the 2011 and 2010 results are non-cash stock-based compensation charges of $0.5 million and $1.7 million, respectively, associated with the grant of stock options and restricted stock units. Excluding the stock-based compensation expense, in 2011 there was a $2.0 million decrease in development expenses compared to 2010 primarily attributable to a reduction in development activities for our Aversion Technology product candidates.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Marketing expenses during 2011 and 2010 consisted of market research studies on our Aversion and Impede Technologies. Our general and administrative expenses primarily consisted of legal, audit and other professional fees, corporate insurance, and payroll. Included in the 2011 and 2010 results are non-cash stock-based compensation charges of $1.9 million and $5.1 million, respectively, associated with the grant of stock options and restricted stock units. Excluding the stock-based compensation expense, in 2011 there was an increase of $0.2 million in marketing, general and administrative expenses compared to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2011 and 2010, we had no debt and cash proceeds received pursuant to the Pfizer Agreement were invested in U.S. Treasury Bills and money market funds in accordance with the investment policy approved by our Board of Directors, resulting in minimal interest income in 2011 and 2010 due to the prevailing low variable, market rates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the Company was able to utilize existing net operating loss carryforwards to offset the majority of its 2011 federal and state income taxes. The income tax expense is comprised of federal alternative minimum taxes as well as state income taxes totaling $0.1 million. The Company has maintained a full valuation allowance on its deferred tax asset due to the uncertainty of future utilization of the Company’s net operating losses. The net loss of $12.7 million for 2010 includes no federal or state income tax benefit provisions due to uncertainty of their future utilization. A state tax expense was recorded for the Company’s subsidiary operations apportioned to one state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2012, we had cash, cash equivalents and marketable securities of $27.4 million compared to $35.7 million in cash and cash equivalents at December 31, 2011. We had working capital of $26.6 million at December 31, 2012 compared to $35.6 million at December 31, 2011. Our investing activities in 2012 and 2011 were less than $0.2 million due to capital expenditures.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January 31, 2013, we had cash, cash equivalents and marketable securities of approximately $25.5 million. We estimate that such cash reserves will be sufficient to fund the development of Aversion Technology and Impede Technology product candidates, and related operating expenses at least through the next 12 months.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Pending our receipt of royalty payments from Pfizer related to Oxecta, other milestone and royalty payments under similar license agreements anticipated to be negotiated and executed with other pharmaceutical company partners, and revenues from the commercialization of our Nexafed tablets, we must rely on our current cash reserves, including interest income from the investment of our cash reserves, to fund the development of our Aversion Technology, Impede Technology and related administrative and operating expenses. Our future sources of revenue, if any, will be derived from royalties under the Pfizer Agreement and milestone payments and royalties under similar license agreements with other pharmaceutical company partners, for which there can be no assurance, and from the commercialization of our Nexafed tablets.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jc w:val="both"/>
        <w:ind w:firstLine="648"/>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2012:</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8"/>
                <w:szCs w:val="18"/>
                <w:color w:val="auto"/>
                <w:w w:val="95"/>
              </w:rPr>
              <w:t>Payments due by period (in thousands)</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89"/>
              </w:rPr>
              <w:t>Less than</w:t>
            </w:r>
          </w:p>
        </w:tc>
        <w:tc>
          <w:tcPr>
            <w:tcW w:w="980" w:type="dxa"/>
            <w:vAlign w:val="bottom"/>
            <w:gridSpan w:val="2"/>
          </w:tcPr>
          <w:p>
            <w:pPr>
              <w:jc w:val="right"/>
              <w:ind w:right="57"/>
              <w:spacing w:after="0" w:line="195"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6"/>
                <w:szCs w:val="16"/>
                <w:color w:val="auto"/>
              </w:rPr>
            </w:pPr>
          </w:p>
        </w:tc>
        <w:tc>
          <w:tcPr>
            <w:tcW w:w="980" w:type="dxa"/>
            <w:vAlign w:val="bottom"/>
            <w:gridSpan w:val="2"/>
          </w:tcPr>
          <w:p>
            <w:pPr>
              <w:jc w:val="right"/>
              <w:ind w:right="57"/>
              <w:spacing w:after="0" w:line="195"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ind w:left="20"/>
              <w:spacing w:after="0" w:line="195" w:lineRule="exact"/>
              <w:rPr>
                <w:sz w:val="20"/>
                <w:szCs w:val="20"/>
                <w:color w:val="auto"/>
              </w:rPr>
            </w:pPr>
            <w:r>
              <w:rPr>
                <w:rFonts w:ascii="Arial" w:cs="Arial" w:eastAsia="Arial" w:hAnsi="Arial"/>
                <w:sz w:val="18"/>
                <w:szCs w:val="18"/>
                <w:color w:val="auto"/>
              </w:rPr>
              <w:t>More than</w:t>
            </w:r>
          </w:p>
        </w:tc>
        <w:tc>
          <w:tcPr>
            <w:tcW w:w="8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years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years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5 years</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8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ind w:right="61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jc w:val="right"/>
              <w:ind w:right="61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ind w:left="76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Contract manufacturing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Clinical studies</w:t>
            </w: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1,527</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280" w:type="dxa"/>
            <w:vAlign w:val="bottom"/>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Employment agreements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2,339</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2,333</w:t>
            </w:r>
          </w:p>
        </w:tc>
        <w:tc>
          <w:tcPr>
            <w:tcW w:w="980" w:type="dxa"/>
            <w:vAlign w:val="bottom"/>
            <w:gridSpan w:val="2"/>
            <w:shd w:val="clear" w:color="auto" w:fill="CCFFCC"/>
          </w:tcPr>
          <w:p>
            <w:pPr>
              <w:jc w:val="right"/>
              <w:ind w:right="6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FFCC"/>
          </w:tcPr>
          <w:p>
            <w:pPr>
              <w:jc w:val="right"/>
              <w:ind w:right="6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Deferred Program Fee Revenue and Collaboration Revenue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Nexafed was launched in the fourth quarter of 2012. The Company sells Nexafed in the United States to wholesale pharmaceutical distributors subject to the right of return for a period of up to six months after the product expiration. Nexafed currently has a shelf life of twenty-four months from the date of manufacture. Given the limited sales history of Nexafed, the Company currently cannot reliably estimate expected returns of the product at the time of shipment. Accordingly, the Company defers recognition of revenue on the product shipments of Nexafed until the right of return no longer exists or adequate history and information is available to estimate product returns.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Pfizer Agreement, we recognize program fee revenue, collaboration revenue and milestone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Program fee revenue is derived from amortized upfront payments, such as the $30.0 million upfront payment from Pfizer received in December 2007, and license fees, such as the $3.0 million option exercise fee paid by Pfizer’s King subsidiary to us in each of May 2008 and December 2008 upon the exercise of its option to license a third and fourth opioid analgesic product candidate under the Pfizer Agreement. We have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We recognized $0, $0.5, $1.1 million, $3.1 million and $21.9 million of this program fee revenue in 2012, 2011, 2010, 2009 and 2008, respectively. We do not expect any further program fee revenue from Pfizer.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Collaboration revenue is derived from reimbursement of development expenses, which are invoiced quarterly in arrears, and are recognized when costs are incurred pursuant to the Pfizer Agreement. The ongoing research and development services being provided to Pfizer under the collaboration are priced at fair value based upon the reimbursement of expenses incurred pursuant to the collaboration with Pfizer. We recognized $0, $0, $2.2 million, $0.8 million and $11.5 million of collaboration revenue in 2012, 2011, 2010, 2009 and 2008, respectively. We do not expect any further collaboration revenue from Pfizer.</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Milestone revenue is contingent upon the achievement of certain pre-defined events in the development of Oxecta Tablets and other product candidates licensed to Pfizer under the Pfizer Agreement. Milestone payments from Pfizer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the Pfizer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June 2008, Pfizer paid us a $5.0 million milestone payment for successfully achieving the primary endpoints in our pivotal Phase III study, AP-ADF-105 for Aversion oxycodone HCl with Niacin Tablets. In June 2011, Pfizer paid us a $20.0 million milestone fee relating to the receipt of FDA approval of the NDA for Oxecta. Under the Pfizer Agreement, we remain eligible to receive milestone payments for the achievement of certain net sales level of Oxecta and a regulatory milestone for the approval of Oxecta in another territory. There can be no assurance, however, that Pfizer will achieve these milestones.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Research and Development, or R&amp;D, expenses include internal R&amp;D activities, external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the study starting date. We review and accrue CRO expenses and clinical trial study expenses based on services performed and rely upon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have entered into several cancelable CRO arrangements and our obligations under these arrangements were approximately $1,527,000 and $133,000 at December 31, 2012 and 2011, respectively, for services to be incurred as subjects are enrolled and progress through the studies.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Because we realized taxable income in 2011 we were able to utilize a portion of our net operating loss carryforwards. At December 31, 2012, 100% of the remaining deferred income tax assets are offset by a valuation allowance due to uncertainties with respect to future utilization of net operating loss carryforwards. We recorded adjustments by way of increase of $2.5 million to the deferred income tax asset valuation allowance during 2009. This adjustment recognized a $2.5 million tax expense from income taxes in our income for 2009.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capital expenditures during 2012, 2011 and 2010 were $147,000, $132,000 and $41,000, respectively. Capital expenditures in each such year were primarily attributable to the purchase of scientific equipment and improvements to the Culver, Indiana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Some of the securities that we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2012, our investments consisted of corporate bonds, exchange-traded funds and another security instrument investing in U.S. Treasuries, U.S. agency securities and agency mortgage backed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2012. In making this assessment, management used the criteria set forth by the Committee of Sponsoring Organizations of the Treadway Commission (COSO) in Internal Control – Integrated Framework. Based on our assessment, management believes that, as of December 31, 2012,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2012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Reference is made to 2013 Proxy Statement to be filed with the SEC on or about March 11, 2013 with respect to Directors, Executive Officers and Corporate Governance, which is incorporated herein by reference and made a part hereof in response to the information required by Item 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our 2013 Proxy Statement to be filed with the SEC on or about March 11, 2013 with respect to Executive Compensation, which is incorporated herein by reference and made a part hereof in response to the information required by Item 11.</w:t>
      </w:r>
    </w:p>
    <w:p>
      <w:pPr>
        <w:spacing w:after="0" w:line="166" w:lineRule="exact"/>
        <w:rPr>
          <w:sz w:val="20"/>
          <w:szCs w:val="20"/>
          <w:color w:val="auto"/>
        </w:rPr>
      </w:pPr>
    </w:p>
    <w:p>
      <w:pPr>
        <w:ind w:left="920" w:right="740" w:hanging="904"/>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our 2013 Proxy Statement to be filed with the SEC on or about March11, 2013 with respect to the to the security ownership of certain beneficial owners and management and related stockholder matters, which is incorporated herein by reference and made a part hereof in response to the information required by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Reference is made to our 2013 Proxy Statement to be filed with the SEC on or about March 11, 2013 with respect to certain relationships and related transactions and direct independence, which is incorporated herein by reference and made a part hereof in response to the information required by Item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color w:val="auto"/>
        </w:rPr>
        <w:t>Reference is made to our 2013 Proxy Statement to be filed with the SEC on or about March 11, 2013 with respect to auditor fees, which is incorporated herein by reference and made a part in response to the information required by Item 14.</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Financial Statements: See Index to Financial Statements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Exhibits: See Index to Exhibits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February 28, 2013</w:t>
            </w:r>
          </w:p>
        </w:tc>
        <w:tc>
          <w:tcPr>
            <w:tcW w:w="6820" w:type="dxa"/>
            <w:vAlign w:val="bottom"/>
            <w:gridSpan w:val="2"/>
          </w:tcPr>
          <w:p>
            <w:pPr>
              <w:ind w:left="1680"/>
              <w:spacing w:after="0"/>
              <w:rPr>
                <w:sz w:val="20"/>
                <w:szCs w:val="20"/>
                <w:color w:val="auto"/>
              </w:rPr>
            </w:pPr>
            <w:r>
              <w:rPr>
                <w:rFonts w:ascii="Arial" w:cs="Arial" w:eastAsia="Arial" w:hAnsi="Arial"/>
                <w:sz w:val="18"/>
                <w:szCs w:val="18"/>
                <w:color w:val="auto"/>
              </w:rPr>
              <w:t>ACURA PHARMACEUTICALS, INC.</w:t>
            </w:r>
          </w:p>
        </w:tc>
      </w:tr>
      <w:tr>
        <w:trPr>
          <w:trHeight w:val="432"/>
        </w:trPr>
        <w:tc>
          <w:tcPr>
            <w:tcW w:w="3460" w:type="dxa"/>
            <w:vAlign w:val="bottom"/>
          </w:tcPr>
          <w:p>
            <w:pPr>
              <w:spacing w:after="0"/>
              <w:rPr>
                <w:sz w:val="24"/>
                <w:szCs w:val="24"/>
                <w:color w:val="auto"/>
              </w:rPr>
            </w:pPr>
          </w:p>
        </w:tc>
        <w:tc>
          <w:tcPr>
            <w:tcW w:w="6820" w:type="dxa"/>
            <w:vAlign w:val="bottom"/>
            <w:gridSpan w:val="2"/>
          </w:tcPr>
          <w:p>
            <w:pPr>
              <w:ind w:left="1680"/>
              <w:spacing w:after="0"/>
              <w:rPr>
                <w:sz w:val="20"/>
                <w:szCs w:val="20"/>
                <w:color w:val="auto"/>
              </w:rPr>
            </w:pPr>
            <w:r>
              <w:rPr>
                <w:rFonts w:ascii="Arial" w:cs="Arial" w:eastAsia="Arial" w:hAnsi="Arial"/>
                <w:sz w:val="18"/>
                <w:szCs w:val="18"/>
                <w:color w:val="auto"/>
              </w:rPr>
              <w:t>By   /s/ ROBERT B. JONES</w:t>
            </w:r>
          </w:p>
        </w:tc>
      </w:tr>
      <w:tr>
        <w:trPr>
          <w:trHeight w:val="195"/>
        </w:trPr>
        <w:tc>
          <w:tcPr>
            <w:tcW w:w="3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B. Jones</w:t>
            </w:r>
          </w:p>
        </w:tc>
      </w:tr>
      <w:tr>
        <w:trPr>
          <w:trHeight w:val="216"/>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877" w:right="239" w:bottom="1440" w:gutter="0" w:footer="0" w:header="0"/>
        </w:sectPr>
      </w:pPr>
    </w:p>
    <w:p>
      <w:pPr>
        <w:spacing w:after="0" w:line="170"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701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/s/Robert B.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/s/Peter A. Clemens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/s/William G. Skelly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G. Skelly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/s/Bruce F Wesson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F. Wesson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/s/Richard J. Markham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J. Markham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/s/Immanuel Thangaraj</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Immanuel Thangaraj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/s/George K. 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K.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22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1"/>
        </w:trPr>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2160" w:type="dxa"/>
            <w:vAlign w:val="bottom"/>
            <w:vMerge w:val="restart"/>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122"/>
        </w:trPr>
        <w:tc>
          <w:tcPr>
            <w:tcW w:w="51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40" w:type="dxa"/>
            <w:vAlign w:val="bottom"/>
            <w:gridSpan w:val="2"/>
            <w:vMerge w:val="continue"/>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51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Senior Vice President and Chief Financial Officer</w:t>
            </w:r>
          </w:p>
        </w:tc>
        <w:tc>
          <w:tcPr>
            <w:tcW w:w="2160" w:type="dxa"/>
            <w:vAlign w:val="bottom"/>
            <w:vMerge w:val="restart"/>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122"/>
        </w:trPr>
        <w:tc>
          <w:tcPr>
            <w:tcW w:w="51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40" w:type="dxa"/>
            <w:vAlign w:val="bottom"/>
            <w:gridSpan w:val="2"/>
            <w:vMerge w:val="continue"/>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662"/>
        </w:trPr>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662"/>
        </w:trPr>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662"/>
        </w:trPr>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r>
        <w:trPr>
          <w:trHeight w:val="662"/>
        </w:trPr>
        <w:tc>
          <w:tcPr>
            <w:tcW w:w="5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ind w:left="840"/>
              <w:spacing w:after="0"/>
              <w:rPr>
                <w:sz w:val="20"/>
                <w:szCs w:val="20"/>
                <w:color w:val="auto"/>
              </w:rPr>
            </w:pPr>
            <w:r>
              <w:rPr>
                <w:rFonts w:ascii="Arial" w:cs="Arial" w:eastAsia="Arial" w:hAnsi="Arial"/>
                <w:sz w:val="18"/>
                <w:szCs w:val="18"/>
                <w:color w:val="auto"/>
                <w:w w:val="88"/>
              </w:rPr>
              <w:t>February 28, 2013</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400" w:space="720"/>
            <w:col w:w="7300"/>
          </w:cols>
          <w:pgMar w:left="240" w:top="877" w:right="2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9900" w:type="dxa"/>
            <w:vAlign w:val="bottom"/>
          </w:tcPr>
          <w:p>
            <w:pPr>
              <w:ind w:left="3380"/>
              <w:spacing w:after="0"/>
              <w:rPr>
                <w:sz w:val="20"/>
                <w:szCs w:val="20"/>
                <w:color w:val="auto"/>
              </w:rPr>
            </w:pPr>
            <w:r>
              <w:rPr>
                <w:rFonts w:ascii="Arial" w:cs="Arial" w:eastAsia="Arial" w:hAnsi="Arial"/>
                <w:sz w:val="18"/>
                <w:szCs w:val="18"/>
                <w:b w:val="1"/>
                <w:bCs w:val="1"/>
                <w:color w:val="auto"/>
              </w:rPr>
              <w:t>INDEX TO CONSOLIDATED FINANCIAL STATEMENTS</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4"/>
                <w:szCs w:val="24"/>
                <w:color w:val="auto"/>
              </w:rPr>
            </w:pPr>
          </w:p>
        </w:tc>
        <w:tc>
          <w:tcPr>
            <w:tcW w:w="1520" w:type="dxa"/>
            <w:vAlign w:val="bottom"/>
          </w:tcPr>
          <w:p>
            <w:pPr>
              <w:ind w:left="420"/>
              <w:spacing w:after="0"/>
              <w:rPr>
                <w:sz w:val="20"/>
                <w:szCs w:val="20"/>
                <w:color w:val="auto"/>
              </w:rPr>
            </w:pPr>
            <w:r>
              <w:rPr>
                <w:rFonts w:ascii="Arial" w:cs="Arial" w:eastAsia="Arial" w:hAnsi="Arial"/>
                <w:sz w:val="18"/>
                <w:szCs w:val="18"/>
                <w:color w:val="auto"/>
              </w:rPr>
              <w:t>Page</w:t>
            </w: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rPr>
              <w:t>Report of Independent Registered Public Accounting Firm</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6"/>
              </w:rPr>
              <w:t>F-2</w:t>
            </w:r>
          </w:p>
        </w:tc>
      </w:tr>
      <w:tr>
        <w:trPr>
          <w:trHeight w:val="216"/>
        </w:trPr>
        <w:tc>
          <w:tcPr>
            <w:tcW w:w="9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Consolidated Balance Sheets as of December 31, 2012 and 2011</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6"/>
              </w:rPr>
              <w:t>F-3</w:t>
            </w:r>
          </w:p>
        </w:tc>
      </w:tr>
      <w:tr>
        <w:trPr>
          <w:trHeight w:val="216"/>
        </w:trPr>
        <w:tc>
          <w:tcPr>
            <w:tcW w:w="9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w w:val="93"/>
              </w:rPr>
              <w:t>Consolidated Statements of Operations and Comprehensive Income (Loss) for the years ended December 31, 2012, 2011 and 2010</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6"/>
              </w:rPr>
              <w:t>F-4</w:t>
            </w:r>
          </w:p>
        </w:tc>
      </w:tr>
      <w:tr>
        <w:trPr>
          <w:trHeight w:val="216"/>
        </w:trPr>
        <w:tc>
          <w:tcPr>
            <w:tcW w:w="9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Consolidated Statements of Stockholders' Equity for the years ended December 31, 2012, 2011 and 2010</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6"/>
              </w:rPr>
              <w:t>F-5</w:t>
            </w:r>
          </w:p>
        </w:tc>
      </w:tr>
      <w:tr>
        <w:trPr>
          <w:trHeight w:val="216"/>
        </w:trPr>
        <w:tc>
          <w:tcPr>
            <w:tcW w:w="9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Consolidated Statements of Cash Flows for the years ended December 31, 2012, 2011 and 2010</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6"/>
              </w:rPr>
              <w:t>F-6</w:t>
            </w:r>
          </w:p>
        </w:tc>
      </w:tr>
      <w:tr>
        <w:trPr>
          <w:trHeight w:val="216"/>
        </w:trPr>
        <w:tc>
          <w:tcPr>
            <w:tcW w:w="9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6"/>
              </w:rPr>
              <w:t>F-8</w:t>
            </w:r>
          </w:p>
        </w:tc>
      </w:tr>
      <w:tr>
        <w:trPr>
          <w:trHeight w:val="216"/>
        </w:trPr>
        <w:tc>
          <w:tcPr>
            <w:tcW w:w="99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900" w:type="dxa"/>
            <w:vAlign w:val="bottom"/>
            <w:shd w:val="clear" w:color="auto" w:fill="CCFFCC"/>
          </w:tcPr>
          <w:p>
            <w:pPr>
              <w:ind w:left="60"/>
              <w:spacing w:after="0"/>
              <w:rPr>
                <w:sz w:val="20"/>
                <w:szCs w:val="20"/>
                <w:color w:val="auto"/>
              </w:rPr>
            </w:pPr>
            <w:r>
              <w:rPr>
                <w:rFonts w:ascii="Arial" w:cs="Arial" w:eastAsia="Arial" w:hAnsi="Arial"/>
                <w:sz w:val="18"/>
                <w:szCs w:val="18"/>
                <w:color w:val="auto"/>
              </w:rPr>
              <w:t>Supplementary Data (Unaudited)</w:t>
            </w:r>
          </w:p>
        </w:tc>
        <w:tc>
          <w:tcPr>
            <w:tcW w:w="152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1"/>
              </w:rPr>
              <w:t>F-21</w:t>
            </w:r>
          </w:p>
        </w:tc>
      </w:tr>
      <w:tr>
        <w:trPr>
          <w:trHeight w:val="648"/>
        </w:trPr>
        <w:tc>
          <w:tcPr>
            <w:tcW w:w="990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F-1</w:t>
            </w: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Acura Pharmaceuticals Inc. as of December 31, 2012 and 2011 and the related consolidated statements of operations and comprehensive income (loss), stockholders’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Acura Pharmaceuticals Inc. at December 31, 2012 and 2011, and the results of its operations and its cash flows for each of the three years in the period ended December 31, 2012</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DECEMBER 31, 2012 and 2011</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thousands except par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ind w:left="386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7,476</w:t>
            </w:r>
          </w:p>
        </w:tc>
        <w:tc>
          <w:tcPr>
            <w:tcW w:w="32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35,685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19,946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Finished goods inventory, net</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Income taxes refundable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27,991</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36,129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29,054</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994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413</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3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40"/>
              <w:spacing w:after="0" w:line="201" w:lineRule="exact"/>
              <w:rPr>
                <w:sz w:val="20"/>
                <w:szCs w:val="20"/>
                <w:color w:val="auto"/>
              </w:rPr>
            </w:pPr>
            <w:r>
              <w:rPr>
                <w:rFonts w:ascii="Arial" w:cs="Arial" w:eastAsia="Arial" w:hAnsi="Arial"/>
                <w:sz w:val="18"/>
                <w:szCs w:val="18"/>
                <w:color w:val="auto"/>
                <w:w w:val="95"/>
              </w:rPr>
              <w:t>Common stock: $.01 par value per shares; 100,000 shares authorized, 45,867 and 45,320 shares issued and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outstanding in 2012 and 2011, respectively</w:t>
            </w:r>
          </w:p>
        </w:tc>
        <w:tc>
          <w:tcPr>
            <w:tcW w:w="2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362,422</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361,733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(335,211)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(325,543)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27,630</w:t>
            </w:r>
          </w:p>
        </w:tc>
        <w:tc>
          <w:tcPr>
            <w:tcW w:w="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36,643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line="263" w:lineRule="auto"/>
        <w:rPr>
          <w:sz w:val="20"/>
          <w:szCs w:val="20"/>
          <w:color w:val="auto"/>
        </w:rPr>
      </w:pPr>
      <w:r>
        <w:rPr>
          <w:rFonts w:ascii="Arial" w:cs="Arial" w:eastAsia="Arial" w:hAnsi="Arial"/>
          <w:sz w:val="18"/>
          <w:szCs w:val="18"/>
          <w:b w:val="1"/>
          <w:bCs w:val="1"/>
          <w:color w:val="auto"/>
        </w:rPr>
        <w:t>ACURA PHARMACEUTICALS, INC. AND SUBSIDIARY CONSOLIDATED STATEMENTS OF OPERATIONS AND COMPRENESIVE INCOME (LOSS) YEARS ENDED DECEMBER 31, 2012, 2011 and 2010 (in thousands except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Borders>
              <w:bottom w:val="single" w:sz="8" w:color="CCFFCC"/>
            </w:tcBorders>
          </w:tcPr>
          <w:p>
            <w:pPr>
              <w:spacing w:after="0"/>
              <w:rPr>
                <w:sz w:val="20"/>
                <w:szCs w:val="20"/>
                <w:color w:val="auto"/>
              </w:rPr>
            </w:pPr>
          </w:p>
        </w:tc>
        <w:tc>
          <w:tcPr>
            <w:tcW w:w="18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FFCC"/>
            </w:tcBorders>
          </w:tcPr>
          <w:p>
            <w:pPr>
              <w:spacing w:after="0"/>
              <w:rPr>
                <w:sz w:val="20"/>
                <w:szCs w:val="20"/>
                <w:color w:val="auto"/>
              </w:rPr>
            </w:pPr>
          </w:p>
        </w:tc>
      </w:tr>
      <w:tr>
        <w:trPr>
          <w:trHeight w:val="210"/>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r>
      <w:tr>
        <w:trPr>
          <w:trHeight w:val="216"/>
        </w:trPr>
        <w:tc>
          <w:tcPr>
            <w:tcW w:w="5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Collaboration revenue</w:t>
            </w:r>
          </w:p>
        </w:tc>
        <w:tc>
          <w:tcPr>
            <w:tcW w:w="1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2,223</w:t>
            </w:r>
          </w:p>
        </w:tc>
      </w:tr>
      <w:tr>
        <w:trPr>
          <w:trHeight w:val="230"/>
        </w:trPr>
        <w:tc>
          <w:tcPr>
            <w:tcW w:w="5060" w:type="dxa"/>
            <w:vAlign w:val="bottom"/>
          </w:tcPr>
          <w:p>
            <w:pPr>
              <w:ind w:left="160"/>
              <w:spacing w:after="0"/>
              <w:rPr>
                <w:sz w:val="20"/>
                <w:szCs w:val="20"/>
                <w:color w:val="auto"/>
              </w:rPr>
            </w:pPr>
            <w:r>
              <w:rPr>
                <w:rFonts w:ascii="Arial" w:cs="Arial" w:eastAsia="Arial" w:hAnsi="Arial"/>
                <w:sz w:val="18"/>
                <w:szCs w:val="18"/>
                <w:color w:val="auto"/>
              </w:rPr>
              <w:t>Milestone revenue</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revenues</w:t>
            </w:r>
          </w:p>
        </w:tc>
        <w:tc>
          <w:tcPr>
            <w:tcW w:w="18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20,466</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3,726</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4,037</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7,177</w:t>
            </w:r>
          </w:p>
        </w:tc>
      </w:tr>
      <w:tr>
        <w:trPr>
          <w:trHeight w:val="230"/>
        </w:trPr>
        <w:tc>
          <w:tcPr>
            <w:tcW w:w="50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6,013</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8,858</w:t>
            </w:r>
          </w:p>
        </w:tc>
      </w:tr>
      <w:tr>
        <w:trPr>
          <w:trHeight w:val="210"/>
        </w:trPr>
        <w:tc>
          <w:tcPr>
            <w:tcW w:w="50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operating expenses</w:t>
            </w:r>
          </w:p>
        </w:tc>
        <w:tc>
          <w:tcPr>
            <w:tcW w:w="18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9,739</w:t>
            </w:r>
          </w:p>
        </w:tc>
        <w:tc>
          <w:tcPr>
            <w:tcW w:w="3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9,932</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16,035</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50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Operating income (loss)</w:t>
            </w:r>
          </w:p>
        </w:tc>
        <w:tc>
          <w:tcPr>
            <w:tcW w:w="180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(9,739</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 (expense):</w:t>
            </w:r>
          </w:p>
        </w:tc>
        <w:tc>
          <w:tcPr>
            <w:tcW w:w="1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5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expense, net</w:t>
            </w:r>
          </w:p>
        </w:tc>
        <w:tc>
          <w:tcPr>
            <w:tcW w:w="18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50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other income (expense), net</w:t>
            </w:r>
          </w:p>
        </w:tc>
        <w:tc>
          <w:tcPr>
            <w:tcW w:w="180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FFCC"/>
            </w:tcBorders>
          </w:tcPr>
          <w:p>
            <w:pPr>
              <w:spacing w:after="0"/>
              <w:rPr>
                <w:sz w:val="18"/>
                <w:szCs w:val="18"/>
                <w:color w:val="auto"/>
              </w:rPr>
            </w:pPr>
          </w:p>
        </w:tc>
      </w:tr>
      <w:tr>
        <w:trPr>
          <w:trHeight w:val="210"/>
        </w:trPr>
        <w:tc>
          <w:tcPr>
            <w:tcW w:w="50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Income (loss) before income taxes</w:t>
            </w:r>
          </w:p>
        </w:tc>
        <w:tc>
          <w:tcPr>
            <w:tcW w:w="18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10,532</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CFFCC"/>
          </w:tcPr>
          <w:p>
            <w:pPr>
              <w:spacing w:after="0"/>
              <w:rPr>
                <w:sz w:val="18"/>
                <w:szCs w:val="18"/>
                <w:color w:val="auto"/>
              </w:rPr>
            </w:pPr>
          </w:p>
        </w:tc>
      </w:tr>
      <w:tr>
        <w:trPr>
          <w:trHeight w:val="230"/>
        </w:trPr>
        <w:tc>
          <w:tcPr>
            <w:tcW w:w="506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0"/>
        </w:trPr>
        <w:tc>
          <w:tcPr>
            <w:tcW w:w="50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income (loss)</w:t>
            </w:r>
          </w:p>
        </w:tc>
        <w:tc>
          <w:tcPr>
            <w:tcW w:w="18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(9,668</w:t>
            </w:r>
          </w:p>
        </w:tc>
        <w:tc>
          <w:tcPr>
            <w:tcW w:w="340" w:type="dxa"/>
            <w:vAlign w:val="bottom"/>
            <w:tcBorders>
              <w:top w:val="single" w:sz="8" w:color="CCFFCC"/>
            </w:tcBorders>
            <w:shd w:val="clear" w:color="auto" w:fill="CCFFCC"/>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(losses) on securities</w:t>
            </w:r>
          </w:p>
        </w:tc>
        <w:tc>
          <w:tcPr>
            <w:tcW w:w="18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80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FFC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tcPr>
          <w:p>
            <w:pPr>
              <w:spacing w:after="0"/>
              <w:rPr>
                <w:sz w:val="18"/>
                <w:szCs w:val="18"/>
                <w:color w:val="auto"/>
              </w:rPr>
            </w:pPr>
          </w:p>
        </w:tc>
      </w:tr>
      <w:tr>
        <w:trPr>
          <w:trHeight w:val="210"/>
        </w:trPr>
        <w:tc>
          <w:tcPr>
            <w:tcW w:w="50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Comprehensive income (loss)</w:t>
            </w:r>
          </w:p>
        </w:tc>
        <w:tc>
          <w:tcPr>
            <w:tcW w:w="180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(9,708</w:t>
            </w:r>
          </w:p>
        </w:tc>
        <w:tc>
          <w:tcPr>
            <w:tcW w:w="340" w:type="dxa"/>
            <w:vAlign w:val="bottom"/>
            <w:shd w:val="clear" w:color="auto" w:fill="CCFFCC"/>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10,385</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shd w:val="clear" w:color="auto" w:fill="CCFFCC"/>
          </w:tcPr>
          <w:p>
            <w:pPr>
              <w:spacing w:after="0"/>
              <w:rPr>
                <w:sz w:val="19"/>
                <w:szCs w:val="19"/>
                <w:color w:val="auto"/>
              </w:rPr>
            </w:pPr>
          </w:p>
        </w:tc>
        <w:tc>
          <w:tcPr>
            <w:tcW w:w="180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8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5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(0.27)</w:t>
            </w:r>
          </w:p>
        </w:tc>
      </w:tr>
      <w:tr>
        <w:trPr>
          <w:trHeight w:val="210"/>
        </w:trPr>
        <w:tc>
          <w:tcPr>
            <w:tcW w:w="5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Weighted average shares outstanding:</w:t>
            </w:r>
          </w:p>
        </w:tc>
        <w:tc>
          <w:tcPr>
            <w:tcW w:w="18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8"/>
                <w:szCs w:val="18"/>
                <w:color w:val="auto"/>
              </w:rPr>
              <w:t>Basic</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47,521</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47,496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47,029</w:t>
            </w:r>
          </w:p>
        </w:tc>
      </w:tr>
      <w:tr>
        <w:trPr>
          <w:trHeight w:val="230"/>
        </w:trPr>
        <w:tc>
          <w:tcPr>
            <w:tcW w:w="5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Diluted</w:t>
            </w:r>
          </w:p>
        </w:tc>
        <w:tc>
          <w:tcPr>
            <w:tcW w:w="18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47,521</w:t>
            </w:r>
          </w:p>
        </w:tc>
        <w:tc>
          <w:tcPr>
            <w:tcW w:w="34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48,007</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47,029</w:t>
            </w:r>
          </w:p>
        </w:tc>
      </w:tr>
      <w:tr>
        <w:trPr>
          <w:trHeight w:val="20"/>
        </w:trPr>
        <w:tc>
          <w:tcPr>
            <w:tcW w:w="5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tcPr>
          <w:p>
            <w:pPr>
              <w:jc w:val="right"/>
              <w:ind w:right="328"/>
              <w:spacing w:after="0"/>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28"/>
              <w:spacing w:after="0" w:line="149"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Paid-in</w:t>
            </w:r>
          </w:p>
        </w:tc>
        <w:tc>
          <w:tcPr>
            <w:tcW w:w="112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980" w:type="dxa"/>
            <w:vAlign w:val="bottom"/>
            <w:gridSpan w:val="2"/>
          </w:tcPr>
          <w:p>
            <w:pPr>
              <w:jc w:val="right"/>
              <w:ind w:right="448"/>
              <w:spacing w:after="0"/>
              <w:rPr>
                <w:sz w:val="20"/>
                <w:szCs w:val="20"/>
                <w:color w:val="auto"/>
              </w:rPr>
            </w:pPr>
            <w:r>
              <w:rPr>
                <w:rFonts w:ascii="Arial" w:cs="Arial" w:eastAsia="Arial" w:hAnsi="Arial"/>
                <w:sz w:val="14"/>
                <w:szCs w:val="14"/>
                <w:color w:val="auto"/>
              </w:rPr>
              <w:t>Deficit</w:t>
            </w:r>
          </w:p>
        </w:tc>
        <w:tc>
          <w:tcPr>
            <w:tcW w:w="1200" w:type="dxa"/>
            <w:vAlign w:val="bottom"/>
            <w:gridSpan w:val="3"/>
          </w:tcPr>
          <w:p>
            <w:pPr>
              <w:jc w:val="right"/>
              <w:ind w:right="268"/>
              <w:spacing w:after="0"/>
              <w:rPr>
                <w:sz w:val="20"/>
                <w:szCs w:val="20"/>
                <w:color w:val="auto"/>
              </w:rPr>
            </w:pPr>
            <w:r>
              <w:rPr>
                <w:rFonts w:ascii="Arial" w:cs="Arial" w:eastAsia="Arial" w:hAnsi="Arial"/>
                <w:sz w:val="14"/>
                <w:szCs w:val="14"/>
                <w:color w:val="auto"/>
                <w:w w:val="94"/>
              </w:rPr>
              <w:t>Income (Loss)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Balance at Dec. 31, 2009</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43,728</w:t>
            </w:r>
          </w:p>
        </w:tc>
        <w:tc>
          <w:tcPr>
            <w:tcW w:w="360" w:type="dxa"/>
            <w:vAlign w:val="bottom"/>
            <w:tcBorders>
              <w:top w:val="single" w:sz="8" w:color="CCFFCC"/>
            </w:tcBorders>
            <w:shd w:val="clear" w:color="auto" w:fill="CCFFCC"/>
          </w:tcPr>
          <w:p>
            <w:pPr>
              <w:spacing w:after="0"/>
              <w:rPr>
                <w:sz w:val="12"/>
                <w:szCs w:val="12"/>
                <w:color w:val="auto"/>
              </w:rPr>
            </w:pPr>
          </w:p>
        </w:tc>
        <w:tc>
          <w:tcPr>
            <w:tcW w:w="200" w:type="dxa"/>
            <w:vAlign w:val="bottom"/>
            <w:tcBorders>
              <w:top w:val="single" w:sz="8" w:color="auto"/>
              <w:bottom w:val="single" w:sz="8" w:color="auto"/>
            </w:tcBorders>
            <w:shd w:val="clear" w:color="auto" w:fill="CCFFCC"/>
          </w:tcPr>
          <w:p>
            <w:pPr>
              <w:jc w:val="right"/>
              <w:ind w:right="84"/>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437</w:t>
            </w:r>
          </w:p>
        </w:tc>
        <w:tc>
          <w:tcPr>
            <w:tcW w:w="18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352,694</w:t>
            </w:r>
          </w:p>
        </w:tc>
        <w:tc>
          <w:tcPr>
            <w:tcW w:w="3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(323,221</w:t>
            </w:r>
          </w:p>
        </w:tc>
        <w:tc>
          <w:tcPr>
            <w:tcW w:w="340" w:type="dxa"/>
            <w:vAlign w:val="bottom"/>
            <w:tcBorders>
              <w:top w:val="single" w:sz="8" w:color="CCFFCC"/>
            </w:tcBorders>
            <w:shd w:val="clear" w:color="auto" w:fill="CCFFCC"/>
          </w:tcPr>
          <w:p>
            <w:pPr>
              <w:jc w:val="right"/>
              <w:ind w:right="20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auto"/>
              <w:bottom w:val="single" w:sz="8" w:color="auto"/>
            </w:tcBorders>
            <w:shd w:val="clear" w:color="auto" w:fill="CCFFCC"/>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29,910</w:t>
            </w:r>
          </w:p>
        </w:tc>
        <w:tc>
          <w:tcPr>
            <w:tcW w:w="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4"/>
                <w:szCs w:val="14"/>
                <w:color w:val="auto"/>
              </w:rPr>
              <w:t>Comprehensive loss: net loss for the year ended Dec. 31, 2010</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(12,707)</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(12,707)</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6,746</w:t>
            </w: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6,746</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cashless exercise of warrants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4"/>
                <w:szCs w:val="14"/>
                <w:color w:val="auto"/>
              </w:rPr>
              <w:t>Issuance of common stock for exercise of warrant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123</w:t>
            </w:r>
          </w:p>
        </w:tc>
        <w:tc>
          <w:tcPr>
            <w:tcW w:w="3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320"/>
              <w:spacing w:after="0"/>
              <w:rPr>
                <w:sz w:val="20"/>
                <w:szCs w:val="20"/>
                <w:color w:val="auto"/>
              </w:rPr>
            </w:pPr>
            <w:r>
              <w:rPr>
                <w:rFonts w:ascii="Arial" w:cs="Arial" w:eastAsia="Arial" w:hAnsi="Arial"/>
                <w:sz w:val="14"/>
                <w:szCs w:val="14"/>
                <w:color w:val="auto"/>
              </w:rPr>
              <w:t>391</w:t>
            </w: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392</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color w:val="auto"/>
              </w:rPr>
              <w:t>Balance at Dec. 31, 2010</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43,894</w:t>
            </w:r>
          </w:p>
        </w:tc>
        <w:tc>
          <w:tcPr>
            <w:tcW w:w="360" w:type="dxa"/>
            <w:vAlign w:val="bottom"/>
            <w:tcBorders>
              <w:bottom w:val="single" w:sz="8" w:color="CCFFC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w:t>
            </w:r>
          </w:p>
        </w:tc>
        <w:tc>
          <w:tcPr>
            <w:tcW w:w="180" w:type="dxa"/>
            <w:vAlign w:val="bottom"/>
            <w:tcBorders>
              <w:bottom w:val="single" w:sz="8" w:color="CCFFCC"/>
            </w:tcBorders>
          </w:tcPr>
          <w:p>
            <w:pPr>
              <w:spacing w:after="0"/>
              <w:rPr>
                <w:sz w:val="12"/>
                <w:szCs w:val="12"/>
                <w:color w:val="auto"/>
              </w:rPr>
            </w:pPr>
          </w:p>
        </w:tc>
        <w:tc>
          <w:tcPr>
            <w:tcW w:w="140" w:type="dxa"/>
            <w:vAlign w:val="bottom"/>
            <w:tcBorders>
              <w:bottom w:val="single" w:sz="8" w:color="CCFFC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359,830</w:t>
            </w:r>
          </w:p>
        </w:tc>
        <w:tc>
          <w:tcPr>
            <w:tcW w:w="32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(335,928</w:t>
            </w:r>
          </w:p>
        </w:tc>
        <w:tc>
          <w:tcPr>
            <w:tcW w:w="340" w:type="dxa"/>
            <w:vAlign w:val="bottom"/>
            <w:tcBorders>
              <w:bottom w:val="single" w:sz="8" w:color="CCFFCC"/>
            </w:tcBorders>
          </w:tcPr>
          <w:p>
            <w:pPr>
              <w:jc w:val="right"/>
              <w:ind w:right="20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CCFFCC"/>
            </w:tcBorders>
          </w:tcPr>
          <w:p>
            <w:pPr>
              <w:spacing w:after="0"/>
              <w:rPr>
                <w:sz w:val="12"/>
                <w:szCs w:val="12"/>
                <w:color w:val="auto"/>
              </w:rPr>
            </w:pPr>
          </w:p>
        </w:tc>
        <w:tc>
          <w:tcPr>
            <w:tcW w:w="20" w:type="dxa"/>
            <w:vAlign w:val="bottom"/>
            <w:tcBorders>
              <w:bottom w:val="single" w:sz="8" w:color="CCFFC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24,341</w:t>
            </w:r>
          </w:p>
        </w:tc>
        <w:tc>
          <w:tcPr>
            <w:tcW w:w="20" w:type="dxa"/>
            <w:vAlign w:val="bottom"/>
            <w:tcBorders>
              <w:bottom w:val="single" w:sz="8" w:color="CCFFCC"/>
            </w:tcBorders>
          </w:tcPr>
          <w:p>
            <w:pPr>
              <w:spacing w:after="0"/>
              <w:rPr>
                <w:sz w:val="12"/>
                <w:szCs w:val="12"/>
                <w:color w:val="auto"/>
              </w:rPr>
            </w:pPr>
          </w:p>
        </w:tc>
        <w:tc>
          <w:tcPr>
            <w:tcW w:w="8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Comprehensive income: net income for the year ended Dec. 31, 2011</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10,385</w:t>
            </w: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10,385</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2,458</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Net distribution of common stock pursuant to restricted stock unit award plan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shares withheld for withholding taxes on distribution of restricted</w:t>
            </w:r>
          </w:p>
        </w:tc>
        <w:tc>
          <w:tcPr>
            <w:tcW w:w="80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4"/>
                <w:szCs w:val="14"/>
                <w:color w:val="auto"/>
              </w:rPr>
              <w:t>stock units</w:t>
            </w:r>
          </w:p>
        </w:tc>
        <w:tc>
          <w:tcPr>
            <w:tcW w:w="1160" w:type="dxa"/>
            <w:vAlign w:val="bottom"/>
            <w:gridSpan w:val="2"/>
            <w:shd w:val="clear" w:color="auto" w:fill="CCFFCC"/>
          </w:tcPr>
          <w:p>
            <w:pPr>
              <w:jc w:val="right"/>
              <w:ind w:right="300"/>
              <w:spacing w:after="0"/>
              <w:rPr>
                <w:sz w:val="20"/>
                <w:szCs w:val="20"/>
                <w:color w:val="auto"/>
              </w:rPr>
            </w:pPr>
            <w:r>
              <w:rPr>
                <w:rFonts w:ascii="Arial" w:cs="Arial" w:eastAsia="Arial" w:hAnsi="Arial"/>
                <w:sz w:val="14"/>
                <w:szCs w:val="14"/>
                <w:color w:val="auto"/>
              </w:rPr>
              <w:t>(288)</w:t>
            </w: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(945)</w:t>
            </w: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9"/>
              </w:rPr>
              <w:t>Net issuance of common stock pursuant to cashless exercise of stock options</w:t>
            </w:r>
          </w:p>
        </w:tc>
        <w:tc>
          <w:tcPr>
            <w:tcW w:w="1160" w:type="dxa"/>
            <w:vAlign w:val="bottom"/>
            <w:gridSpan w:val="2"/>
            <w:shd w:val="clear" w:color="auto" w:fill="CCFFCC"/>
          </w:tcPr>
          <w:p>
            <w:pPr>
              <w:jc w:val="right"/>
              <w:ind w:right="360"/>
              <w:spacing w:after="0" w:line="149" w:lineRule="exact"/>
              <w:rPr>
                <w:sz w:val="20"/>
                <w:szCs w:val="20"/>
                <w:color w:val="auto"/>
              </w:rPr>
            </w:pPr>
            <w:r>
              <w:rPr>
                <w:rFonts w:ascii="Arial" w:cs="Arial" w:eastAsia="Arial" w:hAnsi="Arial"/>
                <w:sz w:val="14"/>
                <w:szCs w:val="14"/>
                <w:color w:val="auto"/>
              </w:rPr>
              <w:t>611</w:t>
            </w: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tcPr>
          <w:p>
            <w:pPr>
              <w:spacing w:after="0" w:line="130" w:lineRule="exact"/>
              <w:rPr>
                <w:sz w:val="20"/>
                <w:szCs w:val="20"/>
                <w:color w:val="auto"/>
              </w:rPr>
            </w:pPr>
            <w:r>
              <w:rPr>
                <w:rFonts w:ascii="Arial" w:cs="Arial" w:eastAsia="Arial" w:hAnsi="Arial"/>
                <w:sz w:val="14"/>
                <w:szCs w:val="14"/>
                <w:color w:val="auto"/>
              </w:rPr>
              <w:t>Common shares withheld for withholding taxes on cashless exercise of stock</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82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(228)</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(884)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Issuance of common stock for exercise of stock options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215</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4"/>
                <w:szCs w:val="14"/>
                <w:color w:val="auto"/>
              </w:rPr>
              <w:t>Issuance of common stock for exercise of warrants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336</w:t>
            </w:r>
          </w:p>
        </w:tc>
        <w:tc>
          <w:tcPr>
            <w:tcW w:w="3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320"/>
              <w:spacing w:after="0"/>
              <w:rPr>
                <w:sz w:val="20"/>
                <w:szCs w:val="20"/>
                <w:color w:val="auto"/>
              </w:rPr>
            </w:pPr>
            <w:r>
              <w:rPr>
                <w:rFonts w:ascii="Arial" w:cs="Arial" w:eastAsia="Arial" w:hAnsi="Arial"/>
                <w:sz w:val="14"/>
                <w:szCs w:val="14"/>
                <w:color w:val="auto"/>
              </w:rPr>
              <w:t>1,073</w:t>
            </w: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1,076</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4"/>
                <w:szCs w:val="14"/>
                <w:color w:val="auto"/>
              </w:rPr>
              <w:t>Balance at Dec. 31, 2011</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45,320</w:t>
            </w:r>
          </w:p>
        </w:tc>
        <w:tc>
          <w:tcPr>
            <w:tcW w:w="360" w:type="dxa"/>
            <w:vAlign w:val="bottom"/>
          </w:tcPr>
          <w:p>
            <w:pPr>
              <w:spacing w:after="0"/>
              <w:rPr>
                <w:sz w:val="12"/>
                <w:szCs w:val="12"/>
                <w:color w:val="auto"/>
              </w:rPr>
            </w:pPr>
          </w:p>
        </w:tc>
        <w:tc>
          <w:tcPr>
            <w:tcW w:w="200" w:type="dxa"/>
            <w:vAlign w:val="bottom"/>
            <w:tcBorders>
              <w:top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361,733</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(325,543)</w:t>
            </w: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36,643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8"/>
              <w:spacing w:after="0" w:line="149" w:lineRule="exact"/>
              <w:rPr>
                <w:sz w:val="20"/>
                <w:szCs w:val="20"/>
                <w:color w:val="auto"/>
              </w:rPr>
            </w:pPr>
            <w:r>
              <w:rPr>
                <w:rFonts w:ascii="Arial" w:cs="Arial" w:eastAsia="Arial" w:hAnsi="Arial"/>
                <w:sz w:val="14"/>
                <w:szCs w:val="14"/>
                <w:color w:val="auto"/>
              </w:rPr>
              <w:t>(9,668)</w:t>
            </w:r>
          </w:p>
        </w:tc>
        <w:tc>
          <w:tcPr>
            <w:tcW w:w="1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Share-based compensation</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320"/>
              <w:spacing w:after="0" w:line="149" w:lineRule="exact"/>
              <w:rPr>
                <w:sz w:val="20"/>
                <w:szCs w:val="20"/>
                <w:color w:val="auto"/>
              </w:rPr>
            </w:pPr>
            <w:r>
              <w:rPr>
                <w:rFonts w:ascii="Arial" w:cs="Arial" w:eastAsia="Arial" w:hAnsi="Arial"/>
                <w:sz w:val="14"/>
                <w:szCs w:val="14"/>
                <w:color w:val="auto"/>
              </w:rPr>
              <w:t>1,733</w:t>
            </w: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1,733</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distribution of common stock pursuant to restricted stock unit award plan</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827</w:t>
            </w: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tcPr>
          <w:p>
            <w:pPr>
              <w:spacing w:after="0" w:line="130" w:lineRule="exact"/>
              <w:rPr>
                <w:sz w:val="20"/>
                <w:szCs w:val="20"/>
                <w:color w:val="auto"/>
              </w:rPr>
            </w:pPr>
            <w:r>
              <w:rPr>
                <w:rFonts w:ascii="Arial" w:cs="Arial" w:eastAsia="Arial" w:hAnsi="Arial"/>
                <w:sz w:val="14"/>
                <w:szCs w:val="14"/>
                <w:color w:val="auto"/>
              </w:rPr>
              <w:t>Common shares withheld for withholding taxes on distribution of restricted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820" w:type="dxa"/>
            <w:vAlign w:val="bottom"/>
            <w:gridSpan w:val="2"/>
          </w:tcPr>
          <w:p>
            <w:pPr>
              <w:spacing w:after="0"/>
              <w:rPr>
                <w:sz w:val="20"/>
                <w:szCs w:val="20"/>
                <w:color w:val="auto"/>
              </w:rPr>
            </w:pPr>
            <w:r>
              <w:rPr>
                <w:rFonts w:ascii="Arial" w:cs="Arial" w:eastAsia="Arial" w:hAnsi="Arial"/>
                <w:sz w:val="14"/>
                <w:szCs w:val="14"/>
                <w:color w:val="auto"/>
              </w:rPr>
              <w:t>stock units</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(296)</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(1,031)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4"/>
                <w:szCs w:val="14"/>
                <w:color w:val="auto"/>
                <w:w w:val="99"/>
              </w:rPr>
              <w:t>Net issuance of common stock pursuant to cashless exercise of stock options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shares withheld for withholding taxes on cashless exercise of stock</w:t>
            </w:r>
          </w:p>
        </w:tc>
        <w:tc>
          <w:tcPr>
            <w:tcW w:w="80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4"/>
                <w:szCs w:val="14"/>
                <w:color w:val="auto"/>
              </w:rPr>
              <w:t>options</w:t>
            </w:r>
          </w:p>
        </w:tc>
        <w:tc>
          <w:tcPr>
            <w:tcW w:w="1160" w:type="dxa"/>
            <w:vAlign w:val="bottom"/>
            <w:gridSpan w:val="2"/>
            <w:shd w:val="clear" w:color="auto" w:fill="CCFFCC"/>
          </w:tcPr>
          <w:p>
            <w:pPr>
              <w:jc w:val="right"/>
              <w:ind w:right="300"/>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4"/>
                <w:szCs w:val="14"/>
                <w:color w:val="auto"/>
              </w:rPr>
              <w:t>Issuance of common stock for exercise of stock options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w:t>
            </w:r>
          </w:p>
        </w:tc>
        <w:tc>
          <w:tcPr>
            <w:tcW w:w="3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320"/>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4"/>
                <w:szCs w:val="14"/>
                <w:color w:val="auto"/>
              </w:rPr>
              <w:t>Balance at Dec. 31, 2012</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45,867</w:t>
            </w:r>
          </w:p>
        </w:tc>
        <w:tc>
          <w:tcPr>
            <w:tcW w:w="3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362,422</w:t>
            </w: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(335,211</w:t>
            </w:r>
          </w:p>
        </w:tc>
        <w:tc>
          <w:tcPr>
            <w:tcW w:w="340" w:type="dxa"/>
            <w:vAlign w:val="bottom"/>
          </w:tcPr>
          <w:p>
            <w:pPr>
              <w:jc w:val="right"/>
              <w:ind w:right="20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320" w:type="dxa"/>
            <w:vAlign w:val="bottom"/>
          </w:tcPr>
          <w:p>
            <w:pPr>
              <w:jc w:val="right"/>
              <w:ind w:right="188"/>
              <w:spacing w:after="0" w:line="142"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27,630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620" w:type="dxa"/>
            <w:vAlign w:val="bottom"/>
            <w:tcBorders>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2012</w:t>
            </w:r>
          </w:p>
        </w:tc>
        <w:tc>
          <w:tcPr>
            <w:tcW w:w="3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2011</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5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99"/>
              <w:spacing w:after="0"/>
              <w:rPr>
                <w:sz w:val="20"/>
                <w:szCs w:val="20"/>
                <w:color w:val="auto"/>
              </w:rPr>
            </w:pPr>
            <w:r>
              <w:rPr>
                <w:rFonts w:ascii="Arial" w:cs="Arial" w:eastAsia="Arial" w:hAnsi="Arial"/>
                <w:sz w:val="16"/>
                <w:szCs w:val="16"/>
                <w:color w:val="auto"/>
              </w:rPr>
              <w:t>(9,668)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10,385</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(12,707)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140"/>
              <w:spacing w:after="0"/>
              <w:rPr>
                <w:sz w:val="20"/>
                <w:szCs w:val="20"/>
                <w:color w:val="auto"/>
              </w:rPr>
            </w:pPr>
            <w:r>
              <w:rPr>
                <w:rFonts w:ascii="Arial" w:cs="Arial" w:eastAsia="Arial" w:hAnsi="Arial"/>
                <w:sz w:val="16"/>
                <w:szCs w:val="16"/>
                <w:color w:val="auto"/>
                <w:w w:val="95"/>
              </w:rPr>
              <w:t>Adjustments to reconcile net income (loss) to net cash (used in) provided by operating activities: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131</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300"/>
              <w:spacing w:after="0"/>
              <w:rPr>
                <w:sz w:val="20"/>
                <w:szCs w:val="20"/>
                <w:color w:val="auto"/>
              </w:rPr>
            </w:pPr>
            <w:r>
              <w:rPr>
                <w:rFonts w:ascii="Arial" w:cs="Arial" w:eastAsia="Arial" w:hAnsi="Arial"/>
                <w:sz w:val="16"/>
                <w:szCs w:val="16"/>
                <w:color w:val="auto"/>
              </w:rPr>
              <w:t>Share-based compensation</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1,733</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6,746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rPr>
              <w:t>Loss on asset disposals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30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6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199"/>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460"/>
              <w:spacing w:after="0"/>
              <w:rPr>
                <w:sz w:val="20"/>
                <w:szCs w:val="20"/>
                <w:color w:val="auto"/>
              </w:rPr>
            </w:pPr>
            <w:r>
              <w:rPr>
                <w:rFonts w:ascii="Arial" w:cs="Arial" w:eastAsia="Arial" w:hAnsi="Arial"/>
                <w:sz w:val="16"/>
                <w:szCs w:val="16"/>
                <w:color w:val="auto"/>
              </w:rPr>
              <w:t>Collaboration revenue receivable</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60"/>
              <w:spacing w:after="0"/>
              <w:rPr>
                <w:sz w:val="20"/>
                <w:szCs w:val="20"/>
                <w:color w:val="auto"/>
              </w:rPr>
            </w:pPr>
            <w:r>
              <w:rPr>
                <w:rFonts w:ascii="Arial" w:cs="Arial" w:eastAsia="Arial" w:hAnsi="Arial"/>
                <w:sz w:val="16"/>
                <w:szCs w:val="16"/>
                <w:color w:val="auto"/>
              </w:rPr>
              <w:t>Income taxes refundable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941</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460"/>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(64)</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60"/>
              <w:spacing w:after="0"/>
              <w:rPr>
                <w:sz w:val="20"/>
                <w:szCs w:val="20"/>
                <w:color w:val="auto"/>
              </w:rPr>
            </w:pPr>
            <w:r>
              <w:rPr>
                <w:rFonts w:ascii="Arial" w:cs="Arial" w:eastAsia="Arial" w:hAnsi="Arial"/>
                <w:sz w:val="16"/>
                <w:szCs w:val="16"/>
                <w:color w:val="auto"/>
              </w:rPr>
              <w:t>Deferred program fee revenue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ind w:left="460"/>
              <w:spacing w:after="0"/>
              <w:rPr>
                <w:sz w:val="20"/>
                <w:szCs w:val="20"/>
                <w:color w:val="auto"/>
              </w:rPr>
            </w:pPr>
            <w:r>
              <w:rPr>
                <w:rFonts w:ascii="Arial" w:cs="Arial" w:eastAsia="Arial" w:hAnsi="Arial"/>
                <w:sz w:val="16"/>
                <w:szCs w:val="16"/>
                <w:color w:val="auto"/>
              </w:rPr>
              <w:t>Other assets and liabilities</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6</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FFCC"/>
            </w:tcBorders>
          </w:tcPr>
          <w:p>
            <w:pPr>
              <w:ind w:left="62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CCFFC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(7,038</w:t>
            </w:r>
          </w:p>
        </w:tc>
        <w:tc>
          <w:tcPr>
            <w:tcW w:w="340" w:type="dxa"/>
            <w:vAlign w:val="bottom"/>
            <w:tcBorders>
              <w:bottom w:val="single" w:sz="8" w:color="CCFFCC"/>
            </w:tcBorders>
          </w:tcPr>
          <w:p>
            <w:pPr>
              <w:jc w:val="right"/>
              <w:ind w:right="199"/>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12,312</w:t>
            </w:r>
          </w:p>
        </w:tc>
        <w:tc>
          <w:tcPr>
            <w:tcW w:w="2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Borders>
              <w:bottom w:val="single" w:sz="8" w:color="CCFFCC"/>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rPr>
              <w:t>Purchases of marketable securities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199"/>
              <w:spacing w:after="0"/>
              <w:rPr>
                <w:sz w:val="20"/>
                <w:szCs w:val="20"/>
                <w:color w:val="auto"/>
              </w:rPr>
            </w:pPr>
            <w:r>
              <w:rPr>
                <w:rFonts w:ascii="Arial" w:cs="Arial" w:eastAsia="Arial" w:hAnsi="Arial"/>
                <w:sz w:val="16"/>
                <w:szCs w:val="16"/>
                <w:color w:val="auto"/>
              </w:rPr>
              <w:t>(20,306)</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300"/>
              <w:spacing w:after="0"/>
              <w:rPr>
                <w:sz w:val="20"/>
                <w:szCs w:val="20"/>
                <w:color w:val="auto"/>
              </w:rPr>
            </w:pPr>
            <w:r>
              <w:rPr>
                <w:rFonts w:ascii="Arial" w:cs="Arial" w:eastAsia="Arial" w:hAnsi="Arial"/>
                <w:sz w:val="16"/>
                <w:szCs w:val="16"/>
                <w:color w:val="auto"/>
              </w:rPr>
              <w:t>Proceeds from sale of marketable securities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320</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rPr>
              <w:t>Additions to property, plant and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99"/>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8"/>
                <w:szCs w:val="18"/>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20" w:type="dxa"/>
            <w:vAlign w:val="bottom"/>
            <w:tcBorders>
              <w:top w:val="single" w:sz="8" w:color="CCFFCC"/>
            </w:tcBorders>
            <w:shd w:val="clear" w:color="auto" w:fill="CCFFCC"/>
          </w:tcPr>
          <w:p>
            <w:pPr>
              <w:ind w:left="6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(20,133</w:t>
            </w:r>
          </w:p>
        </w:tc>
        <w:tc>
          <w:tcPr>
            <w:tcW w:w="340" w:type="dxa"/>
            <w:vAlign w:val="bottom"/>
            <w:tcBorders>
              <w:top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Borders>
              <w:top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FFCC"/>
            </w:tcBorders>
            <w:shd w:val="clear" w:color="auto" w:fill="CCFFC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3"/>
        </w:trPr>
        <w:tc>
          <w:tcPr>
            <w:tcW w:w="66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shd w:val="clear" w:color="auto" w:fill="CCFFCC"/>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rPr>
              <w:t>Proceeds from distribution of restricted stock units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300"/>
              <w:spacing w:after="0"/>
              <w:rPr>
                <w:sz w:val="20"/>
                <w:szCs w:val="20"/>
                <w:color w:val="auto"/>
              </w:rPr>
            </w:pPr>
            <w:r>
              <w:rPr>
                <w:rFonts w:ascii="Arial" w:cs="Arial" w:eastAsia="Arial" w:hAnsi="Arial"/>
                <w:sz w:val="16"/>
                <w:szCs w:val="16"/>
                <w:color w:val="auto"/>
              </w:rPr>
              <w:t>Proceeds from warrant exercise</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FFCC"/>
          </w:tcPr>
          <w:p>
            <w:pPr>
              <w:spacing w:after="0"/>
              <w:rPr>
                <w:sz w:val="17"/>
                <w:szCs w:val="17"/>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w w:val="99"/>
              </w:rPr>
              <w:t>Statutory minimum withholding taxes paid on the distribution of common stock pursuant to</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00"/>
              <w:spacing w:after="0"/>
              <w:rPr>
                <w:sz w:val="20"/>
                <w:szCs w:val="20"/>
                <w:color w:val="auto"/>
              </w:rPr>
            </w:pPr>
            <w:r>
              <w:rPr>
                <w:rFonts w:ascii="Arial" w:cs="Arial" w:eastAsia="Arial" w:hAnsi="Arial"/>
                <w:sz w:val="16"/>
                <w:szCs w:val="16"/>
                <w:color w:val="auto"/>
              </w:rPr>
              <w:t>restricted stock unit plan and exercise of stock options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99"/>
              <w:spacing w:after="0"/>
              <w:rPr>
                <w:sz w:val="20"/>
                <w:szCs w:val="20"/>
                <w:color w:val="auto"/>
              </w:rPr>
            </w:pPr>
            <w:r>
              <w:rPr>
                <w:rFonts w:ascii="Arial" w:cs="Arial" w:eastAsia="Arial" w:hAnsi="Arial"/>
                <w:sz w:val="16"/>
                <w:szCs w:val="16"/>
                <w:color w:val="auto"/>
              </w:rPr>
              <w:t>(1,048)</w:t>
            </w:r>
          </w:p>
        </w:tc>
        <w:tc>
          <w:tcPr>
            <w:tcW w:w="280" w:type="dxa"/>
            <w:vAlign w:val="bottom"/>
          </w:tcPr>
          <w:p>
            <w:pPr>
              <w:spacing w:after="0"/>
              <w:rPr>
                <w:sz w:val="19"/>
                <w:szCs w:val="19"/>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(1,839)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20" w:type="dxa"/>
            <w:vAlign w:val="bottom"/>
            <w:tcBorders>
              <w:top w:val="single" w:sz="8" w:color="CCFFCC"/>
            </w:tcBorders>
            <w:shd w:val="clear" w:color="auto" w:fill="CCFFCC"/>
          </w:tcPr>
          <w:p>
            <w:pPr>
              <w:ind w:left="6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(1,038</w:t>
            </w:r>
          </w:p>
        </w:tc>
        <w:tc>
          <w:tcPr>
            <w:tcW w:w="340" w:type="dxa"/>
            <w:vAlign w:val="bottom"/>
            <w:tcBorders>
              <w:top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(541</w:t>
            </w:r>
          </w:p>
        </w:tc>
        <w:tc>
          <w:tcPr>
            <w:tcW w:w="200" w:type="dxa"/>
            <w:vAlign w:val="bottom"/>
            <w:tcBorders>
              <w:top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bottom w:val="single" w:sz="8" w:color="auto"/>
            </w:tcBorders>
            <w:shd w:val="clear" w:color="auto" w:fill="CCFFCC"/>
          </w:tcPr>
          <w:p>
            <w:pPr>
              <w:spacing w:after="0"/>
              <w:rPr>
                <w:sz w:val="17"/>
                <w:szCs w:val="17"/>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(28,209)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11,640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59"/>
              <w:spacing w:after="0"/>
              <w:rPr>
                <w:sz w:val="20"/>
                <w:szCs w:val="20"/>
                <w:color w:val="auto"/>
              </w:rPr>
            </w:pPr>
            <w:r>
              <w:rPr>
                <w:rFonts w:ascii="Arial" w:cs="Arial" w:eastAsia="Arial" w:hAnsi="Arial"/>
                <w:sz w:val="16"/>
                <w:szCs w:val="16"/>
                <w:color w:val="auto"/>
              </w:rPr>
              <w:t>35,685</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24,045</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30,174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CCFFC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7,476</w:t>
            </w:r>
          </w:p>
        </w:tc>
        <w:tc>
          <w:tcPr>
            <w:tcW w:w="340" w:type="dxa"/>
            <w:vAlign w:val="bottom"/>
            <w:tcBorders>
              <w:bottom w:val="single" w:sz="8" w:color="CCFFC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35,685</w:t>
            </w:r>
          </w:p>
        </w:tc>
        <w:tc>
          <w:tcPr>
            <w:tcW w:w="20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24,045</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140"/>
              <w:spacing w:after="0"/>
              <w:rPr>
                <w:sz w:val="20"/>
                <w:szCs w:val="20"/>
                <w:color w:val="auto"/>
              </w:rPr>
            </w:pPr>
            <w:r>
              <w:rPr>
                <w:rFonts w:ascii="Arial" w:cs="Arial" w:eastAsia="Arial" w:hAnsi="Arial"/>
                <w:sz w:val="16"/>
                <w:szCs w:val="16"/>
                <w:color w:val="auto"/>
              </w:rPr>
              <w:t>Cash paid during the year for:</w:t>
            </w:r>
          </w:p>
        </w:tc>
        <w:tc>
          <w:tcPr>
            <w:tcW w:w="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60"/>
              <w:spacing w:after="0"/>
              <w:rPr>
                <w:sz w:val="20"/>
                <w:szCs w:val="20"/>
                <w:color w:val="auto"/>
              </w:rPr>
            </w:pPr>
            <w:r>
              <w:rPr>
                <w:rFonts w:ascii="Arial" w:cs="Arial" w:eastAsia="Arial" w:hAnsi="Arial"/>
                <w:sz w:val="16"/>
                <w:szCs w:val="16"/>
                <w:color w:val="auto"/>
              </w:rPr>
              <w:t>Interest</w:t>
            </w:r>
          </w:p>
        </w:tc>
        <w:tc>
          <w:tcPr>
            <w:tcW w:w="50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26</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FFCC"/>
          </w:tcPr>
          <w:p>
            <w:pPr>
              <w:ind w:left="460"/>
              <w:spacing w:after="0"/>
              <w:rPr>
                <w:sz w:val="20"/>
                <w:szCs w:val="20"/>
                <w:color w:val="auto"/>
              </w:rPr>
            </w:pPr>
            <w:r>
              <w:rPr>
                <w:rFonts w:ascii="Arial" w:cs="Arial" w:eastAsia="Arial" w:hAnsi="Arial"/>
                <w:sz w:val="16"/>
                <w:szCs w:val="16"/>
                <w:color w:val="auto"/>
              </w:rPr>
              <w:t>Income taxes, net of refunds</w:t>
            </w:r>
          </w:p>
        </w:tc>
        <w:tc>
          <w:tcPr>
            <w:tcW w:w="500" w:type="dxa"/>
            <w:vAlign w:val="bottom"/>
            <w:gridSpan w:val="2"/>
            <w:shd w:val="clear" w:color="auto" w:fill="CCFFCC"/>
          </w:tcPr>
          <w:p>
            <w:pPr>
              <w:jc w:val="right"/>
              <w:ind w:right="124"/>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FFCC"/>
          </w:tcPr>
          <w:p>
            <w:pPr>
              <w:jc w:val="right"/>
              <w:ind w:right="119"/>
              <w:spacing w:after="0"/>
              <w:rPr>
                <w:sz w:val="20"/>
                <w:szCs w:val="20"/>
                <w:color w:val="auto"/>
              </w:rPr>
            </w:pPr>
            <w:r>
              <w:rPr>
                <w:rFonts w:ascii="Arial" w:cs="Arial" w:eastAsia="Arial" w:hAnsi="Arial"/>
                <w:sz w:val="16"/>
                <w:szCs w:val="16"/>
                <w:color w:val="auto"/>
              </w:rPr>
              <w:t>284</w:t>
            </w:r>
          </w:p>
        </w:tc>
        <w:tc>
          <w:tcPr>
            <w:tcW w:w="400" w:type="dxa"/>
            <w:vAlign w:val="bottom"/>
            <w:gridSpan w:val="2"/>
            <w:shd w:val="clear" w:color="auto" w:fill="CCFFC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2012, 2011, and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2012</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829 shares of common stock were distributed pursuant to our Restricted Stock Unit Plan utilizing various cashless exercise features of the plan and after withholding 2 shares for $7 in exercise costs and withholding 296 shares for $1.0 million in statutory minimum payroll taxes, 531 shares of common stock were issued.</w:t>
      </w:r>
    </w:p>
    <w:p>
      <w:pPr>
        <w:ind w:left="340" w:right="20" w:hanging="332"/>
        <w:spacing w:after="0" w:line="290"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Options to purchase 24 shares of common stock were exercised utilizing various cashless exercise features of the plan and after withholding 10 shares for $31 in exercise costs and withholding 5 shares for $15 in statutory minimum payroll taxes, 9 shares of common stock were issued.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2011</w:t>
      </w:r>
    </w:p>
    <w:p>
      <w:pPr>
        <w:spacing w:after="0" w:line="225" w:lineRule="exact"/>
        <w:rPr>
          <w:sz w:val="20"/>
          <w:szCs w:val="20"/>
          <w:color w:val="auto"/>
        </w:rPr>
      </w:pPr>
    </w:p>
    <w:p>
      <w:pPr>
        <w:ind w:left="340" w:hanging="332"/>
        <w:spacing w:after="0" w:line="291"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829 shares of common stock were distributed pursuant to our RSU Plan utilizing various cashless exercise features of the plan and after withholding 1 shares for $3 in exercise costs and withholding 288 shares for $948 in statutory minimum payroll taxes, 540 shares of common stock were issued.</w:t>
      </w:r>
    </w:p>
    <w:p>
      <w:pPr>
        <w:ind w:left="340" w:hanging="332"/>
        <w:spacing w:after="0" w:line="323"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Options to purchase 935 shares of common stock were exercised utilizing various cashless exercise features of the plan and after withholding 324 shares for $1.3 million in exercise costs and withholding 228 shares for $886 in statutory minimum payroll taxes, 383 shares of common stock were issued.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2010</w:t>
      </w:r>
    </w:p>
    <w:p>
      <w:pPr>
        <w:spacing w:after="0" w:line="225"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 to purchase 65 shares of common stock were exercised in cashless exercise transactions resulting in the net issuance of 43 shares of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ind w:left="3740"/>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DECEMBER 31, 2012, 2011 and 2010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or the Pfizer Agreement. We have also developed our Impede™ Technology which is a combination of inactive ingredients that prevent the extraction of pseudoephedrine from tablets and disrupt the direct conversion of pseudoephedrine from tablets into methamphetamine. In late December 2012 we launched in the United States Nexafed® (pseudoephedrine HC1) tablets formulated with our Impede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(“GAAP”). The consolidated financial statements include the accounts of its wholly-owned subsidiary, Acura Pharmaceutical Technologies Inc., after elimination of intercompany accounts and transactions.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considers cash and cash equivalents to include cash in banks, U.S. Treasury Bills and money market funds. The Company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and other receivables, and trade accounts payable. The carrying amounts of these financial instruments, other than marketable securities, are representative of their respective fair values due to their relatively short maturities. As discussed below, marketable securities are recorded at fair value.</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marketable securities primarily consist of corporate bonds and other instruments that invest in U.S. Treasury, U.S. agency securities and agency mortgage-backed securities. Our marketable securities are governed by our investment policy as approved by our Board of Directors. The Company’s marketable securities are classified as available-for-sale and are recorded at fair value, based upon quoted market prices or net asset value. Unrealized temporary adjustments to fair value are included in a separate component of stockholders’ equity as unrealized gains and losses and reported as a component of accumulated other comprehensive income (loss). No gains or losses on marketable securities are realized until shares are sold or a decline in fair value is determined to be other-than-temporary. If a decline in fair value is determined to be other-than-temporary, an impairment charge is recorded and a new cost basis in the investment is established.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invest our excess cash in accordance with the investment policy approved by our Board of Directors that seeks a combination of both liquidity and safety of principal, such as investments in instruments issued by the United States government and high grade corporate bonds.</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accounts receivable arise from our product sales of Nexafed® and represents amounts due from wholesalers in the health care and pharmaceuticals industries. The Company has performed a credit evaluation of its customers and may maintain an allowance for potentially uncollectable accounts. We have not experienced any losses on uncollectable accounts due to the recent market launch of Nexafed® late in December 2012.</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consist of finished goods held for sale and distribution on our Nexafed® product. Inventories are stated at the lower of cost (first-in, first-out method) or market (net realizable value). The Company writes down inventories to net realizable value based on forecasted demand and market conditions, which may differ from actual results. We had inventory valued at $0.2 million at December 31, 2012. We had no inventory at December 31, 2011. Purchases of active pharmaceutical ingredients and raw materials required for our development and clinical trial manufacture of product candidates utilizing our Aversion® or Impede™ Technologies are expensed as incurred.</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70"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Land improvements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Scientific equipment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Office equipment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Nexafed was launched in the fourth quarter of 2012. The Company sells Nexafed in the United States to wholesale pharmaceutical distributors subject to the right of return for a period of up to six months after the product expiration. Nexafed currently has a shelf life of twenty-four months from the date of manufacture. Given the limited sales history of Nexafed, the Company currently cannot reliably estimate expected returns of the product at the time of shipment. Accordingly, the Company defers recognition of revenue on the product shipments of Nexafed until the right of return no longer exists or adequate history and information is available to estimate product returns.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(the “Pfizer Agreement”), we recognize program fee revenue, collaboration revenue and milestone revenue.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Program fee revenue is derived from amortized upfront payments, such as the $30.0 million upfront payment from Pfizer received in December 2007, and license fees, such as the $3.0 million option exercise fee paid by Pfizer to us in each of May 2008 and December 2008 upon the exercise of its option to license a third and fourth opioid analgesic product candidate under the Pfizer Agreement. We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We recognized no program fee revenue in 2012 and $0.5 million and $1.1 million of program fee revenue in 2011 and 2010, respectively.</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Collaboration revenue is derived from reimbursement of development expenses, which are invoiced quarterly in arrears, and are recognized when costs are incurred pursuant to the Pfizer Agreement. The research and development services provided to Pfizer under the collaboration are priced at fair value based upon the reimbursement of expenses incurred pursuant to the collaboration with Pfizer. We recognized $2.2 million of collaboration revenue in 2010. There are no ongoing research and development services being provided to Pfizer and we had no collaboration revenue in 2012 or 2011.</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of Oxecta Tablets and other product candidates licensed to Pfizer under the Pfizer Agreement. Milestone payments from Pfizer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the Pfizer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June 2011, Pfizer paid us a $20.0 million milestone relating to the receipt of FDA approval of the NDA for Oxecta.</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records shipping and handling costs in selling expenses. The amounts recorded from the launch of Nexafed in the fourth quarter of 2012 were not material.</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had no accrued CRO costs at December 31, 2012 and had accrued $28 thousand of CRO and clinical trial study expenses at December 31, 2011.</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December 31, 2012 and 2011,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Acura’s other comprehensive income (loss) is composed of unrealized gains (losses) on certain holdings of marketable securities, net of any realized gains (losses) included in net income (loss).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RSUs (See Note 9).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either 2012 or 2010 as the Company reported a net loss for the years and including the effects of common stock equivalents in the diluted EPS calculation would have been antidilutive. In 2011, stock awards to purchase 2.8 million common shares were outstanding but not included in the computation of diluted EPS as the awards were anti-dilutive.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7"/>
          </w:tcPr>
          <w:p>
            <w:pPr>
              <w:jc w:val="center"/>
              <w:ind w:left="55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2011</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FFCC"/>
            </w:tcBorders>
          </w:tcPr>
          <w:p>
            <w:pPr>
              <w:spacing w:after="0"/>
              <w:rPr>
                <w:sz w:val="18"/>
                <w:szCs w:val="18"/>
                <w:color w:val="auto"/>
              </w:rPr>
            </w:pPr>
          </w:p>
        </w:tc>
        <w:tc>
          <w:tcPr>
            <w:tcW w:w="12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jc w:val="center"/>
              <w:ind w:right="170"/>
              <w:spacing w:after="0"/>
              <w:rPr>
                <w:sz w:val="20"/>
                <w:szCs w:val="20"/>
                <w:color w:val="auto"/>
              </w:rPr>
            </w:pPr>
            <w:r>
              <w:rPr>
                <w:rFonts w:ascii="Arial" w:cs="Arial" w:eastAsia="Arial" w:hAnsi="Arial"/>
                <w:sz w:val="18"/>
                <w:szCs w:val="18"/>
                <w:color w:val="auto"/>
                <w:w w:val="87"/>
              </w:rPr>
              <w:t>(in thousands except per share data)</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EPS - basic</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Numerator: net income (loss)</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10,385</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Vested RSUs</w:t>
            </w:r>
          </w:p>
        </w:tc>
        <w:tc>
          <w:tcPr>
            <w:tcW w:w="124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2,480</w:t>
            </w:r>
          </w:p>
        </w:tc>
        <w:tc>
          <w:tcPr>
            <w:tcW w:w="3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FFCC"/>
            </w:tcBorders>
          </w:tcPr>
          <w:p>
            <w:pPr>
              <w:ind w:left="44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47,521</w:t>
            </w:r>
          </w:p>
        </w:tc>
        <w:tc>
          <w:tcPr>
            <w:tcW w:w="18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47,496</w:t>
            </w:r>
          </w:p>
        </w:tc>
        <w:tc>
          <w:tcPr>
            <w:tcW w:w="3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EPS - basic</w:t>
            </w:r>
          </w:p>
        </w:tc>
        <w:tc>
          <w:tcPr>
            <w:tcW w:w="12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EPS – assuming dilution</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Numerator: net income (loss)</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10,385</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Denominator:</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Vested RSUs</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2,489</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Common stock warrants</w:t>
            </w:r>
          </w:p>
        </w:tc>
        <w:tc>
          <w:tcPr>
            <w:tcW w:w="124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FFCC"/>
            </w:tcBorders>
          </w:tcPr>
          <w:p>
            <w:pPr>
              <w:ind w:left="440"/>
              <w:spacing w:after="0"/>
              <w:rPr>
                <w:sz w:val="20"/>
                <w:szCs w:val="20"/>
                <w:color w:val="auto"/>
              </w:rPr>
            </w:pPr>
            <w:r>
              <w:rPr>
                <w:rFonts w:ascii="Arial" w:cs="Arial" w:eastAsia="Arial" w:hAnsi="Arial"/>
                <w:sz w:val="18"/>
                <w:szCs w:val="18"/>
                <w:color w:val="auto"/>
              </w:rPr>
              <w:t>Diluted weighted average shares outstanding</w:t>
            </w:r>
          </w:p>
        </w:tc>
        <w:tc>
          <w:tcPr>
            <w:tcW w:w="12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47,521</w:t>
            </w:r>
          </w:p>
        </w:tc>
        <w:tc>
          <w:tcPr>
            <w:tcW w:w="18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48,007</w:t>
            </w:r>
          </w:p>
        </w:tc>
        <w:tc>
          <w:tcPr>
            <w:tcW w:w="3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47,029</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EPS - diluted</w:t>
            </w:r>
          </w:p>
        </w:tc>
        <w:tc>
          <w:tcPr>
            <w:tcW w:w="12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1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Excluded dilutive securities:</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Common stock issuable: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2,805</w:t>
            </w: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Arial" w:cs="Arial" w:eastAsia="Arial" w:hAnsi="Arial"/>
                <w:sz w:val="18"/>
                <w:szCs w:val="18"/>
                <w:color w:val="auto"/>
              </w:rPr>
              <w:t>Common stock warrants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RSUs</w:t>
            </w:r>
          </w:p>
        </w:tc>
        <w:tc>
          <w:tcPr>
            <w:tcW w:w="124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440"/>
              <w:spacing w:after="0"/>
              <w:rPr>
                <w:sz w:val="20"/>
                <w:szCs w:val="20"/>
                <w:color w:val="auto"/>
              </w:rPr>
            </w:pPr>
            <w:r>
              <w:rPr>
                <w:rFonts w:ascii="Arial" w:cs="Arial" w:eastAsia="Arial" w:hAnsi="Arial"/>
                <w:sz w:val="18"/>
                <w:szCs w:val="18"/>
                <w:color w:val="auto"/>
              </w:rPr>
              <w:t>Total excluded potentially dilutive shares</w:t>
            </w: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three share-based compensation plans covering stock options and Restricted Stock Units (“RSU”) for our employees and directors, which are described more fully in Note 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share-based compensation expense recognized in the Company’s results of operations comprised the following:</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6"/>
          </w:tcPr>
          <w:p>
            <w:pPr>
              <w:jc w:val="center"/>
              <w:ind w:left="450"/>
              <w:spacing w:after="0"/>
              <w:rPr>
                <w:sz w:val="20"/>
                <w:szCs w:val="20"/>
                <w:color w:val="auto"/>
              </w:rPr>
            </w:pPr>
            <w:r>
              <w:rPr>
                <w:rFonts w:ascii="Arial" w:cs="Arial" w:eastAsia="Arial" w:hAnsi="Arial"/>
                <w:sz w:val="18"/>
                <w:szCs w:val="18"/>
                <w:color w:val="auto"/>
                <w:w w:val="88"/>
              </w:rPr>
              <w:t>Year Ended December 31,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2011</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1"/>
              </w:rPr>
              <w:t>(in thousands)</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Stock option awards</w:t>
            </w:r>
          </w:p>
        </w:tc>
        <w:tc>
          <w:tcPr>
            <w:tcW w:w="16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RSU awards</w:t>
            </w:r>
          </w:p>
        </w:tc>
        <w:tc>
          <w:tcPr>
            <w:tcW w:w="14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FFC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00"/>
              <w:spacing w:after="0"/>
              <w:rPr>
                <w:sz w:val="20"/>
                <w:szCs w:val="20"/>
                <w:color w:val="auto"/>
              </w:rPr>
            </w:pPr>
            <w:r>
              <w:rPr>
                <w:rFonts w:ascii="Arial" w:cs="Arial" w:eastAsia="Arial" w:hAnsi="Arial"/>
                <w:sz w:val="18"/>
                <w:szCs w:val="18"/>
                <w:color w:val="auto"/>
              </w:rPr>
              <w:t>Stock option awards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4,365</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FFCC"/>
          </w:tcPr>
          <w:p>
            <w:pPr>
              <w:ind w:left="300"/>
              <w:spacing w:after="0"/>
              <w:rPr>
                <w:sz w:val="20"/>
                <w:szCs w:val="20"/>
                <w:color w:val="auto"/>
              </w:rPr>
            </w:pPr>
            <w:r>
              <w:rPr>
                <w:rFonts w:ascii="Arial" w:cs="Arial" w:eastAsia="Arial" w:hAnsi="Arial"/>
                <w:sz w:val="18"/>
                <w:szCs w:val="18"/>
                <w:color w:val="auto"/>
              </w:rPr>
              <w:t>RSU awards</w:t>
            </w:r>
          </w:p>
        </w:tc>
        <w:tc>
          <w:tcPr>
            <w:tcW w:w="148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FFC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FFCC"/>
            </w:tcBorders>
          </w:tcPr>
          <w:p>
            <w:pPr>
              <w:spacing w:after="0"/>
              <w:rPr>
                <w:sz w:val="18"/>
                <w:szCs w:val="18"/>
                <w:color w:val="auto"/>
              </w:rPr>
            </w:pPr>
          </w:p>
        </w:tc>
        <w:tc>
          <w:tcPr>
            <w:tcW w:w="148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26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1,733</w:t>
            </w:r>
          </w:p>
        </w:tc>
        <w:tc>
          <w:tcPr>
            <w:tcW w:w="26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2,458</w:t>
            </w:r>
          </w:p>
        </w:tc>
        <w:tc>
          <w:tcPr>
            <w:tcW w:w="26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6,746</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June 2011, the FASB issued a final standard requiring entities to present net income and other comprehensive income in either a single continuous statement or in two separate, but consecutive, statements of net income and other comprehensive income. The new standard eliminates the option to present items of other comprehensive income in the statement of changes in equity. The new requirements do not change which components of comprehensive income are recognized in net income or other comprehensive income, or when an item of other comprehensive income must be reclassified to net income. Also, earnings per share computations do not change. The new requirements are effective for interim and annual periods beginning after December 15, 2011, with early adoption permitted. Full retrospective application is required. The Company adopted this standard for the annual period ended December 31, 2011 but because we had no other comprehensive income, there was no change in our financial statement presentations. During 2012 we had other comprehensive income and had applied retroactive application to the annual periods ended December 31, 2011 and 2010. The Company elected to present net income and other comprehensive income in a single continuous statement of net income and other comprehensive income. As this standard related only to the presentation of other comprehensive income, the adoption of this accounting standard did not have an impact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DEVELOPMENT, AND COMMERCIALIZATION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30, 2007, we and King Pharmaceuticals Research and Development, Inc., now a wholly-owned subsidiary of Pfizer, entered into the Pfizer Agreement to develop and commercialize in the United States, Canada and Mexico certain opioid analgesic products utilizing our proprietary Aversion Technology. The Pfizer Agreement initially provided Pfizer with an exclusive license in the United States, Canada and Mexico, or the Pfizer Territory, for Oxecta (oxycodone HCl) Tablets and oxycodone HCl/acetaminophen tablets utilizing Aversion Technology. In addition, the Pfizer Agreement provided Pfizer with an option to license in the Pfizer Territory certain future opioid analgesic products developed utilizing Aversion Technology. Pfizer exercised its option to license two additional product candidates including an undisclosed immediate-release opioid analgesic tablet product and hydrocodone bitartrate/acetaminophen tablets, each of which utilize our Aversion Technology. On September 24, 2012, we entered into a letter agreement with Pfizer which amends the Pfizer Agreement and provides for the termination of Pfizer’s license to our Aversion® Technology used in the three development-stage products licensed to Pfizer and for the transfer of these products back to us. These development-stage products are hydrocodone bitartrate/acetaminophen tablets, oxycodone HCl/acetaminophen tablets and an undisclosed opioid.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spacing w:after="0" w:line="312" w:lineRule="auto"/>
        <w:rPr>
          <w:sz w:val="20"/>
          <w:szCs w:val="20"/>
          <w:color w:val="auto"/>
        </w:rPr>
      </w:pPr>
      <w:r>
        <w:rPr>
          <w:rFonts w:ascii="Arial" w:cs="Arial" w:eastAsia="Arial" w:hAnsi="Arial"/>
          <w:sz w:val="16"/>
          <w:szCs w:val="16"/>
          <w:color w:val="auto"/>
        </w:rPr>
        <w:t>Pursuant to the Pfizer Agreement, we and Pfizer formed a joint steering committee to oversee development and commercialization strategies for Oxecta. Pfizer is responsible, at its own expense, for all regulatory, manufacturing and commercialization activities for Oxecta in all Pfizer Territories. Subject to the Pfizer Agreement, Pfizer will have final decision making authority with respect to all regulatory and commercialization activities for Oxecta.</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2012, we had received aggregate payments of $78.5 million from Pfizer, consisting of a $30.0 million non-refundable upfront cash payment, $17.5 million in reimbursed research and development expenses relating to licensed products, $6.0 million in fees relating to Pfizer’s exercise of its option to license an undisclosed immediate-release opioid analgesic tablet product and hydrocodone bitartrate/acetaminophen tablets, a $5.0 million milestone fee relating to our successful achievement of the primary endpoints for our pivotal Phase III clinical study for Aversion oxycodone HCl with niacin tablets and a $20.0 million milestone fee relating to the FDA’s approval of the Oxecta Tablets NDA. We received none of these payments from Pfizer during 2012. We can also receive a one-time $50 million sales milestone payment upon the first attainment of $750 million in net sales of Oxecta across all Pfizer Territories. In addition, for Oxecta sales occurring on and following February 2, 2013 (the one year anniversary of the first commercial sale of Oxecta), Pfizer will pay us a royalty at one of six rates ranging from 5% to 25% based on the level of annual net sales for Oxecta across all Pfizer Territories, with the highest applicable royalty rate applied to such annual sales.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three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Pfizer has advised us that they will not exercise their first right under the Pfizer Agreement to control the enforcement of our patents licensed to Pfizer for Oxecta against these generic sponsors. As a result, on October 31, 2012, we initiated suit against each of Watson Laboratories, Inc. – Florida (“Watson”), Par Pharmaceutical, Inc., Impax Laboratories, Inc. and Sandoz Inc.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On January 2, 2013, our motion to dismiss the suit against Watson on the grounds that Watson had amended its ANDA from a Paragraph IV certification to Paragraph III, which indicated its intent not to market its product in advance of our patents expiring, was accepted by the Court.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these infringement actions. If any of these generic companies prevails in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materially adversely affect the Company’s operations and financial condition.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32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are summarized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17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60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FFCC"/>
            </w:tcBorders>
            <w:gridSpan w:val="2"/>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1,259</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1,252</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270</w:t>
            </w:r>
          </w:p>
        </w:tc>
        <w:tc>
          <w:tcPr>
            <w:tcW w:w="4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FFCC"/>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personal property</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Office equipment</w:t>
            </w:r>
          </w:p>
        </w:tc>
        <w:tc>
          <w:tcPr>
            <w:tcW w:w="2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(1,545)</w:t>
            </w:r>
          </w:p>
        </w:tc>
        <w:tc>
          <w:tcPr>
            <w:tcW w:w="220" w:type="dxa"/>
            <w:vAlign w:val="bottom"/>
            <w:shd w:val="clear" w:color="auto" w:fill="CCFFCC"/>
          </w:tcPr>
          <w:p>
            <w:pPr>
              <w:spacing w:after="0"/>
              <w:rPr>
                <w:sz w:val="19"/>
                <w:szCs w:val="19"/>
                <w:color w:val="auto"/>
              </w:rPr>
            </w:pPr>
          </w:p>
        </w:tc>
        <w:tc>
          <w:tcPr>
            <w:tcW w:w="8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(1,437)</w:t>
            </w:r>
          </w:p>
        </w:tc>
      </w:tr>
      <w:tr>
        <w:trPr>
          <w:trHeight w:val="210"/>
        </w:trPr>
        <w:tc>
          <w:tcPr>
            <w:tcW w:w="172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approximately $0.1 million for each of the years ended December 31, 2012, 2011, and 2010.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5 – ACCRUED EXPENSES</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3"/>
          </w:tcPr>
          <w:p>
            <w:pPr>
              <w:ind w:left="260"/>
              <w:spacing w:after="0"/>
              <w:rPr>
                <w:sz w:val="20"/>
                <w:szCs w:val="20"/>
                <w:color w:val="auto"/>
              </w:rPr>
            </w:pPr>
            <w:r>
              <w:rPr>
                <w:rFonts w:ascii="Arial" w:cs="Arial" w:eastAsia="Arial" w:hAnsi="Arial"/>
                <w:sz w:val="18"/>
                <w:szCs w:val="18"/>
                <w:color w:val="auto"/>
              </w:rPr>
              <w:t>Accrued expenses are summarized as follows: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700" w:type="dxa"/>
            <w:vAlign w:val="bottom"/>
            <w:gridSpan w:val="6"/>
          </w:tcPr>
          <w:p>
            <w:pPr>
              <w:ind w:left="660"/>
              <w:spacing w:after="0"/>
              <w:rPr>
                <w:sz w:val="20"/>
                <w:szCs w:val="20"/>
                <w:color w:val="auto"/>
              </w:rPr>
            </w:pPr>
            <w:r>
              <w:rPr>
                <w:rFonts w:ascii="Arial" w:cs="Arial" w:eastAsia="Arial" w:hAnsi="Arial"/>
                <w:sz w:val="18"/>
                <w:szCs w:val="18"/>
                <w:color w:val="auto"/>
                <w:w w:val="90"/>
              </w:rPr>
              <w:t>December 31,</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2011</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Borders>
              <w:bottom w:val="single" w:sz="8" w:color="CCFFCC"/>
            </w:tcBorders>
          </w:tcPr>
          <w:p>
            <w:pPr>
              <w:spacing w:after="0"/>
              <w:rPr>
                <w:sz w:val="18"/>
                <w:szCs w:val="18"/>
                <w:color w:val="auto"/>
              </w:rPr>
            </w:pPr>
          </w:p>
        </w:tc>
        <w:tc>
          <w:tcPr>
            <w:tcW w:w="170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color w:val="auto"/>
                <w:w w:val="91"/>
              </w:rPr>
              <w:t>(in thousands)</w:t>
            </w:r>
          </w:p>
        </w:tc>
        <w:tc>
          <w:tcPr>
            <w:tcW w:w="68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Professional services</w:t>
            </w:r>
          </w:p>
        </w:tc>
        <w:tc>
          <w:tcPr>
            <w:tcW w:w="740" w:type="dxa"/>
            <w:vAlign w:val="bottom"/>
            <w:shd w:val="clear" w:color="auto" w:fill="CCFFCC"/>
          </w:tcPr>
          <w:p>
            <w:pPr>
              <w:jc w:val="right"/>
              <w:ind w:right="576"/>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216</w:t>
            </w:r>
          </w:p>
        </w:tc>
        <w:tc>
          <w:tcPr>
            <w:tcW w:w="200" w:type="dxa"/>
            <w:vAlign w:val="bottom"/>
            <w:shd w:val="clear" w:color="auto" w:fill="CCFFCC"/>
          </w:tcPr>
          <w:p>
            <w:pPr>
              <w:jc w:val="right"/>
              <w:ind w:right="3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and benefits</w:t>
            </w: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Contract manufacture services</w:t>
            </w: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Property taxes</w:t>
            </w:r>
          </w:p>
        </w:tc>
        <w:tc>
          <w:tcPr>
            <w:tcW w:w="7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74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6"/>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6 – INVESTMENTS IN MARKETABLE SECURITIES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20" w:type="dxa"/>
            <w:vAlign w:val="bottom"/>
            <w:gridSpan w:val="3"/>
          </w:tcPr>
          <w:p>
            <w:pPr>
              <w:ind w:left="420"/>
              <w:spacing w:after="0"/>
              <w:rPr>
                <w:sz w:val="20"/>
                <w:szCs w:val="20"/>
                <w:color w:val="auto"/>
              </w:rPr>
            </w:pPr>
            <w:r>
              <w:rPr>
                <w:rFonts w:ascii="Arial" w:cs="Arial" w:eastAsia="Arial" w:hAnsi="Arial"/>
                <w:sz w:val="18"/>
                <w:szCs w:val="18"/>
                <w:color w:val="auto"/>
              </w:rPr>
              <w:t>Investments in marketable securities consisted of the following:</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w w:val="92"/>
              </w:rPr>
              <w:t>December 31, 2012</w:t>
            </w:r>
          </w:p>
        </w:tc>
      </w:tr>
      <w:tr>
        <w:trPr>
          <w:trHeight w:val="210"/>
        </w:trPr>
        <w:tc>
          <w:tcPr>
            <w:tcW w:w="1160" w:type="dxa"/>
            <w:vAlign w:val="bottom"/>
          </w:tcPr>
          <w:p>
            <w:pPr>
              <w:spacing w:after="0"/>
              <w:rPr>
                <w:sz w:val="18"/>
                <w:szCs w:val="18"/>
                <w:color w:val="auto"/>
              </w:rPr>
            </w:pPr>
          </w:p>
        </w:tc>
        <w:tc>
          <w:tcPr>
            <w:tcW w:w="560" w:type="dxa"/>
            <w:vAlign w:val="bottom"/>
            <w:tcBorders>
              <w:bottom w:val="single" w:sz="8" w:color="CCFFCC"/>
            </w:tcBorders>
          </w:tcPr>
          <w:p>
            <w:pPr>
              <w:spacing w:after="0"/>
              <w:rPr>
                <w:sz w:val="18"/>
                <w:szCs w:val="18"/>
                <w:color w:val="auto"/>
              </w:rPr>
            </w:pPr>
          </w:p>
        </w:tc>
        <w:tc>
          <w:tcPr>
            <w:tcW w:w="5600" w:type="dxa"/>
            <w:vAlign w:val="bottom"/>
            <w:tcBorders>
              <w:bottom w:val="single" w:sz="8" w:color="CCFFCC"/>
            </w:tcBorders>
          </w:tcPr>
          <w:p>
            <w:pPr>
              <w:spacing w:after="0"/>
              <w:rPr>
                <w:sz w:val="18"/>
                <w:szCs w:val="18"/>
                <w:color w:val="auto"/>
              </w:rPr>
            </w:pPr>
          </w:p>
        </w:tc>
        <w:tc>
          <w:tcPr>
            <w:tcW w:w="740" w:type="dxa"/>
            <w:vAlign w:val="bottom"/>
            <w:tcBorders>
              <w:bottom w:val="single" w:sz="8" w:color="CCFFCC"/>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8"/>
              </w:rPr>
              <w:t>(in millions)</w:t>
            </w:r>
          </w:p>
        </w:tc>
        <w:tc>
          <w:tcPr>
            <w:tcW w:w="80" w:type="dxa"/>
            <w:vAlign w:val="bottom"/>
            <w:tcBorders>
              <w:bottom w:val="single" w:sz="8" w:color="CCFFCC"/>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Marketable securities:</w:t>
            </w: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80" w:type="dxa"/>
            <w:vAlign w:val="bottom"/>
            <w:tcBorders>
              <w:right w:val="single" w:sz="8" w:color="CCFFCC"/>
            </w:tcBorders>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160" w:type="dxa"/>
            <w:vAlign w:val="bottom"/>
            <w:gridSpan w:val="2"/>
          </w:tcPr>
          <w:p>
            <w:pPr>
              <w:ind w:left="300"/>
              <w:spacing w:after="0"/>
              <w:rPr>
                <w:sz w:val="20"/>
                <w:szCs w:val="20"/>
                <w:color w:val="auto"/>
              </w:rPr>
            </w:pPr>
            <w:r>
              <w:rPr>
                <w:rFonts w:ascii="Arial" w:cs="Arial" w:eastAsia="Arial" w:hAnsi="Arial"/>
                <w:sz w:val="18"/>
                <w:szCs w:val="18"/>
                <w:color w:val="auto"/>
              </w:rPr>
              <w:t>Corporate bonds — maturing within one year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16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Corporate bonds — maturing after one through four years</w:t>
            </w: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160" w:type="dxa"/>
            <w:vAlign w:val="bottom"/>
            <w:gridSpan w:val="2"/>
          </w:tcPr>
          <w:p>
            <w:pPr>
              <w:ind w:left="300"/>
              <w:spacing w:after="0"/>
              <w:rPr>
                <w:sz w:val="20"/>
                <w:szCs w:val="20"/>
                <w:color w:val="auto"/>
              </w:rPr>
            </w:pPr>
            <w:r>
              <w:rPr>
                <w:rFonts w:ascii="Arial" w:cs="Arial" w:eastAsia="Arial" w:hAnsi="Arial"/>
                <w:sz w:val="18"/>
                <w:szCs w:val="18"/>
                <w:color w:val="auto"/>
              </w:rPr>
              <w:t>Pooled investment fund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16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Exchange-traded funds</w:t>
            </w:r>
          </w:p>
        </w:tc>
        <w:tc>
          <w:tcPr>
            <w:tcW w:w="7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FFCC"/>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6160" w:type="dxa"/>
            <w:vAlign w:val="bottom"/>
            <w:gridSpan w:val="2"/>
          </w:tcPr>
          <w:p>
            <w:pPr>
              <w:ind w:left="460"/>
              <w:spacing w:after="0"/>
              <w:rPr>
                <w:sz w:val="20"/>
                <w:szCs w:val="20"/>
                <w:color w:val="auto"/>
              </w:rPr>
            </w:pPr>
            <w:r>
              <w:rPr>
                <w:rFonts w:ascii="Arial" w:cs="Arial" w:eastAsia="Arial" w:hAnsi="Arial"/>
                <w:sz w:val="18"/>
                <w:szCs w:val="18"/>
                <w:color w:val="auto"/>
              </w:rPr>
              <w:t>Total marketable securities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Arial" w:cs="Arial" w:eastAsia="Arial" w:hAnsi="Arial"/>
          <w:sz w:val="18"/>
          <w:szCs w:val="18"/>
          <w:color w:val="111111"/>
        </w:rPr>
        <w:t>in response to changes in market prices or interest rates, to realign our investment concentrations or to meet our working capital</w:t>
      </w:r>
      <w:r>
        <w:rPr>
          <w:rFonts w:ascii="Arial" w:cs="Arial" w:eastAsia="Arial" w:hAnsi="Arial"/>
          <w:sz w:val="18"/>
          <w:szCs w:val="18"/>
          <w:color w:val="auto"/>
        </w:rPr>
        <w:t xml:space="preserve"> </w:t>
      </w:r>
      <w:r>
        <w:rPr>
          <w:rFonts w:ascii="Arial" w:cs="Arial" w:eastAsia="Arial" w:hAnsi="Arial"/>
          <w:sz w:val="18"/>
          <w:szCs w:val="18"/>
          <w:color w:val="111111"/>
        </w:rPr>
        <w:t>needs.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a summary of the fair value and unrealized gains (losses) related to the Company’s available-for-sale securities: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December 31, 2012</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5"/>
        </w:trPr>
        <w:tc>
          <w:tcPr>
            <w:tcW w:w="2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12"/>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Fair</w:t>
            </w:r>
          </w:p>
        </w:tc>
      </w:tr>
      <w:tr>
        <w:trPr>
          <w:trHeight w:val="230"/>
        </w:trPr>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Value</w:t>
            </w:r>
          </w:p>
        </w:tc>
      </w:tr>
      <w:tr>
        <w:trPr>
          <w:trHeight w:val="210"/>
        </w:trPr>
        <w:tc>
          <w:tcPr>
            <w:tcW w:w="2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Available-for-sale:</w:t>
            </w:r>
          </w:p>
        </w:tc>
        <w:tc>
          <w:tcPr>
            <w:tcW w:w="58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24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3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0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2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Pooled investment fund</w:t>
            </w:r>
          </w:p>
        </w:tc>
        <w:tc>
          <w:tcPr>
            <w:tcW w:w="5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w:t>
            </w:r>
          </w:p>
        </w:tc>
      </w:tr>
      <w:tr>
        <w:trPr>
          <w:trHeight w:val="230"/>
        </w:trPr>
        <w:tc>
          <w:tcPr>
            <w:tcW w:w="2460" w:type="dxa"/>
            <w:vAlign w:val="bottom"/>
          </w:tcPr>
          <w:p>
            <w:pPr>
              <w:ind w:left="180"/>
              <w:spacing w:after="0"/>
              <w:rPr>
                <w:sz w:val="20"/>
                <w:szCs w:val="20"/>
                <w:color w:val="auto"/>
              </w:rPr>
            </w:pPr>
            <w:r>
              <w:rPr>
                <w:rFonts w:ascii="Arial" w:cs="Arial" w:eastAsia="Arial" w:hAnsi="Arial"/>
                <w:sz w:val="18"/>
                <w:szCs w:val="18"/>
                <w:color w:val="auto"/>
              </w:rPr>
              <w:t>Exchange-traded funds</w:t>
            </w: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0"/>
        </w:trPr>
        <w:tc>
          <w:tcPr>
            <w:tcW w:w="246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 Current</w:t>
            </w:r>
          </w:p>
        </w:tc>
        <w:tc>
          <w:tcPr>
            <w:tcW w:w="58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1"/>
              </w:rPr>
              <w:t>20.0</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ind w:right="77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 We had no liabilities at December 31, 2012 meeting fair value measurement.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ind w:left="420"/>
        <w:spacing w:after="0"/>
        <w:rPr>
          <w:sz w:val="20"/>
          <w:szCs w:val="20"/>
          <w:color w:val="auto"/>
        </w:rPr>
      </w:pPr>
      <w:r>
        <w:rPr>
          <w:rFonts w:ascii="Arial" w:cs="Arial" w:eastAsia="Arial" w:hAnsi="Arial"/>
          <w:sz w:val="17"/>
          <w:szCs w:val="17"/>
          <w:color w:val="auto"/>
        </w:rPr>
        <w:t>Our assets measured at fair value or disclosed at fair value on a recurring basis as at December 31, 2012 consisted of the following (in millions):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color w:val="auto"/>
              </w:rPr>
              <w:t>December 31, 2012</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19"/>
                <w:szCs w:val="19"/>
                <w:color w:val="auto"/>
              </w:rPr>
            </w:pPr>
          </w:p>
        </w:tc>
      </w:tr>
      <w:tr>
        <w:trPr>
          <w:trHeight w:val="210"/>
        </w:trPr>
        <w:tc>
          <w:tcPr>
            <w:tcW w:w="24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Assets:</w:t>
            </w:r>
          </w:p>
        </w:tc>
        <w:tc>
          <w:tcPr>
            <w:tcW w:w="58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Pooled investment fund</w:t>
            </w:r>
          </w:p>
        </w:tc>
        <w:tc>
          <w:tcPr>
            <w:tcW w:w="5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30"/>
        </w:trPr>
        <w:tc>
          <w:tcPr>
            <w:tcW w:w="2460" w:type="dxa"/>
            <w:vAlign w:val="bottom"/>
          </w:tcPr>
          <w:p>
            <w:pPr>
              <w:ind w:left="160"/>
              <w:spacing w:after="0"/>
              <w:rPr>
                <w:sz w:val="20"/>
                <w:szCs w:val="20"/>
                <w:color w:val="auto"/>
              </w:rPr>
            </w:pPr>
            <w:r>
              <w:rPr>
                <w:rFonts w:ascii="Arial" w:cs="Arial" w:eastAsia="Arial" w:hAnsi="Arial"/>
                <w:sz w:val="18"/>
                <w:szCs w:val="18"/>
                <w:color w:val="auto"/>
              </w:rPr>
              <w:t>Exchange-traded funds</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246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CCFFCC"/>
            </w:tcBorders>
            <w:shd w:val="clear" w:color="auto" w:fill="CCFFCC"/>
          </w:tcPr>
          <w:p>
            <w:pPr>
              <w:spacing w:after="0"/>
              <w:rPr>
                <w:sz w:val="18"/>
                <w:szCs w:val="18"/>
                <w:color w:val="auto"/>
              </w:rPr>
            </w:pPr>
          </w:p>
        </w:tc>
        <w:tc>
          <w:tcPr>
            <w:tcW w:w="740" w:type="dxa"/>
            <w:vAlign w:val="bottom"/>
            <w:tcBorders>
              <w:top w:val="single" w:sz="8" w:color="auto"/>
              <w:bottom w:val="single" w:sz="8" w:color="auto"/>
            </w:tcBorders>
            <w:shd w:val="clear" w:color="auto" w:fill="CCFFCC"/>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5"/>
              </w:rPr>
              <w:t>19.9</w:t>
            </w:r>
          </w:p>
        </w:tc>
        <w:tc>
          <w:tcPr>
            <w:tcW w:w="2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(loss) income. Accumulated other comprehensive income (loss) at December 31, 2012 consisted of unrealized losses on securities of $40 thousand.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outstanding common stock purchase warrants at December 31, 2012 exercisable for 1.9 million shares of common stock, all of which contain a cashless exercise feature. These warrants have an exercise price of $3.40 per share and expiration date of August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income (loss) before taxes by the U.S. statutory tax rate is as follows:</w:t>
      </w:r>
    </w:p>
    <w:p>
      <w:pPr>
        <w:spacing w:after="0" w:line="40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2011</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(in thousands)</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Tax (benefit) at U.S. statutory 34% tax rate</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(3,287)</w:t>
            </w:r>
          </w:p>
        </w:tc>
        <w:tc>
          <w:tcPr>
            <w:tcW w:w="3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3,510</w:t>
            </w:r>
          </w:p>
        </w:tc>
        <w:tc>
          <w:tcPr>
            <w:tcW w:w="16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(4,320)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tax credits</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(316)</w:t>
            </w: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4,748</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expense 2011 is federal alternative minimum taxes (“AMT”) and current state taxes, and for 2010 it is current state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260"/>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$26.7 million federal income tax benefits at December 31, 2012 derived from $78.5 million Federal NOLs at the U.S. statutory tax rate of 34%, available to offset future taxable income, some of which have limitations for use as prescribed under IRC Section</w:t>
      </w:r>
    </w:p>
    <w:p>
      <w:pPr>
        <w:spacing w:after="0" w:line="3" w:lineRule="exact"/>
        <w:rPr>
          <w:sz w:val="20"/>
          <w:szCs w:val="20"/>
          <w:color w:val="auto"/>
        </w:rPr>
      </w:pPr>
    </w:p>
    <w:p>
      <w:pPr>
        <w:ind w:firstLine="8"/>
        <w:spacing w:after="0" w:line="261"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NOLs will expire in varying amounts between 2013 and 2031 if not used, and those expirations will cause fluctuations in our valuation allowances. The components of our deferred tax assets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8"/>
                <w:szCs w:val="18"/>
                <w:color w:val="auto"/>
              </w:rPr>
              <w:t>December 31,</w:t>
            </w: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FFCC"/>
            </w:tcBorders>
          </w:tcPr>
          <w:p>
            <w:pPr>
              <w:spacing w:after="0"/>
              <w:rPr>
                <w:sz w:val="18"/>
                <w:szCs w:val="18"/>
                <w:color w:val="auto"/>
              </w:rPr>
            </w:pPr>
          </w:p>
        </w:tc>
        <w:tc>
          <w:tcPr>
            <w:tcW w:w="1940" w:type="dxa"/>
            <w:vAlign w:val="bottom"/>
            <w:tcBorders>
              <w:bottom w:val="single" w:sz="8" w:color="CCFF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Deferred tax assets:</w:t>
            </w:r>
          </w:p>
        </w:tc>
        <w:tc>
          <w:tcPr>
            <w:tcW w:w="1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Estimated future value of NOLs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 Federal</w:t>
            </w:r>
          </w:p>
        </w:tc>
        <w:tc>
          <w:tcPr>
            <w:tcW w:w="214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26,674</w:t>
            </w:r>
          </w:p>
        </w:tc>
        <w:tc>
          <w:tcPr>
            <w:tcW w:w="16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22,963</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 State</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Research and development tax credits</w:t>
            </w:r>
          </w:p>
        </w:tc>
        <w:tc>
          <w:tcPr>
            <w:tcW w:w="1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Deferred program fee revenue</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Share-based compensation</w:t>
            </w:r>
          </w:p>
        </w:tc>
        <w:tc>
          <w:tcPr>
            <w:tcW w:w="1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4,628</w:t>
            </w:r>
          </w:p>
        </w:tc>
        <w:tc>
          <w:tcPr>
            <w:tcW w:w="8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deferred taxes</w:t>
            </w:r>
          </w:p>
        </w:tc>
        <w:tc>
          <w:tcPr>
            <w:tcW w:w="19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35,461</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32,649</w:t>
            </w:r>
          </w:p>
        </w:tc>
        <w:tc>
          <w:tcPr>
            <w:tcW w:w="80" w:type="dxa"/>
            <w:vAlign w:val="bottom"/>
            <w:tcBorders>
              <w:top w:val="single" w:sz="8" w:color="CCFFCC"/>
            </w:tcBorders>
            <w:shd w:val="clear" w:color="auto" w:fill="CCFFC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Valuation allowance</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(32,649)</w:t>
            </w:r>
          </w:p>
        </w:tc>
      </w:tr>
      <w:tr>
        <w:trPr>
          <w:trHeight w:val="210"/>
        </w:trPr>
        <w:tc>
          <w:tcPr>
            <w:tcW w:w="20" w:type="dxa"/>
            <w:vAlign w:val="bottom"/>
          </w:tcPr>
          <w:p>
            <w:pPr>
              <w:spacing w:after="0"/>
              <w:rPr>
                <w:sz w:val="18"/>
                <w:szCs w:val="18"/>
                <w:color w:val="auto"/>
              </w:rPr>
            </w:pPr>
          </w:p>
        </w:tc>
        <w:tc>
          <w:tcPr>
            <w:tcW w:w="482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Net deferred tax assets</w:t>
            </w:r>
          </w:p>
        </w:tc>
        <w:tc>
          <w:tcPr>
            <w:tcW w:w="19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In 2011 we decreased our valuation allowance to utilize the NOLs to offset our taxable income from our 2011 operating results; however we still incurred an AMT liability. We continue to maintain full valuation allowance against all of our deferred tax assets at December 31, 2012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financial statements as "more-likely-than-not" to be sustained by the taxing authorities. Our adoption of the standard did not result in establishing a contingent tax liability reserve or a corresponding charge to retained earnings. At each of December 31, 2012, 2011, and 2010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federal and state income tax returns and in the normal course of business the Company is subject to examination by these taxing authorities. As of December 31, 2012, the Company’s tax years 2009, 2010 and 2011 are subject to examination by the taxing authorities. With few exceptions, we believe the Company is no longer subject to U.S. federal, state and local examinations by tax authorities for years before 2009. Tax year 2008 was open as of December 31,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401(k) and Profit-Sharing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15% of their annual earnings. The Plan provides that the Company can make discretionary matching contributions equal to 25% of the first 6% of employee contributions for an aggregate employee contribution of 1.5%, along with a discretionary profit-sharing contribution. We did not contribute matching or profit sharing contributions for the Plan in years 2012, 2011, and 2010.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26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maintain various stock option plans. A summary of our stock option plans as of December 31, 2012, 2011, and 2010 and for the years then ended consisted of the following:</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color w:val="auto"/>
              </w:rPr>
              <w:t>Years Ended December 31,</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2012</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6"/>
          </w:tcPr>
          <w:p>
            <w:pPr>
              <w:jc w:val="right"/>
              <w:ind w:right="320"/>
              <w:spacing w:after="0" w:line="142" w:lineRule="exact"/>
              <w:rPr>
                <w:sz w:val="20"/>
                <w:szCs w:val="20"/>
                <w:color w:val="auto"/>
              </w:rPr>
            </w:pPr>
            <w:r>
              <w:rPr>
                <w:rFonts w:ascii="Arial" w:cs="Arial" w:eastAsia="Arial" w:hAnsi="Arial"/>
                <w:sz w:val="14"/>
                <w:szCs w:val="14"/>
                <w:color w:val="auto"/>
              </w:rPr>
              <w:t>(in thousands except price data)</w:t>
            </w: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28"/>
              <w:spacing w:after="0" w:line="123" w:lineRule="exact"/>
              <w:rPr>
                <w:sz w:val="20"/>
                <w:szCs w:val="20"/>
                <w:color w:val="auto"/>
              </w:rPr>
            </w:pPr>
            <w:r>
              <w:rPr>
                <w:rFonts w:ascii="Arial" w:cs="Arial" w:eastAsia="Arial" w:hAnsi="Arial"/>
                <w:sz w:val="14"/>
                <w:szCs w:val="14"/>
                <w:color w:val="auto"/>
                <w:w w:val="91"/>
              </w:rPr>
              <w:t>Weighted</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4"/>
              </w:rPr>
              <w:t>Weighted</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8"/>
              <w:spacing w:after="0" w:line="123" w:lineRule="exact"/>
              <w:rPr>
                <w:sz w:val="20"/>
                <w:szCs w:val="20"/>
                <w:color w:val="auto"/>
              </w:rPr>
            </w:pPr>
            <w:r>
              <w:rPr>
                <w:rFonts w:ascii="Arial" w:cs="Arial" w:eastAsia="Arial" w:hAnsi="Arial"/>
                <w:sz w:val="14"/>
                <w:szCs w:val="14"/>
                <w:color w:val="auto"/>
                <w:w w:val="94"/>
              </w:rPr>
              <w:t>Weighted</w:t>
            </w:r>
          </w:p>
        </w:tc>
        <w:tc>
          <w:tcPr>
            <w:tcW w:w="100" w:type="dxa"/>
            <w:vAlign w:val="bottom"/>
          </w:tcPr>
          <w:p>
            <w:pPr>
              <w:spacing w:after="0"/>
              <w:rPr>
                <w:sz w:val="10"/>
                <w:szCs w:val="10"/>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w:t>
            </w:r>
          </w:p>
        </w:tc>
        <w:tc>
          <w:tcPr>
            <w:tcW w:w="80" w:type="dxa"/>
            <w:vAlign w:val="bottom"/>
          </w:tcPr>
          <w:p>
            <w:pPr>
              <w:spacing w:after="0"/>
              <w:rPr>
                <w:sz w:val="12"/>
                <w:szCs w:val="12"/>
                <w:color w:val="auto"/>
              </w:rPr>
            </w:pPr>
          </w:p>
        </w:tc>
        <w:tc>
          <w:tcPr>
            <w:tcW w:w="6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Number</w:t>
            </w:r>
          </w:p>
        </w:tc>
        <w:tc>
          <w:tcPr>
            <w:tcW w:w="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Number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4340" w:type="dxa"/>
            <w:vAlign w:val="bottom"/>
          </w:tcPr>
          <w:p>
            <w:pPr>
              <w:spacing w:after="0"/>
              <w:rPr>
                <w:sz w:val="12"/>
                <w:szCs w:val="12"/>
                <w:color w:val="auto"/>
              </w:rPr>
            </w:pPr>
          </w:p>
        </w:tc>
        <w:tc>
          <w:tcPr>
            <w:tcW w:w="10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of</w:t>
            </w:r>
          </w:p>
        </w:tc>
        <w:tc>
          <w:tcPr>
            <w:tcW w:w="8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Exercise</w:t>
            </w:r>
          </w:p>
        </w:tc>
        <w:tc>
          <w:tcPr>
            <w:tcW w:w="3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of</w:t>
            </w:r>
          </w:p>
        </w:tc>
        <w:tc>
          <w:tcPr>
            <w:tcW w:w="6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9"/>
              </w:rPr>
              <w:t>Exercise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of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Exercise</w:t>
            </w:r>
          </w:p>
        </w:tc>
      </w:tr>
      <w:tr>
        <w:trPr>
          <w:trHeight w:val="167"/>
        </w:trPr>
        <w:tc>
          <w:tcPr>
            <w:tcW w:w="43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4"/>
                <w:szCs w:val="14"/>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color w:val="auto"/>
                <w:w w:val="93"/>
              </w:rPr>
              <w:t>Price</w:t>
            </w:r>
          </w:p>
        </w:tc>
        <w:tc>
          <w:tcPr>
            <w:tcW w:w="3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Options</w:t>
            </w:r>
          </w:p>
        </w:tc>
        <w:tc>
          <w:tcPr>
            <w:tcW w:w="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87"/>
              </w:rPr>
              <w:t>Price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Options)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Price</w:t>
            </w:r>
          </w:p>
        </w:tc>
      </w:tr>
      <w:tr>
        <w:trPr>
          <w:trHeight w:val="142"/>
        </w:trPr>
        <w:tc>
          <w:tcPr>
            <w:tcW w:w="43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Outstanding, beginning</w:t>
            </w: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3,556</w:t>
            </w:r>
          </w:p>
        </w:tc>
        <w:tc>
          <w:tcPr>
            <w:tcW w:w="3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6.41</w:t>
            </w:r>
          </w:p>
        </w:tc>
        <w:tc>
          <w:tcPr>
            <w:tcW w:w="34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4,243</w:t>
            </w:r>
          </w:p>
        </w:tc>
        <w:tc>
          <w:tcPr>
            <w:tcW w:w="3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5.40</w:t>
            </w:r>
          </w:p>
        </w:tc>
        <w:tc>
          <w:tcPr>
            <w:tcW w:w="3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3,671</w:t>
            </w:r>
          </w:p>
        </w:tc>
        <w:tc>
          <w:tcPr>
            <w:tcW w:w="28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5.90</w:t>
            </w:r>
          </w:p>
        </w:tc>
        <w:tc>
          <w:tcPr>
            <w:tcW w:w="100" w:type="dxa"/>
            <w:vAlign w:val="bottom"/>
            <w:tcBorders>
              <w:top w:val="single" w:sz="8" w:color="CCFFCC"/>
            </w:tcBorders>
            <w:shd w:val="clear" w:color="auto" w:fill="CCFFCC"/>
          </w:tcPr>
          <w:p>
            <w:pPr>
              <w:spacing w:after="0"/>
              <w:rPr>
                <w:sz w:val="12"/>
                <w:szCs w:val="12"/>
                <w:color w:val="auto"/>
              </w:rPr>
            </w:pPr>
          </w:p>
        </w:tc>
      </w:tr>
      <w:tr>
        <w:trPr>
          <w:trHeight w:val="142"/>
        </w:trPr>
        <w:tc>
          <w:tcPr>
            <w:tcW w:w="4340" w:type="dxa"/>
            <w:vAlign w:val="bottom"/>
          </w:tcPr>
          <w:p>
            <w:pPr>
              <w:ind w:left="460"/>
              <w:spacing w:after="0" w:line="142" w:lineRule="exact"/>
              <w:rPr>
                <w:sz w:val="20"/>
                <w:szCs w:val="20"/>
                <w:color w:val="auto"/>
              </w:rPr>
            </w:pPr>
            <w:r>
              <w:rPr>
                <w:rFonts w:ascii="Arial" w:cs="Arial" w:eastAsia="Arial" w:hAnsi="Arial"/>
                <w:sz w:val="14"/>
                <w:szCs w:val="14"/>
                <w:color w:val="auto"/>
              </w:rPr>
              <w:t>Granted</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475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2.80</w:t>
            </w: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491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3.63</w:t>
            </w: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649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3.36</w:t>
            </w:r>
          </w:p>
        </w:tc>
        <w:tc>
          <w:tcPr>
            <w:tcW w:w="100" w:type="dxa"/>
            <w:vAlign w:val="bottom"/>
          </w:tcPr>
          <w:p>
            <w:pPr>
              <w:spacing w:after="0"/>
              <w:rPr>
                <w:sz w:val="12"/>
                <w:szCs w:val="12"/>
                <w:color w:val="auto"/>
              </w:rPr>
            </w:pPr>
          </w:p>
        </w:tc>
      </w:tr>
      <w:tr>
        <w:trPr>
          <w:trHeight w:val="149"/>
        </w:trPr>
        <w:tc>
          <w:tcPr>
            <w:tcW w:w="4340" w:type="dxa"/>
            <w:vAlign w:val="bottom"/>
            <w:shd w:val="clear" w:color="auto" w:fill="CCFFCC"/>
          </w:tcPr>
          <w:p>
            <w:pPr>
              <w:ind w:left="460"/>
              <w:spacing w:after="0" w:line="149" w:lineRule="exact"/>
              <w:rPr>
                <w:sz w:val="20"/>
                <w:szCs w:val="20"/>
                <w:color w:val="auto"/>
              </w:rPr>
            </w:pPr>
            <w:r>
              <w:rPr>
                <w:rFonts w:ascii="Arial" w:cs="Arial" w:eastAsia="Arial" w:hAnsi="Arial"/>
                <w:sz w:val="14"/>
                <w:szCs w:val="14"/>
                <w:color w:val="auto"/>
              </w:rPr>
              <w:t>Exercised</w:t>
            </w:r>
          </w:p>
        </w:tc>
        <w:tc>
          <w:tcPr>
            <w:tcW w:w="106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1.30</w:t>
            </w:r>
          </w:p>
        </w:tc>
        <w:tc>
          <w:tcPr>
            <w:tcW w:w="136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(1,102)</w:t>
            </w:r>
          </w:p>
        </w:tc>
        <w:tc>
          <w:tcPr>
            <w:tcW w:w="6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1.33</w:t>
            </w:r>
          </w:p>
        </w:tc>
        <w:tc>
          <w:tcPr>
            <w:tcW w:w="30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r>
      <w:tr>
        <w:trPr>
          <w:trHeight w:val="162"/>
        </w:trPr>
        <w:tc>
          <w:tcPr>
            <w:tcW w:w="4340" w:type="dxa"/>
            <w:vAlign w:val="bottom"/>
          </w:tcPr>
          <w:p>
            <w:pPr>
              <w:ind w:left="460"/>
              <w:spacing w:after="0"/>
              <w:rPr>
                <w:sz w:val="20"/>
                <w:szCs w:val="20"/>
                <w:color w:val="auto"/>
              </w:rPr>
            </w:pPr>
            <w:r>
              <w:rPr>
                <w:rFonts w:ascii="Arial" w:cs="Arial" w:eastAsia="Arial" w:hAnsi="Arial"/>
                <w:sz w:val="14"/>
                <w:szCs w:val="14"/>
                <w:color w:val="auto"/>
              </w:rPr>
              <w:t>Forfeited or expired</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(704)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8.43</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3.15</w:t>
            </w:r>
          </w:p>
        </w:tc>
        <w:tc>
          <w:tcPr>
            <w:tcW w:w="30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4"/>
                <w:szCs w:val="14"/>
                <w:color w:val="auto"/>
              </w:rPr>
            </w:pPr>
          </w:p>
        </w:tc>
      </w:tr>
      <w:tr>
        <w:trPr>
          <w:trHeight w:val="142"/>
        </w:trPr>
        <w:tc>
          <w:tcPr>
            <w:tcW w:w="43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Outstanding, ending</w:t>
            </w: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3,296</w:t>
            </w:r>
          </w:p>
        </w:tc>
        <w:tc>
          <w:tcPr>
            <w:tcW w:w="32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5.50</w:t>
            </w:r>
          </w:p>
        </w:tc>
        <w:tc>
          <w:tcPr>
            <w:tcW w:w="34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3,556</w:t>
            </w:r>
          </w:p>
        </w:tc>
        <w:tc>
          <w:tcPr>
            <w:tcW w:w="30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6.41</w:t>
            </w:r>
          </w:p>
        </w:tc>
        <w:tc>
          <w:tcPr>
            <w:tcW w:w="3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4,243</w:t>
            </w:r>
          </w:p>
        </w:tc>
        <w:tc>
          <w:tcPr>
            <w:tcW w:w="280" w:type="dxa"/>
            <w:vAlign w:val="bottom"/>
            <w:tcBorders>
              <w:top w:val="single" w:sz="8" w:color="CCFFCC"/>
            </w:tcBorders>
            <w:shd w:val="clear" w:color="auto" w:fill="CCFFCC"/>
          </w:tcPr>
          <w:p>
            <w:pPr>
              <w:spacing w:after="0"/>
              <w:rPr>
                <w:sz w:val="12"/>
                <w:szCs w:val="12"/>
                <w:color w:val="auto"/>
              </w:rPr>
            </w:pPr>
          </w:p>
        </w:tc>
        <w:tc>
          <w:tcPr>
            <w:tcW w:w="2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5.40</w:t>
            </w:r>
          </w:p>
        </w:tc>
        <w:tc>
          <w:tcPr>
            <w:tcW w:w="100" w:type="dxa"/>
            <w:vAlign w:val="bottom"/>
            <w:tcBorders>
              <w:top w:val="single" w:sz="8" w:color="CCFFCC"/>
            </w:tcBorders>
            <w:shd w:val="clear" w:color="auto" w:fill="CCFFCC"/>
          </w:tcPr>
          <w:p>
            <w:pPr>
              <w:spacing w:after="0"/>
              <w:rPr>
                <w:sz w:val="12"/>
                <w:szCs w:val="12"/>
                <w:color w:val="auto"/>
              </w:rPr>
            </w:pPr>
          </w:p>
        </w:tc>
      </w:tr>
      <w:tr>
        <w:trPr>
          <w:trHeight w:val="142"/>
        </w:trPr>
        <w:tc>
          <w:tcPr>
            <w:tcW w:w="4340" w:type="dxa"/>
            <w:vAlign w:val="bottom"/>
          </w:tcPr>
          <w:p>
            <w:pPr>
              <w:spacing w:after="0" w:line="142" w:lineRule="exact"/>
              <w:rPr>
                <w:sz w:val="20"/>
                <w:szCs w:val="20"/>
                <w:color w:val="auto"/>
              </w:rPr>
            </w:pPr>
            <w:r>
              <w:rPr>
                <w:rFonts w:ascii="Arial" w:cs="Arial" w:eastAsia="Arial" w:hAnsi="Arial"/>
                <w:sz w:val="14"/>
                <w:szCs w:val="14"/>
                <w:color w:val="auto"/>
              </w:rPr>
              <w:t>Options exercisable</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2,763</w:t>
            </w: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5.99</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2,962</w:t>
            </w:r>
          </w:p>
        </w:tc>
        <w:tc>
          <w:tcPr>
            <w:tcW w:w="3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7.01</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3,528</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w:t>
            </w:r>
          </w:p>
        </w:tc>
        <w:tc>
          <w:tcPr>
            <w:tcW w:w="100" w:type="dxa"/>
            <w:vAlign w:val="bottom"/>
          </w:tcPr>
          <w:p>
            <w:pPr>
              <w:spacing w:after="0"/>
              <w:rPr>
                <w:sz w:val="12"/>
                <w:szCs w:val="1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about nonvested stock options outstanding at December 31, 2012:</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Weighted</w:t>
            </w: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Average</w:t>
            </w: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Not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Fair</w:t>
            </w: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Exercisable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Value</w:t>
            </w:r>
          </w:p>
        </w:tc>
      </w:tr>
      <w:tr>
        <w:trPr>
          <w:trHeight w:val="189"/>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280" w:type="dxa"/>
            <w:vAlign w:val="bottom"/>
            <w:tcBorders>
              <w:top w:val="single" w:sz="8" w:color="auto"/>
            </w:tcBorders>
            <w:gridSpan w:val="5"/>
          </w:tcPr>
          <w:p>
            <w:pPr>
              <w:jc w:val="right"/>
              <w:ind w:right="99"/>
              <w:spacing w:after="0"/>
              <w:rPr>
                <w:sz w:val="20"/>
                <w:szCs w:val="20"/>
                <w:color w:val="auto"/>
              </w:rPr>
            </w:pPr>
            <w:r>
              <w:rPr>
                <w:rFonts w:ascii="Arial" w:cs="Arial" w:eastAsia="Arial" w:hAnsi="Arial"/>
                <w:sz w:val="16"/>
                <w:szCs w:val="16"/>
                <w:color w:val="auto"/>
                <w:w w:val="97"/>
              </w:rPr>
              <w:t>(in thousands except per price</w:t>
            </w:r>
          </w:p>
        </w:tc>
        <w:tc>
          <w:tcPr>
            <w:tcW w:w="8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760" w:type="dxa"/>
            <w:vAlign w:val="bottom"/>
            <w:tcBorders>
              <w:bottom w:val="single" w:sz="8" w:color="CCFFCC"/>
            </w:tcBorders>
          </w:tcPr>
          <w:p>
            <w:pPr>
              <w:spacing w:after="0"/>
              <w:rPr>
                <w:sz w:val="18"/>
                <w:szCs w:val="18"/>
                <w:color w:val="auto"/>
              </w:rPr>
            </w:pPr>
          </w:p>
        </w:tc>
        <w:tc>
          <w:tcPr>
            <w:tcW w:w="142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6"/>
                <w:szCs w:val="16"/>
                <w:color w:val="auto"/>
              </w:rPr>
              <w:t>data)</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6"/>
                <w:szCs w:val="16"/>
                <w:color w:val="auto"/>
              </w:rPr>
              <w:t>Outstanding at December 31, 2011</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594</w:t>
            </w:r>
          </w:p>
        </w:tc>
        <w:tc>
          <w:tcPr>
            <w:tcW w:w="16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FFCC"/>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760" w:type="dxa"/>
            <w:vAlign w:val="bottom"/>
          </w:tcPr>
          <w:p>
            <w:pPr>
              <w:ind w:left="460"/>
              <w:spacing w:after="0"/>
              <w:rPr>
                <w:sz w:val="20"/>
                <w:szCs w:val="20"/>
                <w:color w:val="auto"/>
              </w:rPr>
            </w:pPr>
            <w:r>
              <w:rPr>
                <w:rFonts w:ascii="Arial" w:cs="Arial" w:eastAsia="Arial" w:hAnsi="Arial"/>
                <w:sz w:val="16"/>
                <w:szCs w:val="16"/>
                <w:color w:val="auto"/>
              </w:rPr>
              <w:t>Granted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FFCC"/>
          </w:tcPr>
          <w:p>
            <w:pPr>
              <w:ind w:left="460"/>
              <w:spacing w:after="0"/>
              <w:rPr>
                <w:sz w:val="20"/>
                <w:szCs w:val="20"/>
                <w:color w:val="auto"/>
              </w:rPr>
            </w:pPr>
            <w:r>
              <w:rPr>
                <w:rFonts w:ascii="Arial" w:cs="Arial" w:eastAsia="Arial" w:hAnsi="Arial"/>
                <w:sz w:val="16"/>
                <w:szCs w:val="16"/>
                <w:color w:val="auto"/>
              </w:rPr>
              <w:t>Vested</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FFCC"/>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FFCC"/>
            </w:tcBorders>
          </w:tcPr>
          <w:p>
            <w:pPr>
              <w:ind w:left="46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FFCC"/>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6"/>
                <w:szCs w:val="16"/>
                <w:color w:val="auto"/>
              </w:rPr>
              <w:t>Outstanding at December 31, 2012</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533</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FFCC"/>
          </w:tcPr>
          <w:p>
            <w:pPr>
              <w:spacing w:after="0"/>
              <w:rPr>
                <w:sz w:val="17"/>
                <w:szCs w:val="17"/>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our stock options have been held until their expiration date. The assumptions used in the Black-Scholes model to determine fair value for the 2012, 2011 and 2010 stock option grants were:</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420" w:type="dxa"/>
            <w:vAlign w:val="bottom"/>
            <w:tcBorders>
              <w:bottom w:val="single" w:sz="8" w:color="CCFFCC"/>
            </w:tcBorders>
          </w:tcPr>
          <w:p>
            <w:pPr>
              <w:spacing w:after="0"/>
              <w:rPr>
                <w:sz w:val="20"/>
                <w:szCs w:val="20"/>
                <w:color w:val="auto"/>
              </w:rPr>
            </w:pPr>
          </w:p>
        </w:tc>
        <w:tc>
          <w:tcPr>
            <w:tcW w:w="162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6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60" w:type="dxa"/>
            <w:vAlign w:val="bottom"/>
            <w:tcBorders>
              <w:bottom w:val="single" w:sz="8" w:color="CCFFCC"/>
            </w:tcBorders>
          </w:tcPr>
          <w:p>
            <w:pPr>
              <w:spacing w:after="0"/>
              <w:rPr>
                <w:sz w:val="20"/>
                <w:szCs w:val="20"/>
                <w:color w:val="auto"/>
              </w:rPr>
            </w:pPr>
          </w:p>
        </w:tc>
      </w:tr>
      <w:tr>
        <w:trPr>
          <w:trHeight w:val="210"/>
        </w:trPr>
        <w:tc>
          <w:tcPr>
            <w:tcW w:w="4420" w:type="dxa"/>
            <w:vAlign w:val="bottom"/>
            <w:shd w:val="clear" w:color="auto" w:fill="CCFFCC"/>
          </w:tcPr>
          <w:p>
            <w:pPr>
              <w:ind w:left="40"/>
              <w:spacing w:after="0"/>
              <w:rPr>
                <w:sz w:val="20"/>
                <w:szCs w:val="20"/>
                <w:color w:val="auto"/>
              </w:rPr>
            </w:pPr>
            <w:r>
              <w:rPr>
                <w:rFonts w:ascii="Arial" w:cs="Arial" w:eastAsia="Arial" w:hAnsi="Arial"/>
                <w:sz w:val="18"/>
                <w:szCs w:val="18"/>
                <w:color w:val="auto"/>
              </w:rPr>
              <w:t>Expected dividend yield</w:t>
            </w:r>
          </w:p>
        </w:tc>
        <w:tc>
          <w:tcPr>
            <w:tcW w:w="1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1.7% to 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 to 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 to 3.9%</w:t>
            </w:r>
          </w:p>
        </w:tc>
      </w:tr>
      <w:tr>
        <w:trPr>
          <w:trHeight w:val="216"/>
        </w:trPr>
        <w:tc>
          <w:tcPr>
            <w:tcW w:w="4420" w:type="dxa"/>
            <w:vAlign w:val="bottom"/>
            <w:shd w:val="clear" w:color="auto" w:fill="CCFFCC"/>
          </w:tcPr>
          <w:p>
            <w:pPr>
              <w:ind w:left="40"/>
              <w:spacing w:after="0"/>
              <w:rPr>
                <w:sz w:val="20"/>
                <w:szCs w:val="20"/>
                <w:color w:val="auto"/>
              </w:rPr>
            </w:pPr>
            <w:r>
              <w:rPr>
                <w:rFonts w:ascii="Arial" w:cs="Arial" w:eastAsia="Arial" w:hAnsi="Arial"/>
                <w:sz w:val="18"/>
                <w:szCs w:val="18"/>
                <w:color w:val="auto"/>
              </w:rPr>
              <w:t>Average expected volatility</w:t>
            </w:r>
          </w:p>
        </w:tc>
        <w:tc>
          <w:tcPr>
            <w:tcW w:w="1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6"/>
        </w:trPr>
        <w:tc>
          <w:tcPr>
            <w:tcW w:w="4420" w:type="dxa"/>
            <w:vAlign w:val="bottom"/>
            <w:shd w:val="clear" w:color="auto" w:fill="CCFFCC"/>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FFCC"/>
          </w:tcPr>
          <w:p>
            <w:pPr>
              <w:spacing w:after="0"/>
              <w:rPr>
                <w:sz w:val="18"/>
                <w:szCs w:val="18"/>
                <w:color w:val="auto"/>
              </w:rPr>
            </w:pP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2012, 2011 and 2010 the aggregate intrinsic value of the option awards which were vested was $0.1 million, $0.3 million, and $2.4 million, respectively. In addition, the aggregate intrinsic value of option awards exercised during the year ended December 31, 2012 and 2011 was $0.1 million and $2.7 million, respectively. There were no options exercised in 2010. The total remaining unrecognized compensation cost related to the unvested option awards at December 31, 2012 was $1.5 million and is expected to be recognized in varying amounts over the twent-three months remaining in the requisite service period.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options to purchase 24 thousand shares of common stock were exercised utilizing various cashless exercise features of our stock option plan and after withholding shares for $31 thousand in exercise costs and $15 thousand in statutory minimum payroll taxes, we issued 9 thousand shares of common stock. During 2011 options to purchase 0.9 million shares of common stock were exercised utilizing various cashless exercise features of our stock option plan and after withholding shares for $1.3 million in exercise costs and $0.9 million in statutory minimum payroll taxes, we issued 0.4 million shares of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left="260"/>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 Restricted Stock Unit Award Plan (“2005 RSU Plan”) for our employees and non-employee directors. Vesting of an RSU entitles the holder to receive a share of common stock of the Company on a distribution date. A summary of the RSU Plan as of December 31, 2012, 2011, and 2010, and for the years then ended consisted of the following:</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color w:val="auto"/>
                <w:w w:val="90"/>
              </w:rPr>
              <w:t>Years Ended December 31,</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2010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3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82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6"/>
              </w:rPr>
              <w:t>Number</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tcPr>
          <w:p>
            <w:pPr>
              <w:jc w:val="center"/>
              <w:ind w:right="320"/>
              <w:spacing w:after="0" w:line="123" w:lineRule="exact"/>
              <w:rPr>
                <w:sz w:val="20"/>
                <w:szCs w:val="20"/>
                <w:color w:val="auto"/>
              </w:rPr>
            </w:pPr>
            <w:r>
              <w:rPr>
                <w:rFonts w:ascii="Arial" w:cs="Arial" w:eastAsia="Arial" w:hAnsi="Arial"/>
                <w:sz w:val="14"/>
                <w:szCs w:val="14"/>
                <w:color w:val="auto"/>
                <w:w w:val="97"/>
              </w:rPr>
              <w:t>Number of</w:t>
            </w: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6"/>
              </w:rPr>
              <w:t>Number</w:t>
            </w:r>
          </w:p>
        </w:tc>
        <w:tc>
          <w:tcPr>
            <w:tcW w:w="30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4"/>
                <w:szCs w:val="14"/>
                <w:color w:val="auto"/>
                <w:w w:val="96"/>
              </w:rPr>
              <w:t>Number</w:t>
            </w:r>
          </w:p>
        </w:tc>
        <w:tc>
          <w:tcPr>
            <w:tcW w:w="100" w:type="dxa"/>
            <w:vAlign w:val="bottom"/>
          </w:tcPr>
          <w:p>
            <w:pPr>
              <w:spacing w:after="0"/>
              <w:rPr>
                <w:sz w:val="10"/>
                <w:szCs w:val="10"/>
                <w:color w:val="auto"/>
              </w:rPr>
            </w:pPr>
          </w:p>
        </w:tc>
      </w:tr>
      <w:tr>
        <w:trPr>
          <w:trHeight w:val="149"/>
        </w:trPr>
        <w:tc>
          <w:tcPr>
            <w:tcW w:w="4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Number</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of Vested</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Number</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Vested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of Vested</w:t>
            </w:r>
          </w:p>
        </w:tc>
      </w:tr>
      <w:tr>
        <w:trPr>
          <w:trHeight w:val="167"/>
        </w:trPr>
        <w:tc>
          <w:tcPr>
            <w:tcW w:w="434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of RSUs</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RSUs</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of RSUs</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RSUs</w:t>
            </w: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RSUs</w:t>
            </w:r>
          </w:p>
        </w:tc>
        <w:tc>
          <w:tcPr>
            <w:tcW w:w="3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RSUs</w:t>
            </w:r>
          </w:p>
        </w:tc>
      </w:tr>
      <w:tr>
        <w:trPr>
          <w:trHeight w:val="142"/>
        </w:trPr>
        <w:tc>
          <w:tcPr>
            <w:tcW w:w="43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Outstanding, beginning</w:t>
            </w:r>
          </w:p>
        </w:tc>
        <w:tc>
          <w:tcPr>
            <w:tcW w:w="7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2,487</w:t>
            </w:r>
          </w:p>
        </w:tc>
        <w:tc>
          <w:tcPr>
            <w:tcW w:w="32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2,487</w:t>
            </w:r>
          </w:p>
        </w:tc>
        <w:tc>
          <w:tcPr>
            <w:tcW w:w="340" w:type="dxa"/>
            <w:vAlign w:val="bottom"/>
            <w:tcBorders>
              <w:top w:val="single" w:sz="8" w:color="CCFFCC"/>
            </w:tcBorders>
            <w:shd w:val="clear" w:color="auto" w:fill="CCFFCC"/>
          </w:tcPr>
          <w:p>
            <w:pPr>
              <w:spacing w:after="0"/>
              <w:rPr>
                <w:sz w:val="12"/>
                <w:szCs w:val="12"/>
                <w:color w:val="auto"/>
              </w:rPr>
            </w:pPr>
          </w:p>
        </w:tc>
        <w:tc>
          <w:tcPr>
            <w:tcW w:w="7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3,316</w:t>
            </w:r>
          </w:p>
        </w:tc>
        <w:tc>
          <w:tcPr>
            <w:tcW w:w="3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3,267</w:t>
            </w:r>
          </w:p>
        </w:tc>
        <w:tc>
          <w:tcPr>
            <w:tcW w:w="3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3,316</w:t>
            </w:r>
          </w:p>
        </w:tc>
        <w:tc>
          <w:tcPr>
            <w:tcW w:w="3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3,112</w:t>
            </w:r>
          </w:p>
        </w:tc>
        <w:tc>
          <w:tcPr>
            <w:tcW w:w="100" w:type="dxa"/>
            <w:vAlign w:val="bottom"/>
            <w:tcBorders>
              <w:top w:val="single" w:sz="8" w:color="CCFFCC"/>
            </w:tcBorders>
            <w:shd w:val="clear" w:color="auto" w:fill="CCFFCC"/>
          </w:tcPr>
          <w:p>
            <w:pPr>
              <w:spacing w:after="0"/>
              <w:rPr>
                <w:sz w:val="12"/>
                <w:szCs w:val="12"/>
                <w:color w:val="auto"/>
              </w:rPr>
            </w:pPr>
          </w:p>
        </w:tc>
      </w:tr>
      <w:tr>
        <w:trPr>
          <w:trHeight w:val="142"/>
        </w:trPr>
        <w:tc>
          <w:tcPr>
            <w:tcW w:w="4340" w:type="dxa"/>
            <w:vAlign w:val="bottom"/>
          </w:tcPr>
          <w:p>
            <w:pPr>
              <w:ind w:left="460"/>
              <w:spacing w:after="0" w:line="142" w:lineRule="exact"/>
              <w:rPr>
                <w:sz w:val="20"/>
                <w:szCs w:val="20"/>
                <w:color w:val="auto"/>
              </w:rPr>
            </w:pPr>
            <w:r>
              <w:rPr>
                <w:rFonts w:ascii="Arial" w:cs="Arial" w:eastAsia="Arial" w:hAnsi="Arial"/>
                <w:sz w:val="14"/>
                <w:szCs w:val="14"/>
                <w:color w:val="auto"/>
              </w:rPr>
              <w:t>Granted</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r>
      <w:tr>
        <w:trPr>
          <w:trHeight w:val="149"/>
        </w:trPr>
        <w:tc>
          <w:tcPr>
            <w:tcW w:w="4340" w:type="dxa"/>
            <w:vAlign w:val="bottom"/>
            <w:shd w:val="clear" w:color="auto" w:fill="CCFFCC"/>
          </w:tcPr>
          <w:p>
            <w:pPr>
              <w:ind w:left="460"/>
              <w:spacing w:after="0" w:line="149" w:lineRule="exact"/>
              <w:rPr>
                <w:sz w:val="20"/>
                <w:szCs w:val="20"/>
                <w:color w:val="auto"/>
              </w:rPr>
            </w:pPr>
            <w:r>
              <w:rPr>
                <w:rFonts w:ascii="Arial" w:cs="Arial" w:eastAsia="Arial" w:hAnsi="Arial"/>
                <w:sz w:val="14"/>
                <w:szCs w:val="14"/>
                <w:color w:val="auto"/>
              </w:rPr>
              <w:t>Distributed</w:t>
            </w:r>
          </w:p>
        </w:tc>
        <w:tc>
          <w:tcPr>
            <w:tcW w:w="1060" w:type="dxa"/>
            <w:vAlign w:val="bottom"/>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(829)</w:t>
            </w:r>
          </w:p>
        </w:tc>
        <w:tc>
          <w:tcPr>
            <w:tcW w:w="1060" w:type="dxa"/>
            <w:vAlign w:val="bottom"/>
            <w:gridSpan w:val="2"/>
            <w:shd w:val="clear" w:color="auto" w:fill="CCFFCC"/>
          </w:tcPr>
          <w:p>
            <w:pPr>
              <w:jc w:val="right"/>
              <w:ind w:right="300"/>
              <w:spacing w:after="0" w:line="149" w:lineRule="exact"/>
              <w:rPr>
                <w:sz w:val="20"/>
                <w:szCs w:val="20"/>
                <w:color w:val="auto"/>
              </w:rPr>
            </w:pPr>
            <w:r>
              <w:rPr>
                <w:rFonts w:ascii="Arial" w:cs="Arial" w:eastAsia="Arial" w:hAnsi="Arial"/>
                <w:sz w:val="14"/>
                <w:szCs w:val="14"/>
                <w:color w:val="auto"/>
              </w:rPr>
              <w:t>(829)</w:t>
            </w:r>
          </w:p>
        </w:tc>
        <w:tc>
          <w:tcPr>
            <w:tcW w:w="10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(829)</w:t>
            </w:r>
          </w:p>
        </w:tc>
        <w:tc>
          <w:tcPr>
            <w:tcW w:w="10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(829)</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r>
      <w:tr>
        <w:trPr>
          <w:trHeight w:val="149"/>
        </w:trPr>
        <w:tc>
          <w:tcPr>
            <w:tcW w:w="4340" w:type="dxa"/>
            <w:vAlign w:val="bottom"/>
          </w:tcPr>
          <w:p>
            <w:pPr>
              <w:ind w:left="460"/>
              <w:spacing w:after="0" w:line="149" w:lineRule="exact"/>
              <w:rPr>
                <w:sz w:val="20"/>
                <w:szCs w:val="20"/>
                <w:color w:val="auto"/>
              </w:rPr>
            </w:pPr>
            <w:r>
              <w:rPr>
                <w:rFonts w:ascii="Arial" w:cs="Arial" w:eastAsia="Arial" w:hAnsi="Arial"/>
                <w:sz w:val="14"/>
                <w:szCs w:val="14"/>
                <w:color w:val="auto"/>
              </w:rPr>
              <w:t>Vested</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100" w:type="dxa"/>
            <w:vAlign w:val="bottom"/>
          </w:tcPr>
          <w:p>
            <w:pPr>
              <w:spacing w:after="0"/>
              <w:rPr>
                <w:sz w:val="12"/>
                <w:szCs w:val="12"/>
                <w:color w:val="auto"/>
              </w:rPr>
            </w:pPr>
          </w:p>
        </w:tc>
      </w:tr>
      <w:tr>
        <w:trPr>
          <w:trHeight w:val="162"/>
        </w:trPr>
        <w:tc>
          <w:tcPr>
            <w:tcW w:w="4340" w:type="dxa"/>
            <w:vAlign w:val="bottom"/>
            <w:shd w:val="clear" w:color="auto" w:fill="CCFFCC"/>
          </w:tcPr>
          <w:p>
            <w:pPr>
              <w:ind w:left="460"/>
              <w:spacing w:after="0"/>
              <w:rPr>
                <w:sz w:val="20"/>
                <w:szCs w:val="20"/>
                <w:color w:val="auto"/>
              </w:rPr>
            </w:pPr>
            <w:r>
              <w:rPr>
                <w:rFonts w:ascii="Arial" w:cs="Arial" w:eastAsia="Arial" w:hAnsi="Arial"/>
                <w:sz w:val="14"/>
                <w:szCs w:val="14"/>
                <w:color w:val="auto"/>
              </w:rPr>
              <w:t>Forfeited or expired</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4"/>
                <w:szCs w:val="14"/>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r>
      <w:tr>
        <w:trPr>
          <w:trHeight w:val="142"/>
        </w:trPr>
        <w:tc>
          <w:tcPr>
            <w:tcW w:w="4340" w:type="dxa"/>
            <w:vAlign w:val="bottom"/>
          </w:tcPr>
          <w:p>
            <w:pPr>
              <w:spacing w:after="0" w:line="142" w:lineRule="exact"/>
              <w:rPr>
                <w:sz w:val="20"/>
                <w:szCs w:val="20"/>
                <w:color w:val="auto"/>
              </w:rPr>
            </w:pPr>
            <w:r>
              <w:rPr>
                <w:rFonts w:ascii="Arial" w:cs="Arial" w:eastAsia="Arial" w:hAnsi="Arial"/>
                <w:sz w:val="14"/>
                <w:szCs w:val="14"/>
                <w:color w:val="auto"/>
              </w:rPr>
              <w:t>Outstanding, ending</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1,658</w:t>
            </w:r>
          </w:p>
        </w:tc>
        <w:tc>
          <w:tcPr>
            <w:tcW w:w="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1,658</w:t>
            </w:r>
          </w:p>
        </w:tc>
        <w:tc>
          <w:tcPr>
            <w:tcW w:w="3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2,487</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2,487</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3,316</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3,267</w:t>
            </w:r>
          </w:p>
        </w:tc>
        <w:tc>
          <w:tcPr>
            <w:tcW w:w="100" w:type="dxa"/>
            <w:vAlign w:val="bottom"/>
          </w:tcPr>
          <w:p>
            <w:pPr>
              <w:spacing w:after="0"/>
              <w:rPr>
                <w:sz w:val="12"/>
                <w:szCs w:val="1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share-based compensation cost to be incurred on a granted RSU is the RSU’s fair value, which is the market price of the Company’s common stock on the date of grant, less its exercise cost. The compensation cost is amortized to expense over the vesting period of the RSU award. During 2011 all of the remaining unvested RSU awards became vested. The weighted average fair value of a RSU outstanding at December 31, 2012 is $3.75.</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2005 RSU Plan provides that upon a change in control of the Company or upon termination of an employee’s employment with the Company without cause, vesting will accelerate and the RSUs will fully vest. Absent a change of control, one-fourth of vested shares of common stock underlying an RSU award will be distributed (after payment of $0.01 par value per share) on January 1 of each of 2011, 2012, 2013 and 2014. If a change in control occurs, the vested shares underlying the RSU award will be distributed at or about the time of the change in control. Each distribution date consisting of 0.83 million shares and occurred as follows:</w:t>
      </w:r>
    </w:p>
    <w:p>
      <w:pPr>
        <w:spacing w:after="0" w:line="188" w:lineRule="exact"/>
        <w:rPr>
          <w:sz w:val="20"/>
          <w:szCs w:val="20"/>
          <w:color w:val="auto"/>
        </w:rPr>
      </w:pPr>
    </w:p>
    <w:p>
      <w:pPr>
        <w:ind w:left="660" w:right="2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1, 2011, 0.54 million shares were distributed to the holders while 0.29 million shares were withheld by the Company upon elections made to exchange RSUs in satisfaction of $1.0 million withholding tax obligations,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1, 2012, 0.53 million shares were distributed to the holders while 0.30 million shares were withheld by the Company upon elections made to exchange RSUs in satisfaction of $1.0 million withholding tax obligations,</w:t>
      </w: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January 1, 2013, 0.50 million shares were distributed to the holders while 0.33 million shares were withheld by the Company upon elections made to exchange RSUs in satisfaction of $0.7 million withholding tax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2014 for approximately $25 thousand annually.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Philadelphia,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On November 28, 2012, the Pennsylvania Superior Court heard the appellate oral argument. A decision on this appeal should be issued later in 2013 and a further appeal to the Pennsylvania Supreme Court likely will follow.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California, the trial court issued an April 17, 2012 ruling (confirmed in a May 25, 2012 Order) denying Generic Defendants’ dispositive preemption motions. The Generics Defendants’ appeals from this order were denied by the California appellate courts. Therefore, plaintiffs are now permitted to proceed with their lawsuits including state law claims based on (1) failing to communicate warnings to physicians through “Dear Doctor” letters; (2) failure to update labeling to adopt brand labeling changes; and (3) failure to withdraw generic products from the market. Despite its refusal to grant the demurrer or motion to strike, the California trial court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As any potential loss is neither probable nor estimable, we have not accrued for any potential loss related to this matter as of December 31, 2012. Legal fees related to this matter are currently covered by our insurance carrier.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260"/>
        <w:spacing w:after="0"/>
        <w:rPr>
          <w:sz w:val="20"/>
          <w:szCs w:val="20"/>
          <w:color w:val="auto"/>
        </w:rPr>
      </w:pPr>
      <w:r>
        <w:rPr>
          <w:rFonts w:ascii="Arial" w:cs="Arial" w:eastAsia="Arial" w:hAnsi="Arial"/>
          <w:sz w:val="18"/>
          <w:szCs w:val="18"/>
          <w:b w:val="1"/>
          <w:bCs w:val="1"/>
          <w:i w:val="1"/>
          <w:iCs w:val="1"/>
          <w:color w:val="auto"/>
        </w:rPr>
        <w:t>Financial Advisor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187"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SUPPLEMENTARY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quarterly consolidated financial data is shown below (in thousands except per share data):</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color w:val="auto"/>
                <w:w w:val="93"/>
              </w:rPr>
              <w:t>For Three Month Periods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Mar.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80"/>
              <w:spacing w:after="0" w:line="195" w:lineRule="exact"/>
              <w:rPr>
                <w:sz w:val="20"/>
                <w:szCs w:val="20"/>
                <w:color w:val="auto"/>
              </w:rPr>
            </w:pPr>
            <w:r>
              <w:rPr>
                <w:rFonts w:ascii="Arial" w:cs="Arial" w:eastAsia="Arial" w:hAnsi="Arial"/>
                <w:sz w:val="18"/>
                <w:szCs w:val="18"/>
                <w:color w:val="auto"/>
                <w:w w:val="92"/>
              </w:rPr>
              <w:t>June 30,</w:t>
            </w:r>
          </w:p>
        </w:tc>
        <w:tc>
          <w:tcPr>
            <w:tcW w:w="160" w:type="dxa"/>
            <w:vAlign w:val="bottom"/>
          </w:tcPr>
          <w:p>
            <w:pPr>
              <w:spacing w:after="0"/>
              <w:rPr>
                <w:sz w:val="16"/>
                <w:szCs w:val="16"/>
                <w:color w:val="auto"/>
              </w:rPr>
            </w:pPr>
          </w:p>
        </w:tc>
        <w:tc>
          <w:tcPr>
            <w:tcW w:w="126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w w:val="94"/>
              </w:rPr>
              <w:t>Sept. 30,</w:t>
            </w:r>
          </w:p>
        </w:tc>
        <w:tc>
          <w:tcPr>
            <w:tcW w:w="160" w:type="dxa"/>
            <w:vAlign w:val="bottom"/>
          </w:tcPr>
          <w:p>
            <w:pPr>
              <w:spacing w:after="0"/>
              <w:rPr>
                <w:sz w:val="16"/>
                <w:szCs w:val="16"/>
                <w:color w:val="auto"/>
              </w:rPr>
            </w:pPr>
          </w:p>
        </w:tc>
        <w:tc>
          <w:tcPr>
            <w:tcW w:w="96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8"/>
              </w:rPr>
              <w:t>Dec. 31,</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520" w:type="dxa"/>
            <w:vAlign w:val="bottom"/>
            <w:tcBorders>
              <w:bottom w:val="single" w:sz="8" w:color="CCFFCC"/>
            </w:tcBorders>
          </w:tcPr>
          <w:p>
            <w:pPr>
              <w:spacing w:after="0"/>
              <w:rPr>
                <w:sz w:val="20"/>
                <w:szCs w:val="20"/>
                <w:color w:val="auto"/>
              </w:rPr>
            </w:pPr>
          </w:p>
        </w:tc>
        <w:tc>
          <w:tcPr>
            <w:tcW w:w="12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3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FFCC"/>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Revenues (i)</w:t>
            </w: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(3,057)</w:t>
            </w:r>
          </w:p>
        </w:tc>
      </w:tr>
      <w:tr>
        <w:trPr>
          <w:trHeight w:val="230"/>
        </w:trPr>
        <w:tc>
          <w:tcPr>
            <w:tcW w:w="20" w:type="dxa"/>
            <w:vAlign w:val="bottom"/>
          </w:tcPr>
          <w:p>
            <w:pPr>
              <w:spacing w:after="0"/>
              <w:rPr>
                <w:sz w:val="19"/>
                <w:szCs w:val="19"/>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(2,333)</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(2,179)</w:t>
            </w: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(2,140)</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(3,016)</w:t>
            </w: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FFCC"/>
            </w:tcBorders>
          </w:tcPr>
          <w:p>
            <w:pPr>
              <w:spacing w:after="0"/>
              <w:rPr>
                <w:sz w:val="18"/>
                <w:szCs w:val="18"/>
                <w:color w:val="auto"/>
              </w:rPr>
            </w:pPr>
          </w:p>
        </w:tc>
        <w:tc>
          <w:tcPr>
            <w:tcW w:w="12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Basic loss per share</w:t>
            </w: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left w:val="single" w:sz="8" w:color="CCFFCC"/>
            </w:tcBorders>
            <w:shd w:val="clear" w:color="auto" w:fill="CCFFC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color w:val="auto"/>
                <w:w w:val="93"/>
              </w:rPr>
              <w:t>For Three Month Periods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Mar.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80"/>
              <w:spacing w:after="0" w:line="195" w:lineRule="exact"/>
              <w:rPr>
                <w:sz w:val="20"/>
                <w:szCs w:val="20"/>
                <w:color w:val="auto"/>
              </w:rPr>
            </w:pPr>
            <w:r>
              <w:rPr>
                <w:rFonts w:ascii="Arial" w:cs="Arial" w:eastAsia="Arial" w:hAnsi="Arial"/>
                <w:sz w:val="18"/>
                <w:szCs w:val="18"/>
                <w:color w:val="auto"/>
                <w:w w:val="92"/>
              </w:rPr>
              <w:t>June 30,</w:t>
            </w:r>
          </w:p>
        </w:tc>
        <w:tc>
          <w:tcPr>
            <w:tcW w:w="160" w:type="dxa"/>
            <w:vAlign w:val="bottom"/>
          </w:tcPr>
          <w:p>
            <w:pPr>
              <w:spacing w:after="0"/>
              <w:rPr>
                <w:sz w:val="16"/>
                <w:szCs w:val="16"/>
                <w:color w:val="auto"/>
              </w:rPr>
            </w:pPr>
          </w:p>
        </w:tc>
        <w:tc>
          <w:tcPr>
            <w:tcW w:w="126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w w:val="94"/>
              </w:rPr>
              <w:t>Sept. 30,</w:t>
            </w:r>
          </w:p>
        </w:tc>
        <w:tc>
          <w:tcPr>
            <w:tcW w:w="160" w:type="dxa"/>
            <w:vAlign w:val="bottom"/>
          </w:tcPr>
          <w:p>
            <w:pPr>
              <w:spacing w:after="0"/>
              <w:rPr>
                <w:sz w:val="16"/>
                <w:szCs w:val="16"/>
                <w:color w:val="auto"/>
              </w:rPr>
            </w:pPr>
          </w:p>
        </w:tc>
        <w:tc>
          <w:tcPr>
            <w:tcW w:w="96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8"/>
              </w:rPr>
              <w:t>Dec. 31,</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520" w:type="dxa"/>
            <w:vAlign w:val="bottom"/>
            <w:tcBorders>
              <w:bottom w:val="single" w:sz="8" w:color="CCFFCC"/>
            </w:tcBorders>
          </w:tcPr>
          <w:p>
            <w:pPr>
              <w:spacing w:after="0"/>
              <w:rPr>
                <w:sz w:val="20"/>
                <w:szCs w:val="20"/>
                <w:color w:val="auto"/>
              </w:rPr>
            </w:pPr>
          </w:p>
        </w:tc>
        <w:tc>
          <w:tcPr>
            <w:tcW w:w="12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FFCC"/>
            </w:tcBorders>
          </w:tcPr>
          <w:p>
            <w:pPr>
              <w:spacing w:after="0"/>
              <w:rPr>
                <w:sz w:val="20"/>
                <w:szCs w:val="20"/>
                <w:color w:val="auto"/>
              </w:rPr>
            </w:pPr>
          </w:p>
        </w:tc>
        <w:tc>
          <w:tcPr>
            <w:tcW w:w="12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3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3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FFCC"/>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Revenues (i)</w:t>
            </w: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20,233</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tcBorders>
              <w:left w:val="single" w:sz="8" w:color="CCFFCC"/>
            </w:tcBorders>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17,362</w:t>
            </w: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(1,847)</w:t>
            </w:r>
          </w:p>
        </w:tc>
      </w:tr>
      <w:tr>
        <w:trPr>
          <w:trHeight w:val="230"/>
        </w:trPr>
        <w:tc>
          <w:tcPr>
            <w:tcW w:w="20" w:type="dxa"/>
            <w:vAlign w:val="bottom"/>
          </w:tcPr>
          <w:p>
            <w:pPr>
              <w:spacing w:after="0"/>
              <w:rPr>
                <w:sz w:val="19"/>
                <w:szCs w:val="19"/>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(2,857)</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17,029</w:t>
            </w: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(1,646)</w:t>
            </w: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FFCC"/>
            </w:tcBorders>
          </w:tcPr>
          <w:p>
            <w:pPr>
              <w:spacing w:after="0"/>
              <w:rPr>
                <w:sz w:val="18"/>
                <w:szCs w:val="18"/>
                <w:color w:val="auto"/>
              </w:rPr>
            </w:pPr>
          </w:p>
        </w:tc>
        <w:tc>
          <w:tcPr>
            <w:tcW w:w="12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Basic earnings (loss) per share</w:t>
            </w:r>
          </w:p>
        </w:tc>
        <w:tc>
          <w:tcPr>
            <w:tcW w:w="120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0.36</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left w:val="single" w:sz="8" w:color="CCFFCC"/>
            </w:tcBorders>
            <w:shd w:val="clear" w:color="auto" w:fill="CCFFC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See Note 2 for revenue recognition.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120" w:type="dxa"/>
            <w:vAlign w:val="bottom"/>
          </w:tcPr>
          <w:p>
            <w:pPr>
              <w:ind w:left="2040"/>
              <w:spacing w:after="0"/>
              <w:rPr>
                <w:sz w:val="20"/>
                <w:szCs w:val="20"/>
                <w:color w:val="auto"/>
              </w:rPr>
            </w:pPr>
            <w:r>
              <w:rPr>
                <w:rFonts w:ascii="Arial" w:cs="Arial" w:eastAsia="Arial" w:hAnsi="Arial"/>
                <w:sz w:val="18"/>
                <w:szCs w:val="18"/>
                <w:b w:val="1"/>
                <w:bCs w:val="1"/>
                <w:color w:val="auto"/>
              </w:rPr>
              <w:t>ACURA PHARMACEUTICALS, INC.</w:t>
            </w:r>
          </w:p>
        </w:tc>
      </w:t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3"/>
          </w:tcPr>
          <w:p>
            <w:pPr>
              <w:spacing w:after="0"/>
              <w:rPr>
                <w:sz w:val="20"/>
                <w:szCs w:val="20"/>
                <w:color w:val="auto"/>
              </w:rPr>
            </w:pPr>
            <w:r>
              <w:rPr>
                <w:rFonts w:ascii="Arial" w:cs="Arial" w:eastAsia="Arial" w:hAnsi="Arial"/>
                <w:sz w:val="18"/>
                <w:szCs w:val="18"/>
                <w:color w:val="auto"/>
              </w:rPr>
              <w:t>The following exhibits are included as a part of this Annual Report on Form 10-K or incorporated herein by reference.</w:t>
            </w:r>
          </w:p>
        </w:tc>
      </w:tr>
      <w:tr>
        <w:trPr>
          <w:trHeight w:val="414"/>
        </w:trPr>
        <w:tc>
          <w:tcPr>
            <w:tcW w:w="2180" w:type="dxa"/>
            <w:vAlign w:val="bottom"/>
          </w:tcPr>
          <w:p>
            <w:pPr>
              <w:ind w:left="8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23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r>
      <w:tr>
        <w:trPr>
          <w:trHeight w:val="411"/>
        </w:trPr>
        <w:tc>
          <w:tcPr>
            <w:tcW w:w="2180" w:type="dxa"/>
            <w:vAlign w:val="bottom"/>
          </w:tcPr>
          <w:p>
            <w:pPr>
              <w:ind w:left="180"/>
              <w:spacing w:after="0"/>
              <w:rPr>
                <w:sz w:val="20"/>
                <w:szCs w:val="20"/>
                <w:color w:val="auto"/>
              </w:rPr>
            </w:pPr>
            <w:r>
              <w:rPr>
                <w:rFonts w:ascii="Arial" w:cs="Arial" w:eastAsia="Arial" w:hAnsi="Arial"/>
                <w:sz w:val="18"/>
                <w:szCs w:val="18"/>
                <w:color w:val="auto"/>
              </w:rPr>
              <w:t>3.1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Restated Certificate of Incorporation of the Registrant (incorporated by reference to Exhibit 3.1 to the Registrant’s Form 8-K</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filed on June 25, 2009).</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3.2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Certificate of Amendment Reverse Splitting Common Stock and restating but not changing text of part of Article III of</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Restated Certificate of Incorporation (incorporated by Reference to Exhibit 3.1 to the Form 8-K filed December 4, 2007).</w:t>
            </w:r>
          </w:p>
        </w:tc>
      </w:tr>
      <w:tr>
        <w:trPr>
          <w:trHeight w:val="432"/>
        </w:trPr>
        <w:tc>
          <w:tcPr>
            <w:tcW w:w="2180" w:type="dxa"/>
            <w:vAlign w:val="bottom"/>
          </w:tcPr>
          <w:p>
            <w:pPr>
              <w:ind w:left="180"/>
              <w:spacing w:after="0"/>
              <w:rPr>
                <w:sz w:val="20"/>
                <w:szCs w:val="20"/>
                <w:color w:val="auto"/>
              </w:rPr>
            </w:pPr>
            <w:r>
              <w:rPr>
                <w:rFonts w:ascii="Arial" w:cs="Arial" w:eastAsia="Arial" w:hAnsi="Arial"/>
                <w:sz w:val="18"/>
                <w:szCs w:val="18"/>
                <w:color w:val="auto"/>
              </w:rPr>
              <w:t>3.3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Restated Bylaws of the Registrant (incorporated by reference to Exhibit 3.1 to the Form 8-K filed on March 3, 2009).</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License, Development and Commercialization Agreement dated October 30, 2007 by and between the Registrant and King</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Pharmaceuticals Research and Development, Inc. (incorporated by reference to Exhibit 10.1 of the Form 8-K filed on</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November 2, 2007)</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Letter Agreement dated as of September 24, 2012 by and between the Registrant and King Pharmaceuticals Research and</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Development, Inc. (incorporated by reference to Exhibit 10.1 of the Form 8-K filed on September 26, 2012) (confidential</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treatment has been granted for portions of this Exhibit).</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Manufacturing Services Agreement dated as of July 19, 2011 between the Registrant and Patheon Pharmaceuticals Inc.</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(incorporated by reference to Exhibit 10.1 to our Form 8-K filed July 27, 2011) (confidential treatment has been granted for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portions of this Exhibit)</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Securities Purchase Agreement dated as of August 20, 2007 (“PIPE SPA”) among the Registrant, Vivo Ventures Fund VI,</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L.P., Vivo Ventures VI Affiliates Fund, L.P., GCE Holdings LLC, and certain other signatories thereto (incorporated by</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to the Form 8-K filed on August 21, 2007).</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Form of Warrant dated as of August 20, 2007 issued pursuant to the PIPE SPA (incorporated by reference to Exhibit 4.1 to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on August 21, 2007).</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Amended and Restated Voting Agreement dated as of February 6, 2004 among the Registrant, Care Capital Investments II, LP,</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Essex Woodlands Health Ventures V, L.P., Galen Partners III, L.P., and others (incorporated by reference to Exhibit 10.5 of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on February 10, 2004 (the “February 2004 Form 8-K”)).</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Joinder and Amendment to Amended and Restated Voting Agreement dated November 9, 2005 between the Registrant, GCE</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Holdings, Essex Woodlands Health Ventures V, L.P., Care Capital Investments II, LP, Galen Partners III, L.P. and others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the Form 8-K filed November 10, 2005).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Second Amendment to Amended and Restated Voting Agreement dated as of January 24, 2008 between the Registrant and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GCE Holdings, LLC (incorporated by reference to Exhibit 10.1 to the Form 8-K filed January 28, 2008).</w:t>
            </w:r>
          </w:p>
        </w:tc>
      </w:tr>
      <w:tr>
        <w:trPr>
          <w:trHeight w:val="675"/>
        </w:trPr>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8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411"/>
        </w:trPr>
        <w:tc>
          <w:tcPr>
            <w:tcW w:w="2180" w:type="dxa"/>
            <w:vAlign w:val="bottom"/>
          </w:tcPr>
          <w:p>
            <w:pPr>
              <w:ind w:left="180"/>
              <w:spacing w:after="0"/>
              <w:rPr>
                <w:sz w:val="20"/>
                <w:szCs w:val="20"/>
                <w:color w:val="auto"/>
              </w:rPr>
            </w:pPr>
            <w:r>
              <w:rPr>
                <w:rFonts w:ascii="Arial" w:cs="Arial" w:eastAsia="Arial" w:hAnsi="Arial"/>
                <w:sz w:val="18"/>
                <w:szCs w:val="18"/>
                <w:color w:val="auto"/>
              </w:rPr>
              <w:t>10.9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Third Amendment to Amended and Restated Voting Agreement dated as of October 1, 2012 between the Registrant, Care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Capital Investments II, LP, Essex Woodlands Health Ventures V, L.P., Galen Partners III, L.P., and others (incorporated by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of the Form 8-K filed on October 3, 2012).</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9"/>
              </w:rPr>
              <w:t>Registrant’s 1995 Stock Option and Restricted Stock Purchase Plan (incorporated by reference to Exhibit 4.1 to the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Registrant's Registration Statement on Form S-8, File No. 33-98396).</w:t>
            </w:r>
          </w:p>
        </w:tc>
        <w:tc>
          <w:tcPr>
            <w:tcW w:w="0" w:type="dxa"/>
            <w:vAlign w:val="bottom"/>
          </w:tcPr>
          <w:p>
            <w:pPr>
              <w:spacing w:after="0"/>
              <w:rPr>
                <w:sz w:val="1"/>
                <w:szCs w:val="1"/>
                <w:color w:val="auto"/>
              </w:rPr>
            </w:pPr>
          </w:p>
        </w:tc>
      </w:tr>
      <w:tr>
        <w:trPr>
          <w:trHeight w:val="418"/>
        </w:trPr>
        <w:tc>
          <w:tcPr>
            <w:tcW w:w="2180" w:type="dxa"/>
            <w:vAlign w:val="bottom"/>
            <w:vMerge w:val="restart"/>
          </w:tcPr>
          <w:p>
            <w:pPr>
              <w:ind w:left="180"/>
              <w:spacing w:after="0"/>
              <w:rPr>
                <w:sz w:val="20"/>
                <w:szCs w:val="20"/>
                <w:color w:val="auto"/>
              </w:rPr>
            </w:pPr>
            <w:r>
              <w:rPr>
                <w:rFonts w:ascii="Arial" w:cs="Arial" w:eastAsia="Arial" w:hAnsi="Arial"/>
                <w:sz w:val="18"/>
                <w:szCs w:val="18"/>
                <w:color w:val="auto"/>
              </w:rPr>
              <w:t>10.11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Registrant’s 1998 Stock Option Plan, as amended (incorporated by reference to Appendix C to the Registrant’s Proxy</w:t>
            </w:r>
          </w:p>
        </w:tc>
        <w:tc>
          <w:tcPr>
            <w:tcW w:w="0" w:type="dxa"/>
            <w:vAlign w:val="bottom"/>
          </w:tcPr>
          <w:p>
            <w:pPr>
              <w:spacing w:after="0"/>
              <w:rPr>
                <w:sz w:val="1"/>
                <w:szCs w:val="1"/>
                <w:color w:val="auto"/>
              </w:rPr>
            </w:pPr>
          </w:p>
        </w:tc>
      </w:tr>
      <w:tr>
        <w:trPr>
          <w:trHeight w:val="122"/>
        </w:trPr>
        <w:tc>
          <w:tcPr>
            <w:tcW w:w="2180" w:type="dxa"/>
            <w:vAlign w:val="bottom"/>
            <w:vMerge w:val="continue"/>
          </w:tcPr>
          <w:p>
            <w:pPr>
              <w:spacing w:after="0"/>
              <w:rPr>
                <w:sz w:val="10"/>
                <w:szCs w:val="10"/>
                <w:color w:val="auto"/>
              </w:rPr>
            </w:pPr>
          </w:p>
        </w:tc>
        <w:tc>
          <w:tcPr>
            <w:tcW w:w="9240" w:type="dxa"/>
            <w:vAlign w:val="bottom"/>
            <w:gridSpan w:val="2"/>
            <w:vMerge w:val="restart"/>
          </w:tcPr>
          <w:p>
            <w:pPr>
              <w:ind w:left="120"/>
              <w:spacing w:after="0"/>
              <w:rPr>
                <w:sz w:val="20"/>
                <w:szCs w:val="20"/>
                <w:color w:val="auto"/>
              </w:rPr>
            </w:pPr>
            <w:r>
              <w:rPr>
                <w:rFonts w:ascii="Arial" w:cs="Arial" w:eastAsia="Arial" w:hAnsi="Arial"/>
                <w:sz w:val="18"/>
                <w:szCs w:val="18"/>
                <w:color w:val="auto"/>
              </w:rPr>
              <w:t>Statement filed on May 12, 2009).</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9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Registrant’s 2005 Restricted Stock Unit Award Plan, as amended (incorporated by reference to Appendix B to the Registrant’s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Proxy Statement filed on April 2, 2008).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Registrant’s 2008 Stock Option Plan, as amended on June 25, 2009 (incorporated by reference to Appendix B to our Proxy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Statement filed on May 12, 2009).</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Employment Agreement dated as of March 10, 1998 between the Registrant and Peter Clemens (“Clemens”) (incorporated by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10.44 to the Form 10-K for the period ending December 31, 2007, filed on April 15, 1998).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First Amendment to Employment Agreement made as of June 28, 2000 between the Registrant and Clemens (incorporated by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10.44A to the Registrant’s 2005 Form 10-K).</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Second Amendment to Executive Employment Agreement between Registrant and Clemens, dated as of January 5, 2005</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99.1 to the Registrant's Form 8-K filed January 31, 2005).</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Third Amendment to Executive Employment Agreement dated December 22, 2005 between Registrant and Clemens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10.3 to the December 2005 Form 8-K).</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Fourth Amendment to Executive Employment Agreement dated December 16, 2007 between Registrant and Clemens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(incorporated by reference to Exhibit 10.28 to the Form 10-K for the year ending December 31, 2007, filed on March 5,</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Fifth Amendment to Executive Employment Agreement executed July 9, 2008 between Registrant and Clemens (incorporated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by reference to Exhibit 10.4 to our Form 8-K filed on July 10, 2008).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Sixth Amendment to Executive Employment Agreement executed December 14, 2012 between Registrant and Clemens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10.2 to our Form 8-K filed on December 17, 2012).</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Employment Agreement dated as of March 18, 2008 between the Registrant and Robert B. Jones (incorporated by reference to</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Exhibit 10.1 to our Form 8-K filed on March 24, 2008).</w:t>
            </w:r>
          </w:p>
        </w:tc>
        <w:tc>
          <w:tcPr>
            <w:tcW w:w="0" w:type="dxa"/>
            <w:vAlign w:val="bottom"/>
          </w:tcPr>
          <w:p>
            <w:pPr>
              <w:spacing w:after="0"/>
              <w:rPr>
                <w:sz w:val="1"/>
                <w:szCs w:val="1"/>
                <w:color w:val="auto"/>
              </w:rPr>
            </w:pPr>
          </w:p>
        </w:tc>
      </w:tr>
      <w:tr>
        <w:trPr>
          <w:trHeight w:val="675"/>
        </w:trPr>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8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3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Exhibit Description</w:t>
            </w:r>
          </w:p>
        </w:tc>
      </w:tr>
      <w:tr>
        <w:trPr>
          <w:trHeight w:val="411"/>
        </w:trPr>
        <w:tc>
          <w:tcPr>
            <w:tcW w:w="2180" w:type="dxa"/>
            <w:vAlign w:val="bottom"/>
          </w:tcPr>
          <w:p>
            <w:pPr>
              <w:ind w:left="180"/>
              <w:spacing w:after="0"/>
              <w:rPr>
                <w:sz w:val="20"/>
                <w:szCs w:val="20"/>
                <w:color w:val="auto"/>
              </w:rPr>
            </w:pPr>
            <w:r>
              <w:rPr>
                <w:rFonts w:ascii="Arial" w:cs="Arial" w:eastAsia="Arial" w:hAnsi="Arial"/>
                <w:sz w:val="18"/>
                <w:szCs w:val="18"/>
                <w:color w:val="auto"/>
              </w:rPr>
              <w:t>10.22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Amendment to Executive Employment Agreement dated as of April 28, 2011 between the Registrant and Robert B. Jones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our Form 10-Q filed July 28, 2011)</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Second Amendment to Executive Employment Agreement between Registrant and Robert B. Jones executed December 14,</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2012 (incorporated by reference to Exhibit 10.1 to our Form 8-K filed December 17, 2012).</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Stipulation of Settlement dated October 31, 2011 re: Class Action Litigation (incorporated by reference to Exhibit 10.1 to our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November 4, 2011)</w:t>
            </w:r>
          </w:p>
        </w:tc>
      </w:tr>
      <w:tr>
        <w:trPr>
          <w:trHeight w:val="432"/>
        </w:trPr>
        <w:tc>
          <w:tcPr>
            <w:tcW w:w="2180" w:type="dxa"/>
            <w:vAlign w:val="bottom"/>
          </w:tcPr>
          <w:p>
            <w:pPr>
              <w:ind w:left="180"/>
              <w:spacing w:after="0"/>
              <w:rPr>
                <w:sz w:val="20"/>
                <w:szCs w:val="20"/>
                <w:color w:val="auto"/>
              </w:rPr>
            </w:pPr>
            <w:r>
              <w:rPr>
                <w:rFonts w:ascii="Arial" w:cs="Arial" w:eastAsia="Arial" w:hAnsi="Arial"/>
                <w:sz w:val="18"/>
                <w:szCs w:val="18"/>
                <w:color w:val="auto"/>
              </w:rPr>
              <w:t>14.1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Code of Ethics (incorporated by reference to Exhibit 14.1 of the Form 8-K filed on December 10, 2007).</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21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Subsidiaries of the Registrant (incorporated by reference to Exhibit 21 to the Form 10-K for the fiscal year ended December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31, 2006 filed on March 15, 2007).</w:t>
            </w:r>
          </w:p>
        </w:tc>
      </w:tr>
      <w:tr>
        <w:trPr>
          <w:trHeight w:val="432"/>
        </w:trPr>
        <w:tc>
          <w:tcPr>
            <w:tcW w:w="2180" w:type="dxa"/>
            <w:vAlign w:val="bottom"/>
          </w:tcPr>
          <w:p>
            <w:pPr>
              <w:ind w:left="180"/>
              <w:spacing w:after="0"/>
              <w:rPr>
                <w:sz w:val="20"/>
                <w:szCs w:val="20"/>
                <w:color w:val="auto"/>
              </w:rPr>
            </w:pPr>
            <w:r>
              <w:rPr>
                <w:rFonts w:ascii="Arial" w:cs="Arial" w:eastAsia="Arial" w:hAnsi="Arial"/>
                <w:sz w:val="18"/>
                <w:szCs w:val="18"/>
                <w:color w:val="auto"/>
              </w:rPr>
              <w:t>*23.1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Consent of BDO USA LLP, Independent Registered Public Accounting Firm.</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*31.1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Certification of Periodic Report by Chief Executive Officer pursuant to Rule 13a-14 and 15d-14 of the Securities Exchange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Act of 1934.</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*31.2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Certification of Periodic Report by Chief Financial Officer pursuant to Rule 13a-14 and 15d-14 of the Securities Exchange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Act of 1934.</w:t>
            </w:r>
          </w:p>
        </w:tc>
      </w:tr>
      <w:tr>
        <w:trPr>
          <w:trHeight w:val="418"/>
        </w:trPr>
        <w:tc>
          <w:tcPr>
            <w:tcW w:w="2180" w:type="dxa"/>
            <w:vAlign w:val="bottom"/>
          </w:tcPr>
          <w:p>
            <w:pPr>
              <w:ind w:left="2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to Section 906 of the Sarbanes-Oxley Act of 2002.</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*101.INS</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*101.SCH</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*101.CAL</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Extension Calculation Linkbase</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*101.LAB</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Extension Label Linkbase</w:t>
            </w: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*101.PRE</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Extension Presentation Linkbase</w:t>
            </w: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*101.DEF</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w w:val="96"/>
              </w:rPr>
              <w:t>*Filed or furnished herewith.</w:t>
            </w:r>
          </w:p>
        </w:tc>
        <w:tc>
          <w:tcPr>
            <w:tcW w:w="12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333-151653, 333-151620, 333-133172, 333-123615, 333-63288, and 33-98356) and on Form S-3 (No. 333-146416) of Acura Pharmaceuticals, Inc. of our report dated March 4, 2013, relating to the consolidated financial statements, which appear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/s/Robert B. Jones</w:t>
      </w:r>
    </w:p>
    <w:p>
      <w:pPr>
        <w:spacing w:after="0" w:line="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-130175</wp:posOffset>
            </wp:positionV>
            <wp:extent cx="25984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20" w:hanging="453"/>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20" w:right="20" w:hanging="453"/>
        <w:spacing w:after="0" w:line="308" w:lineRule="auto"/>
        <w:tabs>
          <w:tab w:leader="none" w:pos="9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hanging="453"/>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20" w:hanging="453"/>
        <w:spacing w:after="0" w:line="277"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2013</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/s/Peter A. Clemens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2012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28, 2013</w:t>
            </w:r>
          </w:p>
        </w:tc>
        <w:tc>
          <w:tcPr>
            <w:tcW w:w="3340" w:type="dxa"/>
            <w:vAlign w:val="bottom"/>
          </w:tcPr>
          <w:p>
            <w:pPr>
              <w:ind w:left="2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3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2012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28, 2013</w:t>
            </w:r>
          </w:p>
        </w:tc>
        <w:tc>
          <w:tcPr>
            <w:tcW w:w="3340" w:type="dxa"/>
            <w:vAlign w:val="bottom"/>
          </w:tcPr>
          <w:p>
            <w:pPr>
              <w:ind w:left="22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r>
      <w:tr>
        <w:trPr>
          <w:trHeight w:val="195"/>
        </w:trPr>
        <w:tc>
          <w:tcPr>
            <w:tcW w:w="35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560" w:type="dxa"/>
            <w:vAlign w:val="bottom"/>
          </w:tcPr>
          <w:p>
            <w:pPr>
              <w:ind w:left="40"/>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5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48"/>
        </w:trPr>
        <w:tc>
          <w:tcPr>
            <w:tcW w:w="3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1"/>
    </w:lvl>
    <w:lvl w:ilvl="1">
      <w:lvlJc w:val="left"/>
      <w:lvlText w:val="%2."/>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38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2019-12-05T22:46:18Z</dcterms:created>
  <dcterms:modified xsi:type="dcterms:W3CDTF">2019-12-05T22:46:18Z</dcterms:modified>
</cp:coreProperties>
</file>