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820" w:right="1620" w:hanging="812"/>
        <w:spacing w:after="0" w:line="524" w:lineRule="auto"/>
        <w:tabs>
          <w:tab w:leader="none" w:pos="6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820" w:right="1380" w:hanging="812"/>
        <w:spacing w:after="0" w:line="532"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920" w:type="dxa"/>
            <w:vAlign w:val="bottom"/>
            <w:gridSpan w:val="3"/>
          </w:tcPr>
          <w:p>
            <w:pPr>
              <w:jc w:val="center"/>
              <w:ind w:right="2830"/>
              <w:spacing w:after="0"/>
              <w:rPr>
                <w:sz w:val="20"/>
                <w:szCs w:val="20"/>
                <w:color w:val="auto"/>
              </w:rPr>
            </w:pPr>
            <w:r>
              <w:rPr>
                <w:rFonts w:ascii="Arial" w:cs="Arial" w:eastAsia="Arial" w:hAnsi="Arial"/>
                <w:sz w:val="18"/>
                <w:szCs w:val="18"/>
                <w:b w:val="1"/>
                <w:bCs w:val="1"/>
                <w:color w:val="auto"/>
                <w:w w:val="90"/>
              </w:rPr>
              <w:t>Commission File Number 1-10113</w:t>
            </w:r>
          </w:p>
        </w:tc>
      </w:tr>
      <w:tr>
        <w:trPr>
          <w:trHeight w:val="351"/>
        </w:trPr>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560" w:type="dxa"/>
            <w:vAlign w:val="bottom"/>
          </w:tcPr>
          <w:p>
            <w:pPr>
              <w:spacing w:after="0"/>
              <w:rPr>
                <w:sz w:val="24"/>
                <w:szCs w:val="24"/>
                <w:color w:val="auto"/>
              </w:rPr>
            </w:pPr>
          </w:p>
        </w:tc>
      </w:tr>
      <w:tr>
        <w:trPr>
          <w:trHeight w:val="546"/>
        </w:trPr>
        <w:tc>
          <w:tcPr>
            <w:tcW w:w="3100" w:type="dxa"/>
            <w:vAlign w:val="bottom"/>
          </w:tcPr>
          <w:p>
            <w:pPr>
              <w:spacing w:after="0"/>
              <w:rPr>
                <w:sz w:val="24"/>
                <w:szCs w:val="24"/>
                <w:color w:val="auto"/>
              </w:rPr>
            </w:pPr>
          </w:p>
        </w:tc>
        <w:tc>
          <w:tcPr>
            <w:tcW w:w="5920" w:type="dxa"/>
            <w:vAlign w:val="bottom"/>
            <w:gridSpan w:val="3"/>
          </w:tcPr>
          <w:p>
            <w:pPr>
              <w:jc w:val="center"/>
              <w:ind w:right="2850"/>
              <w:spacing w:after="0"/>
              <w:rPr>
                <w:sz w:val="20"/>
                <w:szCs w:val="20"/>
                <w:color w:val="auto"/>
              </w:rPr>
            </w:pPr>
            <w:r>
              <w:rPr>
                <w:rFonts w:ascii="Arial" w:cs="Arial" w:eastAsia="Arial" w:hAnsi="Arial"/>
                <w:sz w:val="18"/>
                <w:szCs w:val="18"/>
                <w:b w:val="1"/>
                <w:bCs w:val="1"/>
                <w:color w:val="auto"/>
                <w:w w:val="90"/>
              </w:rPr>
              <w:t>Acura Pharmaceuticals, Inc.</w:t>
            </w:r>
          </w:p>
        </w:tc>
      </w:tr>
      <w:tr>
        <w:trPr>
          <w:trHeight w:val="230"/>
        </w:trPr>
        <w:tc>
          <w:tcPr>
            <w:tcW w:w="9020" w:type="dxa"/>
            <w:vAlign w:val="bottom"/>
            <w:gridSpan w:val="4"/>
          </w:tcPr>
          <w:p>
            <w:pPr>
              <w:jc w:val="center"/>
              <w:ind w:left="13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45"/>
        </w:trPr>
        <w:tc>
          <w:tcPr>
            <w:tcW w:w="3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New York</w:t>
            </w:r>
          </w:p>
        </w:tc>
        <w:tc>
          <w:tcPr>
            <w:tcW w:w="59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3100" w:type="dxa"/>
            <w:vAlign w:val="bottom"/>
          </w:tcPr>
          <w:p>
            <w:pPr>
              <w:jc w:val="center"/>
              <w:ind w:right="70"/>
              <w:spacing w:after="0"/>
              <w:rPr>
                <w:sz w:val="20"/>
                <w:szCs w:val="20"/>
                <w:color w:val="auto"/>
              </w:rPr>
            </w:pPr>
            <w:r>
              <w:rPr>
                <w:rFonts w:ascii="Arial" w:cs="Arial" w:eastAsia="Arial" w:hAnsi="Arial"/>
                <w:sz w:val="18"/>
                <w:szCs w:val="18"/>
                <w:i w:val="1"/>
                <w:iCs w:val="1"/>
                <w:color w:val="auto"/>
                <w:w w:val="92"/>
              </w:rPr>
              <w:t>(State or other Jurisdiction of</w:t>
            </w: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60" w:type="dxa"/>
            <w:vAlign w:val="bottom"/>
          </w:tcPr>
          <w:p>
            <w:pPr>
              <w:jc w:val="center"/>
              <w:ind w:left="8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100" w:type="dxa"/>
            <w:vAlign w:val="bottom"/>
          </w:tcPr>
          <w:p>
            <w:pPr>
              <w:jc w:val="center"/>
              <w:ind w:right="90"/>
              <w:spacing w:after="0"/>
              <w:rPr>
                <w:sz w:val="20"/>
                <w:szCs w:val="20"/>
                <w:color w:val="auto"/>
              </w:rPr>
            </w:pPr>
            <w:r>
              <w:rPr>
                <w:rFonts w:ascii="Arial" w:cs="Arial" w:eastAsia="Arial" w:hAnsi="Arial"/>
                <w:sz w:val="18"/>
                <w:szCs w:val="18"/>
                <w:i w:val="1"/>
                <w:iCs w:val="1"/>
                <w:color w:val="auto"/>
                <w:w w:val="95"/>
              </w:rPr>
              <w:t>incorporation or organization)</w:t>
            </w: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14"/>
        </w:trPr>
        <w:tc>
          <w:tcPr>
            <w:tcW w:w="31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616 N. North Court, Suite 120</w:t>
            </w: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20"/>
        </w:trPr>
        <w:tc>
          <w:tcPr>
            <w:tcW w:w="31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Palatine, Illinois</w:t>
            </w:r>
          </w:p>
        </w:tc>
        <w:tc>
          <w:tcPr>
            <w:tcW w:w="592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3100" w:type="dxa"/>
            <w:vAlign w:val="bottom"/>
          </w:tcPr>
          <w:p>
            <w:pPr>
              <w:jc w:val="center"/>
              <w:ind w:right="90"/>
              <w:spacing w:after="0"/>
              <w:rPr>
                <w:sz w:val="20"/>
                <w:szCs w:val="20"/>
                <w:color w:val="auto"/>
              </w:rPr>
            </w:pPr>
            <w:r>
              <w:rPr>
                <w:rFonts w:ascii="Arial" w:cs="Arial" w:eastAsia="Arial" w:hAnsi="Arial"/>
                <w:sz w:val="18"/>
                <w:szCs w:val="18"/>
                <w:i w:val="1"/>
                <w:iCs w:val="1"/>
                <w:color w:val="auto"/>
                <w:w w:val="92"/>
              </w:rPr>
              <w:t>(Address of Principal Executive Offices)</w:t>
            </w: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60" w:type="dxa"/>
            <w:vAlign w:val="bottom"/>
          </w:tcPr>
          <w:p>
            <w:pPr>
              <w:jc w:val="center"/>
              <w:ind w:left="89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52" w:lineRule="exact"/>
        <w:rPr>
          <w:sz w:val="24"/>
          <w:szCs w:val="24"/>
          <w:color w:val="auto"/>
        </w:rPr>
      </w:pPr>
    </w:p>
    <w:p>
      <w:pPr>
        <w:ind w:right="42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9" w:lineRule="exact"/>
        <w:rPr>
          <w:sz w:val="24"/>
          <w:szCs w:val="24"/>
          <w:color w:val="auto"/>
        </w:rPr>
      </w:pPr>
    </w:p>
    <w:p>
      <w:pPr>
        <w:jc w:val="both"/>
        <w:ind w:right="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7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958" w:right="239" w:bottom="1440" w:gutter="0" w:footer="0" w:header="0"/>
        </w:sectPr>
      </w:pPr>
    </w:p>
    <w:p>
      <w:pPr>
        <w:spacing w:after="0" w:line="17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6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4440" w:space="720"/>
            <w:col w:w="6260"/>
          </w:cols>
          <w:pgMar w:left="240" w:top="958" w:right="239" w:bottom="1440" w:gutter="0" w:footer="0" w:header="0"/>
          <w:type w:val="continuous"/>
        </w:sectPr>
      </w:pPr>
    </w:p>
    <w:p>
      <w:pPr>
        <w:spacing w:after="0" w:line="17" w:lineRule="exact"/>
        <w:rPr>
          <w:sz w:val="24"/>
          <w:szCs w:val="24"/>
          <w:color w:val="auto"/>
        </w:rPr>
      </w:pPr>
    </w:p>
    <w:p>
      <w:pPr>
        <w:spacing w:after="0" w:line="207" w:lineRule="exact"/>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July 27, 2011 the registrant had 45,315,112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860" w:type="dxa"/>
            <w:vAlign w:val="bottom"/>
            <w:gridSpan w:val="2"/>
          </w:tcPr>
          <w:p>
            <w:pPr>
              <w:ind w:left="9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1. FINANCIAL INFORMATION</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Financial Statements (Unaudited)</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Consolidated Balance Sheets June 30, 2011 and December 31,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Consolidated Statements of Operations Six and three months ended June 30, 2011 and June 30,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Consolidated Statement of Stockholders’ Equity Six months ended June 30, 2011</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Consolidated Statements of Cash Flows Six months ended June 30, 2011 and June 30,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Controls and Procedures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6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Legal Proceedings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Risk Factors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85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Exhibits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850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5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ACURA PHARMACEUTICALS, INC.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99"/>
              </w:rPr>
              <w:t>AND SUBSIDIARY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(in thousands, except par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39,502</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24,045</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Collaboration revenue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w:t>
            </w:r>
          </w:p>
        </w:tc>
      </w:tr>
      <w:tr>
        <w:trPr>
          <w:trHeight w:val="27"/>
        </w:trPr>
        <w:tc>
          <w:tcPr>
            <w:tcW w:w="20" w:type="dxa"/>
            <w:vAlign w:val="bottom"/>
          </w:tcPr>
          <w:p>
            <w:pPr>
              <w:spacing w:after="0"/>
              <w:rPr>
                <w:sz w:val="2"/>
                <w:szCs w:val="2"/>
                <w:color w:val="auto"/>
              </w:rPr>
            </w:pPr>
          </w:p>
        </w:tc>
        <w:tc>
          <w:tcPr>
            <w:tcW w:w="8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24,441</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1,052</w:t>
            </w:r>
          </w:p>
        </w:tc>
      </w:tr>
      <w:tr>
        <w:trPr>
          <w:trHeight w:val="27"/>
        </w:trPr>
        <w:tc>
          <w:tcPr>
            <w:tcW w:w="20" w:type="dxa"/>
            <w:vAlign w:val="bottom"/>
          </w:tcPr>
          <w:p>
            <w:pPr>
              <w:spacing w:after="0"/>
              <w:rPr>
                <w:sz w:val="2"/>
                <w:szCs w:val="2"/>
                <w:color w:val="auto"/>
              </w:rPr>
            </w:pPr>
          </w:p>
        </w:tc>
        <w:tc>
          <w:tcPr>
            <w:tcW w:w="8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41,096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954</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program fee revenue</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w:t>
            </w:r>
          </w:p>
        </w:tc>
      </w:tr>
      <w:tr>
        <w:trPr>
          <w:trHeight w:val="27"/>
        </w:trPr>
        <w:tc>
          <w:tcPr>
            <w:tcW w:w="20" w:type="dxa"/>
            <w:vAlign w:val="bottom"/>
          </w:tcPr>
          <w:p>
            <w:pPr>
              <w:spacing w:after="0"/>
              <w:rPr>
                <w:sz w:val="2"/>
                <w:szCs w:val="2"/>
                <w:color w:val="auto"/>
              </w:rPr>
            </w:pPr>
          </w:p>
        </w:tc>
        <w:tc>
          <w:tcPr>
            <w:tcW w:w="8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89"/>
              </w:rPr>
              <w:t>Common stock - $.01 par value; 100,000 shares authorized; 45,315 and 43,894 shares issued and outstanding at June</w:t>
            </w: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30, 2011 and December 31, 2010</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361,167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359,830</w:t>
            </w: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(321,756)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(335,928)</w:t>
            </w:r>
          </w:p>
        </w:tc>
      </w:tr>
      <w:tr>
        <w:trPr>
          <w:trHeight w:val="27"/>
        </w:trPr>
        <w:tc>
          <w:tcPr>
            <w:tcW w:w="20" w:type="dxa"/>
            <w:vAlign w:val="bottom"/>
          </w:tcPr>
          <w:p>
            <w:pPr>
              <w:spacing w:after="0"/>
              <w:rPr>
                <w:sz w:val="2"/>
                <w:szCs w:val="2"/>
                <w:color w:val="auto"/>
              </w:rPr>
            </w:pPr>
          </w:p>
        </w:tc>
        <w:tc>
          <w:tcPr>
            <w:tcW w:w="8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39,864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24,341</w:t>
            </w: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41,096</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25,493</w:t>
            </w:r>
          </w:p>
        </w:tc>
      </w:tr>
      <w:tr>
        <w:trPr>
          <w:trHeight w:val="27"/>
        </w:trPr>
        <w:tc>
          <w:tcPr>
            <w:tcW w:w="20" w:type="dxa"/>
            <w:vAlign w:val="bottom"/>
          </w:tcPr>
          <w:p>
            <w:pPr>
              <w:spacing w:after="0"/>
              <w:rPr>
                <w:sz w:val="2"/>
                <w:szCs w:val="2"/>
                <w:color w:val="auto"/>
              </w:rPr>
            </w:pPr>
          </w:p>
        </w:tc>
        <w:tc>
          <w:tcPr>
            <w:tcW w:w="8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Six Months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color w:val="auto"/>
              </w:rPr>
              <w:t>Ended June 30,</w:t>
            </w:r>
          </w:p>
        </w:tc>
        <w:tc>
          <w:tcPr>
            <w:tcW w:w="240" w:type="dxa"/>
            <w:vAlign w:val="bottom"/>
          </w:tcPr>
          <w:p>
            <w:pPr>
              <w:spacing w:after="0"/>
              <w:rPr>
                <w:sz w:val="18"/>
                <w:szCs w:val="18"/>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4,572</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9,881</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(expense) income, net</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(7,219)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 expense</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14,172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(loss) per share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w:t>
            </w:r>
          </w:p>
        </w:tc>
        <w:tc>
          <w:tcPr>
            <w:tcW w:w="15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46,937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46,937</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gridSpan w:val="8"/>
          </w:tcPr>
          <w:p>
            <w:pPr>
              <w:jc w:val="center"/>
              <w:ind w:left="3970"/>
              <w:spacing w:after="0"/>
              <w:rPr>
                <w:sz w:val="20"/>
                <w:szCs w:val="20"/>
                <w:color w:val="auto"/>
              </w:rPr>
            </w:pPr>
            <w:r>
              <w:rPr>
                <w:rFonts w:ascii="Arial" w:cs="Arial" w:eastAsia="Arial" w:hAnsi="Arial"/>
                <w:sz w:val="18"/>
                <w:szCs w:val="18"/>
                <w:b w:val="1"/>
                <w:bCs w:val="1"/>
                <w:color w:val="auto"/>
                <w:w w:val="97"/>
              </w:rPr>
              <w:t>SIX MONTHS ENDED JUNE 30, 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8"/>
              </w:rPr>
              <w:t>(in thousands, except par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8"/>
                <w:szCs w:val="18"/>
                <w:color w:val="auto"/>
              </w:rPr>
              <w:t>$0.01 Par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Paid - 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Balance at December 31, 2010</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43,894</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359,830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(335,928)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1"/>
              </w:rPr>
              <w:t>Distribution of common stock pursuant to restricted stock unit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award plan</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Issuance of common stock pursuant to exercise of stock</w:t>
            </w: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pursuant to exercise of common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Balance at June 30, 2011</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45,315</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361,167</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(321,756)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99"/>
              </w:rPr>
              <w:t>FOR THE SIX MONTHS ENDED JUNE 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80" w:type="dxa"/>
            <w:vAlign w:val="bottom"/>
          </w:tcPr>
          <w:p>
            <w:pPr>
              <w:jc w:val="cente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Collaboration revenue receivable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Deferred program fee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16,042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shd w:val="clear" w:color="auto" w:fill="CCFFCC"/>
          </w:tcPr>
          <w:p>
            <w:pPr>
              <w:spacing w:after="0"/>
              <w:rPr>
                <w:sz w:val="2"/>
                <w:szCs w:val="2"/>
                <w:color w:val="auto"/>
              </w:rPr>
            </w:pPr>
          </w:p>
        </w:tc>
        <w:tc>
          <w:tcPr>
            <w:tcW w:w="6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 – purchase of property and equipment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flows provided by (used in) financing activities:</w:t>
            </w: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Net proceeds from warrant exercise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FFCC"/>
          </w:tcPr>
          <w:p>
            <w:pPr>
              <w:ind w:left="320"/>
              <w:spacing w:after="0" w:line="201" w:lineRule="exact"/>
              <w:rPr>
                <w:sz w:val="20"/>
                <w:szCs w:val="20"/>
                <w:color w:val="auto"/>
              </w:rPr>
            </w:pPr>
            <w:r>
              <w:rPr>
                <w:rFonts w:ascii="Arial" w:cs="Arial" w:eastAsia="Arial" w:hAnsi="Arial"/>
                <w:sz w:val="18"/>
                <w:szCs w:val="18"/>
                <w:color w:val="auto"/>
                <w:w w:val="96"/>
              </w:rPr>
              <w:t>Statutory minimum withholding taxes paid on the distribution of common stock pursuant to restricted stock unit</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plan and exercise of stock options</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shd w:val="clear" w:color="auto" w:fill="CCFFCC"/>
          </w:tcPr>
          <w:p>
            <w:pPr>
              <w:spacing w:after="0"/>
              <w:rPr>
                <w:sz w:val="2"/>
                <w:szCs w:val="2"/>
                <w:color w:val="auto"/>
              </w:rPr>
            </w:pPr>
          </w:p>
        </w:tc>
        <w:tc>
          <w:tcPr>
            <w:tcW w:w="6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Net cash provided by (used in) finance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15,457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39,502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Borders>
              <w:top w:val="single" w:sz="8" w:color="CCFFCC"/>
            </w:tcBorders>
          </w:tcPr>
          <w:p>
            <w:pPr>
              <w:spacing w:after="0"/>
              <w:rPr>
                <w:sz w:val="18"/>
                <w:szCs w:val="18"/>
                <w:color w:val="auto"/>
              </w:rPr>
            </w:pPr>
          </w:p>
        </w:tc>
        <w:tc>
          <w:tcPr>
            <w:tcW w:w="61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2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1"/>
              </w:rPr>
              <w:t>Supplemental cash flow information</w:t>
            </w:r>
          </w:p>
        </w:tc>
        <w:tc>
          <w:tcPr>
            <w:tcW w:w="61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paid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Disclosure of Noncash Financing Activities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2011</w:t>
      </w:r>
    </w:p>
    <w:p>
      <w:pPr>
        <w:spacing w:after="0" w:line="9" w:lineRule="exact"/>
        <w:rPr>
          <w:sz w:val="20"/>
          <w:szCs w:val="20"/>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cashless exercises of stock options to acquire 923 shares of common stock, we issued 377 shares and withheld 547 shares both for the exercise costs and for $882 of statutory minimum withholding taxes paid on behalf of the stock option holders.</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distribution of 735 restricted stock units, we issued 446 shares of common stock and withheld 289 shares both for the common stock par values and for $953 of statutory minimum withholding taxes paid on behalf of the recipients.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2010</w:t>
      </w:r>
    </w:p>
    <w:p>
      <w:pPr>
        <w:spacing w:after="0" w:line="23" w:lineRule="exact"/>
        <w:rPr>
          <w:sz w:val="20"/>
          <w:szCs w:val="20"/>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64 shares of common stock were exercised at exercise price of $1.29 per share in a series of cashless exercise transactions resulting in the issuance of 14 shares of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research, development and commercialization of product candidates intended to provide abuse deterrent features and benefits utilizing our proprietary Aversion® and Impede™ Technologies.</w:t>
      </w:r>
    </w:p>
    <w:p>
      <w:pPr>
        <w:spacing w:after="0" w:line="20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six months ended June 30, 2011 are not necessarily indicative of results expected for the full year ending December 31, 2011. These unaudited consolidated financial statements should be read in conjunction with the audited consolidated financial statements and footnotes thereto for the year ended December 31, 2010 included in the Company's Annual Report on Form 10-K filed with the Securities and Exchange Commission. The 2010 year-end consolidated balance sheet presented in this Report was derived from the Company’s 2010 year-end audited consolidated financial statements, but does not include all disclosures required by generally accepted accounting principles. Amounts presented in the financial statements and footnotes are rounded to the nearest thousands, except per share data and par values.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RESEARCH AND DEVELOPMENT</w:t>
      </w:r>
    </w:p>
    <w:p>
      <w:pPr>
        <w:spacing w:after="0" w:line="256"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 AND DEFERRED PROGRAM FEE REVENUE</w:t>
      </w:r>
    </w:p>
    <w:p>
      <w:pPr>
        <w:spacing w:after="0" w:line="25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recognize revenue when there is persuasive evidence that an agreement exists, performance specified in the agreement has occurred, the price is fixed and determinable, and collection is reasonably assured. In connection with our License, Development, and Commercialization Agreement dated October 30, 2007 (the “Pfizer Agreement”) with King Pharmaceuticals Research and Development, Inc. (“King”), a subsidiary of Pfizer, Inc. (“Pfizer”), we recognize program fee revenue, collaboration revenue and milestone revenue.</w:t>
      </w:r>
    </w:p>
    <w:p>
      <w:pPr>
        <w:spacing w:after="0" w:line="21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Program fee revenue is derived from amortized upfront payments, such as the $30.0 million upfront payment under the Pfizer Agreement received in December 2007, and license fees, such as the $3.0 million option exercise fee paid to us in each of May and December 2008 upon the exercise of Pfizer’s option to license a third and fourth opioid analgesic product candidate under the Pfizer Agreement. We have assigned an equal portion of the $30.0 million upfront payment to each of three product candidates identified in the Pfizer Agreement and recognize the upfront payment as program fee revenue ratably over our estimate of the development period for each identified product candidate. The recognition of the program fee revenue for two of the three product candidates was completed by June 2008. During the second quarter 2011, we recognized the remaining program fee revenue which was assigned to the third product candidate under the Pfizer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firstLine="972"/>
        <w:spacing w:after="0" w:line="264" w:lineRule="auto"/>
        <w:rPr>
          <w:sz w:val="20"/>
          <w:szCs w:val="20"/>
          <w:color w:val="auto"/>
        </w:rPr>
      </w:pPr>
      <w:r>
        <w:rPr>
          <w:rFonts w:ascii="Arial" w:cs="Arial" w:eastAsia="Arial" w:hAnsi="Arial"/>
          <w:sz w:val="18"/>
          <w:szCs w:val="18"/>
          <w:color w:val="auto"/>
        </w:rPr>
        <w:t>Collaboration revenue is derived from reimbursement of R&amp;D expenses, which are invoiced quarterly in arrears, and are recognized when costs are incurred pursuant to the Pfizer Agreement. The ongoing R&amp;D services being provided to Pfizer under the Pfizer Agreement are priced at fair value based upon the reimbursement of expenses incurred pursuant to the Pfizer Agreement.</w:t>
      </w:r>
    </w:p>
    <w:p>
      <w:pPr>
        <w:spacing w:after="0" w:line="20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Milestone revenue is contingent upon the achievement of certain pre-defined events in the Pfizer Agreement. Milestone payments received under the Pfizer Agreement are recognized as revenue upon achievement of the “at risk” milestone events. Milestone payments are triggered either by the results of our R&amp;D efforts or by events external to us, such as regulatory approval to market a product. As such, the milestones were substantially at risk at the inception of the Pfizer Agreement and the amounts of the revenue correspond to the milestone payments set forth in the Pfizer Agreement. In addition, upon the achievement of a milestone event, we have no future performance obligations related to that milestone. Milestone revenue is non-refundable and non-creditable upon payment. On June 30, 2011, we received a $20.0 million milestone payment from Pfizer as a result of the FDA approval of Oxecta.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56"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(“NOL”)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During June 2011, we decreased our valuation allowance on our deferred income tax assets by $5.0 million. We recorded a benefit from income taxes of $5.0 million against our current six month period income tax provision. At June 30, 2011 we continue to maintain a full valuation on our remaining deferred income tax assets due to uncertainties with respect to future utilization of them.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0" w:type="dxa"/>
            <w:vAlign w:val="bottom"/>
            <w:gridSpan w:val="2"/>
          </w:tcPr>
          <w:p>
            <w:pPr>
              <w:ind w:left="980"/>
              <w:spacing w:after="0"/>
              <w:rPr>
                <w:sz w:val="20"/>
                <w:szCs w:val="20"/>
                <w:color w:val="auto"/>
              </w:rPr>
            </w:pPr>
            <w:r>
              <w:rPr>
                <w:rFonts w:ascii="Arial" w:cs="Arial" w:eastAsia="Arial" w:hAnsi="Arial"/>
                <w:sz w:val="18"/>
                <w:szCs w:val="18"/>
                <w:color w:val="auto"/>
              </w:rPr>
              <w:t>Accrued expenses are summarized as follows:</w:t>
            </w:r>
          </w:p>
        </w:tc>
        <w:tc>
          <w:tcPr>
            <w:tcW w:w="320" w:type="dxa"/>
            <w:vAlign w:val="bottom"/>
          </w:tcPr>
          <w:p>
            <w:pPr>
              <w:spacing w:after="0"/>
              <w:rPr>
                <w:sz w:val="24"/>
                <w:szCs w:val="2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Jun 30,</w:t>
            </w:r>
          </w:p>
        </w:tc>
        <w:tc>
          <w:tcPr>
            <w:tcW w:w="280" w:type="dxa"/>
            <w:vAlign w:val="bottom"/>
          </w:tcPr>
          <w:p>
            <w:pPr>
              <w:spacing w:after="0"/>
              <w:rPr>
                <w:sz w:val="24"/>
                <w:szCs w:val="24"/>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6"/>
              </w:rPr>
              <w:t>Dec 31,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Property taxes</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3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6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SHARE-BASED COMPENSATION</w:t>
      </w:r>
    </w:p>
    <w:p>
      <w:pPr>
        <w:spacing w:after="0" w:line="256"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The Company has share-based compensation plans including stock options and restricted stock units (“RSUs”) for its employees and directors. The Company accounts for compensation cost related to share-based payments based on fair value of the stock options and RSUs when awarded to an employee or director. The value of the portion of the award that is ultimately expected to vest is recognized as expense in the relevant accounting periods in the Company’s consolidated financial statement. The Company uses the straight line amortization method for calculating share-based compensation expense. The Company determines the estimated fair value of share-based stock option awards using the Black-Scholes option pricing model. Option valuation models require the input of assumptions including the expected volatility of the market price of the Company’s common stock, risk-free interest rate and expected dividend yields. The Company uses historical public market closing price volatility and does not consider implied volatility because there are no options traded in its stock. The risk – free interest rate assumption is based on observed interest rates appropriate for the estimated term of the employee stock options. The dividend yield assumption is based on the Company’s history and current expectation of dividend payouts on common stock. The expected term of the award represents the period that the employees and directors are expected to hold the award before exercise and issuance using historical exercise activity. The Company’s accounting for share-based compensation for RSUs is also based on the fair-value method. The fair value of the RSUs is based on the closing market price of the Company’s common stock on the date of the RSU award.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980"/>
        <w:spacing w:after="0"/>
        <w:rPr>
          <w:sz w:val="20"/>
          <w:szCs w:val="20"/>
          <w:color w:val="auto"/>
        </w:rPr>
      </w:pPr>
      <w:r>
        <w:rPr>
          <w:rFonts w:ascii="Arial" w:cs="Arial" w:eastAsia="Arial" w:hAnsi="Arial"/>
          <w:sz w:val="18"/>
          <w:szCs w:val="18"/>
          <w:color w:val="auto"/>
        </w:rPr>
        <w:t>Our non-cash share-based compensation expense comprises the following:</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40"/>
              <w:spacing w:after="0"/>
              <w:rPr>
                <w:sz w:val="20"/>
                <w:szCs w:val="20"/>
                <w:color w:val="auto"/>
              </w:rPr>
            </w:pPr>
            <w:r>
              <w:rPr>
                <w:rFonts w:ascii="Arial" w:cs="Arial" w:eastAsia="Arial" w:hAnsi="Arial"/>
                <w:sz w:val="18"/>
                <w:szCs w:val="18"/>
                <w:color w:val="auto"/>
              </w:rPr>
              <w:t>Three Months Ended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7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7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w:t>
            </w:r>
          </w:p>
        </w:tc>
        <w:tc>
          <w:tcPr>
            <w:tcW w:w="4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4,349</w:t>
            </w:r>
          </w:p>
        </w:tc>
        <w:tc>
          <w:tcPr>
            <w:tcW w:w="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w:t>
            </w:r>
          </w:p>
        </w:tc>
        <w:tc>
          <w:tcPr>
            <w:tcW w:w="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FFCC"/>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17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52"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At June 30, 2011, the Company has stock options issued and outstanding under three stock option plans. The Company’s 1995 Stock Option Plan and 1998 Stock Option Plan have each expired but stock options awarded under such plans remain outstanding under the terms of those plans. The Company’s 2008 Stock Option Plan remains in effect. Under each of the 1998 Stock Option Plan and the 2008 Stock Option Plan, only one-fourth of vested non-incentive stock option (“NonISO”) may be exercised during each of calendar years 2011, 2012, 2013 and 2014.</w:t>
      </w:r>
    </w:p>
    <w:p>
      <w:pPr>
        <w:spacing w:after="0" w:line="198"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 During the six months ended June 30, 2011, 0.23 million NonISOs shares were withheld by the Company upon our employees’ election to satisfy $0.9 million of withholding taxes relating to their stock option exercises during such time period.</w:t>
      </w:r>
    </w:p>
    <w:p>
      <w:pPr>
        <w:spacing w:after="0" w:line="20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As of June 30, 2011 the Company had $1.2 million of unrecognized share-based compensation expense from stock option grants, which will be recognized in our consolidated financial statements over their remaining vesting periods. Under the stock option plans, if a change in control occurs, an acceleration of unvested shares will occur and any remaining unrecognized share-based compensation expense will be recognized in our consolidated financial statements.</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stock option award activity during the six months ended June 30, 2011 and 2010 is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tbl>
      <w:tblPr>
        <w:tblLayout w:type="fixed"/>
        <w:tblInd w:w="13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w w:val="93"/>
              </w:rPr>
              <w:t>Six Months Ended March 31,</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2011</w:t>
            </w:r>
          </w:p>
        </w:tc>
        <w:tc>
          <w:tcPr>
            <w:tcW w:w="800" w:type="dxa"/>
            <w:vAlign w:val="bottom"/>
          </w:tcPr>
          <w:p>
            <w:pPr>
              <w:spacing w:after="0"/>
              <w:rPr>
                <w:sz w:val="19"/>
                <w:szCs w:val="19"/>
                <w:color w:val="auto"/>
              </w:rPr>
            </w:pPr>
          </w:p>
        </w:tc>
        <w:tc>
          <w:tcPr>
            <w:tcW w:w="2040" w:type="dxa"/>
            <w:vAlign w:val="bottom"/>
            <w:gridSpan w:val="5"/>
          </w:tcPr>
          <w:p>
            <w:pPr>
              <w:jc w:val="right"/>
              <w:ind w:right="6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980" w:type="dxa"/>
            <w:vAlign w:val="bottom"/>
            <w:tcBorders>
              <w:top w:val="single" w:sz="8" w:color="auto"/>
            </w:tcBorders>
            <w:gridSpan w:val="2"/>
          </w:tcPr>
          <w:p>
            <w:pPr>
              <w:jc w:val="center"/>
              <w:ind w:right="50"/>
              <w:spacing w:after="0" w:line="201" w:lineRule="exact"/>
              <w:rPr>
                <w:sz w:val="20"/>
                <w:szCs w:val="20"/>
                <w:color w:val="auto"/>
              </w:rPr>
            </w:pPr>
            <w:r>
              <w:rPr>
                <w:rFonts w:ascii="Arial" w:cs="Arial" w:eastAsia="Arial" w:hAnsi="Arial"/>
                <w:sz w:val="18"/>
                <w:szCs w:val="18"/>
                <w:color w:val="auto"/>
                <w:w w:val="93"/>
              </w:rPr>
              <w:t>Number</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7"/>
                <w:szCs w:val="17"/>
                <w:color w:val="auto"/>
              </w:rPr>
            </w:pPr>
          </w:p>
        </w:tc>
        <w:tc>
          <w:tcPr>
            <w:tcW w:w="1020" w:type="dxa"/>
            <w:vAlign w:val="bottom"/>
            <w:tcBorders>
              <w:top w:val="single" w:sz="8" w:color="auto"/>
            </w:tcBorders>
            <w:gridSpan w:val="2"/>
          </w:tcPr>
          <w:p>
            <w:pPr>
              <w:jc w:val="center"/>
              <w:ind w:right="180"/>
              <w:spacing w:after="0" w:line="201" w:lineRule="exact"/>
              <w:rPr>
                <w:sz w:val="20"/>
                <w:szCs w:val="20"/>
                <w:color w:val="auto"/>
              </w:rPr>
            </w:pPr>
            <w:r>
              <w:rPr>
                <w:rFonts w:ascii="Arial" w:cs="Arial" w:eastAsia="Arial" w:hAnsi="Arial"/>
                <w:sz w:val="18"/>
                <w:szCs w:val="18"/>
                <w:color w:val="auto"/>
                <w:w w:val="93"/>
              </w:rPr>
              <w:t>Number</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980" w:type="dxa"/>
            <w:vAlign w:val="bottom"/>
            <w:gridSpan w:val="2"/>
          </w:tcPr>
          <w:p>
            <w:pPr>
              <w:jc w:val="center"/>
              <w:ind w:right="5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98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Options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(000’s)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(000’s)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CFFCC"/>
          </w:tcPr>
          <w:p>
            <w:pPr>
              <w:spacing w:after="0"/>
              <w:rPr>
                <w:sz w:val="19"/>
                <w:szCs w:val="19"/>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3,671</w:t>
            </w:r>
          </w:p>
        </w:tc>
        <w:tc>
          <w:tcPr>
            <w:tcW w:w="18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top w:val="single" w:sz="8" w:color="CCFFCC"/>
            </w:tcBorders>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Forfeited or expired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3,734</w:t>
            </w:r>
          </w:p>
        </w:tc>
        <w:tc>
          <w:tcPr>
            <w:tcW w:w="1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Options exercisable</w:t>
            </w:r>
          </w:p>
        </w:tc>
        <w:tc>
          <w:tcPr>
            <w:tcW w:w="860" w:type="dxa"/>
            <w:vAlign w:val="bottom"/>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Assumptions used in the Black-Scholes model to determine fair value for the stock option awards granted during the six months ended June 30, 2011 and 2010 were: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1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forfeitures</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1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10 years</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5"/>
              </w:rPr>
              <w:t>10 years</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5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The Company has RSUs issued and outstanding under a Restricted Stock Unit Award Plan (“2005 RSU Plan”) for its employees and directors. A RSU represents the contingent obligation of the Company to deliver a share of its common stock to the holders of a vested RSU on a specified distribution date. For the 2005 RSU Plan, absent a change of control, one-fourth of vested shares of common stock underlying an RSU award will be distributed on January 1 of each of 2011, 2012, 2013 and 2014. Distribution of RSU shares to employees may require the Company to make minimum statutory withholding tax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 On January 1, 2011, 0.54 million vested shares were distributed to our employees and 0.29 million shares were withheld by the Company upon our employees’ election to exchange RSUs in satisfaction of $1.0 million withholding tax obligations relating to RSU distributions on such date.</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the RSU Plan as of June 30, 2011 and 2010 and for the six months then ended consisted of the following: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Six Months Ended June 30,</w:t>
      </w:r>
    </w:p>
    <w:p>
      <w:pPr>
        <w:spacing w:after="0" w:line="9"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0"/>
              </w:rPr>
              <w:t>Number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Number</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of Vested</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Vested</w:t>
            </w: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of RSUs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RSUs</w:t>
            </w:r>
          </w:p>
        </w:tc>
        <w:tc>
          <w:tcPr>
            <w:tcW w:w="18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of RSUs</w:t>
            </w:r>
          </w:p>
        </w:tc>
        <w:tc>
          <w:tcPr>
            <w:tcW w:w="16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18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Distributed</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(829)</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Vested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Forfeited or expired</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Outstanding, ending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WARRANTS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2011, the Company had common stock warrants outstanding exercisable for 1.86 million shares of common stock at an exercise price of $3.40 per share with an expiration date of August 2014. Warrants exercisable for 0.34 million shares of common stock were exercised during the six months ended June 30, 2011.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256"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Computation of basic earnings (loss) per share of common stock is based on the sum of the weighted average number of outstanding common shares and vested RSUs during the period. Computation of diluted earnings (loss) per share is based on the sum of the common shares and vested RSUs used in the basic earnings (loss) computation, adjusted for the effect of other potentially dilutive securities. Excluded from the diluted earnings (loss) per share computation at June 30, 2010 was 6.0 million shares of potentially dilutive securities, as the effect of including these securities would be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Ended</w:t>
            </w:r>
          </w:p>
        </w:tc>
        <w:tc>
          <w:tcPr>
            <w:tcW w:w="24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Basic income (loss) per share computation</w:t>
            </w:r>
          </w:p>
        </w:tc>
        <w:tc>
          <w:tcPr>
            <w:tcW w:w="1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14,172</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(7,227)</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17,029</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44,710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43,789</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44,880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47,183</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46,937</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Basic income (loss) per common share</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income per share computation</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14,172</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(7,227)</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17,029</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44,710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43,789</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44,880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47,547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46,937</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48,009</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income (loss) per common share</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0.35</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60" w:type="dxa"/>
            <w:vAlign w:val="bottom"/>
            <w:tcBorders>
              <w:top w:val="single" w:sz="8" w:color="CCFFCC"/>
            </w:tcBorders>
          </w:tcPr>
          <w:p>
            <w:pPr>
              <w:spacing w:after="0"/>
              <w:rPr>
                <w:sz w:val="21"/>
                <w:szCs w:val="21"/>
                <w:color w:val="auto"/>
              </w:rPr>
            </w:pPr>
          </w:p>
        </w:tc>
        <w:tc>
          <w:tcPr>
            <w:tcW w:w="308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Borders>
              <w:top w:val="single" w:sz="8" w:color="CCFFC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2"/>
              </w:rPr>
              <w:t>Excluded potentially dilutive securities:</w:t>
            </w:r>
          </w:p>
        </w:tc>
        <w:tc>
          <w:tcPr>
            <w:tcW w:w="30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Common shares issuable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Nonvested RSUs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Common stock options (vested and nonvested)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CCFFCC"/>
          </w:tcPr>
          <w:p>
            <w:pPr>
              <w:spacing w:after="0"/>
              <w:rPr>
                <w:sz w:val="2"/>
                <w:szCs w:val="2"/>
                <w:color w:val="auto"/>
              </w:rPr>
            </w:pPr>
          </w:p>
        </w:tc>
        <w:tc>
          <w:tcPr>
            <w:tcW w:w="30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 excluded dilutive common stock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64"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issuable represents those securities which were either i) nonvested at period end or ii) were vested but antidilutive. The number of shares is based on maximum number of shares issuable on exercise at period end. Such amounts have not been adjusted for the treasury stock method or weighted average outstanding calculations as required if the securities were 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and Derivative Litigation</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6"/>
          <w:szCs w:val="16"/>
          <w:color w:val="auto"/>
        </w:rPr>
        <w:t xml:space="preserve">A lawsuit captioned </w:t>
      </w:r>
      <w:r>
        <w:rPr>
          <w:rFonts w:ascii="Arial" w:cs="Arial" w:eastAsia="Arial" w:hAnsi="Arial"/>
          <w:sz w:val="16"/>
          <w:szCs w:val="16"/>
          <w:i w:val="1"/>
          <w:iCs w:val="1"/>
          <w:color w:val="auto"/>
        </w:rPr>
        <w:t>Bang v. Acura Pharmaceuticals, et al</w:t>
      </w:r>
      <w:r>
        <w:rPr>
          <w:rFonts w:ascii="Arial" w:cs="Arial" w:eastAsia="Arial" w:hAnsi="Arial"/>
          <w:sz w:val="16"/>
          <w:szCs w:val="16"/>
          <w:color w:val="auto"/>
        </w:rPr>
        <w:t>, was filed on September 10, 2010 in the United States District Court for the Northern District of Illinois, Eastern Division (Case 1:10-cv-05757) against us and certain of our current and former officers seeking unspecified damages on behalf of a putative class of persons who purchased our common stock between February 21, 2006 and April 22, 2010. The complaint alleged that certain Company officers made false or misleading statements, or failed to disclose material facts in order to make statements not misleading, relating to our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Niacin Tablet product candidate, resulting in violations of Section 10(b) of the Securities Exchange Act of 1934 (the “Exchange Act”), Rule 10b-5 under the Exchange Act and Section 20(a) of the Exchange Act. The complaint further alleges that such false or misleading statements or omissions had the effect of artificially inflating the price of our common stock. On March 14, 2011, an amended complaint was filed in this lawsuit. The amended complaint asserts the same claims as the initial complaint based upon the same alleged false or misleading statements, and has added three of our current directors as defendants. The Court has changed the caption of this case to </w:t>
      </w:r>
      <w:r>
        <w:rPr>
          <w:rFonts w:ascii="Arial" w:cs="Arial" w:eastAsia="Arial" w:hAnsi="Arial"/>
          <w:sz w:val="16"/>
          <w:szCs w:val="16"/>
          <w:i w:val="1"/>
          <w:iCs w:val="1"/>
          <w:color w:val="auto"/>
        </w:rPr>
        <w:t>In re Acura Pharmaceuticals, Inc. Securities Litigation</w:t>
      </w:r>
      <w:r>
        <w:rPr>
          <w:rFonts w:ascii="Arial" w:cs="Arial" w:eastAsia="Arial" w:hAnsi="Arial"/>
          <w:sz w:val="16"/>
          <w:szCs w:val="16"/>
          <w:color w:val="auto"/>
        </w:rPr>
        <w:t>. We filed a motion to dismiss this case on May 13, 2011. We believe that the allegations in the complaint are without merit and intend to vigorously defend the litigation</w:t>
      </w:r>
    </w:p>
    <w:p>
      <w:pPr>
        <w:spacing w:after="0" w:line="20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 xml:space="preserve">On October 25, 2010, Kiley Hill, a purported stockholder of the Company filed a shareholder derivative action in the Circuit Court of Cook County, Illinois, Chancery Division captioned </w:t>
      </w:r>
      <w:r>
        <w:rPr>
          <w:rFonts w:ascii="Arial" w:cs="Arial" w:eastAsia="Arial" w:hAnsi="Arial"/>
          <w:sz w:val="18"/>
          <w:szCs w:val="18"/>
          <w:i w:val="1"/>
          <w:iCs w:val="1"/>
          <w:color w:val="auto"/>
        </w:rPr>
        <w:t>Hill v. Acura Pharmaceuticals</w:t>
      </w:r>
      <w:r>
        <w:rPr>
          <w:rFonts w:ascii="Arial" w:cs="Arial" w:eastAsia="Arial" w:hAnsi="Arial"/>
          <w:sz w:val="18"/>
          <w:szCs w:val="18"/>
          <w:color w:val="auto"/>
        </w:rPr>
        <w:t xml:space="preserve"> et al. (Case No. 2010-CH-46380), against our directors and certain of our executive officers, generally relating to the same events that are the subject of the class action litigation described above. The complaint purports to be brought on our behalf and names us as a nominal defendant. The complaint seeks unspecified damages from the individual defendants for breaches of fiduciary duty, abuse of control, gross mismanagement, contribution and indemnification, waste of corporate assets and unjust enrichment for actions occurring from at least February 21, 2006 through April 22, 2010. Substantively similar complaints captioned </w:t>
      </w:r>
      <w:r>
        <w:rPr>
          <w:rFonts w:ascii="Arial" w:cs="Arial" w:eastAsia="Arial" w:hAnsi="Arial"/>
          <w:sz w:val="18"/>
          <w:szCs w:val="18"/>
          <w:i w:val="1"/>
          <w:iCs w:val="1"/>
          <w:color w:val="auto"/>
        </w:rPr>
        <w:t>Hagan v. Acura Pharmaceuticals</w:t>
      </w:r>
      <w:r>
        <w:rPr>
          <w:rFonts w:ascii="Arial" w:cs="Arial" w:eastAsia="Arial" w:hAnsi="Arial"/>
          <w:sz w:val="18"/>
          <w:szCs w:val="18"/>
          <w:color w:val="auto"/>
        </w:rPr>
        <w:t xml:space="preserve"> et al. (Case No. 2010-CH-46621) and </w:t>
      </w:r>
      <w:r>
        <w:rPr>
          <w:rFonts w:ascii="Arial" w:cs="Arial" w:eastAsia="Arial" w:hAnsi="Arial"/>
          <w:sz w:val="18"/>
          <w:szCs w:val="18"/>
          <w:i w:val="1"/>
          <w:iCs w:val="1"/>
          <w:color w:val="auto"/>
        </w:rPr>
        <w:t>Newell v. Reddick</w:t>
      </w:r>
      <w:r>
        <w:rPr>
          <w:rFonts w:ascii="Arial" w:cs="Arial" w:eastAsia="Arial" w:hAnsi="Arial"/>
          <w:sz w:val="18"/>
          <w:szCs w:val="18"/>
          <w:color w:val="auto"/>
        </w:rPr>
        <w:t xml:space="preserve"> et al (Case No. 2010-CH-46873) were filed in the Circuit Court of Cook County, Illinois, Chancery Division, by other purported stockholders of the Company on October 27, 2010 and October 28, 2010, respectively. We have agreed to a temporary stay of these derivative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5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 xml:space="preserve">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very recently when a single complaint including over 400 plaintiffs was served. In the Spring of 2011, over 70 plaintiffs filed Reglan litigation in the Circuit Court of St. Clair County, Illinois entitled </w:t>
      </w:r>
      <w:r>
        <w:rPr>
          <w:rFonts w:ascii="Arial" w:cs="Arial" w:eastAsia="Arial" w:hAnsi="Arial"/>
          <w:sz w:val="16"/>
          <w:szCs w:val="16"/>
          <w:i w:val="1"/>
          <w:iCs w:val="1"/>
          <w:color w:val="auto"/>
        </w:rPr>
        <w:t>Agresta v. Walgreens et al.</w:t>
      </w:r>
      <w:r>
        <w:rPr>
          <w:rFonts w:ascii="Arial" w:cs="Arial" w:eastAsia="Arial" w:hAnsi="Arial"/>
          <w:sz w:val="16"/>
          <w:szCs w:val="16"/>
          <w:color w:val="auto"/>
        </w:rPr>
        <w:t>, in which we, together with numerous generic and brand drug companies, are a named defendant. However, these Illinois state court complaints have not yet been served on us.</w:t>
      </w:r>
    </w:p>
    <w:p>
      <w:pPr>
        <w:spacing w:after="0" w:line="196"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w:t>
      </w:r>
      <w:r>
        <w:rPr>
          <w:rFonts w:ascii="Arial" w:cs="Arial" w:eastAsia="Arial" w:hAnsi="Arial"/>
          <w:sz w:val="18"/>
          <w:szCs w:val="18"/>
          <w:color w:val="auto"/>
        </w:rPr>
        <w:t xml:space="preserve"> holding that state tort law failure to warn claims against generic drug companies are pre-empted by the 1984 Hatch-Waxman Act Amendments and federal drug regulations will assist us in favorably resolving these cases. We believe these claims are without merit and intend to vigorously defend these 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Minimum Withholding Tax Obligations</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Under our stock option plans and our 2005 RSU plan, our employees may elect to have shares withheld upon exercise of options and upon the exchange of RSUs in satisfaction of the statutory minimum withholding tax obligations of such employees relating to such option exercises or RSU exchanges. On January 1, 2011, certain of our employees elected to have 0.29 million common shares withheld by the Company upon the exchange of their RSUs in satisfaction of their combined $1.0 million withholding tax obligations. In addition, during the six months ended June 30, 2011, employees exercising stock options elected to have 0.22 million common shares withheld by the Company in satisfaction of their combined $0.8 million withholding tax obligations.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Pfizer’s ability to successfully launch and commercialize our Oxecta™ Tablets, the ability of Pfizer and the ability of other pharmaceutical companies, if any, to whom we may license our Aversion® Technology or Impede™ Technology, to obtain necessary regulatory approvals and commercialize products utilizing such technologies and the market acceptance of such products, expectations regarding potential market share for our products, our ability to enter into additional license agreements for our other product candidates, the ability to avoid infringement of patents, trademarks and other proprietary rights of third parties, and the ability to fulfill the U.S. Food and Drug Administration’s, or FDA, requirements for approving our product candidates for commercial manufacturing and distribution in the United States, including, without limitation, the adequacy of the results of the laboratory and clinical studies completed to date and the results of laboratory and clinical studies we may complete in the future to support FDA approval of our product candidates,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studies and how it may evaluate the results of these studies or whether further studies of our product candidates will be required to support FDA approval, whether or when we are able to obtain FDA approval of labeling for our product candidates for the proposed indications or for abuse deterrent features, and whether our product candidates will ultimately deter abuse in commercial settings.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Part II of this Report and in our filings with the Securities and Exchange Commission.</w:t>
      </w:r>
    </w:p>
    <w:p>
      <w:pPr>
        <w:spacing w:after="0" w:line="200" w:lineRule="exact"/>
        <w:rPr>
          <w:sz w:val="20"/>
          <w:szCs w:val="20"/>
          <w:color w:val="auto"/>
        </w:rPr>
      </w:pPr>
    </w:p>
    <w:p>
      <w:pPr>
        <w:spacing w:after="0" w:line="21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products intended to introduce limits or impediments to abuse and intentional misuse. Our products and product candidates are based on widely-used commercial products and do not alter the safety and efficacy of the active pharmaceutical ingredients. Our lead product, Oxecta™ Tablets CII, or Oxecta (formerly Acurox®), was approved for marketing by the United States Food and Drug Administration, or FDA, on June 17, 2011. Oxecta is an immediate-release oxycodone hydrochloride, or HCl, tablet utilizing our proprietary Aversion® Technology. Oxecta represents the first immediate-release oxycodone product approved by the FDA in a formulation with features and benefits intended to minimize abuse. Oxecta will be manufactured and commercialized by Pfizer under our October 2007 license agreement with a subsidiary of Pfizer. We expect Pfizer to commercially launch Oxecta late in the third quarter or early in the fourth quarter of 2011. On June 30, 2011, we received a $20.0 million milestone payment from Pfizer as a result of the FDA approval of Oxecta.</w:t>
      </w:r>
    </w:p>
    <w:p>
      <w:pPr>
        <w:spacing w:after="0" w:line="20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addition to Oxecta, we have licensed to Pfizer the rights to develop, manufacture and commercialize three other immediate-release opioid products utilizing our Aversion Technology in the United States, Canada and Mexico, including: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hydrocodone bitartrate / acetaminophen tablets;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oxycodone HCl / acetaminophen tablets;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undisclosed opioid analgesic tablet product.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of these additional products may follow a program consistent with that of Oxecta.</w:t>
      </w:r>
    </w:p>
    <w:p>
      <w:pPr>
        <w:spacing w:after="0" w:line="25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We believe our Aversion Technology can also be used to develop and commercialize unique formulations of non-opioid pharmaceutical products associated with abuse and intentional misuse. Our initial non-opioid product candidates are a benzodiazepine product for the treatment of anxiety disorders and a stimulant product for the treatment of attention deficit disorder.</w:t>
      </w:r>
    </w:p>
    <w:p>
      <w:pPr>
        <w:spacing w:after="0" w:line="20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We have also developed an over-the-counter, or OTC, immediate-release pseudoephedrine HCl tablet, utilizing our proprietary Impede™ Technology (“Impede PSE”). Pseudoephedrine HCl, or PSE, is a widely-used nasal decongestant available in many non-prescription and prescription cold, sinus and allergy products, including Sudafed®. Our Impede Technology is a proprietary mixture of inactive ingredients designed to limit or impede extraction of pseudoephedrine from tablets for use as a starting material in producing methamphetamine. We are currently scaling up the manufacture of Impede PSE for commercial availability in the fourth quarter of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56"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solvents in order to dissolve them. The clinical study (Study K###-##-####) evaluated 40 non-dependent recreational opioid users, who self-administered the equivalent of 15mg of oxycodone. After accounting for a sequence effect, the study demonstrated:</w:t>
      </w:r>
    </w:p>
    <w:p>
      <w:pPr>
        <w:spacing w:after="0" w:line="193"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subjects taking Oxecta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Oxecta than immediate-release oxycodone.</w:t>
      </w:r>
    </w:p>
    <w:p>
      <w:pPr>
        <w:spacing w:after="0" w:line="26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Further, the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 We believe these Aversion Technology features differentiate Oxecta from the immediate–release oxycodone products currently available in the U.S. market.</w:t>
      </w:r>
    </w:p>
    <w:p>
      <w:pPr>
        <w:spacing w:after="0" w:line="21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The misuse and abuse of pharmaceutical products in general, and opioid analgesics in particular, is a significant societal problem. Opioid analgesics, which are used to treat both acute and chronic pain, are the most widely-prescribed and most often abused pharmaceutical products in the United States. It is estimated that 75 million people in the United States suffer from pain, and, according to U.S. government surveys, 35 million people, or more than 10% of the U.S. population, have used prescription opioid analgesics for non-medical purposes at some point in their lifetime. We expect our Aversion Technology opioid products to compete primarily in the market for immediate-release opioid products, or IR Opioid Products. In 2010, IMS Health reported 260 million prescriptions dispensed for opioid analgesic tablets and capsules, of which approximately 244 million were for IR Opioid Products and 16 million were for extended-release opioid tablet and capsule products, or ER Opioid Products. Our market research study conducted in 2005 with 435 opioid-prescribing physicians in the United States revealed that 94% of the physicians experienced at least one suspicious incident in the past month regarding opioid prescribing and 61% believe opioid-seeking patients represent a risk to their practice.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972"/>
        <w:spacing w:after="0" w:line="270" w:lineRule="auto"/>
        <w:rPr>
          <w:sz w:val="20"/>
          <w:szCs w:val="20"/>
          <w:color w:val="auto"/>
        </w:rPr>
      </w:pPr>
      <w:r>
        <w:rPr>
          <w:rFonts w:ascii="Arial" w:cs="Arial" w:eastAsia="Arial" w:hAnsi="Arial"/>
          <w:sz w:val="17"/>
          <w:szCs w:val="17"/>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and develop and commercialize three additional opioid analgesic products utilizing our proprietary Aversion Technology, including hydrocodone / acetaminophen, oxycodone / acetaminophen and an undisclosed opioid analgesic tablet product. As of June 30, 2011,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New Drug Application, or NDA, for Oxecta. In addition, we are eligible to receive milestone payments based on future regulatory events and product sales achievements, reimbursement for certain research and development expenses and tiered royalties of 5%-25% on combined annual net sales of all products commercialized under the Pfizer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PSE</w:t>
      </w:r>
    </w:p>
    <w:p>
      <w:pPr>
        <w:spacing w:after="0" w:line="25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Impede PSE product is an immediate-release pseudoephedrine HCl tablet which utilizes our patent pending Impede Technology. Our Impede Technology, a proprietary mixture of inactive ingredients, is designed to limit or impede extraction of PSE from tablets for use as a starting material in producing methamphetamine. We are developing Impede PSE 30mg tablets and have demonstrated that our product: (1) is bioequivalent to Sudafed 30mg Tablets and a 30mg generic store brand, and (2) in independent laboratory tests, effectively prevents the extraction of PSE for conversion into methamphetamine using the three most common extraction methods. We have contracted with a third-party manufacturer for the scale-up and commercial manufacture of Impede PSE. We expect to market Impede PSE directly to national and regional drug store chains and expect this product to be commercially available in the fourth quarter of 2011</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Methamphetamine is a highly addictive illicit drug used non-medically by an estimated 13 million people at some point in their lifetime. In 2006 regulations relating to over-the counter sale of PSE products were amended with the enactment of the Federal Combat Methamphetamine Epidemic Act, or CMEA. The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2009 clandestine methamphetamine laboratory seizures increased 62% over the low reported in 2007. Impede Technology is designed to deter the conversion of PSE to methamphetamine, including by use of both the older and newer conversion processes. In response to the ongoing methamphetamine problem, several local jurisdictions (state, counties and/or local municipalities) have enacted or propose to enact legislation to require a physician’s prescription to obtain a PSE-containing product.</w:t>
      </w:r>
    </w:p>
    <w:p>
      <w:pPr>
        <w:spacing w:after="0" w:line="21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Our 2010 market research study showed that 93% of the 204 pharmacists surveyed believe that PSE has superior efficacy as a nasal decongestant compared to phenylephrine. Due to the CMEA, many cold, sinus and allergy products replaced PSE with phenylephrine to avoid the security and consumer sales volume restrictions imposed by the CMEA on PSE products.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972"/>
        <w:spacing w:after="0" w:line="270" w:lineRule="auto"/>
        <w:rPr>
          <w:sz w:val="20"/>
          <w:szCs w:val="20"/>
          <w:color w:val="auto"/>
        </w:rPr>
      </w:pPr>
      <w:r>
        <w:rPr>
          <w:rFonts w:ascii="Arial" w:cs="Arial" w:eastAsia="Arial" w:hAnsi="Arial"/>
          <w:sz w:val="17"/>
          <w:szCs w:val="17"/>
          <w:color w:val="auto"/>
        </w:rPr>
        <w:t>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consist of many different formulations containing different active ingredients such as analgesics, cough suppressants and antihistamines and have strong consumer brand recognition. As a result of the CMEA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the pharmacies of national and regional drug chains and educating and encouraging pharmacists to recommend Impede PSE to their customers. In a 2010 survey of 204 pharmacists, pharmacists indicated they would recommend Impede PSE, if available in the pharmacy, more than competing products. We also may create Impede PSE product awareness through television, radio, and print advertising.</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Most PSE-containing products are classified by the FDA for OTC sale, or without a doctor’s prescription, and many product formulations do not require the approval of New Drug Application, or NDA, or an Abbreviated New Drug Application, or ANDA, by the FDA for commercial distribution and marketing. Tablet products containing 60 mg or less of PSE are considered by the FDA to be safe and effective for use by the general public without a prescription. We believe 30mg Impede PSE developed utilizing Impede Technology meets or will meet the FDA’s requirements for “Over-the-Counter Human Drugs Which are Generally Recognized as Safe and Effective and Not Misbranded” as set forth in the FDA’s regulations applicable to OTC Monograph products. As such, we intend to commercialize Impede PSE without submitting a NDA or ANDA to the FDA.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5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believe we can advertise the extraction characteristics and benefits of our Impede PSE product which is supported by our research studies. We expect that our other Impede Technology products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 Overview</w:t>
      </w:r>
    </w:p>
    <w:p>
      <w:pPr>
        <w:spacing w:after="0" w:line="256"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Our product portfolio consists of two products that we expect to be commercialized in 2011. We expect Pfizer to commercially launch Oxecta late in the third quarter or early in the fourth quarter of 2011 and to have commercial quantities of Impede PSE available in the fourth quarter of 2011.</w:t>
      </w:r>
    </w:p>
    <w:p>
      <w:pPr>
        <w:spacing w:after="0" w:line="15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Oxecta represents the first FDA approval for our Aversion Technology opioid products and we believe it demonstrates the FDA’s willingness to consider label differentiation compared to currently marketed immediate-release opioid products when the product features are supported by scientifically derived and supported studies. Following Oxecta, we have the following product candidates in development:</w:t>
      </w:r>
    </w:p>
    <w:p>
      <w:pPr>
        <w:spacing w:after="0" w:line="20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Aversion Technology opioids products without niacin in development by and licensed to Pfizer;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Aversion Technology opioid product with niacin in development by us and licensed to Pfizer;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Aversion Technology non-opioid products wholly owned by us;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Impede PSE tablets utilizing our Impede Technology wholly owned by us;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combination cold, allergy and sinus products containing PSE utilizing our Impede Technology being evaluated for feasibility.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56"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Our pipeline of IR Opioid Products and non-opioid products utilize our Aversion Technology, which is intended to deliver the known effectiveness of an FDA-approved active pharmaceutical ingredient and a similar side effect profile while incorporating ingredients that are designed to discourage some of the common methods of abuse and intentional misuse, including:</w:t>
      </w:r>
    </w:p>
    <w:p>
      <w:pPr>
        <w:spacing w:after="0" w:line="20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intravenous injection by forming a viscous gelatinous mixture when tablets and capsules are dissolved in solvents suitable for injection;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nasal snorting by inducing disliked nasal discomfort when tablets and capsules are crushed and snorted;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intentional swallowing of excess quantities of tablets or capsules when our Aversion Technology optionally includes niacin, which can cause dose-related flushing side effects which may be disliked.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right="140" w:firstLine="648"/>
        <w:spacing w:after="0" w:line="312" w:lineRule="auto"/>
        <w:rPr>
          <w:sz w:val="20"/>
          <w:szCs w:val="20"/>
          <w:color w:val="auto"/>
        </w:rPr>
      </w:pPr>
      <w:r>
        <w:rPr>
          <w:rFonts w:ascii="Arial" w:cs="Arial" w:eastAsia="Arial" w:hAnsi="Arial"/>
          <w:sz w:val="16"/>
          <w:szCs w:val="16"/>
          <w:color w:val="auto"/>
        </w:rPr>
        <w:t>The extent and manner in which these features are described in the FDA-approved label for these pipeline products will be dependent on the results of and acceptance by the FDA of our or our licensees’ studies for each of these products. Our lead product Oxecta utilizes the Aversion Technology without niacin. The FDA-approved label for Oxecta includes a description of the effects of snorting Oxecta and prohibitions on dissolving Oxecta.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with Niacin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Aversion Technology products which include niacin to require a more extensive development program. Since niacin is designated as an active ingredient by the FDA, our products must meet the combination drug requirements of the FDA. In the past, the FDA has required us to complete a single Phase 3 safety and efficacy study in place of a smaller bioequivalence study.</w:t>
      </w:r>
    </w:p>
    <w:p>
      <w:pPr>
        <w:spacing w:after="0" w:line="20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submitted an NDA for Aversion oxycodone HCl with niacin tablets on December 30, 2008 and received a Complete Response Letter, or CRL, from the FDA on June 30, 2009. The FDA questioned: (a) the perceived increased incidence of flushing when Aversion oxycodone HCl with niacin tablets are taken by pain patients at recommended doses, (b) a lack of evidence supporting the effectiveness of niacin to reduce peak drug liking (E</w:t>
      </w:r>
      <w:r>
        <w:rPr>
          <w:rFonts w:ascii="Arial" w:cs="Arial" w:eastAsia="Arial" w:hAnsi="Arial"/>
          <w:sz w:val="22"/>
          <w:szCs w:val="22"/>
          <w:color w:val="auto"/>
          <w:vertAlign w:val="subscript"/>
        </w:rPr>
        <w:t>max</w:t>
      </w:r>
      <w:r>
        <w:rPr>
          <w:rFonts w:ascii="Arial" w:cs="Arial" w:eastAsia="Arial" w:hAnsi="Arial"/>
          <w:sz w:val="16"/>
          <w:szCs w:val="16"/>
          <w:color w:val="auto"/>
        </w:rPr>
        <w:t>) when taken at abused (high) doses in the fasted state, and (c) the potential to mitigate the effectiveness of niacin with food or NSAIDs. We and Pfizer continue to evaluate strategies to address the issues raised by the FDA in the CRL to our Aversion oxycodone HCl with niacin tablets NDA submission.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w:t>
      </w:r>
    </w:p>
    <w:p>
      <w:pPr>
        <w:spacing w:after="0" w:line="256"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The chemical structure of PSE is very similar to methamphetamine, facilitating a straight-forward chemical conversion to methamphetamine. There are multiple known processes to convert PSE to methamphetamine, all of which are not complex and do not require specialized equipment; however, many do require readily available but uncommon ingredients. The three most popular processes follow two general processing steps:</w:t>
      </w:r>
    </w:p>
    <w:p>
      <w:pPr>
        <w:ind w:firstLine="8"/>
        <w:spacing w:after="0" w:line="261"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dissolving the PSE tablets in a solvent to isolate the base form of PSE and (2) a chemical reduction of the base PSE into methamphetamine for drying into crystals. Since all the solvents are ultimately dried off, a vast range of solvents are amenable to the process.</w:t>
      </w:r>
    </w:p>
    <w:p>
      <w:pPr>
        <w:spacing w:after="0" w:line="21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Impede Technology utilizes a proprietary mixture of inactive ingredients intended to limit or impede extraction of PSE from the tablets for use as a starting material in producing the illicit drug methamphetamine. Specifically, the Impede Technology forms a viscous, gelatinous mixture when our tablets are dissolved in solvents typically used in the PSE extraction phase of methamphetamine production. The unique mixture of inactive ingredients in Impede is generally recognized as safe by the FDA.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56"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215" w:lineRule="exact"/>
        <w:rPr>
          <w:sz w:val="20"/>
          <w:szCs w:val="20"/>
          <w:color w:val="auto"/>
        </w:rPr>
      </w:pPr>
    </w:p>
    <w:p>
      <w:pPr>
        <w:jc w:val="both"/>
        <w:ind w:right="20" w:firstLine="972"/>
        <w:spacing w:after="0" w:line="342" w:lineRule="auto"/>
        <w:rPr>
          <w:sz w:val="20"/>
          <w:szCs w:val="20"/>
          <w:color w:val="auto"/>
        </w:rPr>
      </w:pPr>
      <w:r>
        <w:rPr>
          <w:rFonts w:ascii="Arial" w:cs="Arial" w:eastAsia="Arial" w:hAnsi="Arial"/>
          <w:sz w:val="16"/>
          <w:szCs w:val="16"/>
          <w:color w:val="auto"/>
        </w:rPr>
        <w:t xml:space="preserve">In January 2009, the USPTO issued to us U.S. Patent No. 7,476,402, or the 402 Patent, with 18 allowed claims. The 402 Patent encompasses certain combinations of </w:t>
      </w:r>
      <w:r>
        <w:rPr>
          <w:rFonts w:ascii="Arial" w:cs="Arial" w:eastAsia="Arial" w:hAnsi="Arial"/>
          <w:sz w:val="16"/>
          <w:szCs w:val="16"/>
          <w:i w:val="1"/>
          <w:iCs w:val="1"/>
          <w:color w:val="auto"/>
        </w:rPr>
        <w:t>kappa</w:t>
      </w:r>
      <w:r>
        <w:rPr>
          <w:rFonts w:ascii="Arial" w:cs="Arial" w:eastAsia="Arial" w:hAnsi="Arial"/>
          <w:sz w:val="16"/>
          <w:szCs w:val="16"/>
          <w:color w:val="auto"/>
        </w:rPr>
        <w:t xml:space="preserve"> and </w:t>
      </w:r>
      <w:r>
        <w:rPr>
          <w:rFonts w:ascii="Arial" w:cs="Arial" w:eastAsia="Arial" w:hAnsi="Arial"/>
          <w:sz w:val="16"/>
          <w:szCs w:val="16"/>
          <w:i w:val="1"/>
          <w:iCs w:val="1"/>
          <w:color w:val="auto"/>
        </w:rPr>
        <w:t>mu</w:t>
      </w:r>
      <w:r>
        <w:rPr>
          <w:rFonts w:ascii="Arial" w:cs="Arial" w:eastAsia="Arial" w:hAnsi="Arial"/>
          <w:sz w:val="16"/>
          <w:szCs w:val="16"/>
          <w:color w:val="auto"/>
        </w:rPr>
        <w:t xml:space="preserve"> opioid receptor agonists and other ingredients intended to deter opioid analgesic product misuse and abuse.</w:t>
      </w:r>
    </w:p>
    <w:p>
      <w:pPr>
        <w:spacing w:after="0" w:line="15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Neither of the ’920 Patent, ’402 Patent or ‘726 Patent requires niacin to be a constituent of a product for the product to be within the scope of the patent claims.</w:t>
      </w:r>
    </w:p>
    <w:p>
      <w:pPr>
        <w:spacing w:after="0" w:line="19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In May 2011, the USPTO issued a notice of allowance for our non-provision patent application containing 7 claims. The patent, when issued, will encompass a wider range of potentially abused pharmaceutically active ingredients than our 920 and 726 Patents.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972"/>
        <w:spacing w:after="0" w:line="259"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Technology. Except for those rights conferred in the Pfizer Agreement, we have retained all intellectual property rights to our Aversion Technology, Impede Technology, and related product candidates.</w:t>
      </w:r>
    </w:p>
    <w:p>
      <w:pPr>
        <w:spacing w:after="0" w:line="21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Reference is made to the Risk Factors contained in Item 1A of Part II of this Report for a discussion, among other things, of patent applications and patents owned by third parties including claims that may encompass our Aversion Technology and Oxecta tablets.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52"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At June 30, 2011, we had cash and cash equivalents of $39.5 million, which includes the $20.0 million milestone payment from Pfizer triggered by FDA approval of the Oxecta NDA, and working capital of $38.8 million compared to cash and cash equivalents of $24.0 million and working capital of $23.3 million at December 31, 2010. We had income from operations of $14.5 million for the six months ended June 30, 2011 compared to a loss from operations of $7.2 million for the six months ended June 30, 2010. We had accumulated deficits of approximately $321.8 million and $335.9 million at June 30, 2011 and December 31, 2010, respectively. We estimate that our current cash reserves will be sufficient to fund our operations and the development and commercialization of our Aversion and Impede Technologies and related product candidates through at least the next 12 months.</w:t>
      </w:r>
    </w:p>
    <w:p>
      <w:pPr>
        <w:spacing w:after="0" w:line="20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We have yet to generate any product sales or royalty revenues from product sales. To fund our continued operations, we expect to rely on our current cash resources, additional payments that may be made under the Pfizer Agreement, including our receipt of royalties from Pfizer, which royalty obligations only apply to sales occurring after the one year anniversary of the first commercial sale of Oxecta, and any potential payments related to the achievement of specified milestones for Oxecta and other product candidates under the Pfizer Agreement, and under any future license agreements with other pharmaceutical company partners, of which there can be no assurance of us entering into, and revenues, if any, from our commercialization of our Impede PSE Tablets, for which there can be no assurance. Our cash requirements for operating activities may increase in the future as we continue to conduct pre-clinical studies and clinical trials for our product candidates, maintain, defend, if necessary, expand the scope of our intellectual property, hire additional personnel, scale-up commercial supply of Impede PSE, commercialize Impede PSE, or invest in other areas.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Six Months Ended June 30,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8"/>
                <w:szCs w:val="18"/>
                <w:color w:val="auto"/>
                <w:w w:val="95"/>
              </w:rPr>
              <w:t>Increase (Decrease)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2010</w:t>
            </w:r>
          </w:p>
        </w:tc>
        <w:tc>
          <w:tcPr>
            <w:tcW w:w="18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Dollars</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20,000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2,038</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(2,038)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revenue</w:t>
            </w:r>
          </w:p>
        </w:tc>
        <w:tc>
          <w:tcPr>
            <w:tcW w:w="12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20,466</w:t>
            </w:r>
          </w:p>
        </w:tc>
        <w:tc>
          <w:tcPr>
            <w:tcW w:w="26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17,806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2,283</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4,572</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(2,289)</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5,309</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5,938</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9,881</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(3,943)</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14,528</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(7,221)</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21,749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Other (expense) income, net</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20"/>
              <w:spacing w:after="0"/>
              <w:rPr>
                <w:sz w:val="20"/>
                <w:szCs w:val="20"/>
                <w:color w:val="auto"/>
              </w:rPr>
            </w:pPr>
            <w:r>
              <w:rPr>
                <w:rFonts w:ascii="Arial" w:cs="Arial" w:eastAsia="Arial" w:hAnsi="Arial"/>
                <w:sz w:val="18"/>
                <w:szCs w:val="18"/>
                <w:color w:val="auto"/>
              </w:rPr>
              <w:t>Income (loss) before income tax</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14,513</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(7,219)</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21,732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4,163</w:t>
            </w:r>
          </w:p>
        </w:tc>
        <w:tc>
          <w:tcPr>
            <w:tcW w:w="26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14,172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21,399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Pfizer paid us a $30.0 million upfront fee in connection with the closing of the Pfizer Agreement in December 2007. We have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Program fee revenue recognized in the six months ended June 30, 2011 and 2010 from amortization of this upfront fee was $0.5 million and $0.6 million, respectively. On June 17, 2011 the Oxecta NDA was approved and we recognized $20.0 million milestone revenue while fully recognizing the remaining program fee revenue.</w:t>
      </w:r>
    </w:p>
    <w:p>
      <w:pPr>
        <w:spacing w:after="0" w:line="18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Collaboration revenue recognized in the six months ended June 30, 2010 was $2.0 million for invoiced reimbursement of our R&amp;D expenses incurred pursuant to the Pfizer Agreement. We invoice Pfizer in arrears on a calendar quarter basis. We did not incur reimbursable R&amp;D expenses during the first six months 2011 and we estimate such R&amp;D expenses in the future for which we will receive reimbursement from Pfizer to be minimal.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ind w:firstLine="972"/>
        <w:spacing w:after="0" w:line="239" w:lineRule="auto"/>
        <w:rPr>
          <w:sz w:val="20"/>
          <w:szCs w:val="20"/>
          <w:color w:val="auto"/>
        </w:rPr>
      </w:pPr>
      <w:r>
        <w:rPr>
          <w:rFonts w:ascii="Arial" w:cs="Arial" w:eastAsia="Arial" w:hAnsi="Arial"/>
          <w:sz w:val="18"/>
          <w:szCs w:val="18"/>
          <w:color w:val="auto"/>
        </w:rPr>
        <w:t>R&amp;D expense during the six months ended June 30, 2011 and 2010 were for product candidates utilizing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Impede™ Technologies, including costs of preclinical, clinical trials, clinical supplies and related formulation and design costs, compensation, benefits and other personnel related expenses, and facility costs. Included in the 2011 and 2010 results are non-cash share-based compensation expenses of $0.4 million and $1.0 million, respectively. Excluding the share-based compensation expense, there is a $1.7 million decrease in development expenses primarily attributable to a reduction of our clinical study costs on the Oxecta. Our ongoing development activities include our benzodiazepine tablet product candidate, an extended release opioid product candidate, and the continuation of scale-up for our Impede PSE manufacturing process to quantities required for commercial distribution.</w:t>
      </w:r>
    </w:p>
    <w:p>
      <w:pPr>
        <w:spacing w:after="0" w:line="233" w:lineRule="exact"/>
        <w:rPr>
          <w:sz w:val="20"/>
          <w:szCs w:val="20"/>
          <w:color w:val="auto"/>
        </w:rPr>
      </w:pPr>
    </w:p>
    <w:p>
      <w:pPr>
        <w:jc w:val="both"/>
        <w:ind w:firstLine="972"/>
        <w:spacing w:after="0" w:line="232" w:lineRule="auto"/>
        <w:rPr>
          <w:sz w:val="20"/>
          <w:szCs w:val="20"/>
          <w:color w:val="auto"/>
        </w:rPr>
      </w:pPr>
      <w:r>
        <w:rPr>
          <w:rFonts w:ascii="Arial" w:cs="Arial" w:eastAsia="Arial" w:hAnsi="Arial"/>
          <w:sz w:val="18"/>
          <w:szCs w:val="18"/>
          <w:color w:val="auto"/>
        </w:rPr>
        <w:t>Marketing expenses during the six months ended June 30, 2011 and 2010 primarily consisted of market research studies on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Impede™ Technologies. Our G&amp;A expenses primarily consisted of legal, audit and other professional fees, corporate insurance, and payroll. Included in the 2011 and 2010 results are non-cash share-based compensation expenses of $1.5 million and $3.3 million, respectively. Excluding the share-based compensation expense, our marketing, general and administrative expenses increased $0.2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six months ended June 30, 2011 and 2010, our cash was invested in accordance with the investment policy approved by our Board of Directors resulting in minimal interest income earned in 2011 and 2010 due to the prevailing low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During June 2011, we decreased our valuation allowance on our deferred income tax assets by $5.0 million. We recorded a benefit from income taxes of $5.0 million against our current period’s income tax provision. The net income for the six months ended June 30, 2011 includes a tax provision for federal alternative minimum taxes. A state tax provision was recorded for the Company’s operations apportioned to various state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Three Months Ended June 30,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8"/>
                <w:szCs w:val="18"/>
                <w:color w:val="auto"/>
                <w:w w:val="99"/>
              </w:rPr>
              <w:t>Increase (Decrease)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Dollars</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revenue</w:t>
            </w:r>
          </w:p>
        </w:tc>
        <w:tc>
          <w:tcPr>
            <w:tcW w:w="14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20,233</w:t>
            </w:r>
          </w:p>
        </w:tc>
        <w:tc>
          <w:tcPr>
            <w:tcW w:w="2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19,613</w:t>
            </w:r>
          </w:p>
        </w:tc>
        <w:tc>
          <w:tcPr>
            <w:tcW w:w="20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3,163</w:t>
            </w:r>
          </w:p>
        </w:tc>
        <w:tc>
          <w:tcPr>
            <w:tcW w:w="16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2,871</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shd w:val="clear" w:color="auto" w:fill="CCFFCC"/>
          </w:tcPr>
          <w:p>
            <w:pPr>
              <w:spacing w:after="0"/>
              <w:rPr>
                <w:sz w:val="2"/>
                <w:szCs w:val="2"/>
                <w:color w:val="auto"/>
              </w:rPr>
            </w:pPr>
          </w:p>
        </w:tc>
        <w:tc>
          <w:tcPr>
            <w:tcW w:w="14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980" w:type="dxa"/>
            <w:vAlign w:val="bottom"/>
            <w:shd w:val="clear" w:color="auto" w:fill="CCFFCC"/>
          </w:tcPr>
          <w:p>
            <w:pPr>
              <w:spacing w:after="0"/>
              <w:rPr>
                <w:sz w:val="2"/>
                <w:szCs w:val="2"/>
                <w:color w:val="auto"/>
              </w:rPr>
            </w:pPr>
          </w:p>
        </w:tc>
        <w:tc>
          <w:tcPr>
            <w:tcW w:w="14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20,556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Income tax expense</w:t>
            </w:r>
          </w:p>
        </w:tc>
        <w:tc>
          <w:tcPr>
            <w:tcW w:w="14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11,167</w:t>
            </w:r>
          </w:p>
        </w:tc>
        <w:tc>
          <w:tcPr>
            <w:tcW w:w="16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17,029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20,221</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Pfizer paid us a $30.0 million upfront fee in connection with the closing of the Pfizer Agreement in December 2007. We have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Program fee revenue recognized in each of the three months ended June 30, 2011 and 2010 from amortization of this upfront fee was $0.2 million. On June 17, 2011 the Oxecta NDA was approved and we recognized $20.0 million milestone revenue while fully recognizing the remaining program fee revenue.</w:t>
      </w:r>
    </w:p>
    <w:p>
      <w:pPr>
        <w:spacing w:after="0" w:line="200"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Collaboration revenue recognized in the three months ended June 30, 2010 was $0.4 million for invoiced reimbursement of our R&amp;D expenses incurred pursuant to the Pfizer Agreement. We invoice Pfizer in arrears on a calendar quarter basis. We did not incur reimbursable R&amp;D expenses during the second quarter 2011 and we estimate such R&amp;D expenses in the future for which we will receive reimbursement from Pfizer to be minimal.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7"/>
          <w:szCs w:val="17"/>
          <w:color w:val="auto"/>
        </w:rPr>
        <w:t>R&amp;D expense during the three months ended June 30, 2011 and 2010 were for product candidates utilizing our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Impede™ Technologies, including costs of preclinical, clinical trials, clinical supplies and related formulation and design costs, compensation, benefits and other personnel related expenses, and facility costs. Included in the 2011 and 2010 results are non-cash share-based compensation expenses of $0.1 million and $0.5 million, respectively. Excluding the share-based compensation expense, there is a $0.1 million decrease in development expenses. Our ongoing development activities include our benzodiazepine tablet product candidate, an extended release opioid product candidate, and the commencement of scale-up for our Impede PSE manufacturing process to quantities required for commercial distribution.</w:t>
      </w:r>
    </w:p>
    <w:p>
      <w:pPr>
        <w:spacing w:after="0" w:line="218" w:lineRule="exact"/>
        <w:rPr>
          <w:sz w:val="20"/>
          <w:szCs w:val="20"/>
          <w:color w:val="auto"/>
        </w:rPr>
      </w:pPr>
    </w:p>
    <w:p>
      <w:pPr>
        <w:jc w:val="both"/>
        <w:ind w:firstLine="972"/>
        <w:spacing w:after="0" w:line="232" w:lineRule="auto"/>
        <w:rPr>
          <w:sz w:val="20"/>
          <w:szCs w:val="20"/>
          <w:color w:val="auto"/>
        </w:rPr>
      </w:pPr>
      <w:r>
        <w:rPr>
          <w:rFonts w:ascii="Arial" w:cs="Arial" w:eastAsia="Arial" w:hAnsi="Arial"/>
          <w:sz w:val="18"/>
          <w:szCs w:val="18"/>
          <w:color w:val="auto"/>
        </w:rPr>
        <w:t>Marketing expenses during the three months ended June 30, 2011 and 2010 primarily consisted of market research studies on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Impede™ Technologies. Our G&amp;A expenses primarily consisted of legal, audit and other professional fees, corporate insurance, and payroll. Included in the 2011 and 2010 results are non-cash share-based compensation expenses of $0.5 million and $1.5 million, respectively. Excluding the share-based compensation expense, our marketing, general and administrative expenses increased $0.5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months ended June 30, 2011 and 2010, our cash was invested in accordance with the investment policy approved by our Board of Directors resulting in minimal interest income earned in 2011 and 2010 due to the prevailing low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During June 2011, we decreased our valuation allowance on our deferred income tax assets by $5.0 million. We recorded a benefit from income taxes of $5.0 million against our current period’s income tax provision. The net income for the three months ended June 30, 2011 includes a tax provision for federal alternative minimum taxes. A state tax provision was recorded for the Company’s operations apportioned to various state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At June 30, 2011, the Company had cash and cash equivalents of $39.5 million, including the $20.0 million milestone payment by Pfizer, compared to $24.0 million at December 31, 2010. The Company had working capital of $38.8 million at June 30, 2011 compared to $23.3 million at December 31, 2010. The increase in our cash provided by operations is due to the period’s net income resulting from the milestone revenue triggered by FDA approval of the Oxecta NDA, offset by the payment of employee withholding taxes approximating $1.8 million associated with the exercise of stock options and RSU distributions during the six month period, adjusted for certain non-cash items such as deferred program fee revenue and share-based compensation expenses.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972"/>
        <w:spacing w:after="0" w:line="342" w:lineRule="auto"/>
        <w:rPr>
          <w:sz w:val="20"/>
          <w:szCs w:val="20"/>
          <w:color w:val="auto"/>
        </w:rPr>
      </w:pPr>
      <w:r>
        <w:rPr>
          <w:rFonts w:ascii="Arial" w:cs="Arial" w:eastAsia="Arial" w:hAnsi="Arial"/>
          <w:sz w:val="16"/>
          <w:szCs w:val="16"/>
          <w:color w:val="auto"/>
        </w:rPr>
        <w:t>At July 27, 2011, the Company had cash and cash equivalents of approximately $38.9 million. We estimate that our current cash reserves will be sufficient to fund operations and the development of Aversion and Impede Technologies and related product candidates through at least the next 12 months.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2010 Annual Report are also applicable to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52" w:lineRule="exact"/>
        <w:rPr>
          <w:sz w:val="20"/>
          <w:szCs w:val="20"/>
          <w:color w:val="auto"/>
        </w:rPr>
      </w:pPr>
    </w:p>
    <w:p>
      <w:pPr>
        <w:jc w:val="both"/>
        <w:ind w:firstLine="8"/>
        <w:spacing w:after="0" w:line="271" w:lineRule="auto"/>
        <w:tabs>
          <w:tab w:leader="none" w:pos="618" w:val="left"/>
        </w:tabs>
        <w:numPr>
          <w:ilvl w:val="0"/>
          <w:numId w:val="11"/>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05" w:lineRule="exact"/>
        <w:rPr>
          <w:rFonts w:ascii="Arial" w:cs="Arial" w:eastAsia="Arial" w:hAnsi="Arial"/>
          <w:sz w:val="17"/>
          <w:szCs w:val="17"/>
          <w:color w:val="auto"/>
        </w:rPr>
      </w:pPr>
    </w:p>
    <w:p>
      <w:pPr>
        <w:ind w:firstLine="8"/>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that have materially affected, or are reasonably likely to materially affect, our internal controls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information required by this Item is incorporated by reference to Note 9, “Commitments and Contingencies,” in Part I, Item 1,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 Relating To Company</w:t>
      </w:r>
    </w:p>
    <w:p>
      <w:pPr>
        <w:spacing w:after="0" w:line="25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Risk Factors set forth in Item 1A of the Company’s Annual Report on Form 10-K for the year ended December 31, 2010 are hereby superseded and replaced with the following Risk Factors. Shareholders and prospective investors in the Company’s common stock should carefully consider the following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52" w:lineRule="exact"/>
        <w:rPr>
          <w:sz w:val="20"/>
          <w:szCs w:val="20"/>
          <w:color w:val="auto"/>
        </w:rPr>
      </w:pPr>
    </w:p>
    <w:p>
      <w:pPr>
        <w:ind w:left="180"/>
        <w:spacing w:after="0" w:line="218" w:lineRule="auto"/>
        <w:rPr>
          <w:sz w:val="20"/>
          <w:szCs w:val="20"/>
          <w:color w:val="auto"/>
        </w:rPr>
      </w:pPr>
      <w:r>
        <w:rPr>
          <w:rFonts w:ascii="Arial" w:cs="Arial" w:eastAsia="Arial" w:hAnsi="Arial"/>
          <w:sz w:val="18"/>
          <w:szCs w:val="18"/>
          <w:b w:val="1"/>
          <w:bCs w:val="1"/>
          <w:i w:val="1"/>
          <w:iCs w:val="1"/>
          <w:color w:val="auto"/>
        </w:rPr>
        <w:t>We are largely dependent on the commercial success of Oxecta™ Tablets, or Oxecta (formerly Acurox</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and we have not generated any revenue from sales of Oxecta.</w:t>
      </w:r>
    </w:p>
    <w:p>
      <w:pPr>
        <w:spacing w:after="0" w:line="23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We anticipate that, for at least the next several years, our ability to generate revenues and become profitable will depend in large part on the commercial success of our only U.S. Food and Drug Administration, or FDA, approved product, Oxecta, which in turn, will depend on several factors, including:</w:t>
      </w:r>
    </w:p>
    <w:p>
      <w:pPr>
        <w:spacing w:after="0" w:line="20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timely and successful launch of Oxecta in the United States by Pfizer, to whom we have licensed Oxecta;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Pfizer’s obtaining and increasing market demand for, and sales of, Oxecta;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acceptance of Oxecta by physicians and patients;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adequate levels of coverage and reimbursement for Oxecta from commercial health plans and government health programs, which we refer to collectively as third-party payors, particularly in light of the availability of other branded and generic competitive products;</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Pfizer’s establishing and maintaining agreements with wholesalers and distributors on commercially reasonable terms;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Pfizer’s manufacture and supply of adequate supplies of Oxecta to meet commercial demand;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intellectual property protection for Oxecta and obtaining favorable drug listing treatment by the FDA to minimize generic competition.</w:t>
      </w:r>
    </w:p>
    <w:p>
      <w:pPr>
        <w:spacing w:after="0" w:line="19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We expect Pfizer to commercially launch Oxecta late in the third quarter or early in the fourth quarter of 2011. However, we cannot be certain that Pfizer will timely launch Oxecta or devote sufficient resources upon commercialization. Pfizer’s marketing of Oxecta may result in low market acceptance and insufficient demand for, and sales of, the product. If Pfizer fails to successfully launch Oxecta and increase sales, we may be unable to generate sufficient revenues to sustain or grow our business and we may never become profitable, and our business, financial condition and results of operations will be materially affected.</w:t>
      </w:r>
    </w:p>
    <w:p>
      <w:pPr>
        <w:spacing w:after="0" w:line="21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Pfizer is not successful in commercializing Oxecta and other licensed product candidates incorporating the Aversion Technology our revenues and our business will suffer.</w:t>
      </w:r>
    </w:p>
    <w:p>
      <w:pPr>
        <w:spacing w:after="0" w:line="197"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Pursuant to our license, development and commercialization agreement with a subsidiary of Pfizer, or the Pfizer Agreement, Pfizer is responsible for manufacturing, marketing, pricing, promoting, selling, and distributing Oxecta and certain of our product candidates in development in the United States, Canada and Mexico, or the Pfizer Territory. If such agreement is terminated in accordance with its terms, including due to a party’s failure to perform its obligations or responsibilities under the agreement, then we would need to commercialize the products ourselves for which we currently have no infrastructure, or alternatively enter into a new agreement with another pharmaceutical company, of which no assurance can be given. If we are unable to build the necessary infrastructure to commercialize the products ourselves, which would substantially increase our expenses and capital requirements that we might not be able to fund, or are unable to find a suitable replacement development and commercialization partner, we would be unable to generate any revenues from these products. Even if we are successful at replacing the commercialization capabilities of Pfizer, our revenues and/or royalties for these products could be adversely impacted.</w:t>
      </w:r>
    </w:p>
    <w:p>
      <w:pPr>
        <w:spacing w:after="0" w:line="20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Pfizer’s manufacturing facility is currently the sole commercial source of supply for Oxecta and our other product candidates licensed to Pfizer. If Pfizer’s manufacturing facility fails to obtain sufficient DEA quotas for the opioid active ingredients contained in such product candidates, fails to source adequate quantities of active and inactive ingredients, fails to comply with regulatory requirements, or otherwise experiences disruptions in commercial supply of our product candidates, product revenue and our royalties could be adversely impacted.</w:t>
      </w:r>
    </w:p>
    <w:p>
      <w:pPr>
        <w:spacing w:after="0" w:line="19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Pfizer has a diversified product line for which Oxecta Tablets and our other product candidates licensed to Pfizer will vie for Pfizer’s promotional, marketing, and selling resources. If Pfizer fails to commit sufficient promotional, marketing and selling resources to our products, product revenue and our royalties could be adversely impacted. Additionally, in view of Pfizer’s recent acquisition of King Pharmaceuticals in February 2011, there can be no assurance that Pfizer will commit the resources required for the successful commercialization of Oxecta Tablets or the development and commercialization of our licensed product candidates.</w:t>
      </w:r>
    </w:p>
    <w:p>
      <w:pPr>
        <w:spacing w:after="0" w:line="21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market for our opioid product candidates is highly competitive with many marketed non-abuse deterrent brand and generic products and other abuse deterrent product candidates in development. If Pfizer prices our product candidates inappropriately, fails to position our products properly, targets inappropriate physician specialties, or otherwise does not provide sufficient promotional support, product revenue and our royalties could be adversely impacted.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firstLine="972"/>
        <w:spacing w:after="0" w:line="290" w:lineRule="auto"/>
        <w:rPr>
          <w:sz w:val="20"/>
          <w:szCs w:val="20"/>
          <w:color w:val="auto"/>
        </w:rPr>
      </w:pPr>
      <w:r>
        <w:rPr>
          <w:rFonts w:ascii="Arial" w:cs="Arial" w:eastAsia="Arial" w:hAnsi="Arial"/>
          <w:sz w:val="16"/>
          <w:szCs w:val="16"/>
          <w:color w:val="auto"/>
        </w:rPr>
        <w:t>Pfizer’s promotional, marketing and sales activities in connection with Oxecta and our other product candidates licensed to Pfizer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Pfizer’s activities are found to be in violation of these laws or any other federal and state fraud and abuse laws, Pfizer may be subject to penalties, including civil and criminal penalties, damages, fines and the curtailment or restructuring of its activities with regard to the commercialization of our products, which could harm the commercial success of our products and materially affect our business, financial condition and results of operations.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7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We had a net loss of $12.7 million for the year ended December 31, 2010, a net loss of $15.8 million for the year ended December 31, 2009 and net income of $14.5 million for the year ended December 31, 2008. Our future profitability will depend on several factors, including:</w:t>
      </w:r>
    </w:p>
    <w:p>
      <w:pPr>
        <w:spacing w:after="0" w:line="174" w:lineRule="exact"/>
        <w:rPr>
          <w:sz w:val="20"/>
          <w:szCs w:val="20"/>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FDA approved Oxecta Tablets, for which we only receive royalties on sales occurring after the one year anniversary of the first commercial sale of Oxecta Tablets, and other products developed and commercialized under the Pfizer Agreement;</w:t>
      </w:r>
    </w:p>
    <w:p>
      <w:pPr>
        <w:spacing w:after="0" w:line="208" w:lineRule="exact"/>
        <w:rPr>
          <w:rFonts w:ascii="Arial" w:cs="Arial" w:eastAsia="Arial" w:hAnsi="Arial"/>
          <w:sz w:val="18"/>
          <w:szCs w:val="18"/>
          <w:color w:val="auto"/>
        </w:rPr>
      </w:pPr>
    </w:p>
    <w:p>
      <w:pPr>
        <w:jc w:val="both"/>
        <w:ind w:left="980" w:hanging="324"/>
        <w:spacing w:after="0" w:line="22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FDA approval and the successful commercialization by Pfizer and other future licensees (if any) of products utilizing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and our ability to commercialize our Impede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without infringing the patents and other intellectual property rights of third parties; and</w:t>
      </w:r>
    </w:p>
    <w:p>
      <w:pPr>
        <w:spacing w:after="0" w:line="23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successful launch and marketing of Impede™ pseudoephedrine product (“Impede™ PSE”) and other products utilizing our Impede Technology, and market acceptance, increased demand for and sales of Impede PSE.</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We cannot assure you that our Oxecta or Impede PSE products will be successfully commercialized or our Aversion Technology products in development will be approved for commercialization by the FDA.</w:t>
      </w:r>
    </w:p>
    <w:p>
      <w:pPr>
        <w:spacing w:after="0" w:line="197"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We recognized revenues of $3.3 million and $3.8 million in the years ended December 31, 2010 and 2009, respectively, from payments received under the Pfizer Agreement. However, we have not yet generated any revenues from Aversion Technology or Impede Technology product sales. Even if we or Pfizer succeed in commercializing one or more of our Aversion Technology products or if we are successful in commercializing our Impede Technology products, we expect to continue using cash reserves for the foreseeable future. Our expenses may increase in the foreseeable future as a result of continued research and development of additional product candidates, maintaining and expanding the scope of our intellectual property, commercializing our Impede PSE product, and hiring of additional research and development staff.</w:t>
      </w:r>
    </w:p>
    <w:p>
      <w:pPr>
        <w:spacing w:after="0" w:line="20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We will need to generate revenues from direct product sales or indirectly from royalties on sales to achieve and maintain profitability. If we cannot successfully commercialize Impede PSE or successfully develop, obtain regulatory approval and commercialize our products licensed to Pfizer under the Pfizer Agreement or other products under similar license agreements that we may enter into with other pharmaceutical companies in the future, of which no assurance can be given, we will not be able to generate such royalty revenues or achieve future profitability. Our failure to achieve or maintain profitability would have a material adverse impact on the market price of our common stock.</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must rely on current cash reserves, technology licensing fees and third party financing to fund operations.</w:t>
      </w:r>
    </w:p>
    <w:p>
      <w:pPr>
        <w:spacing w:after="0" w:line="25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Pending the receipt of milestone payments and royalties, if any, under the Pfizer Agreement or under similar license agreements that we may enter into with other pharmaceutical companies in the future, of which no assurance can be given, we must rely on our current cash reserves, revenues from sales of Impede PSE, if any, and third-party financing to fund operations and product development activities. No assurance can be given that current cash reserves or revenues from Impede PSE product sales will be sufficient to fund the continued operations and development of our product candidates until such time as we generate additional revenue from the Pfizer Agreement or any similar future license agreements. Moreover, no assurance can be given that we will be successful in raising additional financing or, if funding is obtained, that such funding will be sufficient to fund operations until product candidates utilizing our Aversion and Impede Technologies may be commercialized.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Oxecta and other Aversion Technology products by describing the abuse deterrent features of such products will be determined by the FDA approved label for such products.</w:t>
      </w:r>
    </w:p>
    <w:p>
      <w:pPr>
        <w:spacing w:after="0" w:line="197"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 has publicly stated that explicit indications or claims of abuse deterrence will not be permitted unless such indications or claims are supported by double blind controlled clinical studies demonstrating an actual reduction in product abuse by patients or drug abusers. Because the cost, time and practicality of designing and implementing clinical studies adequate to support explicit claims of abuse deterrence are prohibitive, we are not pursuing and have not conducted the clinical trials necessary to include an explicit product label claim of abuse deterrence. Instead, we will rely on certain clinical and laboratory studies to support product labeling describing the relative difficulty of abusing or misusing our products and such products’ abuse deterrent features. However, the extent to which such information is included in the FDA approved product label is the subject of our and our licensees’ discussions with, and agreement by, the FDA as part of the New Drug Application, or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Oxecta includes the results from a clinical study which evaluated the effects of nasally snorting crushed Oxecta and commercially available oxycodone tablets and limitations on wetting or dissolving Oxecta, it does not, however, include the results of our laboratory studies intended to evaluate Oxecta’s potential to limit extraction of oxycodone HCl from dissolved Oxecta Tablets and resist conversion into an injectable, or IV solution. The absence of the results of these extraction and syringe studies in the FDA approved label for Oxecta may substantially limit Pfizer’s ability to differentiate Oxecta from other immediate release oxycodone products, which would have a material adverse effect on market acceptance of Oxecta and on our business and results of operations.</w:t>
      </w:r>
    </w:p>
    <w:p>
      <w:pPr>
        <w:spacing w:after="0" w:line="200"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Notwithstanding the FDA approved labeling for Oxecta,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200"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Oxecta, the FDA may object to our or our licensee’s marketing claims and product advertising campaigns. This could lead to the issuance of warning letters or untitled letters, suspension or withdrawal of Oxecta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52"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We are committing a majority of our resources to the development of product candidates utilizing our Aversion and Impede Technologies. Notwithstanding the receipt of FDA approval of Oxecta Tablets, there can be no assurance that the FDA will approve any other product candidate utilizing Aversion Technology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utilizing Aversion Technology will have a material adverse effect on our financial condition.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our Impede products.</w:t>
      </w:r>
    </w:p>
    <w:p>
      <w:pPr>
        <w:spacing w:after="0" w:line="208" w:lineRule="exact"/>
        <w:rPr>
          <w:sz w:val="20"/>
          <w:szCs w:val="20"/>
          <w:color w:val="auto"/>
        </w:rPr>
      </w:pPr>
    </w:p>
    <w:p>
      <w:pPr>
        <w:jc w:val="both"/>
        <w:ind w:firstLine="972"/>
        <w:spacing w:after="0" w:line="267" w:lineRule="auto"/>
        <w:rPr>
          <w:sz w:val="20"/>
          <w:szCs w:val="20"/>
          <w:color w:val="auto"/>
        </w:rPr>
      </w:pPr>
      <w:r>
        <w:rPr>
          <w:rFonts w:ascii="Arial" w:cs="Arial" w:eastAsia="Arial" w:hAnsi="Arial"/>
          <w:sz w:val="17"/>
          <w:szCs w:val="17"/>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current Good Manufacturing Practices, or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Impede PSE is classified for OTC sale under an FDA OTC monograph which will allow us to commercialize them without submitting an NDA or Abbreviated New Drug Application, or ANDA, to the FDA. We have also determined that, provided we adhere to the FDA’s requirements for OTC monograph products, including product labeling, we can advertise and promote the extraction characteristics and benefits of Impede PSE which are supported by our research studies. No assurance can be given, however, that the FDA will agree that Impede PSE may be sold under the FDA’s OTC monograph product regulations or that the FDA or FTC will not object to our advertisement and promotion of Impede PSE’s extraction characteristics and benefits. If the FDA determines that Impede PSE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If the FDA requires that we submit a NDA or ANDA to obtain marketing approval for Impede PSE, this would result in substantial additional costs, delay or suspend the commercialization of Impede PSE and require FDA approval prior to sale, of which no assurance can be provided. In such case, the label for Impede PSE would be subject to FDA review and approval and there can be no assurance that we will be able to market Impede PSE with labeling sufficient to differentiate it from products that have comparable therapeutic profiles. If we are unable to advertise and promote the extraction characteristics of Impede PSE, we may be unable to compete with national brands and pharmacy chain store brands.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6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We are committing a majority of our resources to the development of products utilizing our Aversion and Impede Technologies. Notwithstanding the receipt of FDA approval of Oxecta Tablets and the results of our numerous clinical and laboratory studies for Oxecta and our Aversion and Impede Technology products in development, there can be no assurance that upon commercialization, Oxecta or any other product utilizing our Aversion or Impede Technologies will perform as tested and limit or impede the actual abuse or misuse of such products. Moreover, there can be no assurance that the post-approval epidemiological study required by the FDA as a condition of approval of Oxecta will show a reduction in the consequences of abuse and misuse by patients for whom Oxecta is prescribed. The failure of Oxecta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219"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Relying on third party clinical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20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an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ind w:firstLine="972"/>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20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21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21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7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current good manufacturing practice, or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200"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Our drug products, including Impede PSE,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92"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If for some reason our contract manufacturers cannot perform as agreed, we may be required to replace them. Although we believe there are a number of potential replacements, we may incur added costs and delays in identifying and qualifying any such replacements. In addition, a new manufacturer would have to be educated in, or develop substantially equivalent processes for, production of our drug candidates.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216"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an NDA the FDA may refuse to file the application, deny approval of the application, require additional testing or data and/or require post-marketing testing and surveillance to monitor the safety or efficacy of a product. For instance, the FDA’s approval of Oxecta is conditioned on Pfizer conducting a post-approval epidemiological study to assess the actual abuse levels and consequences of Oxecta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9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Even if we comply with all the FDA regulatory requirements, we or our licensees may never obtain regulatory approval for any of our product candidates in development. For example, our Aversion Technology products in development intended to provide impediments to over-ingesting the product may include niacin. We have previously submitted an NDA to the FDA for an Aversion Technology product containing niacin which was not approved by the FDA. To obtain approval of an Aversion Technology product with niacin, we will be required to address all the issues raised by the FDA as deficient in our NDA, of which no assurance can be given.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Oxecta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 without the prior application to and approval by the FDA. The FDA may subsequently require us to withdraw such products and submit NDA’s for approval prior to re-marketing.</w:t>
      </w:r>
    </w:p>
    <w:p>
      <w:pPr>
        <w:spacing w:after="0" w:line="196"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(if any are approved by the FDA), such actions would have a material adverse effect on our operations and financial condition.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180" w:right="2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5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9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97"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20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9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216"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7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Pfizer Agreement grants Pfizer an exclusive license to develop and commercialize Oxecta and certain other opioid analgesic products in the Pfizer Territory. We believe that opportunities exist to enter into agreements similar to the Pfizer Agreement with other partners for the commercialization of these same opioid products outside the Pfizer Territory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adversely affected.</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5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As part of our Pfizer Agreement or other future similar license agreements, we do not and will not have day-to-day control over the activities of our licensees with respect to any product candidate. If a licensee fails to fulfill its obligations under an agreement with us, we may be unable to assume the development of the product candidate covered by that agreement or to enter into alternative arrangements with another third party. In addition, we may encounter delays in the commercialization of the product candidate that is the subject of a license agreement. Accordingly, our ability to receive any revenue from the product candidates covered by such agreements will be dependent on the efforts of our licensee. We could be involved in disputes with a licensee, which could lead to delays in or termination of, our development and commercialization programs and result in time consuming and expensive litigation or arbitration. In addition, any such dispute could diminish our licensee’s commitment to us and reduce the resources they devote to developing and commercializing our products. If any licensee terminates or breaches its agreement, or otherwise fails to complete its obligations in a timely manner, our chances of successfully developing or commercializing our product candidates would be materially adversely effected. Additionally, due to the nature of the market for our product candidates, it may be necessary for us to license all or a significant portion of our product candidates to a single company thereby eliminating our opportunity to commercialize other product candidates with other licensees.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180"/>
        <w:spacing w:after="0"/>
        <w:rPr>
          <w:sz w:val="20"/>
          <w:szCs w:val="20"/>
          <w:color w:val="auto"/>
        </w:rPr>
      </w:pPr>
      <w:r>
        <w:rPr>
          <w:rFonts w:ascii="Arial" w:cs="Arial" w:eastAsia="Arial" w:hAnsi="Arial"/>
          <w:sz w:val="18"/>
          <w:szCs w:val="18"/>
          <w:b w:val="1"/>
          <w:bCs w:val="1"/>
          <w:i w:val="1"/>
          <w:iCs w:val="1"/>
          <w:color w:val="auto"/>
        </w:rPr>
        <w:t>If we fail to maintain our license agreement with Pfizer, we may have to reduce or delay our product candidate development.</w:t>
      </w:r>
    </w:p>
    <w:p>
      <w:pPr>
        <w:spacing w:after="0" w:line="252"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plan for developing, manufacturing and commercializing Oxecta Tablets and certain other opioid analgesic product candidates utilizing our Aversion Technology currently requires us to maintain our license agreement with Pfizer. In addition to other customary termination provisions, the Pfizer Agreement provides that Pfizer may terminate the Pfizer Agreement at any time upon written notice to us. If Pfizer elects to terminate the Pfizer Agreement, or if we are otherwise unable to maintain our existing relationship with Pfizer, we may have to limit the size or scope of, or delay or abandon the development of, our Aversion oxycodone HCl with niacin tablets and other Aversion Technology opioid analgesic product candidates or undertake and fund development of these product candidates ourselves. If we were required to fund the commercialization efforts with respect to Oxecta Tablets and the development and commercialization efforts to our other Aversion Technology opioid analgesic product candidates on our own, we may need to obtain additional financing, which may not be available on acceptable terms, or at all.</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52"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3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we are not successful in commercializing Impede PSE and other Impede Technology products our revenues and business will suffer.</w:t>
      </w:r>
    </w:p>
    <w:p>
      <w:pPr>
        <w:spacing w:after="0" w:line="264"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We intend to market and sell Impede PSE to regional and national drug store chains. Impede PSE will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Impede PSE will compete with national brands as well as pharmacy chain store brands that are offered at a lower price. There can be no assurance that we will succeed in commercializing Impede PSE, or that even if commercialized, that the pricing of Impede PSE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Impede PSE as an OTC product and generate revenue from Impede PSE product sales.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97"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8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that we or our licensees are successful in bringing any products to market, our revenues may be adversely affected if we fail to obtain insurance coverage or adequate reimbursement for our products from third-party payers.</w:t>
      </w:r>
    </w:p>
    <w:p>
      <w:pPr>
        <w:spacing w:after="0" w:line="19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202"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85" w:lineRule="exact"/>
        <w:rPr>
          <w:sz w:val="20"/>
          <w:szCs w:val="20"/>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beginning in 2011;</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At this time, it remains uncertain what the full impact of threes provisions will be on the pharmaceutical industry generally or our business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particular.</w:t>
      </w:r>
    </w:p>
    <w:p>
      <w:pPr>
        <w:spacing w:after="0" w:line="23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9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52"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 Patent and Trademark Office, or USPTO, encompassing our opioid products utilizing our Aversion Technology and a recent notice of allowance from the USPTO for a non-provisional patent application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96"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9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972"/>
        <w:spacing w:after="0" w:line="293" w:lineRule="auto"/>
        <w:rPr>
          <w:sz w:val="20"/>
          <w:szCs w:val="20"/>
          <w:color w:val="auto"/>
        </w:rPr>
      </w:pPr>
      <w:r>
        <w:rPr>
          <w:rFonts w:ascii="Arial" w:cs="Arial" w:eastAsia="Arial" w:hAnsi="Arial"/>
          <w:sz w:val="16"/>
          <w:szCs w:val="16"/>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For instance, Johnson &amp; Johnson was recently granted an extension of time to file an opposition to our trademark application for Impede PSE.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19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74"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97" w:lineRule="exact"/>
        <w:rPr>
          <w:sz w:val="20"/>
          <w:szCs w:val="20"/>
          <w:color w:val="auto"/>
        </w:rPr>
      </w:pPr>
    </w:p>
    <w:p>
      <w:pPr>
        <w:ind w:left="98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21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costs of resolving any patent litigation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and other intellectual property proceedings may also consume significant management time.</w:t>
      </w:r>
    </w:p>
    <w:p>
      <w:pPr>
        <w:spacing w:after="0" w:line="21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a court may decide that a patent of ours is invalid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222"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ind w:firstLine="972"/>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206"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Pfizer will not be sued for infringing these patent,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194"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demonstrate the foregoing, or obtain a license to these patients, Pfizer may be required or choose to withdraw Oxecta from the market.</w:t>
      </w:r>
    </w:p>
    <w:p>
      <w:pPr>
        <w:spacing w:after="0" w:line="19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52"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18"/>
          <w:szCs w:val="18"/>
          <w:color w:val="auto"/>
        </w:rPr>
        <w:t xml:space="preserve">Our business exposes us to potential product liability risks, which are inherent in the testing, manufacturing, marketing and sale of pharmaceutical products. Product liability claims might be made by patients, or health care providers or others that sell or consume our products. These claims may be made even with respect to those products that possess regulatory approval for commercial sale. We are currently covered by clinical trial product liability insurance on a claims-made basis and expect to expand such coverage to cover our commercialization of Impede PSE prior to the sale of such product. This coverage may not be adequate to cover any product liability claims. Product liability coverage is expensive. In the future, we may not be able to obtain coverage for Impede PSE or, if obtained,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 Reference is made to the discussion in Note 9 of Item 1, Part I of this Report under the caption </w:t>
      </w:r>
      <w:r>
        <w:rPr>
          <w:rFonts w:ascii="Arial" w:cs="Arial" w:eastAsia="Arial" w:hAnsi="Arial"/>
          <w:sz w:val="18"/>
          <w:szCs w:val="18"/>
          <w:b w:val="1"/>
          <w:bCs w:val="1"/>
          <w:color w:val="auto"/>
        </w:rPr>
        <w:t>“</w:t>
      </w:r>
      <w:r>
        <w:rPr>
          <w:rFonts w:ascii="Arial" w:cs="Arial" w:eastAsia="Arial" w:hAnsi="Arial"/>
          <w:sz w:val="18"/>
          <w:szCs w:val="18"/>
          <w:color w:val="auto"/>
        </w:rPr>
        <w:t>Reglan</w:t>
      </w:r>
      <w:r>
        <w:rPr>
          <w:rFonts w:ascii="Arial" w:cs="Arial" w:eastAsia="Arial" w:hAnsi="Arial"/>
          <w:sz w:val="25"/>
          <w:szCs w:val="25"/>
          <w:color w:val="auto"/>
          <w:vertAlign w:val="superscript"/>
        </w:rPr>
        <w:t>®</w:t>
      </w:r>
      <w:r>
        <w:rPr>
          <w:rFonts w:ascii="Arial" w:cs="Arial" w:eastAsia="Arial" w:hAnsi="Arial"/>
          <w:sz w:val="18"/>
          <w:szCs w:val="18"/>
          <w:color w:val="auto"/>
        </w:rPr>
        <w:t>/Metoclopramide Litigation” for a discussion of pending product liability litigation filed against the Company in each of Pennsylvania, New Jersey</w:t>
      </w:r>
      <w:r>
        <w:rPr>
          <w:rFonts w:ascii="Arial" w:cs="Arial" w:eastAsia="Arial" w:hAnsi="Arial"/>
          <w:sz w:val="18"/>
          <w:szCs w:val="18"/>
          <w:b w:val="1"/>
          <w:bCs w:val="1"/>
          <w:color w:val="auto"/>
        </w:rPr>
        <w:t xml:space="preserve"> </w:t>
      </w:r>
      <w:r>
        <w:rPr>
          <w:rFonts w:ascii="Arial" w:cs="Arial" w:eastAsia="Arial" w:hAnsi="Arial"/>
          <w:sz w:val="18"/>
          <w:szCs w:val="18"/>
          <w:color w:val="auto"/>
        </w:rPr>
        <w:t>and California.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firstLine="972"/>
        <w:spacing w:after="0" w:line="312" w:lineRule="auto"/>
        <w:rPr>
          <w:sz w:val="20"/>
          <w:szCs w:val="20"/>
          <w:color w:val="auto"/>
        </w:rPr>
      </w:pPr>
      <w:r>
        <w:rPr>
          <w:rFonts w:ascii="Arial" w:cs="Arial" w:eastAsia="Arial" w:hAnsi="Arial"/>
          <w:sz w:val="16"/>
          <w:szCs w:val="16"/>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Such litigation may have material adverse consequences to our financial condition and results of operations.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7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20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extended-release, or ER, opioid products, except for Atlantic Pharmaceuticals, while the majority of our Aversion Technology opioid analgesic product candidates under development are immediate-release, or IR, opioid products. Pfizer, our partner in developing and commercializing Aversion Technology immediate-release opioid products,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205" w:lineRule="exact"/>
        <w:rPr>
          <w:sz w:val="20"/>
          <w:szCs w:val="20"/>
          <w:color w:val="auto"/>
        </w:rPr>
      </w:pPr>
    </w:p>
    <w:p>
      <w:pPr>
        <w:jc w:val="both"/>
        <w:ind w:firstLine="972"/>
        <w:spacing w:after="0" w:line="300" w:lineRule="auto"/>
        <w:rPr>
          <w:sz w:val="20"/>
          <w:szCs w:val="20"/>
          <w:color w:val="auto"/>
        </w:rPr>
      </w:pPr>
      <w:r>
        <w:rPr>
          <w:rFonts w:ascii="Arial" w:cs="Arial" w:eastAsia="Arial" w:hAnsi="Arial"/>
          <w:sz w:val="16"/>
          <w:szCs w:val="16"/>
          <w:color w:val="auto"/>
        </w:rPr>
        <w:t>Our Impede Technology products containing pseudoephedrine, or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Impede PSE will compete directly with Johnson &amp; Johnson’s Sudafed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as well as generic formulations manufactured by Perrigo Company and others.</w:t>
      </w:r>
    </w:p>
    <w:p>
      <w:pPr>
        <w:spacing w:after="0" w:line="8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profits.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5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certain employees,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20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Our products are subject in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97"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81"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20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quarterly and annual operating results are likely to fluctuate in the future. These fluctuations could cause our stock price to decline. The nature of our business involves variable factors, such as the timing of launch and market acceptance of Oxecta Tablets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Volatility in stock prices of other companies may contribute to volatility in our stock price.</w:t>
      </w:r>
    </w:p>
    <w:p>
      <w:pPr>
        <w:spacing w:after="0" w:line="25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 xml:space="preserve">The market price of our common stock, like the market price for securities of pharmaceutical and biotechnology companies, has historically been highly volatile. The stock market from time to time experiences significant price and volume fluctuations unrelated to the operating performance of particular companies. Factors, such as fluctuations in our operating results, future sales of our common stock, announcements of the timing and amount of product sales, of our products, announcements of technological innovations or new therapeutic products by us or our competitors, announcements regarding collaborative agreements, laboratory or clinical trial results, government regulation, FDA determinations on the approval of a product candidate NDA submission, developments in patent or other proprietary rights, public concern as to the safety of drugs developed by us or others, changes in reimbursement policies, comments made by securities analysts and general market conditions may have a substantial effect on the market price of our common stock. In the past, following periods of volatility in the market price of a company’s securities, securities class action litigation and shareholder derivative litigation has often been instituted. A securities class action suit or shareholder derivative suit against us could result in substantial costs, potential liabilities and the diversion of management’s attention and resources and result in a material adverse affect on our financial condition and results of operations. Reference is made to the discussion in Note 9 of Item 1, Part I of this Report under the caption </w:t>
      </w:r>
      <w:r>
        <w:rPr>
          <w:rFonts w:ascii="Arial" w:cs="Arial" w:eastAsia="Arial" w:hAnsi="Arial"/>
          <w:sz w:val="17"/>
          <w:szCs w:val="17"/>
          <w:b w:val="1"/>
          <w:bCs w:val="1"/>
          <w:color w:val="auto"/>
        </w:rPr>
        <w:t>“</w:t>
      </w:r>
      <w:r>
        <w:rPr>
          <w:rFonts w:ascii="Arial" w:cs="Arial" w:eastAsia="Arial" w:hAnsi="Arial"/>
          <w:sz w:val="17"/>
          <w:szCs w:val="17"/>
          <w:color w:val="auto"/>
        </w:rPr>
        <w:t>Securities Class Action and Derivative Litigation” for a discussion of a pending Securities class action litigation filed against us in the United States District Court for the Northern District of Illinois, Eastern Division, and three shareholder derivative suits filed in the Circuit Court of Cook County, Illinois, Chancery Division.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has been volatile and there may not be an active, liquid trading market for our common stock.</w:t>
      </w:r>
    </w:p>
    <w:p>
      <w:pPr>
        <w:spacing w:after="0" w:line="252"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stock price has experienced significant price and volume fluctuations and may continue to experience volatility in the future. Factors that may have a material impact on the price of our common stock, in addition to the other issues described herein, include the commercial success of Oxecta and Impede PSE, results of or delays in our pre-clinical and clinical studies, any delays in, or failure to receive FDA approval of our product candidates, the success of our license agreement with Pfizer, announcements of technological innovations or new commercial products by us or others, developments in patents and other proprietary rights by us or others, future sales of our common stock by existing stockholders, regulatory developments or changes in regulatory guidance, the departure of our officers, directors or key employees, and period-to-period fluctuations in our financial results. Also, you may not be able to sell your shares at the best market price if trading in our stock is not active or if the volume is low. There is no assurance that an active trading market for our common stock will be maintained on the NASDAQ Capital Market.</w:t>
      </w:r>
    </w:p>
    <w:p>
      <w:pPr>
        <w:spacing w:after="0" w:line="20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National Association of Securities Dealers, Inc., or NASD, and the Securities and Exchange Commission, or SEC, have adopted rules relating to the listing of publicly traded stock. If we were unable to continue to comply with such rules, we could be delisted from trading on the NASDAQ Capital Market and thereafter trading in our common stock, if any, would be conducted through the Over-the-Counter Bulletin Board of the NASD. As a consequence of such delisting, an investor would likely find it more difficult to dispose of, or to obtain quotations as to the price of, our common stock. Delisting of our common stock from the NASDAQ Capital Market could also result in lower prices per share of our common stock than would otherwise prevail.</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5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i w:val="1"/>
          <w:iCs w:val="1"/>
          <w:color w:val="auto"/>
        </w:rPr>
        <w:t>GCE Holdings LLC can control all matters requiring approval by shareholders.</w:t>
      </w:r>
    </w:p>
    <w:p>
      <w:pPr>
        <w:spacing w:after="0" w:line="252"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GCE Holdings LLC beneficially owns approximately 72% of our outstanding common stock as of June 30, 2011 (calculated in accordance with Rule 13d-3 promulgated under the Securities Exchange Act of 1934, as amended). As a result, GCE Holdings LLC, in view of its ownership percentage of our common stock, will be able to control all matters requiring approval by our shareholders, including the approval or rejection of mergers, sales or licenses of all or substantially all of our assets, or other business combination transactions. The interests of GCE Holdings LLC may not always coincide with the interests of our other shareholders and as such we may take action in advance of its interests to the detriment of our other shareholders. Accordingly, you may not be able to influence any action we take or consider taking, even if it requires a shareholder vote.</w:t>
      </w:r>
    </w:p>
    <w:p>
      <w:pPr>
        <w:spacing w:after="0" w:line="20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We are currently a “Controlled Company” within the meaning of the NASDAQ Capital Market Listing Requirements and, as a result, are exempt from certain corporate governance requirements.</w:t>
      </w:r>
    </w:p>
    <w:p>
      <w:pPr>
        <w:spacing w:after="0" w:line="197"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Because GCE Holdings LLC controls more than 50% of the voting power of our common stock, we are currently considered to be a “controlled company” for purposes of a NASDAQ Capital Market listing requirements. As such, we are permitted, and have elected, to opt out of the NASDAQ Capital Market listing requirements that would otherwise require our board of directors to have a majority of independent directors, our board nominations to be selected, or recommended for the board’s selection either by a nominating committee comprised entirely of independent directors or by a majority of independent directors, and our compensation committee to be comprised entirely of independent directors. Accordingly, you may not have the same protections afforded to stockholders of companies that are subject to all of the NASDAQ Capital Market corporate governance requirements.</w:t>
      </w:r>
    </w:p>
    <w:p>
      <w:pPr>
        <w:spacing w:after="0" w:line="19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97"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In accordance with the terms of the Securities Purchase Agreement dated August 20, 2007 between us and the investors named therein, we filed a registration statement with and declared effective by the Securities and Exchange Commission, or SEC, to register the shares included in our Units issued pursuant to the Securities Purchase Agreement, including shares underlying warrants included in the Units. In addition, pursuant to the exercise of previously granted piggyback registration rights, each of GCE Holdings, LLC,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34,243,273 shares (representing approximately 65% of our shares outstanding on a fully-diluted basis –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lower our value and make it more difficult for us to raise capital if needed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rPr>
              <w:t>The exhibits required by this Item are listed below.</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Amendment to Executive Employment Agreement dated as of April 28, 2011 between Acura Pharmaceuticals, Inc. and Robert B. Jones.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Second Amendment to Executive Employment Agreement dated as of July 7, 2011 between Acura Pharmaceuticals, Inc. and Robert B.</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Jones.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 1934.</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 1934.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Certification of Periodic Report by the Chief Executive Officer and Chief Financial Officer pursuant to 18 U.S.C. Section 1350, as adopted</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w:t>
            </w:r>
          </w:p>
        </w:tc>
      </w:tr>
      <w:tr>
        <w:trPr>
          <w:trHeight w:val="608"/>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35</w:t>
            </w:r>
          </w:p>
        </w:tc>
      </w:tr>
      <w:tr>
        <w:trPr>
          <w:trHeight w:val="118"/>
        </w:trPr>
        <w:tc>
          <w:tcPr>
            <w:tcW w:w="840" w:type="dxa"/>
            <w:vAlign w:val="bottom"/>
            <w:tcBorders>
              <w:bottom w:val="single" w:sz="8" w:color="808080"/>
            </w:tcBorders>
          </w:tcPr>
          <w:p>
            <w:pPr>
              <w:spacing w:after="0"/>
              <w:rPr>
                <w:sz w:val="10"/>
                <w:szCs w:val="10"/>
                <w:color w:val="auto"/>
              </w:rPr>
            </w:pPr>
          </w:p>
        </w:tc>
        <w:tc>
          <w:tcPr>
            <w:tcW w:w="10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980"/>
        <w:spacing w:after="0"/>
        <w:tabs>
          <w:tab w:leader="none" w:pos="5700" w:val="left"/>
        </w:tabs>
        <w:rPr>
          <w:sz w:val="20"/>
          <w:szCs w:val="20"/>
          <w:color w:val="auto"/>
        </w:rPr>
      </w:pPr>
      <w:r>
        <w:rPr>
          <w:rFonts w:ascii="Arial" w:cs="Arial" w:eastAsia="Arial" w:hAnsi="Arial"/>
          <w:sz w:val="18"/>
          <w:szCs w:val="18"/>
          <w:color w:val="auto"/>
        </w:rPr>
        <w:t>July 28, 2011</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VP &amp; Chief Financial Officer</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TO EXECUTIVE EMPLOYMENT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made as of the 28th day of April, 2011 by and between </w:t>
      </w:r>
      <w:r>
        <w:rPr>
          <w:rFonts w:ascii="Arial" w:cs="Arial" w:eastAsia="Arial" w:hAnsi="Arial"/>
          <w:sz w:val="18"/>
          <w:szCs w:val="18"/>
          <w:b w:val="1"/>
          <w:bCs w:val="1"/>
          <w:color w:val="auto"/>
        </w:rPr>
        <w:t>ACURA PHARMACEUTICALS, INC.</w:t>
      </w:r>
      <w:r>
        <w:rPr>
          <w:rFonts w:ascii="Arial" w:cs="Arial" w:eastAsia="Arial" w:hAnsi="Arial"/>
          <w:sz w:val="18"/>
          <w:szCs w:val="18"/>
          <w:color w:val="auto"/>
        </w:rPr>
        <w:t>, a New York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with offices at 616 N. North Court, Suite 120, Palatine,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60067 and </w:t>
      </w:r>
      <w:r>
        <w:rPr>
          <w:rFonts w:ascii="Arial" w:cs="Arial" w:eastAsia="Arial" w:hAnsi="Arial"/>
          <w:sz w:val="18"/>
          <w:szCs w:val="18"/>
          <w:b w:val="1"/>
          <w:bCs w:val="1"/>
          <w:color w:val="auto"/>
        </w:rPr>
        <w:t>ROBERT B. JONES,</w:t>
      </w:r>
      <w:r>
        <w:rPr>
          <w:rFonts w:ascii="Arial" w:cs="Arial" w:eastAsia="Arial" w:hAnsi="Arial"/>
          <w:sz w:val="18"/>
          <w:szCs w:val="18"/>
          <w:color w:val="auto"/>
        </w:rPr>
        <w:t xml:space="preserve"> residing at 20 Beekman Terrace, Summit, New Jersey 07901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48" w:lineRule="exact"/>
        <w:rPr>
          <w:sz w:val="20"/>
          <w:szCs w:val="20"/>
          <w:color w:val="auto"/>
        </w:rPr>
      </w:pPr>
    </w:p>
    <w:p>
      <w:pPr>
        <w:ind w:left="1160" w:hanging="490"/>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Corporation and the Employee executed an employment agreement dated as of March 18, 2008 (the “</w:t>
      </w:r>
      <w:r>
        <w:rPr>
          <w:rFonts w:ascii="Arial" w:cs="Arial" w:eastAsia="Arial" w:hAnsi="Arial"/>
          <w:sz w:val="17"/>
          <w:szCs w:val="17"/>
          <w:b w:val="1"/>
          <w:bCs w:val="1"/>
          <w:color w:val="auto"/>
        </w:rPr>
        <w:t>Employment Agreement</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160" w:hanging="490"/>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and the Employee now desire to amend the Employment Agreement as provided herein.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undertakings herein contained, the parties agree as follows:</w:t>
      </w:r>
    </w:p>
    <w:p>
      <w:pPr>
        <w:spacing w:after="0" w:line="256" w:lineRule="exact"/>
        <w:rPr>
          <w:sz w:val="20"/>
          <w:szCs w:val="20"/>
          <w:color w:val="auto"/>
        </w:rPr>
      </w:pPr>
    </w:p>
    <w:p>
      <w:pPr>
        <w:ind w:firstLine="656"/>
        <w:spacing w:after="0" w:line="277" w:lineRule="auto"/>
        <w:tabs>
          <w:tab w:leader="none" w:pos="1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3(a) of the Employment Agreement is hereby amended to increase the Base Salary (as defined therein) from its current level of $300,000 to $338,500 effective as of the date of this Amendment.</w:t>
      </w:r>
    </w:p>
    <w:p>
      <w:pPr>
        <w:spacing w:after="0" w:line="197" w:lineRule="exact"/>
        <w:rPr>
          <w:rFonts w:ascii="Arial" w:cs="Arial" w:eastAsia="Arial" w:hAnsi="Arial"/>
          <w:sz w:val="18"/>
          <w:szCs w:val="18"/>
          <w:color w:val="auto"/>
        </w:rPr>
      </w:pPr>
    </w:p>
    <w:p>
      <w:pPr>
        <w:jc w:val="both"/>
        <w:ind w:firstLine="656"/>
        <w:spacing w:after="0" w:line="312" w:lineRule="auto"/>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expressly amended by this Amendment, the Employment Agreement remains in full force and effect. Capitalized terms used herein shall have the same meaning as in the Employment Agreement unless otherwise defined herein. This Amendment shall be governed and construed and enforced in accordance with the local laws of the State of New York applicable to agreements made and to be performed entirely in New York.</w:t>
      </w:r>
    </w:p>
    <w:p>
      <w:pPr>
        <w:spacing w:after="0" w:line="173" w:lineRule="exact"/>
        <w:rPr>
          <w:rFonts w:ascii="Arial" w:cs="Arial" w:eastAsia="Arial" w:hAnsi="Arial"/>
          <w:sz w:val="16"/>
          <w:szCs w:val="16"/>
          <w:color w:val="auto"/>
        </w:rPr>
      </w:pPr>
    </w:p>
    <w:p>
      <w:pPr>
        <w:ind w:firstLine="656"/>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may be executed in one or more facsimile, pdf e-mail, or original counterparts, each of which shall be deemed an original, but all of which taken together will constitute one and the same instrument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EMPLOYEE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EXECUTIVE EMPLOYMENT AGREEMENT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EXECUTIVE EMPLOYMENT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made as of the 7th day of July, 2011 by and between </w:t>
      </w:r>
      <w:r>
        <w:rPr>
          <w:rFonts w:ascii="Arial" w:cs="Arial" w:eastAsia="Arial" w:hAnsi="Arial"/>
          <w:sz w:val="18"/>
          <w:szCs w:val="18"/>
          <w:b w:val="1"/>
          <w:bCs w:val="1"/>
          <w:color w:val="auto"/>
        </w:rPr>
        <w:t>ACURA PHARMACEUTICALS, INC.</w:t>
      </w:r>
      <w:r>
        <w:rPr>
          <w:rFonts w:ascii="Arial" w:cs="Arial" w:eastAsia="Arial" w:hAnsi="Arial"/>
          <w:sz w:val="18"/>
          <w:szCs w:val="18"/>
          <w:color w:val="auto"/>
        </w:rPr>
        <w:t>, a New York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with offices at 616 N. North Court, Suite 120, Palatine, Illinois 60067 and </w:t>
      </w:r>
      <w:r>
        <w:rPr>
          <w:rFonts w:ascii="Arial" w:cs="Arial" w:eastAsia="Arial" w:hAnsi="Arial"/>
          <w:sz w:val="18"/>
          <w:szCs w:val="18"/>
          <w:b w:val="1"/>
          <w:bCs w:val="1"/>
          <w:color w:val="auto"/>
        </w:rPr>
        <w:t>ROBERT B. JONES,</w:t>
      </w:r>
      <w:r>
        <w:rPr>
          <w:rFonts w:ascii="Arial" w:cs="Arial" w:eastAsia="Arial" w:hAnsi="Arial"/>
          <w:sz w:val="18"/>
          <w:szCs w:val="18"/>
          <w:color w:val="auto"/>
        </w:rPr>
        <w:t xml:space="preserve"> residing at 20 Beekman Terrace, Summit, New Jersey 07901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ind w:left="13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 and the Employee executed an employment agreement dated as of March 18, 2008, as amended on April 28, 2011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 and the Employee now desire to further amend the Employment Agreement as provided herein.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undertakings herein contained, the parties agree as follows:</w:t>
      </w:r>
    </w:p>
    <w:p>
      <w:pPr>
        <w:spacing w:after="0" w:line="25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1.1 of the Employment Agreement is hereby deleted and replaced with the following:</w:t>
      </w:r>
    </w:p>
    <w:p>
      <w:pPr>
        <w:spacing w:after="0" w:line="25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Services</w:t>
      </w:r>
      <w:r>
        <w:rPr>
          <w:rFonts w:ascii="Arial" w:cs="Arial" w:eastAsia="Arial" w:hAnsi="Arial"/>
          <w:sz w:val="17"/>
          <w:szCs w:val="17"/>
          <w:color w:val="auto"/>
        </w:rPr>
        <w:t>. Commencing on April 7, 2008 (the “Commencement Date”) and during the period ending April 27, 2011, the Corporation shall employ the Employee to render exclusive and full-time paid services to the business and affairs of the Corporation as the Senior Vice President and Chief Operating Officer of the Corporation, subject to the direction of the Corporation's Chief Executive Officer ("CEO") and the Board of Directors of the Corporation, and, in connection therewith, commencing on the Commencement Date the Employee shall have all the duties and responsibilities customarily rendered by a Senior Vice President and Chief Operating Officer, and as may be further reasonably and customarily directed or requested to be performed by the CEO, to whom the Employee shall report, or the Board of Directors. Commencing April 28, 2011 and during the period ending July 6, 2011 the Corporation shall employ Employee to render exclusive and full-time paid services to the business and affairs of the Corporation as Interim President and Chief Executive Officer, subject to the direction of the Board of Directors of the Corporation. Commencing July 7, 2011 the Corporation shall employ the Employee for the Term (as hereinafter defined in Section 2 hereof), to render exclusive and full-time paid services to the business and affairs of the Corporation as President and CEO of the Corporation, subject to the direction of the Board of Directors of the Corporation, and in connection therewith, the Employee shall have all of the duties and responsibilities customarily rendered by a President and CEO, and as may be further reasonably and customarily directed or requested to be performed by the Board of Directors, to which the Employee shall report, and to use his commercially reasonable best efforts, skill and abilities to promote the interests of the Corporation and its subsidiaries. The Employee shall perform the services of the offices described above at his home office as well as by traveling to the Corporation's Culver, Indiana facility and Palatine, Illinois offices and such other locations as shall be designated by the Board of Directors from time to time, including, without limitation, the locations of contract research organizations, clinical trial sites, and such other locations as shall be required for meetings or presentations with prospective investors, counsel, prospective partners and other locations as the Board of Directors shall determine to be in the best business interests of the Corporation.”</w:t>
      </w:r>
    </w:p>
    <w:p>
      <w:pPr>
        <w:spacing w:after="0" w:line="220" w:lineRule="exact"/>
        <w:rPr>
          <w:sz w:val="20"/>
          <w:szCs w:val="20"/>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3(a) of the Employment Agreement is hereby amended to increase the Base Salary (as defined therein) from its current level of $338,500 to $377,000 effective as of the date of this Amendment.</w:t>
      </w:r>
    </w:p>
    <w:p>
      <w:pPr>
        <w:spacing w:after="0" w:line="197"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3(b) of the Employment Agreement is hereby amended to increase Employee’s annual bonus eligibility from thirty percent (30%) of Employee’s then current Base Salary to one hundred percent (100%) of Employee’s then current Base Salary.</w:t>
      </w:r>
    </w:p>
    <w:p>
      <w:pPr>
        <w:spacing w:after="0" w:line="173"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expressly amended by this Amendment, the Employment Agreement remains in full force and effect. Capitalized terms used herein shall have the same meaning as in the Employment Agreement unless otherwise defined herein. This Amendment shall be governed and construed and enforced in accordance with the local laws of the State of New York applicable to agreements made and to be performed entirely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may be executed in one or more facsimile, pdf e-mail, or original counterparts, each of which shall be deemed an original, but all of which taken together will constitute one and the same instrument.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EMPLOYEE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center"/>
        <w:ind w:right="312"/>
        <w:spacing w:after="0"/>
        <w:rPr>
          <w:sz w:val="20"/>
          <w:szCs w:val="20"/>
          <w:color w:val="auto"/>
        </w:rPr>
      </w:pPr>
      <w:r>
        <w:rPr>
          <w:rFonts w:ascii="Arial" w:cs="Arial" w:eastAsia="Arial" w:hAnsi="Arial"/>
          <w:sz w:val="18"/>
          <w:szCs w:val="18"/>
          <w:b w:val="1"/>
          <w:bCs w:val="1"/>
          <w:i w:val="1"/>
          <w:iCs w:val="1"/>
          <w:color w:val="auto"/>
        </w:rPr>
        <w:t>Exhibit 31.1</w:t>
      </w: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Robert B. Jones, the Chief Executive Officer of Acura Pharmaceuticals, Inc., certify that:</w:t>
      </w:r>
    </w:p>
    <w:p>
      <w:pPr>
        <w:spacing w:after="0" w:line="252" w:lineRule="exact"/>
        <w:rPr>
          <w:sz w:val="20"/>
          <w:szCs w:val="20"/>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0"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235" w:lineRule="exact"/>
        <w:rPr>
          <w:rFonts w:ascii="Arial" w:cs="Arial" w:eastAsia="Arial" w:hAnsi="Arial"/>
          <w:sz w:val="18"/>
          <w:szCs w:val="18"/>
          <w:color w:val="auto"/>
        </w:rPr>
      </w:pPr>
    </w:p>
    <w:p>
      <w:pPr>
        <w:jc w:val="both"/>
        <w:ind w:left="328" w:hanging="4"/>
        <w:spacing w:after="0" w:line="264" w:lineRule="auto"/>
        <w:tabs>
          <w:tab w:leader="none" w:pos="81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35" w:lineRule="exact"/>
        <w:rPr>
          <w:rFonts w:ascii="Arial" w:cs="Arial" w:eastAsia="Arial" w:hAnsi="Arial"/>
          <w:sz w:val="18"/>
          <w:szCs w:val="18"/>
          <w:color w:val="auto"/>
        </w:rPr>
      </w:pPr>
    </w:p>
    <w:p>
      <w:pPr>
        <w:jc w:val="both"/>
        <w:ind w:left="328" w:hanging="4"/>
        <w:spacing w:after="0" w:line="264" w:lineRule="auto"/>
        <w:tabs>
          <w:tab w:leader="none" w:pos="92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35" w:lineRule="exact"/>
        <w:rPr>
          <w:rFonts w:ascii="Arial" w:cs="Arial" w:eastAsia="Arial" w:hAnsi="Arial"/>
          <w:sz w:val="18"/>
          <w:szCs w:val="18"/>
          <w:color w:val="auto"/>
        </w:rPr>
      </w:pPr>
    </w:p>
    <w:p>
      <w:pPr>
        <w:ind w:left="328" w:hanging="4"/>
        <w:spacing w:after="0" w:line="308"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328" w:hanging="4"/>
        <w:spacing w:after="0" w:line="342" w:lineRule="auto"/>
        <w:tabs>
          <w:tab w:leader="none" w:pos="82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rFonts w:ascii="Arial" w:cs="Arial" w:eastAsia="Arial" w:hAnsi="Arial"/>
          <w:sz w:val="18"/>
          <w:szCs w:val="18"/>
          <w:color w:val="auto"/>
        </w:rPr>
      </w:pPr>
    </w:p>
    <w:p>
      <w:pPr>
        <w:ind w:left="328" w:hanging="4"/>
        <w:spacing w:after="0" w:line="308" w:lineRule="auto"/>
        <w:tabs>
          <w:tab w:leader="none" w:pos="756"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328" w:hanging="4"/>
        <w:spacing w:after="0" w:line="277" w:lineRule="auto"/>
        <w:tabs>
          <w:tab w:leader="none" w:pos="8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97" w:lineRule="exact"/>
        <w:rPr>
          <w:sz w:val="20"/>
          <w:szCs w:val="20"/>
          <w:color w:val="auto"/>
        </w:rPr>
      </w:pPr>
    </w:p>
    <w:p>
      <w:pPr>
        <w:ind w:left="328"/>
        <w:spacing w:after="0"/>
        <w:tabs>
          <w:tab w:leader="none" w:pos="6507" w:val="left"/>
        </w:tabs>
        <w:rPr>
          <w:sz w:val="20"/>
          <w:szCs w:val="20"/>
          <w:color w:val="auto"/>
        </w:rPr>
      </w:pPr>
      <w:r>
        <w:rPr>
          <w:rFonts w:ascii="Arial" w:cs="Arial" w:eastAsia="Arial" w:hAnsi="Arial"/>
          <w:sz w:val="18"/>
          <w:szCs w:val="18"/>
          <w:color w:val="auto"/>
        </w:rPr>
        <w:t>July 28,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14605</wp:posOffset>
            </wp:positionV>
            <wp:extent cx="28987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528"/>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528"/>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415290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11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2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242"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113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sz w:val="20"/>
          <w:szCs w:val="20"/>
          <w:color w:val="auto"/>
        </w:rPr>
      </w:pPr>
    </w:p>
    <w:p>
      <w:pPr>
        <w:ind w:left="660" w:hanging="4"/>
        <w:spacing w:after="0" w:line="308" w:lineRule="auto"/>
        <w:tabs>
          <w:tab w:leader="none" w:pos="107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660" w:hanging="4"/>
        <w:spacing w:after="0" w:line="277" w:lineRule="auto"/>
        <w:tabs>
          <w:tab w:leader="none" w:pos="1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97" w:lineRule="exact"/>
        <w:rPr>
          <w:sz w:val="20"/>
          <w:szCs w:val="20"/>
          <w:color w:val="auto"/>
        </w:rPr>
      </w:pPr>
    </w:p>
    <w:p>
      <w:pPr>
        <w:ind w:left="660"/>
        <w:spacing w:after="0"/>
        <w:tabs>
          <w:tab w:leader="none" w:pos="6880" w:val="left"/>
        </w:tabs>
        <w:rPr>
          <w:sz w:val="20"/>
          <w:szCs w:val="20"/>
          <w:color w:val="auto"/>
        </w:rPr>
      </w:pPr>
      <w:r>
        <w:rPr>
          <w:rFonts w:ascii="Arial" w:cs="Arial" w:eastAsia="Arial" w:hAnsi="Arial"/>
          <w:sz w:val="18"/>
          <w:szCs w:val="18"/>
          <w:color w:val="auto"/>
        </w:rPr>
        <w:t>July 28, 2011</w:t>
      </w:r>
      <w:r>
        <w:rPr>
          <w:sz w:val="20"/>
          <w:szCs w:val="20"/>
          <w:color w:val="auto"/>
        </w:rPr>
        <w:tab/>
      </w:r>
      <w:r>
        <w:rPr>
          <w:rFonts w:ascii="Arial" w:cs="Arial" w:eastAsia="Arial" w:hAnsi="Arial"/>
          <w:sz w:val="16"/>
          <w:szCs w:val="16"/>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Exhibit 32.1</w:t>
      </w:r>
    </w:p>
    <w:p>
      <w:pPr>
        <w:spacing w:after="0" w:line="25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2011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74" w:lineRule="exact"/>
        <w:rPr>
          <w:sz w:val="20"/>
          <w:szCs w:val="20"/>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340"/>
        <w:spacing w:after="0"/>
        <w:tabs>
          <w:tab w:leader="none" w:pos="6840" w:val="left"/>
        </w:tabs>
        <w:rPr>
          <w:sz w:val="20"/>
          <w:szCs w:val="20"/>
          <w:color w:val="auto"/>
        </w:rPr>
      </w:pPr>
      <w:r>
        <w:rPr>
          <w:rFonts w:ascii="Arial" w:cs="Arial" w:eastAsia="Arial" w:hAnsi="Arial"/>
          <w:sz w:val="18"/>
          <w:szCs w:val="18"/>
          <w:color w:val="auto"/>
        </w:rPr>
        <w:t>July 28,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upperLetter"/>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upperLetter"/>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2019-12-10T06:22:25Z</dcterms:created>
  <dcterms:modified xsi:type="dcterms:W3CDTF">2019-12-10T06:22:25Z</dcterms:modified>
</cp:coreProperties>
</file>