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6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right="1380" w:firstLine="8"/>
        <w:spacing w:after="0" w:line="501" w:lineRule="auto"/>
        <w:tabs>
          <w:tab w:leader="none" w:pos="64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154940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4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New York</w:t>
            </w:r>
          </w:p>
        </w:tc>
        <w:tc>
          <w:tcPr>
            <w:tcW w:w="406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2"/>
              </w:rPr>
              <w:t>(State or other Jurisdiction of</w:t>
            </w:r>
          </w:p>
        </w:tc>
        <w:tc>
          <w:tcPr>
            <w:tcW w:w="4060" w:type="dxa"/>
            <w:vAlign w:val="bottom"/>
          </w:tcPr>
          <w:p>
            <w:pPr>
              <w:jc w:val="center"/>
              <w:ind w:left="13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incorporation or organization)</w:t>
            </w:r>
          </w:p>
        </w:tc>
        <w:tc>
          <w:tcPr>
            <w:tcW w:w="4060" w:type="dxa"/>
            <w:vAlign w:val="bottom"/>
          </w:tcPr>
          <w:p>
            <w:pPr>
              <w:spacing w:after="0"/>
              <w:rPr>
                <w:sz w:val="20"/>
                <w:szCs w:val="20"/>
                <w:color w:val="auto"/>
              </w:rPr>
            </w:pPr>
          </w:p>
        </w:tc>
      </w:tr>
      <w:tr>
        <w:trPr>
          <w:trHeight w:val="414"/>
        </w:trPr>
        <w:tc>
          <w:tcPr>
            <w:tcW w:w="43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616 N. North Court, Suite 120</w:t>
            </w:r>
          </w:p>
        </w:tc>
        <w:tc>
          <w:tcPr>
            <w:tcW w:w="4060" w:type="dxa"/>
            <w:vAlign w:val="bottom"/>
          </w:tcPr>
          <w:p>
            <w:pPr>
              <w:spacing w:after="0"/>
              <w:rPr>
                <w:sz w:val="24"/>
                <w:szCs w:val="24"/>
                <w:color w:val="auto"/>
              </w:rPr>
            </w:pPr>
          </w:p>
        </w:tc>
      </w:tr>
      <w:tr>
        <w:trPr>
          <w:trHeight w:val="220"/>
        </w:trPr>
        <w:tc>
          <w:tcPr>
            <w:tcW w:w="4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Palatine, Illinois</w:t>
            </w:r>
          </w:p>
        </w:tc>
        <w:tc>
          <w:tcPr>
            <w:tcW w:w="406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60" w:type="dxa"/>
            <w:vAlign w:val="bottom"/>
          </w:tcPr>
          <w:p>
            <w:pPr>
              <w:jc w:val="center"/>
              <w:ind w:left="139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filer, “accelerated filer” and “smaller reporting company” in Rule 12b-2 of the Exchange Act. (Check one):</w:t>
      </w:r>
    </w:p>
    <w:p>
      <w:pPr>
        <w:sectPr>
          <w:pgSz w:w="11900" w:h="16838" w:orient="portrait"/>
          <w:cols w:equalWidth="0" w:num="1">
            <w:col w:w="11420"/>
          </w:cols>
          <w:pgMar w:left="240" w:top="445" w:right="239" w:bottom="1440" w:gutter="0" w:footer="0" w:header="0"/>
        </w:sectPr>
      </w:pPr>
    </w:p>
    <w:p>
      <w:pPr>
        <w:spacing w:after="0" w:line="211" w:lineRule="exact"/>
        <w:rPr>
          <w:sz w:val="24"/>
          <w:szCs w:val="24"/>
          <w:color w:val="auto"/>
        </w:rPr>
      </w:pPr>
    </w:p>
    <w:p>
      <w:pPr>
        <w:spacing w:after="0" w:line="234" w:lineRule="exact"/>
        <w:rPr>
          <w:sz w:val="20"/>
          <w:szCs w:val="20"/>
          <w:color w:val="auto"/>
        </w:rPr>
      </w:pPr>
      <w:r>
        <w:rPr>
          <w:rFonts w:ascii="Arial" w:cs="Arial" w:eastAsia="Arial" w:hAnsi="Arial"/>
          <w:sz w:val="16"/>
          <w:szCs w:val="16"/>
          <w:color w:val="auto"/>
        </w:rPr>
        <w:t xml:space="preserve">Large accelerated filer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þ</w:t>
      </w:r>
    </w:p>
    <w:p>
      <w:pPr>
        <w:spacing w:after="0" w:line="199" w:lineRule="exact"/>
        <w:rPr>
          <w:sz w:val="24"/>
          <w:szCs w:val="24"/>
          <w:color w:val="auto"/>
        </w:rPr>
      </w:pPr>
    </w:p>
    <w:p>
      <w:pPr>
        <w:sectPr>
          <w:pgSz w:w="11900" w:h="16838" w:orient="portrait"/>
          <w:cols w:equalWidth="0" w:num="3">
            <w:col w:w="1740" w:space="20"/>
            <w:col w:w="1880" w:space="720"/>
            <w:col w:w="7060"/>
          </w:cols>
          <w:pgMar w:left="240" w:top="445" w:right="23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29, 2016 the registrant had 11,833,801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85"/>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0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2016 and December 31, 2015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Operations and Comprehensive Income (Loss) for the Three months Ended March 31, 2016 and March</w:t>
              </w:r>
            </w:hyperlink>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80" w:type="dxa"/>
            <w:vAlign w:val="bottom"/>
            <w:gridSpan w:val="1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31, 2015 (unaudited)</w:t>
              </w:r>
            </w:hyperlink>
          </w:p>
        </w:tc>
        <w:tc>
          <w:tcPr>
            <w:tcW w:w="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Three months Ended March 31, 2016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2016 and March 31, 2015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0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80" w:type="dxa"/>
            <w:vAlign w:val="bottom"/>
            <w:gridSpan w:val="1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340" w:type="dxa"/>
            <w:vAlign w:val="bottom"/>
            <w:tcBorders>
              <w:top w:val="single" w:sz="8" w:color="CCEEFF"/>
              <w:bottom w:val="single" w:sz="8" w:color="auto"/>
            </w:tcBorders>
            <w:gridSpan w:val="8"/>
          </w:tcPr>
          <w:p>
            <w:pPr>
              <w:ind w:left="4600"/>
              <w:spacing w:after="0"/>
              <w:rPr>
                <w:sz w:val="20"/>
                <w:szCs w:val="20"/>
                <w:color w:val="auto"/>
              </w:rPr>
            </w:pPr>
            <w:r>
              <w:rPr>
                <w:rFonts w:ascii="Arial" w:cs="Arial" w:eastAsia="Arial" w:hAnsi="Arial"/>
                <w:sz w:val="22"/>
                <w:szCs w:val="22"/>
                <w:color w:val="auto"/>
              </w:rPr>
              <w:t>1</w:t>
            </w:r>
          </w:p>
        </w:tc>
        <w:tc>
          <w:tcPr>
            <w:tcW w:w="10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ACURA PHARMACEUTICALS, INC.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ind w:left="390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Marketable securities (Note 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7,687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$5 and $91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(Note 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11,632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 (Note 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Intangible asset, net of accumulated amortization of $414 and $362 (Note 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ind w:left="236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(Note 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Sales returns liability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 current (Note 11)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92"/>
              </w:rPr>
              <w:t>Debt – non-current portion, net of discount of $167 and $193, and debt issuance costs of $83 and $97 (Note 11)</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 non-current portion</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 $.01 par value per share; 100,000 shares authorized, 11,834 and 11,801 shares issued and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at March 31, 2016 and December 31, 2015,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375,325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(370,694)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4,754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14,421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Three months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7"/>
          </w:tcPr>
          <w:p>
            <w:pPr>
              <w:jc w:val="right"/>
              <w:ind w:right="84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2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revenues, net</w:t>
            </w:r>
          </w:p>
        </w:tc>
        <w:tc>
          <w:tcPr>
            <w:tcW w:w="2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and expenses</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Inventory write-down (Note 8)</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Sales, marketing, general and administrative</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2,246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11)</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 net</w:t>
            </w: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Unrealized gains on securities</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(income) per share: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Basic</w:t>
            </w:r>
          </w:p>
        </w:tc>
        <w:tc>
          <w:tcPr>
            <w:tcW w:w="2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11,968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7"/>
          </w:tcPr>
          <w:p>
            <w:pPr>
              <w:jc w:val="right"/>
              <w:ind w:right="140"/>
              <w:spacing w:after="0"/>
              <w:rPr>
                <w:sz w:val="20"/>
                <w:szCs w:val="20"/>
                <w:color w:val="auto"/>
              </w:rPr>
            </w:pPr>
            <w:r>
              <w:rPr>
                <w:rFonts w:ascii="Arial" w:cs="Arial" w:eastAsia="Arial" w:hAnsi="Arial"/>
                <w:sz w:val="18"/>
                <w:szCs w:val="18"/>
                <w:color w:val="auto"/>
                <w:w w:val="93"/>
              </w:rPr>
              <w:t>Three months Ended March 31, 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Paid-in</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9"/>
                <w:szCs w:val="19"/>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Comprehensive</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Shares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Income (Loss)</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distribution of common stock</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pursuant to restricted stock unit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award plan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375,325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(370,694)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(3,384)</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Provision for sales returns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Amortization of intangible asset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sales of marketable securities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Accrued investment income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deferred assets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Principal payments on debt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2,485</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Interest</w:t>
            </w: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ACURA PHARMACEUTICALS, INC. AND SUBSIDIAR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 expect per share amounts and are adjusted to give effect to our one-for-five reverse stock split on August 28,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2015</w:t>
      </w:r>
    </w:p>
    <w:p>
      <w:pPr>
        <w:spacing w:after="0" w:line="225" w:lineRule="exact"/>
        <w:rPr>
          <w:sz w:val="20"/>
          <w:szCs w:val="20"/>
          <w:color w:val="auto"/>
        </w:rPr>
      </w:pPr>
    </w:p>
    <w:p>
      <w:pPr>
        <w:ind w:left="260" w:hanging="252"/>
        <w:spacing w:after="0" w:line="34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exercise price of 60 thousand common stock purchase warrants held by the lender of our debt was changed from $7.98 to $2.52 per share. The change in fair value of $33 was recorded as additional debt discount and is being amortized as interest expense over the remaining term of this debt.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 AND MARCH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Acura Pharmaceuticals, Inc., a New York corporation, and its subsidiary (the “Company”, “We”, “Us”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w:t>
      </w:r>
    </w:p>
    <w:p>
      <w:pPr>
        <w:spacing w:after="0" w:line="188" w:lineRule="exact"/>
        <w:rPr>
          <w:sz w:val="20"/>
          <w:szCs w:val="20"/>
          <w:color w:val="auto"/>
        </w:rPr>
      </w:pPr>
    </w:p>
    <w:p>
      <w:pPr>
        <w:jc w:val="both"/>
        <w:ind w:left="660" w:hanging="328"/>
        <w:spacing w:after="0" w:line="26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w:t>
      </w:r>
    </w:p>
    <w:p>
      <w:pPr>
        <w:spacing w:after="0" w:line="3"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Nexafed® Tablets (30mg pseudoephedrine) and Nexafed® Sinus Pressure + Pain Tablets (30/325mg pseudoephedrine and acetaminophen), utilizing the Impede Technology, were launched by us into the United States market in December 2012 and February 2015, respectively. We have multiple pseudoephedrine products in development utilizing our Impede Technology. On June 15, 2015, we and Bayer Healthcare LLC entered into a License and Development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w:t>
      </w:r>
    </w:p>
    <w:p>
      <w:pPr>
        <w:spacing w:after="0" w:line="2"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third abuse deterrent technology, Limitx, is designed to retard the release of active drug ingredients when too many tablets are accidently or purposefully ingested. We are conducting our first clinical study, Study AP-LTX-400, of our lead Limitx immediate release oral abuse deterrent drug candidate using the opioid hydromorphone HCI (LTX-04). Study AP-LTX-400, or Study 400, is a two cohort, open label, crossover design pharmacokinetic study in healthy adult subjects. The FDA has designated the development program for LTX-04 as Fast Track, which is designed to facilitate the development, and expedite the review of drugs to treat serious conditions and fill an unmet medical need. On April 13, 2016 we announced that topline interim results from Cohort 1 of Study 400 for one test formulation of LTX-04 successfully demonstrated the release of the active opioid ingredient was reduced when three intact tablets were ingested, but that additional formulation development will be required for LTX-04 to deliver a sufficient amount of the active ingredient when one or two tablets are administered. We are also developing an immediate-release hydrocodone bitartrate with acetaminophen product utilizing our Limitx Technology.</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presented have been rounded to the nearest thousand, where indicated, except share and per share data. The equity amounts and all share and per share data of the Company have been retroactively adjusted to reflect a one-for-five reverse stock split effected by us on August 28,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At March 31, 2016, we had unrestricted cash, cash equivalents and marketable securities (after deduction of a $2.5 million compensating balance requirement under our term loan with Oxford) of $8.5 million, unrestricted working capital of $4.7 million, and an accumulated deficit of $370.7 million. We had a loss from operations of $3.1 million and a net loss of $3.4 million for the three months ended March 31, 2016.</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90" w:lineRule="auto"/>
        <w:rPr>
          <w:sz w:val="20"/>
          <w:szCs w:val="20"/>
          <w:color w:val="auto"/>
        </w:rPr>
      </w:pPr>
      <w:r>
        <w:rPr>
          <w:rFonts w:ascii="Arial" w:cs="Arial" w:eastAsia="Arial" w:hAnsi="Arial"/>
          <w:sz w:val="16"/>
          <w:szCs w:val="16"/>
          <w:color w:val="auto"/>
        </w:rPr>
        <w:t>We estimate that our current unrestricted cash, cash equivalent and marketable securities will be sufficient to fund the development of our products utilizing our Limitx and Impede Technologies, the commercialization of our Nexafed products and our related operating expenses through the first quarter of 2017.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supersedes nearly all existing revenue recognition guidance under U.S. GAAP. The core principle of ASU 2014-09 is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standard is effective for annual periods beginning after December 15, 2017,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transition method we will utilize to adopt the standard for use in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Uncertainties about an Entity’s Ability to Continue as a Going Concern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which will explicitly require management to assess an entity’s ability to continue as a going concern and to provide related footnote disclosures in certain circumstances. Currently, there is no guidance in GAAP about management’s responsibility to evaluate whether there is substantial doubt about an entity’s ability to continue as a going concern or to provide related footnote disclosures. The amendments in this Update provide that guidance. In doing so, the amendments should reduce diversity in the timing and content of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The amendments in this update are effective for the first annual period ending after December 15, 2016, and for annual periods and interim periods thereafter. Early application is permitted. The Company is currently evaluating the impact of adopting this update on its financial statements.</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2015, the FASB issued ASU No. 2015-11, which amended Accounting Standards Codification (“ASC”) Topic 330 Inventory. The amendment simplifies the measurement of inventory, applying to inventories for which cost is determined by methods other than last-in first-out (LIFO) and the retail inventory method (RIM), specifying that an entity should measure inventory at the lower of cost and net realizable value instead of at the lower of cost or market. The amendments in this ASU are effective for fiscal years beginning after December 15, 2016, and interim periods therein. The Company is currently assessing the impact the adoption of the amendment will have on its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will require most leases (with the exception of leases with terms of less than one year) to be recognized on the balance sheet as an asset and a lease liability.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method beginning with the earliest comparative period presented. The Company is currently evaluating the effect of the new standard on its consolidated financial statements and related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Stock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2016, the FASB issued ASU 2016-09, “Compensation - Stock Compensation (Topic 718),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ASU 2016-09 allows for simplification of several aspects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classifications of awards as either equity or liabilities, and classification on the statement of cash flows. Under ASU 2016-09, all excess tax benefits and tax deficiencies (including tax benefits of dividends) on share-based payment awards) should be recognized as income tax expense or benefit in the income statement. ASU 2016-09 also requires recognition of excess tax benefits regardless of whether the benefit reduces taxes payable in the current period. ASU 2016-09 further permits the withholding of an amount up to employee’s maximum individual tax rate in the relevant jurisdiction without resulting in a liability classification. ASU 2016-09 also requires any excess tax benefits be classified along with other income tax cash flows as an operating activity and cash paid by an employer when directly withholding shares for tax-withholding purposes be to be classified as a financing activity. ASU 2016-09 is effective for public companies for interim and annual periods beginning after December 15, 2016. The Company is currently evaluating the impact of ASU 2016-09 on the Company’s consolidated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the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The Bayer Agreement also grants Bayer first right to negotiate a license to the Impede technology for certain other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Bayer have formed a joint development committee to coordinate development of the Bayer Licensed Product. We will be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the Bayer Agreement with respect to each country expires when royalties are no longer payable with respect to such country. After expiration of the term Bayer retains a license to sell the Bayer Licensed Product on a royalty free basis. Either party may terminate the Bayer Agreement in its entirety if the other party materially breaches the Bayer Agreement, subject to an applicable cure period, or in the event the other party makes an assignment for the benefit of creditors, files a petition in bankruptcy or otherwise seeks relief under applicable bankruptcy laws. Bayer may terminate the Bayer Agreement immediately prior to completion of our development obligations or at any time upon six (6) months prior written notice thereafter. We may terminate the Bayer Agreement with respect to the U.S. if Bayer ceases or suspends development or commercialization of the Bayer Licensed Product for a certain period of time.</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Terminated Pfizer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2007, we entered into License, Development and Commercialization Agreement for Oxaydo (named Oxecta® under a Pfizer trademark) and other Aversion opioid development products with King Pharmaceuticals Research and Development, Inc., which became a subsidiary of Pfizer in 2011 (the “Pfizer Agreement”). In April 2014, we entered into a letter agreement with Pfizer providing for the termination of the Pfizer Agreement and the return to us of Oxaydo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Oxaydo. During each of the three month periods ending March 31, 2016 and 2015, we recognized amortization expense on this intangible asset of $52 thousand. We also purchased from Pfizer in April 2014 selected raw and packaging material inventories relating to Oxaydo for $260 thousand. During first quarter 2015, we recorded a $260 thousand expense from an inventory obsolescence reserve against these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7, 2015, we and Egalet entered into a Collaboration and License Agreement to commercialize Oxaydo tablets (formerly known as Oxecta) utilizing our Aversion® Technology. Egalet paid us $5.0 million upon signing the Egalet Agreement. The payment was non-refundable and non-creditable when made and we had no further requirements to earn the payment. The amount was recognized as revenue when received (see Note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Collaboration revenue is derived from reimbursement of development expenses, such as under the Bayer Agreement, and are recognized when costs are incurred pursuant to the agreement. The ongoing research and development services being provided under the collaboration are priced at fair value based upon the reimbursement of labor and expenses incurred pursuant to the collaboration agreements. During the three month period ended March 31, 2016, we recognized collaboration revenue of $100 thousand. We did not recognize any collaboration revenue during the three month period ended March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Egalet’s first commercial sale of Oxaydo occurred in October 2015. We recognized royalty revenue of $17 thousand on Oxaydo net sales during the three month period ended March 31, 2016 (see Note 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The Nexafed products currently have a shelf life of twenty-four months from the date of manufacture. Given the limited sales history of our Nexafed products, we could not reliably estimate expected returns of the product at the time of shipment to certain customers. During the first quarter of 2015, we determined we had obtained sufficient sales returns history to reasonably estimate future product returns from those customers. We recorded a one-time adjustment in the first quarter of 2015 to recognize revenue that had previously been deferred, resulting in additional net revenues of $314 thousand after recording a liability for sales returns of $120 thousand, and additional cost of sales of $255 thousand. We currently recognize revenue from our Nexafed product line when the price is fixed and determinable at the date of sale, title and risk of ownership have been transferred to the customer, and returns can be reasonably estimated, which generally occurs at the time of product shipment. At March 31, 2016 and December 31, 2015, we had a $242 thousand and $205 thousand sales returns liability, respectively, which is reviewed against sales returns activity each calendar quarter for adjustment.</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the Nexafed product line during each of the three month periods ended March 31, 2016 and 2015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RESEARCH AND DEVELOPMENT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During 2015, we entered into a $200 thousand cancelable arrangement for contract manufacturing services on a project to integrate Impede 2.0 technology into our commercially available Nexafed 30mg tablet while moving supply to an alternate contract manufacturer. Approximately $148 thousand and $200 thousand of services was remaining to be performed under this agreement at March 31, 2016 and December 31, 2015, respectively. At March 31, 2016, we had prepaid services costs of $22 thousand under this agreement. No service costs were prepaid under this agreement at December 31, 2015. We did not have prepaid CRO costs or clinical trial study expenses at either March 31, 2016 or December 31,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NOTE 7 - INVESTMENTS IN MARKETABLE SECURITIES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7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940" w:type="dxa"/>
            <w:vAlign w:val="bottom"/>
            <w:gridSpan w:val="7"/>
          </w:tcPr>
          <w:p>
            <w:pPr>
              <w:ind w:left="200"/>
              <w:spacing w:after="0"/>
              <w:rPr>
                <w:sz w:val="20"/>
                <w:szCs w:val="20"/>
                <w:color w:val="auto"/>
              </w:rPr>
            </w:pPr>
            <w:r>
              <w:rPr>
                <w:rFonts w:ascii="Arial" w:cs="Arial" w:eastAsia="Arial" w:hAnsi="Arial"/>
                <w:sz w:val="18"/>
                <w:szCs w:val="18"/>
                <w:color w:val="auto"/>
                <w:w w:val="92"/>
              </w:rPr>
              <w:t>March 31, 2016  December 31, 2015</w:t>
            </w:r>
          </w:p>
        </w:tc>
      </w:tr>
      <w:tr>
        <w:trPr>
          <w:trHeight w:val="210"/>
        </w:trPr>
        <w:tc>
          <w:tcPr>
            <w:tcW w:w="1720" w:type="dxa"/>
            <w:vAlign w:val="bottom"/>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(in millions)</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millions)</w:t>
            </w:r>
          </w:p>
        </w:tc>
        <w:tc>
          <w:tcPr>
            <w:tcW w:w="6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Corporate bonds - maturing after 1 year and through March 2017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30"/>
        </w:trPr>
        <w:tc>
          <w:tcPr>
            <w:tcW w:w="1720" w:type="dxa"/>
            <w:vAlign w:val="bottom"/>
          </w:tcPr>
          <w:p>
            <w:pPr>
              <w:spacing w:after="0"/>
              <w:rPr>
                <w:sz w:val="19"/>
                <w:szCs w:val="19"/>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Exchange-traded funds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0"/>
        </w:trPr>
        <w:tc>
          <w:tcPr>
            <w:tcW w:w="17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 meet our</w:t>
      </w:r>
      <w:r>
        <w:rPr>
          <w:rFonts w:ascii="Arial" w:cs="Arial" w:eastAsia="Arial" w:hAnsi="Arial"/>
          <w:sz w:val="18"/>
          <w:szCs w:val="18"/>
          <w:color w:val="auto"/>
        </w:rPr>
        <w:t xml:space="preserve"> </w:t>
      </w:r>
      <w:r>
        <w:rPr>
          <w:rFonts w:ascii="Arial" w:cs="Arial" w:eastAsia="Arial" w:hAnsi="Arial"/>
          <w:sz w:val="18"/>
          <w:szCs w:val="18"/>
          <w:color w:val="111111"/>
        </w:rPr>
        <w:t>working capital needs.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 Current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March 31, 2016</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00"/>
              <w:spacing w:after="0" w:line="195" w:lineRule="exact"/>
              <w:rPr>
                <w:sz w:val="20"/>
                <w:szCs w:val="20"/>
                <w:color w:val="auto"/>
              </w:rPr>
            </w:pPr>
            <w:r>
              <w:rPr>
                <w:rFonts w:ascii="Arial" w:cs="Arial" w:eastAsia="Arial" w:hAnsi="Arial"/>
                <w:sz w:val="18"/>
                <w:szCs w:val="18"/>
                <w:color w:val="auto"/>
                <w:w w:val="87"/>
              </w:rPr>
              <w:t>Gross</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421"/>
        </w:trPr>
        <w:tc>
          <w:tcPr>
            <w:tcW w:w="68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tcPr>
          <w:p>
            <w:pPr>
              <w:jc w:val="right"/>
              <w:ind w:right="75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color w:val="auto"/>
              </w:rPr>
              <w:t>December 31, 2015</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color w:val="auto"/>
              </w:rPr>
              <w:t>(in millions)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425"/>
        </w:trPr>
        <w:tc>
          <w:tcPr>
            <w:tcW w:w="68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75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10.9</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-2014855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-1731645</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-582295</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-299720</wp:posOffset>
            </wp:positionV>
            <wp:extent cx="57975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920" w:space="720"/>
            <w:col w:w="5780"/>
          </w:cols>
          <w:pgMar w:left="240" w:top="908" w:right="239" w:bottom="1440" w:gutter="0" w:footer="0" w:header="0"/>
          <w:type w:val="continuous"/>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Our assets measured at fair value or disclosed at fair value on a recurring basis as at March 31, 2016 and December 31, 2015 consisted of the following:</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92"/>
              </w:rPr>
              <w:t>March 31, 2016</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96"/>
              </w:rPr>
              <w:t>(in millions)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Level 1</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3</w:t>
            </w:r>
          </w:p>
        </w:tc>
        <w:tc>
          <w:tcPr>
            <w:tcW w:w="60" w:type="dxa"/>
            <w:vAlign w:val="bottom"/>
          </w:tcPr>
          <w:p>
            <w:pPr>
              <w:spacing w:after="0"/>
              <w:rPr>
                <w:sz w:val="19"/>
                <w:szCs w:val="19"/>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39"/>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88"/>
              </w:rPr>
              <w:t>December 31, 2015</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3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96"/>
              </w:rPr>
              <w:t>(in millions)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19"/>
                <w:szCs w:val="19"/>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March 31, 2016 consisted of unrealized gains on securities of $5 thousand. Accumulated other comprehensive income (loss) at December 31, 2015 consisted of unrealized losses on securities of $65 thousand.</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 INVENTORIES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consist of raw materials and finished goods on our Nexafed product at March 31, 2016. Inventories are stated at the lower of cost (first-in, first-out method) or market (net realizable value). We write down inventories to net realizable value based on forecasted demand and market conditions, which may differ from actual results. During the quarter ended March 31, 2015, we recorded a $260 thousand reserve expense against the Oxaydo raw and packaging material inventory we purchased from Pfizer. Our purchases of ingredients and other materials required in our development and clinical trial activities are expensed as incurred.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17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40" w:type="dxa"/>
            <w:vAlign w:val="bottom"/>
            <w:gridSpan w:val="5"/>
          </w:tcPr>
          <w:p>
            <w:pPr>
              <w:ind w:left="80"/>
              <w:spacing w:after="0"/>
              <w:rPr>
                <w:sz w:val="20"/>
                <w:szCs w:val="20"/>
                <w:color w:val="auto"/>
              </w:rPr>
            </w:pPr>
            <w:r>
              <w:rPr>
                <w:rFonts w:ascii="Arial" w:cs="Arial" w:eastAsia="Arial" w:hAnsi="Arial"/>
                <w:sz w:val="18"/>
                <w:szCs w:val="18"/>
                <w:color w:val="auto"/>
              </w:rPr>
              <w:t>March 31,</w:t>
            </w:r>
          </w:p>
        </w:tc>
        <w:tc>
          <w:tcPr>
            <w:tcW w:w="1060" w:type="dxa"/>
            <w:vAlign w:val="bottom"/>
            <w:gridSpan w:val="4"/>
          </w:tcPr>
          <w:p>
            <w:pPr>
              <w:spacing w:after="0"/>
              <w:rPr>
                <w:sz w:val="20"/>
                <w:szCs w:val="20"/>
                <w:color w:val="auto"/>
              </w:rPr>
            </w:pPr>
            <w:r>
              <w:rPr>
                <w:rFonts w:ascii="Arial" w:cs="Arial" w:eastAsia="Arial" w:hAnsi="Arial"/>
                <w:sz w:val="18"/>
                <w:szCs w:val="18"/>
                <w:color w:val="auto"/>
                <w:w w:val="91"/>
              </w:rPr>
              <w:t>December 31,</w:t>
            </w:r>
          </w:p>
        </w:tc>
      </w:tr>
      <w:tr>
        <w:trPr>
          <w:trHeight w:val="230"/>
        </w:trPr>
        <w:tc>
          <w:tcPr>
            <w:tcW w:w="17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2016</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2015</w:t>
            </w:r>
          </w:p>
        </w:tc>
        <w:tc>
          <w:tcPr>
            <w:tcW w:w="6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0"/>
        </w:trPr>
        <w:tc>
          <w:tcPr>
            <w:tcW w:w="17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reserve for finished goods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17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top w:val="single" w:sz="8" w:color="CCEEFF"/>
            </w:tcBorders>
            <w:shd w:val="clear" w:color="auto" w:fill="CCEEFF"/>
          </w:tcPr>
          <w:p>
            <w:pPr>
              <w:spacing w:after="0"/>
              <w:rPr>
                <w:sz w:val="18"/>
                <w:szCs w:val="18"/>
                <w:color w:val="auto"/>
              </w:rPr>
            </w:pPr>
          </w:p>
        </w:tc>
      </w:tr>
      <w:tr>
        <w:trPr>
          <w:trHeight w:val="426"/>
        </w:trPr>
        <w:tc>
          <w:tcPr>
            <w:tcW w:w="7600" w:type="dxa"/>
            <w:vAlign w:val="bottom"/>
            <w:gridSpan w:val="2"/>
          </w:tcPr>
          <w:p>
            <w:pPr>
              <w:spacing w:after="0"/>
              <w:rPr>
                <w:sz w:val="20"/>
                <w:szCs w:val="20"/>
                <w:color w:val="auto"/>
              </w:rPr>
            </w:pPr>
            <w:r>
              <w:rPr>
                <w:rFonts w:ascii="Arial" w:cs="Arial" w:eastAsia="Arial" w:hAnsi="Arial"/>
                <w:sz w:val="18"/>
                <w:szCs w:val="18"/>
                <w:color w:val="auto"/>
                <w:w w:val="96"/>
              </w:rPr>
              <w:t>Inventory reserve activity during the three months ended March 31, 2016 and 2015 was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7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5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Reserve expense - raw and packaging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r>
      <w:tr>
        <w:trPr>
          <w:trHeight w:val="210"/>
        </w:trPr>
        <w:tc>
          <w:tcPr>
            <w:tcW w:w="17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Inventory write-offs - finished goods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PLANT AND EQUIPMENT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are stated at cost of $2,802 thousand and $2,754 thousand, less accumulated depreciation of $(1,774) thousand and $(1,741) thousand at March 31, 2016 and December 31, 2015, respectively.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depreciation expense was $34 thousand and $30 thousand for the three month periods ended March 31, 2016 and 2015, respectively. Depreciation expense is recorded on a straight-line basis over the estimated useful lives of the related assets. The estimated useful lives of the major classification of depreciable assets are:</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- 40 years</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Land and improvements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- 40 years</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Scientific equipment</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NOTE 10 - ACCRUED EXPENSES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60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7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March 31,</w:t>
            </w:r>
          </w:p>
        </w:tc>
        <w:tc>
          <w:tcPr>
            <w:tcW w:w="1080" w:type="dxa"/>
            <w:vAlign w:val="bottom"/>
            <w:gridSpan w:val="4"/>
          </w:tcPr>
          <w:p>
            <w:pPr>
              <w:spacing w:after="0"/>
              <w:rPr>
                <w:sz w:val="20"/>
                <w:szCs w:val="20"/>
                <w:color w:val="auto"/>
              </w:rPr>
            </w:pPr>
            <w:r>
              <w:rPr>
                <w:rFonts w:ascii="Arial" w:cs="Arial" w:eastAsia="Arial" w:hAnsi="Arial"/>
                <w:sz w:val="18"/>
                <w:szCs w:val="18"/>
                <w:color w:val="auto"/>
                <w:w w:val="93"/>
              </w:rPr>
              <w:t>December 31,</w:t>
            </w:r>
          </w:p>
        </w:tc>
      </w:tr>
      <w:tr>
        <w:trPr>
          <w:trHeight w:val="230"/>
        </w:trPr>
        <w:tc>
          <w:tcPr>
            <w:tcW w:w="17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7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171</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Property taxes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115</w:t>
            </w: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fees and services</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4"/>
              </w:rPr>
              <w:t>1,155</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of March 31, 2016, we have made $2.4 million in principal payments.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 The fair value of the warrants was determined using the Black-Scholes option-pricing model. Significant assumptions used in the Black-Scholes model were:</w:t>
      </w:r>
    </w:p>
    <w:p>
      <w:pPr>
        <w:spacing w:after="0" w:line="18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Expected term (years)</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March 31, 2016, we have accrued and accumulated $433 thousand of additional interest.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Our debt is summarized below (in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Current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Long-term</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Principal payments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Balance at Mar 31, 2016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Debt Discount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Current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Long-term</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Modification of warrants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Balance at Mar 31, 2016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Deferred Debt Issuance Costs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Current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Long-term</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Amortization expense</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 31, 2016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at Mar 31, 2016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for the three months ended March 31, 2016 and 2015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2015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Term loan</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Debt issue costs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8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120" w:type="dxa"/>
            <w:vAlign w:val="bottom"/>
            <w:gridSpan w:val="4"/>
          </w:tcPr>
          <w:p>
            <w:pPr>
              <w:spacing w:after="0"/>
              <w:rPr>
                <w:sz w:val="20"/>
                <w:szCs w:val="20"/>
                <w:color w:val="auto"/>
              </w:rPr>
            </w:pPr>
            <w:r>
              <w:rPr>
                <w:rFonts w:ascii="Arial" w:cs="Arial" w:eastAsia="Arial" w:hAnsi="Arial"/>
                <w:sz w:val="18"/>
                <w:szCs w:val="18"/>
                <w:color w:val="auto"/>
              </w:rPr>
              <w:t>The annual principal payments of the debt at March 31, 2016 are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Annual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820" w:type="dxa"/>
            <w:vAlign w:val="bottom"/>
            <w:gridSpan w:val="3"/>
            <w:vMerge w:val="restart"/>
          </w:tcPr>
          <w:p>
            <w:pPr>
              <w:ind w:left="560"/>
              <w:spacing w:after="0"/>
              <w:rPr>
                <w:sz w:val="20"/>
                <w:szCs w:val="20"/>
                <w:color w:val="auto"/>
              </w:rPr>
            </w:pPr>
            <w:r>
              <w:rPr>
                <w:rFonts w:ascii="Arial" w:cs="Arial" w:eastAsia="Arial" w:hAnsi="Arial"/>
                <w:sz w:val="18"/>
                <w:szCs w:val="18"/>
                <w:color w:val="auto"/>
              </w:rPr>
              <w:t>Year</w:t>
            </w:r>
          </w:p>
        </w:tc>
        <w:tc>
          <w:tcPr>
            <w:tcW w:w="2020" w:type="dxa"/>
            <w:vAlign w:val="bottom"/>
            <w:gridSpan w:val="10"/>
          </w:tcPr>
          <w:p>
            <w:pPr>
              <w:jc w:val="right"/>
              <w:ind w:right="620"/>
              <w:spacing w:after="0"/>
              <w:rPr>
                <w:sz w:val="20"/>
                <w:szCs w:val="20"/>
                <w:color w:val="auto"/>
              </w:rPr>
            </w:pPr>
            <w:r>
              <w:rPr>
                <w:rFonts w:ascii="Arial" w:cs="Arial" w:eastAsia="Arial" w:hAnsi="Arial"/>
                <w:sz w:val="18"/>
                <w:szCs w:val="18"/>
                <w:color w:val="auto"/>
                <w:w w:val="89"/>
              </w:rPr>
              <w:t>Principal Payments</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2017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2,741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7,631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 EQUITY FINANCING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universal shelf registration statement on Form S-3 was declared effective by the U.S. Securities and Exchange Commission (“SEC”) on March 30, 2016. We may file with the SEC a prospectus supplement to our S-3 registration statement to sell common stock or other equity or debt securities, from time to time, in “at the market” offerings and certain other transactions. In the event we file a prospectus supplement with the SEC and engage in the sale of our equity or debt securities under the S-3 registration statement, we expect that the net proceeds from any such transactions will be used for general corporate purposes, including working capital, research, development and marketing expenses, clinical trial expenditures and capital expenditures.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common stock purchase warrants (“warrants”) exercisable for 60 thousand shares of our common stock having an exercise price of $2.52 per share (after giving effect to our one-for-five reverse stock split) with an expiration date in December 2020. See Note 11 for a discussion of the reduction of the exercise price of these warrants to $2.52 per share which were originally issued in connection with the issuance of the $10.0 million secured promissory notes in December 2013. These warrants contain a cashless exercise feature.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three month periods ended March 31, 2016 and 2015 is shown below (in thousands except price data):</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gridSpan w:val="3"/>
            <w:vMerge w:val="restart"/>
          </w:tcPr>
          <w:p>
            <w:pPr>
              <w:jc w:val="right"/>
              <w:ind w:right="536"/>
              <w:spacing w:after="0"/>
              <w:rPr>
                <w:sz w:val="20"/>
                <w:szCs w:val="20"/>
                <w:color w:val="auto"/>
              </w:rPr>
            </w:pPr>
            <w:r>
              <w:rPr>
                <w:rFonts w:ascii="Arial" w:cs="Arial" w:eastAsia="Arial" w:hAnsi="Arial"/>
                <w:sz w:val="18"/>
                <w:szCs w:val="18"/>
                <w:color w:val="auto"/>
              </w:rPr>
              <w:t>2016</w:t>
            </w:r>
          </w:p>
        </w:tc>
        <w:tc>
          <w:tcPr>
            <w:tcW w:w="1300" w:type="dxa"/>
            <w:vAlign w:val="bottom"/>
            <w:gridSpan w:val="3"/>
          </w:tcPr>
          <w:p>
            <w:pPr>
              <w:spacing w:after="0"/>
              <w:rPr>
                <w:sz w:val="20"/>
                <w:szCs w:val="20"/>
                <w:color w:val="auto"/>
              </w:rPr>
            </w:pPr>
            <w:r>
              <w:rPr>
                <w:rFonts w:ascii="Arial" w:cs="Arial" w:eastAsia="Arial" w:hAnsi="Arial"/>
                <w:sz w:val="18"/>
                <w:szCs w:val="18"/>
                <w:color w:val="auto"/>
              </w:rPr>
              <w:t>March 31,</w:t>
            </w:r>
          </w:p>
        </w:tc>
        <w:tc>
          <w:tcPr>
            <w:tcW w:w="50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2015</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4"/>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WAvg</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1"/>
              </w:rPr>
              <w:t>WAvg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center"/>
              <w:ind w:right="890"/>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3"/>
              </w:rPr>
              <w:t>Number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left="236"/>
              <w:spacing w:after="0"/>
              <w:rPr>
                <w:sz w:val="20"/>
                <w:szCs w:val="20"/>
                <w:color w:val="auto"/>
              </w:rPr>
            </w:pPr>
            <w:r>
              <w:rPr>
                <w:rFonts w:ascii="Arial" w:cs="Arial" w:eastAsia="Arial" w:hAnsi="Arial"/>
                <w:sz w:val="18"/>
                <w:szCs w:val="18"/>
                <w:color w:val="auto"/>
                <w:w w:val="92"/>
              </w:rPr>
              <w:t>Price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90"/>
              </w:rPr>
              <w:t>Number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Issued</w:t>
            </w: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Expired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ending</w:t>
            </w:r>
          </w:p>
        </w:tc>
        <w:tc>
          <w:tcPr>
            <w:tcW w:w="8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60</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2.52</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all types of issued instruments comprised the following (in thousands):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80" w:type="dxa"/>
            <w:vAlign w:val="bottom"/>
            <w:gridSpan w:val="5"/>
          </w:tcPr>
          <w:p>
            <w:pPr>
              <w:ind w:left="320"/>
              <w:spacing w:after="0"/>
              <w:rPr>
                <w:sz w:val="20"/>
                <w:szCs w:val="20"/>
                <w:color w:val="auto"/>
              </w:rPr>
            </w:pPr>
            <w:r>
              <w:rPr>
                <w:rFonts w:ascii="Arial" w:cs="Arial" w:eastAsia="Arial" w:hAnsi="Arial"/>
                <w:sz w:val="18"/>
                <w:szCs w:val="18"/>
                <w:color w:val="auto"/>
                <w:w w:val="91"/>
              </w:rPr>
              <w:t>Three Months Ended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4"/>
          </w:tcPr>
          <w:p>
            <w:pPr>
              <w:jc w:val="right"/>
              <w:ind w:right="350"/>
              <w:spacing w:after="0"/>
              <w:rPr>
                <w:sz w:val="20"/>
                <w:szCs w:val="20"/>
                <w:color w:val="auto"/>
              </w:rPr>
            </w:pPr>
            <w:r>
              <w:rPr>
                <w:rFonts w:ascii="Arial" w:cs="Arial" w:eastAsia="Arial" w:hAnsi="Arial"/>
                <w:sz w:val="18"/>
                <w:szCs w:val="18"/>
                <w:color w:val="auto"/>
                <w:w w:val="97"/>
              </w:rPr>
              <w:t>March 31,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00" w:type="dxa"/>
            <w:vAlign w:val="bottom"/>
            <w:gridSpan w:val="2"/>
          </w:tcPr>
          <w:p>
            <w:pPr>
              <w:ind w:left="2440"/>
              <w:spacing w:after="0"/>
              <w:rPr>
                <w:sz w:val="20"/>
                <w:szCs w:val="20"/>
                <w:color w:val="auto"/>
              </w:rPr>
            </w:pPr>
            <w:r>
              <w:rPr>
                <w:rFonts w:ascii="Arial" w:cs="Arial" w:eastAsia="Arial" w:hAnsi="Arial"/>
                <w:sz w:val="18"/>
                <w:szCs w:val="18"/>
                <w:color w:val="auto"/>
                <w:w w:val="84"/>
              </w:rPr>
              <w:t>2016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80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700" w:type="dxa"/>
            <w:vAlign w:val="bottom"/>
            <w:gridSpan w:val="2"/>
          </w:tcPr>
          <w:p>
            <w:pPr>
              <w:jc w:val="right"/>
              <w:ind w:right="57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2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Subtotal</w:t>
            </w:r>
          </w:p>
        </w:tc>
        <w:tc>
          <w:tcPr>
            <w:tcW w:w="2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570"/>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stock units</w:t>
            </w:r>
          </w:p>
        </w:tc>
        <w:tc>
          <w:tcPr>
            <w:tcW w:w="2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2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8"/>
                <w:szCs w:val="18"/>
                <w:color w:val="auto"/>
              </w:rPr>
            </w:pPr>
          </w:p>
        </w:tc>
        <w:tc>
          <w:tcPr>
            <w:tcW w:w="68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70"/>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two stock option plans in effect, and one stock option plan has expired by its terms, but pursuant to which stock options have been granted and remain outstanding. Our stock option award activity during the three month periods ended March 31, 2016 and 2015 is shown below:</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ind w:left="18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4"/>
          </w:tcPr>
          <w:p>
            <w:pPr>
              <w:jc w:val="right"/>
              <w:ind w:right="92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(000’s)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Price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(000’s)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Price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the option awards which were vested and outstanding at March 31, 2016 and December 31, 2015 was $70 thousand and $6 thousand, respectively. The total remaining unrecognized compensation cost on unvested option awards outstanding at March 31, 2016 was $591 thousand, and is expected to be recognized in operating expense over the 20 months remaining in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Restricted Stock Unit Award Plan (the “2014 RSU Plan”)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w w:val="96"/>
              </w:rPr>
              <w:t>A summary of the grants under the RSU Plans consisted of the following: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w w:val="90"/>
              </w:rPr>
              <w:t>Three months Ended March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1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5"/>
              </w:rPr>
              <w:t>Number of</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Number of</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Vested</w:t>
            </w:r>
          </w:p>
        </w:tc>
      </w:tr>
      <w:tr>
        <w:trPr>
          <w:trHeight w:val="230"/>
        </w:trPr>
        <w:tc>
          <w:tcPr>
            <w:tcW w:w="11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of RSUs</w:t>
            </w: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RSUs</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RSUs</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RSUs</w:t>
            </w:r>
          </w:p>
        </w:tc>
      </w:tr>
      <w:tr>
        <w:trPr>
          <w:trHeight w:val="210"/>
        </w:trPr>
        <w:tc>
          <w:tcPr>
            <w:tcW w:w="116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116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2014 RSU Plan was approved by shareholders on May 1, 2014 and permits the grant of up to 400 thousand shares of our common stock pursuant to awards under the 2014 RSU Plan. As of March 31, 2016, 242 thousand shares are available for award under the 2014 RSU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RSU grants under the 2014 RSU Plan is as follows:</w:t>
      </w:r>
    </w:p>
    <w:p>
      <w:pPr>
        <w:spacing w:after="0" w:line="23" w:lineRule="exact"/>
        <w:rPr>
          <w:sz w:val="20"/>
          <w:szCs w:val="20"/>
          <w:color w:val="auto"/>
        </w:rPr>
      </w:pPr>
    </w:p>
    <w:p>
      <w:pPr>
        <w:jc w:val="both"/>
        <w:ind w:left="500" w:hanging="168"/>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2, 2015, we awarded approximately 10.3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and the liability recorded in the Company’s balance sheet was $22 thousand at March 31, 2015. Distributions of stock under the January 2, 2015 award cannot be deferred until a later date and the stock under such awards was distributed on January 4, 2016.</w:t>
      </w:r>
    </w:p>
    <w:p>
      <w:pPr>
        <w:spacing w:after="0" w:line="2" w:lineRule="exact"/>
        <w:rPr>
          <w:rFonts w:ascii="Arial" w:cs="Arial" w:eastAsia="Arial" w:hAnsi="Arial"/>
          <w:sz w:val="18"/>
          <w:szCs w:val="18"/>
          <w:color w:val="auto"/>
        </w:rPr>
      </w:pPr>
    </w:p>
    <w:p>
      <w:pPr>
        <w:jc w:val="both"/>
        <w:ind w:left="500" w:hanging="168"/>
        <w:spacing w:after="0" w:line="271"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January 4, 2016, we awarded approximately 22.0 thousand RSUs to each of our 4 non-employee directors which also allow for them to receive payment in cash, instead of stock, for up to 40% of each RSU award. Such awards vest 25% at the end of each calendar quarter in 2016. The RSU awards subject to cash settlement are subject to marked-to market accounting and the liability recorded in the Company’s balance sheet was $28 thousand at March 31, 2016. Distributions of stock under the January 4, 2016 award are generally distributed on the first business day of the year after vesting, but such distribution can be deferred until a later date at the election of the non-employee director.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3" w:lineRule="exact"/>
        <w:rPr>
          <w:sz w:val="20"/>
          <w:szCs w:val="20"/>
          <w:color w:val="auto"/>
        </w:rPr>
      </w:pPr>
    </w:p>
    <w:p>
      <w:pPr>
        <w:ind w:left="500" w:right="20" w:hanging="168"/>
        <w:spacing w:after="0" w:line="28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2, 2015, 25.8 thousand RSUs from the May 1, 2014 award were distributed and 3.6 thousand RSUs were deferred until a future distribution date. Of the 25.8 thousand RSUs distributed, 19.8 thousand RSUs were distributed in common stock and 6 thousand RSUs were settled in cash.</w:t>
      </w:r>
    </w:p>
    <w:p>
      <w:pPr>
        <w:spacing w:after="0" w:line="1" w:lineRule="exact"/>
        <w:rPr>
          <w:rFonts w:ascii="Arial" w:cs="Arial" w:eastAsia="Arial" w:hAnsi="Arial"/>
          <w:sz w:val="16"/>
          <w:szCs w:val="16"/>
          <w:color w:val="auto"/>
        </w:rPr>
      </w:pPr>
    </w:p>
    <w:p>
      <w:pPr>
        <w:jc w:val="both"/>
        <w:ind w:left="500" w:hanging="168"/>
        <w:spacing w:after="0" w:line="277"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January 4, 2016, 41.2 thousand RSUs from the January 2, 2015 award were distributed and 1.2 thousand RSUs from the May 1, 2014 award were distributed. Approximately 2.4 thousand RSUs from the May 1, 2014 award are being deferred until a future distribution date. Of the 42.4 thousand RSUs distributed, 32.8 thousand RSUs were distributed in common stock and 9.6 thousand RSUs were settled for $23.8 thousand.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March 31, 2016 and December 31, 2015,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$52.8 million federal income tax benefits at December 31, 2015 derived from $155.2 million Federal NOLs at the U.S. statutory tax rate of 34% and $2.0 million state NOLs, available to offset future taxable income, some of which already have limitations for future use as prescribed under IRC Section 382. Our Federal and state NOLs will expire in varying amounts between 2016 and 2035 if not used, and those expirations will cause fluctuations in our valuation allowances. As of December 31, 2015, we had federal research and development tax credits of approximately $1.2 million, which expire in the years 2024 through 2034. We also had approximately $0.2 million of Indiana state research and development tax credits, which expire in the years 2016 and 2017.</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16 – EARNINGS PER SHARE (“EPS”)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Restricted Stock Units (“RSUs”) (see Note 14).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2016 as the Company reported a net loss for the three month period, and including the effects of 1.3 million common stock equivalents in the diluted EPS calculation would have been antidilutive. The weighted-average common shares outstanding (diluted) computation is not impacted during any period where the exercise price of a stock option is greater than the average market price. There were 716 thousand non-dilutive equity awards outstanding at March 31, 2015 that are not included in the period’s weighted-average common shares outstanding (diluted) computation.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w w:val="94"/>
              </w:rPr>
              <w:t>A reconciliation of the numerators and denominators of basic and diluted EPS consisted of the following:</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7"/>
          </w:tcPr>
          <w:p>
            <w:pPr>
              <w:ind w:left="20"/>
              <w:spacing w:after="0"/>
              <w:rPr>
                <w:sz w:val="20"/>
                <w:szCs w:val="20"/>
                <w:color w:val="auto"/>
              </w:rPr>
            </w:pPr>
            <w:r>
              <w:rPr>
                <w:rFonts w:ascii="Arial" w:cs="Arial" w:eastAsia="Arial" w:hAnsi="Arial"/>
                <w:sz w:val="18"/>
                <w:szCs w:val="18"/>
                <w:color w:val="auto"/>
                <w:w w:val="93"/>
              </w:rPr>
              <w:t>Three months Ended March 31,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6"/>
          </w:tcPr>
          <w:p>
            <w:pPr>
              <w:jc w:val="right"/>
              <w:spacing w:after="0" w:line="195" w:lineRule="exact"/>
              <w:rPr>
                <w:sz w:val="20"/>
                <w:szCs w:val="20"/>
                <w:color w:val="auto"/>
              </w:rPr>
            </w:pPr>
            <w:r>
              <w:rPr>
                <w:rFonts w:ascii="Arial" w:cs="Arial" w:eastAsia="Arial" w:hAnsi="Arial"/>
                <w:sz w:val="18"/>
                <w:szCs w:val="18"/>
                <w:color w:val="auto"/>
                <w:w w:val="89"/>
              </w:rPr>
              <w:t>(in thousands except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color w:val="auto"/>
              </w:rPr>
              <w:t>data)</w:t>
            </w: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140"/>
              <w:spacing w:after="0"/>
              <w:rPr>
                <w:sz w:val="20"/>
                <w:szCs w:val="20"/>
                <w:color w:val="auto"/>
              </w:rPr>
            </w:pPr>
            <w:r>
              <w:rPr>
                <w:rFonts w:ascii="Arial" w:cs="Arial" w:eastAsia="Arial" w:hAnsi="Arial"/>
                <w:sz w:val="18"/>
                <w:szCs w:val="18"/>
                <w:color w:val="auto"/>
              </w:rPr>
              <w:t>Numerator: net income (loss)</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(3,384)</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 RSUs</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EPS - basic</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EPS – assuming dilution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140"/>
              <w:spacing w:after="0"/>
              <w:rPr>
                <w:sz w:val="20"/>
                <w:szCs w:val="20"/>
                <w:color w:val="auto"/>
              </w:rPr>
            </w:pPr>
            <w:r>
              <w:rPr>
                <w:rFonts w:ascii="Arial" w:cs="Arial" w:eastAsia="Arial" w:hAnsi="Arial"/>
                <w:sz w:val="18"/>
                <w:szCs w:val="18"/>
                <w:color w:val="auto"/>
              </w:rPr>
              <w:t>Numerator: net income (loss)</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(3,384)</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 RSUs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 warrants</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EPS - diluted</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140"/>
              <w:spacing w:after="0"/>
              <w:rPr>
                <w:sz w:val="20"/>
                <w:szCs w:val="20"/>
                <w:color w:val="auto"/>
              </w:rPr>
            </w:pPr>
            <w:r>
              <w:rPr>
                <w:rFonts w:ascii="Arial" w:cs="Arial" w:eastAsia="Arial" w:hAnsi="Arial"/>
                <w:sz w:val="18"/>
                <w:szCs w:val="18"/>
                <w:color w:val="auto"/>
              </w:rPr>
              <w:t>Common stock issuable: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Common stock warrants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7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Non-vested RSUs</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Total excluded potentially dilutive shares</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Complaints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The complaint seeks injunctive relief as well as awards of damages and attorneys’ fees. In January 2016, the District Court issued a claim construction order in the patent infringement action. The order stated that the term polyvinylpyrrolidone as that term is defined in the claims of the Purdue patent covers all polymeric forms of vinylpyrrolidone, including crospovidone used in Oxaydo. We deny the allegations in the complaint, believe they are without merit and are defending the action vigorously.</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right="20"/>
        <w:spacing w:after="0" w:line="312" w:lineRule="auto"/>
        <w:rPr>
          <w:sz w:val="20"/>
          <w:szCs w:val="20"/>
          <w:color w:val="auto"/>
        </w:rPr>
      </w:pPr>
      <w:r>
        <w:rPr>
          <w:rFonts w:ascii="Arial" w:cs="Arial" w:eastAsia="Arial" w:hAnsi="Arial"/>
          <w:sz w:val="16"/>
          <w:szCs w:val="16"/>
          <w:color w:val="auto"/>
        </w:rPr>
        <w:t>In April 2016, Purdue commenced a second patent infringement lawsuit against us and Egalet in the United States District Court for the District of Delaware alleging our Oxaydo product infringes Purdue’s newly issued U.S. Patent No. 9,308,171 (the “ 171 Patent”). The complaint seeks injunctive relief as well as awards of damages and attorneys’ fees. We deny the allegations in the complaint, believe they are without merit and will defend the action vigorously.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is the case with patent litigation, there is a risk that the Court may enjoin the making, using, selling and offering for sale Oxaydo and/or may find that Oxaydo infringes the 007 patent and/or the 171 patent. As any potential loss is neither probable nor estimable, we have not accrued for any potential loss related to the Purdue infringement matters as of March 31, 2016.</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action, over 200 lawsuits have been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Acura. We discontinued manufacture and distribution of generic metoclopramide more than 19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Acura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7"/>
          <w:szCs w:val="17"/>
          <w:i w:val="1"/>
          <w:iCs w:val="1"/>
          <w:color w:val="auto"/>
        </w:rPr>
        <w:t>Teva Pharmaceuticals USA, Inc. et al. v. Dorothy</w:t>
      </w:r>
      <w:r>
        <w:rPr>
          <w:rFonts w:ascii="Arial" w:cs="Arial" w:eastAsia="Arial" w:hAnsi="Arial"/>
          <w:sz w:val="17"/>
          <w:szCs w:val="17"/>
          <w:color w:val="auto"/>
        </w:rPr>
        <w:t xml:space="preserve"> </w:t>
      </w:r>
      <w:r>
        <w:rPr>
          <w:rFonts w:ascii="Arial" w:cs="Arial" w:eastAsia="Arial" w:hAnsi="Arial"/>
          <w:sz w:val="17"/>
          <w:szCs w:val="17"/>
          <w:i w:val="1"/>
          <w:iCs w:val="1"/>
          <w:color w:val="auto"/>
        </w:rPr>
        <w:t>Bentley, et al.</w:t>
      </w:r>
      <w:r>
        <w:rPr>
          <w:rFonts w:ascii="Arial" w:cs="Arial" w:eastAsia="Arial" w:hAnsi="Arial"/>
          <w:sz w:val="17"/>
          <w:szCs w:val="17"/>
          <w:color w:val="auto"/>
        </w:rPr>
        <w:t>, No. 14-711 (U.S.) seeking reversal of the Pennsylvania state court decision. On April 27, 2015, the U.S. Supreme Court denied this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this matter has been returned to the trial court for further proceedings. From July, 2015 to date, the court has been moving forward with procedural steps to narrow this litigation, including requests for plaintiffs to voluntarily discontinue cases, such as those filed against Acura, where there is no case-specific product identification. Acura is optimistic that all of these Philadelphia cases will eventually be dismissed against it based upon the favorable aspects of the Superior Court’s narrow preemption ruling and lack of product identification, although there can be no assurance in this regard. Legal fees related to this matter are currently covered by Acura’s insurance carrier.</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7"/>
          <w:szCs w:val="17"/>
          <w:i w:val="1"/>
          <w:iCs w:val="1"/>
          <w:color w:val="auto"/>
        </w:rPr>
        <w:t xml:space="preserve">Bartlett </w:t>
      </w:r>
      <w:r>
        <w:rPr>
          <w:rFonts w:ascii="Arial" w:cs="Arial" w:eastAsia="Arial" w:hAnsi="Arial"/>
          <w:sz w:val="17"/>
          <w:szCs w:val="17"/>
          <w:color w:val="auto"/>
        </w:rPr>
        <w:t>decision. Thus far, Acura and most Generic Defendants have not been required to file answers or other responsive pleadings in each individual case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which they are named defendants. However, the individual cases against Acura have been stayed pending further action by the trial court. Subject to further developments, plaintiffs may be permitted to proceed with these lawsuits against Acura including state law claims based on (1) failing to communicate warnings to physicians through “Dear Doctor” letters; and (2) failure to update labeling to adopt brand labeling changes. The California trial court also has acknowledged the preemptive effect of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Acura. Therefore, we expect that the lawsuits filed by most, if not all, plaintiffs will be dismissed voluntarily. Action will be taken in an effort to dismiss Acura from these cases, although there can be no assurance in this regard. Legal fees related to this matter are currently covered by our insurance carrier.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March 31, 2016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2017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70"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LTX-04, the date by which such study results will be available and whether LTX-04 will ultimately receive FDA approval;</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will be able to reformulate LTX-04 to provide an efficacious level of drug when one or two tablets are taken;</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225" w:lineRule="exact"/>
        <w:rPr>
          <w:rFonts w:ascii="Arial" w:cs="Arial" w:eastAsia="Arial" w:hAnsi="Arial"/>
          <w:sz w:val="18"/>
          <w:szCs w:val="18"/>
          <w:color w:val="auto"/>
        </w:rPr>
      </w:pPr>
    </w:p>
    <w:p>
      <w:pPr>
        <w:ind w:left="168" w:right="20" w:hanging="168"/>
        <w:spacing w:after="0" w:line="277"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70" w:lineRule="exact"/>
        <w:rPr>
          <w:rFonts w:ascii="Arial" w:cs="Arial" w:eastAsia="Arial" w:hAnsi="Arial"/>
          <w:sz w:val="18"/>
          <w:szCs w:val="18"/>
          <w:color w:val="auto"/>
        </w:rPr>
      </w:pPr>
    </w:p>
    <w:p>
      <w:pPr>
        <w:ind w:left="168" w:hanging="168"/>
        <w:spacing w:after="0" w:line="277"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spacing w:after="0" w:line="170"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can successfully develop a product under our agreement with Bayer;</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pharmacies to stock our Nexafed products;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25" w:lineRule="exact"/>
        <w:rPr>
          <w:rFonts w:ascii="Arial" w:cs="Arial" w:eastAsia="Arial" w:hAnsi="Arial"/>
          <w:sz w:val="18"/>
          <w:szCs w:val="18"/>
          <w:color w:val="auto"/>
        </w:rPr>
      </w:pPr>
    </w:p>
    <w:p>
      <w:pPr>
        <w:ind w:left="168" w:right="180" w:hanging="168"/>
        <w:spacing w:after="0" w:line="277"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170" w:lineRule="exact"/>
        <w:rPr>
          <w:rFonts w:ascii="Arial" w:cs="Arial" w:eastAsia="Arial" w:hAnsi="Arial"/>
          <w:sz w:val="18"/>
          <w:szCs w:val="18"/>
          <w:color w:val="auto"/>
        </w:rPr>
      </w:pPr>
    </w:p>
    <w:p>
      <w:pPr>
        <w:ind w:left="168" w:hanging="168"/>
        <w:spacing w:after="0" w:line="259"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86" w:lineRule="exact"/>
        <w:rPr>
          <w:rFonts w:ascii="Arial" w:cs="Arial" w:eastAsia="Arial" w:hAnsi="Arial"/>
          <w:sz w:val="18"/>
          <w:szCs w:val="18"/>
          <w:color w:val="auto"/>
        </w:rPr>
      </w:pPr>
    </w:p>
    <w:p>
      <w:pPr>
        <w:ind w:left="168" w:right="320" w:hanging="168"/>
        <w:spacing w:after="0" w:line="277"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70"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225" w:lineRule="exact"/>
        <w:rPr>
          <w:rFonts w:ascii="Arial" w:cs="Arial" w:eastAsia="Arial" w:hAnsi="Arial"/>
          <w:sz w:val="18"/>
          <w:szCs w:val="18"/>
          <w:color w:val="auto"/>
        </w:rPr>
      </w:pPr>
    </w:p>
    <w:p>
      <w:pPr>
        <w:ind w:left="168" w:hanging="168"/>
        <w:spacing w:after="0"/>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200" w:lineRule="exact"/>
        <w:rPr>
          <w:sz w:val="20"/>
          <w:szCs w:val="20"/>
          <w:color w:val="auto"/>
        </w:rPr>
      </w:pPr>
    </w:p>
    <w:p>
      <w:pPr>
        <w:spacing w:after="0" w:line="234" w:lineRule="exact"/>
        <w:rPr>
          <w:sz w:val="20"/>
          <w:szCs w:val="20"/>
          <w:color w:val="auto"/>
        </w:rPr>
      </w:pPr>
    </w:p>
    <w:p>
      <w:pPr>
        <w:jc w:val="center"/>
        <w:ind w:right="372"/>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125" w:right="239" w:bottom="1440" w:gutter="0" w:footer="0" w:header="0"/>
        </w:sectPr>
      </w:pPr>
    </w:p>
    <w:bookmarkStart w:id="24" w:name="page25"/>
    <w:bookmarkEnd w:id="24"/>
    <w:p>
      <w:pPr>
        <w:ind w:left="500" w:hanging="168"/>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225" w:lineRule="exact"/>
        <w:rPr>
          <w:rFonts w:ascii="Arial" w:cs="Arial" w:eastAsia="Arial" w:hAnsi="Arial"/>
          <w:sz w:val="18"/>
          <w:szCs w:val="18"/>
          <w:color w:val="auto"/>
        </w:rPr>
      </w:pPr>
    </w:p>
    <w:p>
      <w:pPr>
        <w:ind w:left="500" w:right="260" w:hanging="168"/>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70"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2015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We launched our first Impede Technology product, Nexafed, into the United States market in December 2012 and launched our Nexafed Sinus Pressure</w:t>
      </w:r>
    </w:p>
    <w:p>
      <w:pPr>
        <w:spacing w:after="0" w:line="7" w:lineRule="exact"/>
        <w:rPr>
          <w:sz w:val="20"/>
          <w:szCs w:val="20"/>
          <w:color w:val="auto"/>
        </w:rPr>
      </w:pPr>
    </w:p>
    <w:p>
      <w:pPr>
        <w:jc w:val="both"/>
        <w:ind w:firstLine="8"/>
        <w:spacing w:after="0" w:line="267" w:lineRule="auto"/>
        <w:tabs>
          <w:tab w:leader="none" w:pos="1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We are conducting our first clinical study, Study AP-LTX-400, of our lead Limitx immediate release oral abuse deterrent drug candidate using the opioid hydromorphone HCI (LTX-04). Study AP-LTX-400, or Study 400, is a two cohort, open label, crossover design pharmacokinetic study in healthy adult subjects. The FDA has designated the LTX-04 development program as Fast Track, which is designed to facilitate the development, and expedite the review of drugs to treat serious conditions and fill an unmet medical need. On April 13, 2016 we announced that topline interim results from Cohort 1 of Study 400 for one test formulation of LTX-04 successfully demonstrated the release of the active opioid ingredient was reduced when three intact tablets were ingested, but that additional formulation development will be required for LTX-04 to deliver a sufficient amount of the active ingredient when one or two tablets are administered. We expect compete topline study results from Study 400 to be available in June 2016. We are also developing an immediate-release hydrocodone bitartrate with acetaminophen product utilizing our Limitx technology.</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90" w:lineRule="auto"/>
        <w:rPr>
          <w:sz w:val="20"/>
          <w:szCs w:val="20"/>
          <w:color w:val="auto"/>
        </w:rPr>
      </w:pPr>
      <w:r>
        <w:rPr>
          <w:rFonts w:ascii="Arial" w:cs="Arial" w:eastAsia="Arial" w:hAnsi="Arial"/>
          <w:sz w:val="16"/>
          <w:szCs w:val="16"/>
          <w:color w:val="auto"/>
        </w:rPr>
        <w:t>Opioid analgesics are one of the largest prescription drug markets in the United States with 234 million prescriptions dispensed in 2015.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2015, sales in the immediate-release opioid product segment were approximately 219 million prescriptions and $2.9 billion, of which approximately 98% was attributable to generic products. Immediate-release oxycodone tablets represent 19.3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71 sales representatives promoting Oxaydo to a target group of approximately 11,500 opioid prescribing physicians.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20%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2015, we announced preliminary top line results from our pilot clinical study demonstrating bioequivalence of our Nexafed extended release tablets to Johnson &amp; Johnson’s Sudafed® 12-hour Tablets. Nexafed extended release tablets utilize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2014 we announced that the FDA questioned whether the intranasal route is a relevant route of abuse for hydrocodone/acetaminophen products, which we were developing with our Aversion Technology. In October 2014, the FDA denied on procedural grounds our formal dispute resolution request appealing the position taken by the Division of Anesthesia, Analgesia and Addiction Products (“DAAAP”) that abuse by snorting hydrocodone with acetaminophen products lacks relevance. The FDA’s April 2015 Abuse-Deterrent Opioid Evaluation and Labeling Guidance (the “FDA’s 2015 Guidance”) appears to take the same position by indicating that immediate-release opioid and acetaminophen products are predominantly abused using the oral route and products demonstrating a deterrent effect by the nasal route may not meaningfully reduce overall abuse of the product. In view of the regulatory history of Aversion Hydrocodone/APAP and the FDA’s 2015 Guidance, we have indefinitely suspended further development of our Aversion Hydrocodone/APAP and reallocated resources to our Limitx development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Oral over-ingestion. Generally recognized as the most prevalent route of administration by abusers, the abuser simply orally ingests more tablets (or capsules) than is recommended for pain relief.</w:t>
      </w:r>
    </w:p>
    <w:p>
      <w:pPr>
        <w:spacing w:after="0" w:line="197"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Oral ingestion of manipulated tablets or patches. Extended-release tablets or patches are sometimes crushed, chewed or otherwise physically or chemically manipulated to defeat the extended-release mechanism and provide an immediate-release of the opioid.</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Abuse deterrent formulations of opioid dosages incorporate physical and/or chemical barriers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Development of our Limitx and Aversion (if recommenced) product candidates will require one or more abuse deterrent studies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Limitx technology is intended to address abuse by excess oral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We have initiated formulation development of a hydrocodone/APAP product candidate utilizing our Limitx technology (LTX-03). In August 2015, the United States Patent and Trademark Office (“USPTO”) issued to us patent 9,101,636 covering, among other things, our Limitx technology.</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Development of our Limitx technology is being supported by a $300 thousand grant (the “Grant”) by the National Institute on Drug Abuse (“NIDA”) of the National Institutes of Health for Phase I development, which entailed the development of an optimized formulation of LTX-04 suitable for commercial manufacture and human testing. In Phase II, we are performing human pharmacokinetic testing of LTX-04 to characterize the release of drug in vivo. NIDA funding of Phase II development, for which an application has been submitted, will be contingent upon (1) assessment by NIDA of the Phase I progress report and its determination that the Phase I milestones were achieved, (2) review and approval of other documents necessary for continuation, and (3) availability of NIDA funds. No assurance can be given that Phase II development funding will be provided by NIDA, but we plan to progress our clinical studies regardless of NIDA funding. We have submitted data on Phase I development of LTX-04 to NIDA for consideration in approving the Phase II grant, of which no assurance can be given of the grant for Phase II.</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Phase I and possibly Phase II research on LTX-04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21" w:lineRule="exact"/>
        <w:rPr>
          <w:sz w:val="20"/>
          <w:szCs w:val="20"/>
          <w:color w:val="auto"/>
        </w:rPr>
      </w:pPr>
    </w:p>
    <w:p>
      <w:pPr>
        <w:jc w:val="right"/>
        <w:ind w:right="2440"/>
        <w:spacing w:after="0"/>
        <w:tabs>
          <w:tab w:leader="none" w:pos="460" w:val="left"/>
        </w:tabs>
        <w:rPr>
          <w:sz w:val="20"/>
          <w:szCs w:val="20"/>
          <w:color w:val="auto"/>
        </w:rPr>
      </w:pPr>
      <w:r>
        <w:rPr>
          <w:rFonts w:ascii="Arial" w:cs="Arial" w:eastAsia="Arial" w:hAnsi="Arial"/>
          <w:sz w:val="18"/>
          <w:szCs w:val="18"/>
          <w:b w:val="1"/>
          <w:bCs w:val="1"/>
          <w:color w:val="auto"/>
        </w:rPr>
        <w:t>Limitx Technology Product</w:t>
      </w:r>
      <w:r>
        <w:rPr>
          <w:sz w:val="20"/>
          <w:szCs w:val="20"/>
          <w:color w:val="auto"/>
        </w:rPr>
        <w:tab/>
      </w:r>
      <w:r>
        <w:rPr>
          <w:rFonts w:ascii="Arial" w:cs="Arial" w:eastAsia="Arial" w:hAnsi="Arial"/>
          <w:sz w:val="15"/>
          <w:szCs w:val="15"/>
          <w:b w:val="1"/>
          <w:bCs w:val="1"/>
          <w:color w:val="auto"/>
        </w:rPr>
        <w:t>Status</w:t>
      </w:r>
    </w:p>
    <w:p>
      <w:pPr>
        <w:sectPr>
          <w:pgSz w:w="11900" w:h="16838" w:orient="portrait"/>
          <w:cols w:equalWidth="0" w:num="1">
            <w:col w:w="11420"/>
          </w:cols>
          <w:pgMar w:left="240" w:top="904" w:right="2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hydromorphone HCI (LTX-04)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773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Immediate-release hydrocodone bitartrate with acetaminophen (LTX-03)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oxycodone HCl (LTX-01) &amp; (LTX-02)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Phase I exploratory pharmacokinetic study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200" w:lineRule="exact"/>
        <w:rPr>
          <w:sz w:val="20"/>
          <w:szCs w:val="20"/>
          <w:color w:val="auto"/>
        </w:rPr>
      </w:pPr>
    </w:p>
    <w:p>
      <w:pPr>
        <w:sectPr>
          <w:pgSz w:w="11900" w:h="16838" w:orient="portrait"/>
          <w:cols w:equalWidth="0" w:num="2">
            <w:col w:w="5460" w:space="720"/>
            <w:col w:w="5240"/>
          </w:cols>
          <w:pgMar w:left="240" w:top="904" w:right="239" w:bottom="1440" w:gutter="0" w:footer="0" w:header="0"/>
          <w:type w:val="continuous"/>
        </w:sectPr>
      </w:pPr>
    </w:p>
    <w:p>
      <w:pPr>
        <w:spacing w:after="0" w:line="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2016, our IND for LTX-04, our lead product candidate utilizing our Limitx technology, was allowed to proceed to clinical testing. The initial LTX-04 clinical study, Study AP-LTX-400, or Study 400, is a two cohort, open label, crossover design pharmacokinetic study in healthy adult subjects.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All tablets contained 2mg of hydromorphone hydrochloride. The 1, 2 and 3 tablets subgroups in Cohort 1 completed 8, 10 and 8 subjects respectively. All subjects received doses of naltrexone and there was a one week washout between doses. Blood samples are taken at pre-designated time-points after dosing and are subsequently analyzed for the concentration of hydromorphone contained in the sample. All subjects in Cohort 1 have continuous pH (a measure of acid concentration) monitoring of their stomach acid. The objective of Cohort 1 was to determine if adequate active drug entered the blood stream when one or two LIMITX tablets were swallowed and to begin assessing the ability of the LIMIT technology to start retarding the release of active ingredients when three tablets are ingested.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Subjects in Cohort 2, which commenced dosing in late April 2016, is randomized into three subgroups taking four, six or eight tablets. Each Cohort 2 subject will take test formulation of LTX-04P and DILAUDID®. The objective of Cohort 2 will be to further explore the extent the release of the hydromorphone active ingredient from LTX-04 tablets is retarded as the dose level increases to abusive levels. A safety assessment of LIMITX Hydromorphone will be made from both study cohorts.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13, 2016, we announced that topline interim results from Cohort 1 of Study 400 demonstrated LTX-04P, one test formulation of LTX-04, successfully demonstrated the release of the active opioid ingredient was reduced when three intact tablets were ingested, but that additional formulation development will be required for LTX-04 to deliver a sufficient amount of the active ingredient to patients when one or two tablets are administered. Specifically, the topline interim results of Cohort 1 of Study 400 demonstrated:</w:t>
      </w:r>
    </w:p>
    <w:p>
      <w:pPr>
        <w:spacing w:after="0" w:line="187" w:lineRule="exact"/>
        <w:rPr>
          <w:sz w:val="20"/>
          <w:szCs w:val="20"/>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taking 3 tablets of the marketed comparator product, DILAUDID®, had a maximum plasma concentration of the active ingredient, or Cmax, 4.8 times higher than subjects taking 1 tablet. Likewise, the Cmax for LTX-04S was 4.7 times higher for the 3 tablet group compared to the 1 tablet group. Both of these groups had stomach acid pH between 2 and 4 at 15 minutes post-dose. However, the 3 tablet LTX-04P dose achieved an average stomach acid pH of 4.7 at 15 minutes post-dose and the Cmax was only 3.8 times as high as the single tablet dose, an estimated 22% reduction in Cmax than expected. The increase in stomach pH demonstrated with LTX-04P was expected to correlate to a slowing of the release of active ingredient from the tablet’s micro-particles resulting in a reduction of Cmax, among other measures. Drug abuse is typically associated with an increase in Cmax.</w:t>
      </w:r>
    </w:p>
    <w:p>
      <w:pPr>
        <w:spacing w:after="0" w:line="18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Subjects taking one or two tablets of both LTX-04 formulations had comparable extent of drug absorption (measured by AUC) as the same number of tablets of DILAUDID®. However, these tablets delivered approximately 50% less peak plasma concentration (Cmax) than DILAUDID®. As such, the LTX-04 test formulations were considered to not have achieved equivalent blood levels of drug and will require further development. All study drugs were generally well tolerated and no serious adverse events were observed.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We intend to complete Cohort 2 of Study 400 in which subjects will take 4, 6 and 8 tablets testing the LTX-04P formulation to confirm the abuse deterrent results observed in Cohort 1. We expect compete topline results from Study 400 to be available in late June 2016. We have commenced reformulation work on the LIMITX technology micro-particles to improve the drug delivery with one and two tablets. We intend to discuss with the FDA the Cohort 1 results and the next clinical phase under its Fast Track development designation for LTX-04.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2015 market for immediate-release oxycodone products was 19.3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Egalet has advised that it has commenced formulation work on a new dosage strength for Oxaydo, and has set a target date for submission of this new dosage strength to the FDA in the second half of 2017. Egalet is also evaluating possible alternatives to enhance Oxaydo’s product label.</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advised that Egalet commenced promoting Oxaydo in September 2015 and has since expanded its target physician group to approximately 11,500 immediate-release opioid prescribing physicians using approximately 71 sales representatives. Commercial shipments of Oxaydo commenced in early October 2015.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 Egalet is in the early stages of promoting Oxaydo to physicians and addressing the challenges of establishing retail pharmacy stocking of a Schedule II narcotic.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9, 2015, we announced the indefinite suspension of further development of our Aversion hydrocodone/APAP product candidate. We currently have 6 additional opioids at various stages of formulation development using the Aversion technology which are not being actively developed.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Meth Resistant</w:t>
            </w:r>
          </w:p>
        </w:tc>
        <w:tc>
          <w:tcPr>
            <w:tcW w:w="1240" w:type="dxa"/>
            <w:vAlign w:val="bottom"/>
            <w:vMerge w:val="restart"/>
          </w:tcPr>
          <w:p>
            <w:pPr>
              <w:ind w:left="20"/>
              <w:spacing w:after="0"/>
              <w:rPr>
                <w:sz w:val="20"/>
                <w:szCs w:val="20"/>
                <w:color w:val="auto"/>
              </w:rPr>
            </w:pPr>
            <w:r>
              <w:rPr>
                <w:rFonts w:ascii="Arial" w:cs="Arial" w:eastAsia="Arial" w:hAnsi="Arial"/>
                <w:sz w:val="18"/>
                <w:szCs w:val="18"/>
                <w:color w:val="auto"/>
                <w:w w:val="90"/>
              </w:rPr>
              <w:t>Meth Recovery</w:t>
            </w:r>
            <w:r>
              <w:rPr>
                <w:rFonts w:ascii="Arial" w:cs="Arial" w:eastAsia="Arial" w:hAnsi="Arial"/>
                <w:sz w:val="30"/>
                <w:szCs w:val="30"/>
                <w:color w:val="auto"/>
                <w:w w:val="90"/>
                <w:vertAlign w:val="superscript"/>
              </w:rPr>
              <w:t>1</w:t>
            </w:r>
          </w:p>
        </w:tc>
        <w:tc>
          <w:tcPr>
            <w:tcW w:w="280" w:type="dxa"/>
            <w:vAlign w:val="bottom"/>
            <w:vMerge w:val="restart"/>
          </w:tcPr>
          <w:p>
            <w:pPr>
              <w:spacing w:after="0"/>
              <w:rPr>
                <w:sz w:val="18"/>
                <w:szCs w:val="18"/>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Product/Formulation</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Technology</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Impede® 1.0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Tarex®</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704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Impede® 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760" w:hanging="104"/>
        <w:spacing w:after="0" w:line="190" w:lineRule="auto"/>
        <w:tabs>
          <w:tab w:leader="none" w:pos="76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have begun a project to integrate Impede 2.0 technology into our commercially available Nexafed 30mg tablet while moving supply to an alternate contract manufacturer.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Nexafed product line consists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13,300 pharmacies or about 20%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approximately 56%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We are marketing our Nexafed product and our Nexafed Sinus Pressure + Pain product under FDA’s regulations applicable to OTC Monograph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and Nexafed Sinus Pressure + Pain tablets are offered in 24-count blister packaged cartons.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understand that in 2014, a majority pharmacies in West Virginia voluntarily began selling on only meth-resistant products for the single-ingredient immediate-release PSE offerings. In 2015, newspapers reported about 60% of single-ingredient immediate-release PSE sales in West Virginia were for meth-resistant formulations. In March 2016, Indiana enacted legislation, subject to adoption of rule and policy making by the Indiana Board of Pharmacy, to require state pharmacists to use professional discretion when selling PSE-containing cold and allergy products, including encouraging the use of new meth-resistant formulations, in an effort to help reduce local methamphetamine production.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8" w:right="239" w:bottom="1440" w:gutter="0" w:footer="0" w:header="0"/>
        </w:sectPr>
      </w:pPr>
    </w:p>
    <w:p>
      <w:pPr>
        <w:spacing w:after="0" w:line="170" w:lineRule="exact"/>
        <w:rPr>
          <w:sz w:val="20"/>
          <w:szCs w:val="20"/>
          <w:color w:val="auto"/>
        </w:rPr>
      </w:pPr>
    </w:p>
    <w:p>
      <w:pPr>
        <w:ind w:left="180" w:right="1800" w:firstLine="1662"/>
        <w:spacing w:after="0" w:line="300" w:lineRule="auto"/>
        <w:rPr>
          <w:sz w:val="20"/>
          <w:szCs w:val="20"/>
          <w:color w:val="auto"/>
        </w:rPr>
      </w:pPr>
      <w:r>
        <w:rPr>
          <w:rFonts w:ascii="Arial" w:cs="Arial" w:eastAsia="Arial" w:hAnsi="Arial"/>
          <w:sz w:val="16"/>
          <w:szCs w:val="16"/>
          <w:color w:val="auto"/>
        </w:rPr>
        <w:t>Impede Technology Product Nexafed 30mg with Impede 2.0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Immediate-release pseudoephedrine HCl in combination with other cold and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allergy active ingredients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Extended – release combination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Transferring to alternate supplier and scaling-up to commercial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-116205</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Nexafed Sinus Pressure + Pain launched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formulations being considered</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Formulations being considered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development pursuant to Bayer Agreement</w:t>
      </w:r>
    </w:p>
    <w:p>
      <w:pPr>
        <w:spacing w:after="0" w:line="200" w:lineRule="exact"/>
        <w:rPr>
          <w:sz w:val="20"/>
          <w:szCs w:val="20"/>
          <w:color w:val="auto"/>
        </w:rPr>
      </w:pPr>
    </w:p>
    <w:p>
      <w:pPr>
        <w:sectPr>
          <w:pgSz w:w="11900" w:h="16838" w:orient="portrait"/>
          <w:cols w:equalWidth="0" w:num="2">
            <w:col w:w="5680" w:space="460"/>
            <w:col w:w="5280"/>
          </w:cols>
          <w:pgMar w:left="240" w:top="908" w:right="239" w:bottom="1440" w:gutter="0" w:footer="0" w:header="0"/>
          <w:type w:val="continuous"/>
        </w:sectPr>
      </w:pP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intend to submit additional “meth-resistant” testing information to the FDA for review prior to submitting an IND.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additional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2015, we and Bayer entered into a License and Development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vMerge w:val="restart"/>
          </w:tcPr>
          <w:p>
            <w:pPr>
              <w:ind w:left="102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7"/>
              </w:rPr>
              <w:t>Active</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w w:val="93"/>
              </w:rPr>
              <w:t>2014 Retail Sales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Brand Company</w:t>
            </w:r>
          </w:p>
        </w:tc>
        <w:tc>
          <w:tcPr>
            <w:tcW w:w="16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Ingredient(s)</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Millions)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Bayer</w:t>
            </w:r>
          </w:p>
        </w:tc>
        <w:tc>
          <w:tcPr>
            <w:tcW w:w="16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6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Chattem</w:t>
            </w:r>
          </w:p>
        </w:tc>
        <w:tc>
          <w:tcPr>
            <w:tcW w:w="28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Pfizer</w:t>
            </w:r>
          </w:p>
        </w:tc>
        <w:tc>
          <w:tcPr>
            <w:tcW w:w="28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Advil Sinus</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Pfizer</w:t>
            </w:r>
          </w:p>
        </w:tc>
        <w:tc>
          <w:tcPr>
            <w:tcW w:w="2820" w:type="dxa"/>
            <w:vAlign w:val="bottom"/>
            <w:gridSpan w:val="2"/>
          </w:tcPr>
          <w:p>
            <w:pPr>
              <w:ind w:left="160"/>
              <w:spacing w:after="0"/>
              <w:rPr>
                <w:sz w:val="20"/>
                <w:szCs w:val="20"/>
                <w:color w:val="auto"/>
              </w:rPr>
            </w:pPr>
            <w:r>
              <w:rPr>
                <w:rFonts w:ascii="Arial" w:cs="Arial" w:eastAsia="Arial" w:hAnsi="Arial"/>
                <w:sz w:val="18"/>
                <w:szCs w:val="18"/>
                <w:color w:val="auto"/>
              </w:rPr>
              <w:t>PSE &amp; Ibuprofen</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J&amp;J</w:t>
            </w:r>
          </w:p>
        </w:tc>
        <w:tc>
          <w:tcPr>
            <w:tcW w:w="28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Sudafed 30mg</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J&amp;J</w:t>
            </w:r>
          </w:p>
        </w:tc>
        <w:tc>
          <w:tcPr>
            <w:tcW w:w="2820" w:type="dxa"/>
            <w:vAlign w:val="bottom"/>
            <w:gridSpan w:val="2"/>
          </w:tcPr>
          <w:p>
            <w:pPr>
              <w:ind w:left="160"/>
              <w:spacing w:after="0"/>
              <w:rPr>
                <w:sz w:val="20"/>
                <w:szCs w:val="20"/>
                <w:color w:val="auto"/>
              </w:rPr>
            </w:pPr>
            <w:r>
              <w:rPr>
                <w:rFonts w:ascii="Arial" w:cs="Arial" w:eastAsia="Arial" w:hAnsi="Arial"/>
                <w:sz w:val="18"/>
                <w:szCs w:val="18"/>
                <w:color w:val="auto"/>
              </w:rPr>
              <w:t>PSE</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Nexafed is currently priced at $4.39 for a box of 24 tablets and Nexafed Sinus Pressure + Pain is currently priced at $7.50 for a box of 24 tablets.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4" w:name="page35"/>
    <w:bookmarkEnd w:id="34"/>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233 million tablet and capsule prescriptions dispensed in 2015 of which approximately 219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2015, sales in the IR opioid product segment were approximately $2.9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2015 is provided below:</w:t>
      </w:r>
    </w:p>
    <w:p>
      <w:pPr>
        <w:spacing w:after="0" w:line="193"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2015 US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3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Prescriptions</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67"/>
        </w:trPr>
        <w:tc>
          <w:tcPr>
            <w:tcW w:w="3800" w:type="dxa"/>
            <w:vAlign w:val="bottom"/>
            <w:tcBorders>
              <w:bottom w:val="single" w:sz="8" w:color="auto"/>
            </w:tcBorders>
          </w:tcPr>
          <w:p>
            <w:pPr>
              <w:ind w:left="1100"/>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6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of Total</w:t>
            </w:r>
          </w:p>
        </w:tc>
        <w:tc>
          <w:tcPr>
            <w:tcW w:w="180" w:type="dxa"/>
            <w:vAlign w:val="bottom"/>
            <w:tcBorders>
              <w:bottom w:val="single" w:sz="8" w:color="CCEEFF"/>
            </w:tcBorders>
          </w:tcPr>
          <w:p>
            <w:pPr>
              <w:spacing w:after="0"/>
              <w:rPr>
                <w:sz w:val="23"/>
                <w:szCs w:val="23"/>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Oxycodone</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Tramadol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Codeine</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 Others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7"/>
        </w:trPr>
        <w:tc>
          <w:tcPr>
            <w:tcW w:w="38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ind w:left="2220" w:hanging="105"/>
        <w:spacing w:after="0" w:line="190" w:lineRule="auto"/>
        <w:tabs>
          <w:tab w:leader="none" w:pos="222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spacing w:after="0" w:line="42" w:lineRule="exact"/>
        <w:rPr>
          <w:rFonts w:ascii="Arial" w:cs="Arial" w:eastAsia="Arial" w:hAnsi="Arial"/>
          <w:sz w:val="28"/>
          <w:szCs w:val="28"/>
          <w:color w:val="auto"/>
          <w:vertAlign w:val="superscript"/>
        </w:rPr>
      </w:pPr>
    </w:p>
    <w:p>
      <w:pPr>
        <w:ind w:left="2120"/>
        <w:spacing w:after="0" w:line="234"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IMS Health, 2015</w:t>
      </w:r>
    </w:p>
    <w:p>
      <w:pPr>
        <w:spacing w:after="0" w:line="8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We have committed to the FDA to undertake epidemiological studies to assess the actual consequences of abuse of Oxaydo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 covering, among other things, our Limitx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Subject matter</w:t>
            </w:r>
          </w:p>
        </w:tc>
        <w:tc>
          <w:tcPr>
            <w:tcW w:w="17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700" w:type="dxa"/>
            <w:vAlign w:val="bottom"/>
          </w:tcPr>
          <w:p>
            <w:pPr>
              <w:spacing w:after="0"/>
              <w:rPr>
                <w:sz w:val="20"/>
                <w:szCs w:val="20"/>
                <w:color w:val="auto"/>
              </w:rPr>
            </w:pPr>
            <w:r>
              <w:rPr>
                <w:rFonts w:ascii="Arial" w:cs="Arial" w:eastAsia="Arial" w:hAnsi="Arial"/>
                <w:sz w:val="18"/>
                <w:szCs w:val="18"/>
                <w:color w:val="auto"/>
              </w:rPr>
              <w:t>Expires</w:t>
            </w:r>
          </w:p>
        </w:tc>
      </w:tr>
      <w:tr>
        <w:trPr>
          <w:trHeight w:val="202"/>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9,101,636</w:t>
            </w:r>
          </w:p>
        </w:tc>
        <w:tc>
          <w:tcPr>
            <w:tcW w:w="17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(US)</w:t>
            </w:r>
          </w:p>
        </w:tc>
        <w:tc>
          <w:tcPr>
            <w:tcW w:w="220" w:type="dxa"/>
            <w:vAlign w:val="bottom"/>
          </w:tcPr>
          <w:p>
            <w:pPr>
              <w:spacing w:after="0"/>
              <w:rPr>
                <w:sz w:val="17"/>
                <w:szCs w:val="17"/>
                <w:color w:val="auto"/>
              </w:rPr>
            </w:pPr>
          </w:p>
        </w:tc>
        <w:tc>
          <w:tcPr>
            <w:tcW w:w="5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Abuse deterrent products wherein the release of active ingredient is</w:t>
            </w:r>
          </w:p>
        </w:tc>
        <w:tc>
          <w:tcPr>
            <w:tcW w:w="220" w:type="dxa"/>
            <w:vAlign w:val="bottom"/>
          </w:tcPr>
          <w:p>
            <w:pPr>
              <w:spacing w:after="0"/>
              <w:rPr>
                <w:sz w:val="17"/>
                <w:szCs w:val="17"/>
                <w:color w:val="auto"/>
              </w:rPr>
            </w:pPr>
          </w:p>
        </w:tc>
        <w:tc>
          <w:tcPr>
            <w:tcW w:w="1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August 2015</w:t>
            </w:r>
          </w:p>
        </w:tc>
        <w:tc>
          <w:tcPr>
            <w:tcW w:w="24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retarded when 3 or more doses are consumed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9,320,796</w:t>
            </w:r>
          </w:p>
        </w:tc>
        <w:tc>
          <w:tcPr>
            <w:tcW w:w="1760" w:type="dxa"/>
            <w:vAlign w:val="bottom"/>
          </w:tcPr>
          <w:p>
            <w:pPr>
              <w:ind w:left="20"/>
              <w:spacing w:after="0"/>
              <w:rPr>
                <w:sz w:val="20"/>
                <w:szCs w:val="20"/>
                <w:color w:val="auto"/>
              </w:rPr>
            </w:pPr>
            <w:r>
              <w:rPr>
                <w:rFonts w:ascii="Arial" w:cs="Arial" w:eastAsia="Arial" w:hAnsi="Arial"/>
                <w:sz w:val="18"/>
                <w:szCs w:val="18"/>
                <w:color w:val="auto"/>
              </w:rPr>
              <w:t>(US)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7"/>
              </w:rPr>
              <w:t>Abuse deterrent products wherein the release of active ingredient is</w:t>
            </w:r>
          </w:p>
        </w:tc>
        <w:tc>
          <w:tcPr>
            <w:tcW w:w="172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1700" w:type="dxa"/>
            <w:vAlign w:val="bottom"/>
          </w:tcPr>
          <w:p>
            <w:pPr>
              <w:spacing w:after="0"/>
              <w:rPr>
                <w:sz w:val="20"/>
                <w:szCs w:val="20"/>
                <w:color w:val="auto"/>
              </w:rPr>
            </w:pPr>
            <w:r>
              <w:rPr>
                <w:rFonts w:ascii="Arial" w:cs="Arial" w:eastAsia="Arial" w:hAnsi="Arial"/>
                <w:sz w:val="18"/>
                <w:szCs w:val="18"/>
                <w:color w:val="auto"/>
              </w:rPr>
              <w:t>Nov. 2033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retarded when 3 or more doses are consumed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2,892,908</w:t>
            </w:r>
          </w:p>
        </w:tc>
        <w:tc>
          <w:tcPr>
            <w:tcW w:w="1760" w:type="dxa"/>
            <w:vAlign w:val="bottom"/>
          </w:tcPr>
          <w:p>
            <w:pPr>
              <w:ind w:left="20"/>
              <w:spacing w:after="0"/>
              <w:rPr>
                <w:sz w:val="20"/>
                <w:szCs w:val="20"/>
                <w:color w:val="auto"/>
              </w:rPr>
            </w:pPr>
            <w:r>
              <w:rPr>
                <w:rFonts w:ascii="Arial" w:cs="Arial" w:eastAsia="Arial" w:hAnsi="Arial"/>
                <w:sz w:val="18"/>
                <w:szCs w:val="18"/>
                <w:color w:val="auto"/>
              </w:rPr>
              <w:t>(CAN)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7"/>
              </w:rPr>
              <w:t>Abuse deterrent products wherein the release of active ingredient is</w:t>
            </w:r>
          </w:p>
        </w:tc>
        <w:tc>
          <w:tcPr>
            <w:tcW w:w="1720" w:type="dxa"/>
            <w:vAlign w:val="bottom"/>
            <w:gridSpan w:val="2"/>
          </w:tcPr>
          <w:p>
            <w:pPr>
              <w:spacing w:after="0"/>
              <w:rPr>
                <w:sz w:val="20"/>
                <w:szCs w:val="20"/>
                <w:color w:val="auto"/>
              </w:rPr>
            </w:pPr>
            <w:r>
              <w:rPr>
                <w:rFonts w:ascii="Arial" w:cs="Arial" w:eastAsia="Arial" w:hAnsi="Arial"/>
                <w:sz w:val="18"/>
                <w:szCs w:val="18"/>
                <w:color w:val="auto"/>
              </w:rPr>
              <w:t>Allowed; not yet</w:t>
            </w: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retarded when excessive doses are consumed</w:t>
            </w:r>
          </w:p>
        </w:tc>
        <w:tc>
          <w:tcPr>
            <w:tcW w:w="17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(JAPAN)</w:t>
            </w: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7"/>
              </w:rPr>
              <w:t>Abuse deterrent products wherein the release of active ingredient is</w:t>
            </w:r>
          </w:p>
        </w:tc>
        <w:tc>
          <w:tcPr>
            <w:tcW w:w="1720" w:type="dxa"/>
            <w:vAlign w:val="bottom"/>
            <w:gridSpan w:val="2"/>
          </w:tcPr>
          <w:p>
            <w:pPr>
              <w:spacing w:after="0"/>
              <w:rPr>
                <w:sz w:val="20"/>
                <w:szCs w:val="20"/>
                <w:color w:val="auto"/>
              </w:rPr>
            </w:pPr>
            <w:r>
              <w:rPr>
                <w:rFonts w:ascii="Arial" w:cs="Arial" w:eastAsia="Arial" w:hAnsi="Arial"/>
                <w:sz w:val="18"/>
                <w:szCs w:val="18"/>
                <w:color w:val="auto"/>
              </w:rPr>
              <w:t>Allowed; not yet</w:t>
            </w:r>
          </w:p>
        </w:tc>
        <w:tc>
          <w:tcPr>
            <w:tcW w:w="1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retarded when excessive doses are consumed</w:t>
            </w:r>
          </w:p>
        </w:tc>
        <w:tc>
          <w:tcPr>
            <w:tcW w:w="17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700" w:type="dxa"/>
            <w:vAlign w:val="bottom"/>
          </w:tcPr>
          <w:p>
            <w:pPr>
              <w:spacing w:after="0"/>
              <w:rPr>
                <w:sz w:val="20"/>
                <w:szCs w:val="20"/>
                <w:color w:val="auto"/>
              </w:rPr>
            </w:pPr>
          </w:p>
        </w:tc>
      </w:tr>
      <w:tr>
        <w:trPr>
          <w:trHeight w:val="432"/>
        </w:trPr>
        <w:tc>
          <w:tcPr>
            <w:tcW w:w="8000" w:type="dxa"/>
            <w:vAlign w:val="bottom"/>
            <w:gridSpan w:val="6"/>
          </w:tcPr>
          <w:p>
            <w:pPr>
              <w:spacing w:after="0"/>
              <w:rPr>
                <w:sz w:val="20"/>
                <w:szCs w:val="20"/>
                <w:color w:val="auto"/>
              </w:rPr>
            </w:pPr>
            <w:r>
              <w:rPr>
                <w:rFonts w:ascii="Arial" w:cs="Arial" w:eastAsia="Arial" w:hAnsi="Arial"/>
                <w:sz w:val="18"/>
                <w:szCs w:val="18"/>
                <w:color w:val="auto"/>
                <w:w w:val="94"/>
              </w:rPr>
              <w:t>We have the following issued patents covering, among other things, Oxaydo and our Aversion technology:</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9"/>
        </w:trPr>
        <w:tc>
          <w:tcPr>
            <w:tcW w:w="252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Subject Matter</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202"/>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7,201,920</w:t>
            </w:r>
          </w:p>
        </w:tc>
        <w:tc>
          <w:tcPr>
            <w:tcW w:w="17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(US)</w:t>
            </w:r>
          </w:p>
        </w:tc>
        <w:tc>
          <w:tcPr>
            <w:tcW w:w="220" w:type="dxa"/>
            <w:vAlign w:val="bottom"/>
          </w:tcPr>
          <w:p>
            <w:pPr>
              <w:spacing w:after="0"/>
              <w:rPr>
                <w:sz w:val="17"/>
                <w:szCs w:val="17"/>
                <w:color w:val="auto"/>
              </w:rPr>
            </w:pPr>
          </w:p>
        </w:tc>
        <w:tc>
          <w:tcPr>
            <w:tcW w:w="5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Pharmaceutical compositions including a mixture of functional</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Apr. 2007</w:t>
            </w:r>
          </w:p>
        </w:tc>
        <w:tc>
          <w:tcPr>
            <w:tcW w:w="24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Mar. 2025</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inactive ingredients and specific opioid analgesics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7,510,726</w:t>
            </w:r>
          </w:p>
        </w:tc>
        <w:tc>
          <w:tcPr>
            <w:tcW w:w="1760" w:type="dxa"/>
            <w:vAlign w:val="bottom"/>
          </w:tcPr>
          <w:p>
            <w:pPr>
              <w:ind w:left="20"/>
              <w:spacing w:after="0"/>
              <w:rPr>
                <w:sz w:val="20"/>
                <w:szCs w:val="20"/>
                <w:color w:val="auto"/>
              </w:rPr>
            </w:pPr>
            <w:r>
              <w:rPr>
                <w:rFonts w:ascii="Arial" w:cs="Arial" w:eastAsia="Arial" w:hAnsi="Arial"/>
                <w:sz w:val="18"/>
                <w:szCs w:val="18"/>
                <w:color w:val="auto"/>
              </w:rPr>
              <w:t>(US)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5"/>
              </w:rPr>
              <w:t>A wider range of compositions than those described in the 7,201,920</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Patent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7,981,439</w:t>
            </w:r>
          </w:p>
        </w:tc>
        <w:tc>
          <w:tcPr>
            <w:tcW w:w="1760" w:type="dxa"/>
            <w:vAlign w:val="bottom"/>
          </w:tcPr>
          <w:p>
            <w:pPr>
              <w:ind w:left="20"/>
              <w:spacing w:after="0"/>
              <w:rPr>
                <w:sz w:val="20"/>
                <w:szCs w:val="20"/>
                <w:color w:val="auto"/>
              </w:rPr>
            </w:pPr>
            <w:r>
              <w:rPr>
                <w:rFonts w:ascii="Arial" w:cs="Arial" w:eastAsia="Arial" w:hAnsi="Arial"/>
                <w:sz w:val="18"/>
                <w:szCs w:val="18"/>
                <w:color w:val="auto"/>
              </w:rPr>
              <w:t>(US)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Pharmaceutical compositions including any water soluble drug</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 2011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Aug. 2024</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susceptible to abuse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8,409,616</w:t>
            </w:r>
          </w:p>
        </w:tc>
        <w:tc>
          <w:tcPr>
            <w:tcW w:w="1760" w:type="dxa"/>
            <w:vAlign w:val="bottom"/>
          </w:tcPr>
          <w:p>
            <w:pPr>
              <w:ind w:left="20"/>
              <w:spacing w:after="0"/>
              <w:rPr>
                <w:sz w:val="20"/>
                <w:szCs w:val="20"/>
                <w:color w:val="auto"/>
              </w:rPr>
            </w:pPr>
            <w:r>
              <w:rPr>
                <w:rFonts w:ascii="Arial" w:cs="Arial" w:eastAsia="Arial" w:hAnsi="Arial"/>
                <w:sz w:val="18"/>
                <w:szCs w:val="18"/>
                <w:color w:val="auto"/>
              </w:rPr>
              <w:t>(US)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7"/>
              </w:rPr>
              <w:t>Pharmaceutical compositions of immediate-release abuse deterrent</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dosage forms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8,637,540</w:t>
            </w:r>
          </w:p>
        </w:tc>
        <w:tc>
          <w:tcPr>
            <w:tcW w:w="1760" w:type="dxa"/>
            <w:vAlign w:val="bottom"/>
          </w:tcPr>
          <w:p>
            <w:pPr>
              <w:ind w:left="20"/>
              <w:spacing w:after="0"/>
              <w:rPr>
                <w:sz w:val="20"/>
                <w:szCs w:val="20"/>
                <w:color w:val="auto"/>
              </w:rPr>
            </w:pPr>
            <w:r>
              <w:rPr>
                <w:rFonts w:ascii="Arial" w:cs="Arial" w:eastAsia="Arial" w:hAnsi="Arial"/>
                <w:sz w:val="18"/>
                <w:szCs w:val="18"/>
                <w:color w:val="auto"/>
              </w:rPr>
              <w:t>(US)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7"/>
              </w:rPr>
              <w:t>Pharmaceutical compositions of immediate-release abuse deterrent</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Jan.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opioid products</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8000" w:type="dxa"/>
            <w:vAlign w:val="bottom"/>
            <w:gridSpan w:val="6"/>
          </w:tcPr>
          <w:p>
            <w:pPr>
              <w:spacing w:after="0"/>
              <w:rPr>
                <w:sz w:val="20"/>
                <w:szCs w:val="20"/>
                <w:color w:val="auto"/>
              </w:rPr>
            </w:pPr>
            <w:r>
              <w:rPr>
                <w:rFonts w:ascii="Arial" w:cs="Arial" w:eastAsia="Arial" w:hAnsi="Arial"/>
                <w:sz w:val="18"/>
                <w:szCs w:val="18"/>
                <w:color w:val="auto"/>
              </w:rPr>
              <w:t>We have the following issued patents related to our Aversion technology:</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9"/>
        </w:trPr>
        <w:tc>
          <w:tcPr>
            <w:tcW w:w="252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Subject Matter</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202"/>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7,476,402</w:t>
            </w:r>
          </w:p>
        </w:tc>
        <w:tc>
          <w:tcPr>
            <w:tcW w:w="17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(US)</w:t>
            </w:r>
          </w:p>
        </w:tc>
        <w:tc>
          <w:tcPr>
            <w:tcW w:w="220" w:type="dxa"/>
            <w:vAlign w:val="bottom"/>
          </w:tcPr>
          <w:p>
            <w:pPr>
              <w:spacing w:after="0"/>
              <w:rPr>
                <w:sz w:val="17"/>
                <w:szCs w:val="17"/>
                <w:color w:val="auto"/>
              </w:rPr>
            </w:pPr>
          </w:p>
        </w:tc>
        <w:tc>
          <w:tcPr>
            <w:tcW w:w="5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Pharmaceutical compositions of certain combinations of kappa and</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Jan. 2009</w:t>
            </w:r>
          </w:p>
        </w:tc>
        <w:tc>
          <w:tcPr>
            <w:tcW w:w="24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7"/>
              </w:rPr>
              <w:t>mu opioid receptor agonists and other ingredients intended to deter</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opioid analgesic product misuse and abuse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8,822,489</w:t>
            </w:r>
          </w:p>
        </w:tc>
        <w:tc>
          <w:tcPr>
            <w:tcW w:w="1760" w:type="dxa"/>
            <w:vAlign w:val="bottom"/>
          </w:tcPr>
          <w:p>
            <w:pPr>
              <w:ind w:left="20"/>
              <w:spacing w:after="0"/>
              <w:rPr>
                <w:sz w:val="20"/>
                <w:szCs w:val="20"/>
                <w:color w:val="auto"/>
              </w:rPr>
            </w:pPr>
            <w:r>
              <w:rPr>
                <w:rFonts w:ascii="Arial" w:cs="Arial" w:eastAsia="Arial" w:hAnsi="Arial"/>
                <w:sz w:val="18"/>
                <w:szCs w:val="18"/>
                <w:color w:val="auto"/>
              </w:rPr>
              <w:t>(US)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w w:val="94"/>
              </w:rPr>
              <w:t>Pharmaceutical compositions of certain abuse deterrent products that</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contain polymers, surfactant and polysorb 80</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2,004,294,953 (AUS)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Apr.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2,547,334</w:t>
            </w:r>
          </w:p>
        </w:tc>
        <w:tc>
          <w:tcPr>
            <w:tcW w:w="1760" w:type="dxa"/>
            <w:vAlign w:val="bottom"/>
          </w:tcPr>
          <w:p>
            <w:pPr>
              <w:ind w:left="20"/>
              <w:spacing w:after="0"/>
              <w:rPr>
                <w:sz w:val="20"/>
                <w:szCs w:val="20"/>
                <w:color w:val="auto"/>
              </w:rPr>
            </w:pPr>
            <w:r>
              <w:rPr>
                <w:rFonts w:ascii="Arial" w:cs="Arial" w:eastAsia="Arial" w:hAnsi="Arial"/>
                <w:sz w:val="18"/>
                <w:szCs w:val="18"/>
                <w:color w:val="auto"/>
              </w:rPr>
              <w:t>(CAN)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Aug.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2"/>
              </w:rPr>
              <w:t>2,647,360</w:t>
            </w:r>
          </w:p>
        </w:tc>
        <w:tc>
          <w:tcPr>
            <w:tcW w:w="1760" w:type="dxa"/>
            <w:vAlign w:val="bottom"/>
          </w:tcPr>
          <w:p>
            <w:pPr>
              <w:ind w:left="20"/>
              <w:spacing w:after="0"/>
              <w:rPr>
                <w:sz w:val="20"/>
                <w:szCs w:val="20"/>
                <w:color w:val="auto"/>
              </w:rPr>
            </w:pPr>
            <w:r>
              <w:rPr>
                <w:rFonts w:ascii="Arial" w:cs="Arial" w:eastAsia="Arial" w:hAnsi="Arial"/>
                <w:sz w:val="18"/>
                <w:szCs w:val="18"/>
                <w:color w:val="auto"/>
              </w:rPr>
              <w:t>(CAN)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2012</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175,863 (ISR)</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Abuse deterrent pharmaceuticals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We have the following issued patent covering, among other things, our Nexafed product line and Impede 1.0 and 2.0 technologies: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gridSpan w:val="2"/>
          </w:tcPr>
          <w:p>
            <w:pPr>
              <w:spacing w:after="0"/>
              <w:rPr>
                <w:sz w:val="20"/>
                <w:szCs w:val="20"/>
                <w:color w:val="auto"/>
              </w:rPr>
            </w:pPr>
            <w:r>
              <w:rPr>
                <w:rFonts w:ascii="Arial" w:cs="Arial" w:eastAsia="Arial" w:hAnsi="Arial"/>
                <w:sz w:val="18"/>
                <w:szCs w:val="18"/>
                <w:color w:val="auto"/>
              </w:rPr>
              <w:t>Patent No. (Jurisdiction)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Subject Matter</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202"/>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8,901,113 (US)</w:t>
            </w:r>
          </w:p>
        </w:tc>
        <w:tc>
          <w:tcPr>
            <w:tcW w:w="220" w:type="dxa"/>
            <w:vAlign w:val="bottom"/>
          </w:tcPr>
          <w:p>
            <w:pPr>
              <w:spacing w:after="0"/>
              <w:rPr>
                <w:sz w:val="17"/>
                <w:szCs w:val="17"/>
                <w:color w:val="auto"/>
              </w:rPr>
            </w:pPr>
          </w:p>
        </w:tc>
        <w:tc>
          <w:tcPr>
            <w:tcW w:w="5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Pharmaceutical compositions suitable for reducing the chemical</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Dec. 2014</w:t>
            </w:r>
          </w:p>
        </w:tc>
        <w:tc>
          <w:tcPr>
            <w:tcW w:w="24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Feb. 2032</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conversion of precursor compounds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2010300641 (AUS)</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Pharmaceutical compositions suitable for reducing the chemical</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Allowed, not yet</w:t>
            </w: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issued</w:t>
            </w:r>
          </w:p>
        </w:tc>
        <w:tc>
          <w:tcPr>
            <w:tcW w:w="170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2,775,890 (CAN)</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Pharmaceutical compositions suitable for reducing the chemical</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Allowed, not yet</w:t>
            </w: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issued</w:t>
            </w:r>
          </w:p>
        </w:tc>
        <w:tc>
          <w:tcPr>
            <w:tcW w:w="170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2,488,029 (EUR)</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Pharmaceutical compositions suitable for reducing the chemical</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Sept. 2030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conversion of precursor compounds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218533 (ISR)</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Pharmaceutical compositions suitable for reducing the chemical</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Allowed, not yet</w:t>
            </w:r>
          </w:p>
        </w:tc>
        <w:tc>
          <w:tcPr>
            <w:tcW w:w="1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conversion of precursor compounds</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issued</w:t>
            </w:r>
          </w:p>
        </w:tc>
        <w:tc>
          <w:tcPr>
            <w:tcW w:w="1700" w:type="dxa"/>
            <w:vAlign w:val="bottom"/>
          </w:tcPr>
          <w:p>
            <w:pPr>
              <w:spacing w:after="0"/>
              <w:rPr>
                <w:sz w:val="20"/>
                <w:szCs w:val="20"/>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October 2014, we ceded priority of the 630 patent to a patent application filed by Purdue Pharma and expect this patent to be rescinded</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and the Bayer Agreement, we have retained all intellectual property rights to our Aversion Technology, Impede Technology, Limitx Technology and related product candidates.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our Annual Report on Form 10-K under the caption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93"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complaint seeks injunctive relief as well as awards of damages and attorneys’ fees. In January 2016, the District Court issued a claim construction order in the patent infringement action. The order stated that the term polyvinylpyrrolidone as that term is defined in the claims of the Purdue patent covers all polymeric forms of vinylpyrrolidone, including crospovidone used in Oxaydo. We deny the allegations in the complaint, believe they are without merit and are defending the action vigorously.</w:t>
      </w:r>
    </w:p>
    <w:p>
      <w:pPr>
        <w:spacing w:after="0" w:line="16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April 2016, Purdue commenced a second patent infringement lawsuit against us and Egalet in the United States District Court for the District of Delaware alleging our Oxaydo product infringes Purdue’s newly issued U.S. Patent No. 9,308,171 (the “ 171 Patent”). The Complaint seeks injunctive relief as well as awards of damages and attorneys’ fees. We deny the allegations in the complaint, believe they are without merit and will defend the action vigorously.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is the case with patent litigation, there is a risk that the Court may enjoin the making, using, selling and offering for sale Oxaydo and/or may find that Oxaydo infringes the 007 patent and/or the 171 patent. As any potential loss is neither probable nor estimable, we have not accrued for any potential loss related to the Purdue infringement matters as of March 31, 2016.</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2015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March 31, 2016, we had cash, cash equivalents and marketable securities of $11.0 million compared to $13.3 million of cash, cash equivalents and marketable securities at December 31, 2015. We have a $2.5 million compensating balance requirement at March 31, 2016 under our term loan from Oxford Finance LLC. Excluding the compensating balance requirement, the Company had unrestricted working capital of 4.7 million at March 31, 2016 compared to unrestricted working capital of $8.4 million at December 31, 2015. We had an accumulated deficit of approximately $370.7 million and $367.3 million at March 31, 2016 and December 31, 2015, respectively. We had a loss from operations of $3.1 million and a net loss of $3.4 million for the three months ended March 31, 2016, compared to income from operations of $1.5 million and net income of $1.2 million for the three months ended March 31, 2015. As of April 30, 2016, our unrestricted cash, cash equivalents and marketable (after deduction of a $2.5 million compensating balance requirement under our term loan with Oxford) was $7.7 million.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estimate that our unrestricted cash, cash equivalents and marketable securities, milestone and royalty payments, if any, that may be made under the Egalet Agreement and the Bayer Agreement, and revenues from our commercialization of our Nexafed products will be sufficient to fund our continuing operations through the first quarter of 2017. Moreover,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products, or invest in other areas, thereby accelerating the date at which we may exhaust our funding resources. To fund further operations and product development activities beyond the first quarter of 2017,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the non-cash stock-based compensation associated with stock options and restricted stock units granted to employees and non-employee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2016 Compared to Three months Ended March 31, 2015</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Increase (decrease)</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$000’s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Percent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(5,000)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90"/>
              <w:spacing w:after="0"/>
              <w:rPr>
                <w:sz w:val="20"/>
                <w:szCs w:val="20"/>
                <w:color w:val="auto"/>
              </w:rPr>
            </w:pPr>
            <w:r>
              <w:rPr>
                <w:rFonts w:ascii="Arial" w:cs="Arial" w:eastAsia="Arial" w:hAnsi="Arial"/>
                <w:sz w:val="18"/>
                <w:szCs w:val="18"/>
                <w:color w:val="auto"/>
              </w:rPr>
              <w:t>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(250)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(5,133)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and expenses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(excluding inventory write-down)</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(222)</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Inventory write-down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(260)</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Sales, marketing, general and administrative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2,246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(51)</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(483)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Operating loss (income)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(4,650)</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(59)</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Total other expense,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(27)</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(Loss) income before provision for income taxes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(4,623)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Net (loss) income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(4,623)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 Egalet paid us an upfront payment of $5.0 million upon signing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such as the collaboration agreement with Bayer, and are recognized when costs are incurred pursuant to the collaboration agreement. We recognized $100 thousand of collaboration revenue during the three months ended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and we have recorded royalties of $17 thousand on net sales for the three month period ended March 31, 2016.</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currently have a shelf life of twenty-four months from the date of manufacture.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 Our net product sales for the three months ended March 31, 2016 and 2015 were $107 thousand and $357 thousand,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expense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three months ended March 31, 2016 and 2015, cost of sales was $102 thousand and $324 thousand,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cost and expenses for the three months ended March 31, 2015 is $260 thousand of inventory reserve expense on raw and package materials purchased from Pfizer at the time we reacquired Oxaydo from Pfizer.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(R&amp;D) for the three months ended 2016 was primarily for our Limitx and our Impede Technologies development including costs of preclinical and non-clinical, clinical trials, clinical supplies and related formulation and design costs, salaries and other personnel related expenses, and facility costs. The initial LTX-04 clinical study, Study AP-LTX-400, or Study 400, was ongoing during the first quarter 2016. R&amp;D expense for the three months ended 2015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2016 and 2015 quarterly results are non-cash share-based compensation expenses of approximately $43 thousand and $39 thousand, respectively. Excluding the share-based compensation expense, our R&amp;D expenses increased approximately $46 thousand between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for the three months ended 2016 was primarily of advertising and marketing activities on the Nexafed product line. Our general and administrative expenses primarily consisted of legal, audit and other professional services, corporate insurance, and payroll. Included in each of the 2016 and 2015 quarterly results are non-cash share-based compensation expenses of approximately $107 thousand and $112 thousand, respectively. Excluding the share-based compensation expense our selling, marketing, general and administrative expenses decreased by $46 thousand between reporting periods, resulting primarily from decreases in advertising and marketing activities and offset by increases in our patent legal and litigation expenses with Purdue Pharma.</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2016 and 2015, non-operating expense consisted principally of interest expense on our term loan from Oxford, which originated on December 27, 2013, less investment income derived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2016 and 2015 include no federal or state income tax benefit provisions due to uncertainty of their future utilization.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March 31, 2016, we had cash, cash equivalents and marketable securities $11.0 million compared to $13.3 million at December 31, 2015. We have a $2.5 million compensating balance requirement under our Oxford term loan. Excluding the compensating balance requirement, we had unrestricted working capital of $4.7 million at March 31, 2016 compared to $8.4 million at December 31, 2015. We estimate that such unrestricted working capital, together with milestone and royalty payments, if any, that may be made under the Egalet Agreement and the Bayer Agreement, and revenues from our commercialization of our Nexafed Products will be sufficient to fund our continuing operations through the first quarter of 2017.</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Bayer Agreement and similar agreements for our Limitx products in development with other pharmaceutical company partners, for which there can be no assurance, and from the commercialization of our Nexafed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2015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2015 Annual Report are also applicable to 2016.</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812"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first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17,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5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1934.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52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Instance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520"/>
              <w:spacing w:after="0"/>
              <w:rPr>
                <w:sz w:val="20"/>
                <w:szCs w:val="20"/>
                <w:color w:val="auto"/>
              </w:rPr>
            </w:pPr>
            <w:r>
              <w:rPr>
                <w:rFonts w:ascii="Arial" w:cs="Arial" w:eastAsia="Arial" w:hAnsi="Arial"/>
                <w:sz w:val="18"/>
                <w:szCs w:val="18"/>
                <w:color w:val="auto"/>
              </w:rPr>
              <w:t>XBRL Taxonomy Extension Definition Linkbase</w:t>
            </w:r>
          </w:p>
        </w:tc>
      </w:tr>
      <w:tr>
        <w:trPr>
          <w:trHeight w:val="675"/>
        </w:trPr>
        <w:tc>
          <w:tcPr>
            <w:tcW w:w="120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380"/>
              <w:spacing w:after="0"/>
              <w:rPr>
                <w:sz w:val="20"/>
                <w:szCs w:val="20"/>
                <w:color w:val="auto"/>
              </w:rPr>
            </w:pPr>
            <w:r>
              <w:rPr>
                <w:rFonts w:ascii="Arial" w:cs="Arial" w:eastAsia="Arial" w:hAnsi="Arial"/>
                <w:sz w:val="22"/>
                <w:szCs w:val="22"/>
                <w:color w:val="auto"/>
              </w:rPr>
              <w:t>41</w:t>
            </w:r>
          </w:p>
        </w:tc>
      </w:tr>
    </w:tbl>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920"/>
        <w:spacing w:after="0"/>
        <w:tabs>
          <w:tab w:leader="none" w:pos="6260" w:val="left"/>
        </w:tabs>
        <w:rPr>
          <w:sz w:val="20"/>
          <w:szCs w:val="20"/>
          <w:color w:val="auto"/>
        </w:rPr>
      </w:pPr>
      <w:r>
        <w:rPr>
          <w:rFonts w:ascii="Arial" w:cs="Arial" w:eastAsia="Arial" w:hAnsi="Arial"/>
          <w:sz w:val="18"/>
          <w:szCs w:val="18"/>
          <w:color w:val="auto"/>
        </w:rPr>
        <w:t>May 2, 2016</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Robert B. Jones</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Peter A. Clemens</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10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0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122"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0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963"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60"/>
              <w:spacing w:after="0"/>
              <w:rPr>
                <w:sz w:val="20"/>
                <w:szCs w:val="20"/>
                <w:color w:val="auto"/>
              </w:rPr>
            </w:pPr>
            <w:r>
              <w:rPr>
                <w:rFonts w:ascii="Arial" w:cs="Arial" w:eastAsia="Arial" w:hAnsi="Arial"/>
                <w:sz w:val="18"/>
                <w:szCs w:val="18"/>
                <w:color w:val="auto"/>
              </w:rPr>
              <w:t>May 2,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702"/>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3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42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474"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478"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1463"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1420" w:hanging="764"/>
        <w:spacing w:after="0"/>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controls.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May 2, 2016</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Peter A. Clemens</w:t>
            </w:r>
          </w:p>
        </w:tc>
      </w:tr>
      <w:tr>
        <w:trPr>
          <w:trHeight w:val="211"/>
        </w:trPr>
        <w:tc>
          <w:tcPr>
            <w:tcW w:w="5620" w:type="dxa"/>
            <w:vAlign w:val="bottom"/>
          </w:tcPr>
          <w:p>
            <w:pPr>
              <w:spacing w:after="0"/>
              <w:rPr>
                <w:sz w:val="18"/>
                <w:szCs w:val="18"/>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Peter A. Clemens</w:t>
            </w:r>
          </w:p>
        </w:tc>
      </w:tr>
    </w:tbl>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March 31, 2016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May 2, 2016</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76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76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þ"/>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2019-12-29T12:38:09Z</dcterms:created>
  <dcterms:modified xsi:type="dcterms:W3CDTF">2019-12-29T12:38:09Z</dcterms:modified>
</cp:coreProperties>
</file>