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660" w:right="1500" w:hanging="652"/>
        <w:spacing w:after="0" w:line="49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w:t>
      </w:r>
    </w:p>
    <w:p>
      <w:pPr>
        <w:spacing w:after="0" w:line="225"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For the transition period from ______________________ to_______________________</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44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5"/>
              </w:rPr>
              <w:t>New York</w:t>
            </w:r>
          </w:p>
        </w:tc>
        <w:tc>
          <w:tcPr>
            <w:tcW w:w="4120" w:type="dxa"/>
            <w:vAlign w:val="bottom"/>
          </w:tcPr>
          <w:p>
            <w:pPr>
              <w:jc w:val="right"/>
              <w:ind w:right="77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44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2"/>
              </w:rPr>
              <w:t>(State or other Jurisdiction of</w:t>
            </w:r>
          </w:p>
        </w:tc>
        <w:tc>
          <w:tcPr>
            <w:tcW w:w="4120" w:type="dxa"/>
            <w:vAlign w:val="bottom"/>
          </w:tcPr>
          <w:p>
            <w:pPr>
              <w:jc w:val="center"/>
              <w:ind w:left="14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4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4"/>
              </w:rPr>
              <w:t>incorporation or organization)</w:t>
            </w:r>
          </w:p>
        </w:tc>
        <w:tc>
          <w:tcPr>
            <w:tcW w:w="4120" w:type="dxa"/>
            <w:vAlign w:val="bottom"/>
          </w:tcPr>
          <w:p>
            <w:pPr>
              <w:spacing w:after="0"/>
              <w:rPr>
                <w:sz w:val="20"/>
                <w:szCs w:val="20"/>
                <w:color w:val="auto"/>
              </w:rPr>
            </w:pPr>
          </w:p>
        </w:tc>
      </w:tr>
      <w:tr>
        <w:trPr>
          <w:trHeight w:val="414"/>
        </w:trPr>
        <w:tc>
          <w:tcPr>
            <w:tcW w:w="44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616 N. North Court, Suite 120</w:t>
            </w:r>
          </w:p>
        </w:tc>
        <w:tc>
          <w:tcPr>
            <w:tcW w:w="4120" w:type="dxa"/>
            <w:vAlign w:val="bottom"/>
          </w:tcPr>
          <w:p>
            <w:pPr>
              <w:spacing w:after="0"/>
              <w:rPr>
                <w:sz w:val="24"/>
                <w:szCs w:val="24"/>
                <w:color w:val="auto"/>
              </w:rPr>
            </w:pPr>
          </w:p>
        </w:tc>
      </w:tr>
      <w:tr>
        <w:trPr>
          <w:trHeight w:val="220"/>
        </w:trPr>
        <w:tc>
          <w:tcPr>
            <w:tcW w:w="4440" w:type="dxa"/>
            <w:vAlign w:val="bottom"/>
          </w:tcPr>
          <w:p>
            <w:pPr>
              <w:jc w:val="center"/>
              <w:ind w:right="1450"/>
              <w:spacing w:after="0"/>
              <w:rPr>
                <w:sz w:val="20"/>
                <w:szCs w:val="20"/>
                <w:color w:val="auto"/>
              </w:rPr>
            </w:pPr>
            <w:r>
              <w:rPr>
                <w:rFonts w:ascii="Arial" w:cs="Arial" w:eastAsia="Arial" w:hAnsi="Arial"/>
                <w:sz w:val="18"/>
                <w:szCs w:val="18"/>
                <w:b w:val="1"/>
                <w:bCs w:val="1"/>
                <w:color w:val="auto"/>
                <w:w w:val="92"/>
              </w:rPr>
              <w:t>Palatine, Illinois</w:t>
            </w:r>
          </w:p>
        </w:tc>
        <w:tc>
          <w:tcPr>
            <w:tcW w:w="4120" w:type="dxa"/>
            <w:vAlign w:val="bottom"/>
          </w:tcPr>
          <w:p>
            <w:pPr>
              <w:jc w:val="right"/>
              <w:ind w:right="990"/>
              <w:spacing w:after="0"/>
              <w:rPr>
                <w:sz w:val="20"/>
                <w:szCs w:val="20"/>
                <w:color w:val="auto"/>
              </w:rPr>
            </w:pPr>
            <w:r>
              <w:rPr>
                <w:rFonts w:ascii="Arial" w:cs="Arial" w:eastAsia="Arial" w:hAnsi="Arial"/>
                <w:sz w:val="18"/>
                <w:szCs w:val="18"/>
                <w:b w:val="1"/>
                <w:bCs w:val="1"/>
                <w:color w:val="auto"/>
              </w:rPr>
              <w:t>60067</w:t>
            </w:r>
          </w:p>
        </w:tc>
      </w:tr>
      <w:tr>
        <w:trPr>
          <w:trHeight w:val="230"/>
        </w:trPr>
        <w:tc>
          <w:tcPr>
            <w:tcW w:w="4440" w:type="dxa"/>
            <w:vAlign w:val="bottom"/>
          </w:tcPr>
          <w:p>
            <w:pPr>
              <w:jc w:val="center"/>
              <w:ind w:right="14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120" w:type="dxa"/>
            <w:vAlign w:val="bottom"/>
          </w:tcPr>
          <w:p>
            <w:pPr>
              <w:jc w:val="center"/>
              <w:ind w:left="145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ind w:right="180" w:firstLine="194"/>
        <w:spacing w:after="0" w:line="30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 (d) of the Securities Exchange Act of 1934 during the preceding 12 months, and (2) has been subject to such filing requirements for the past 90 days. Yes þ No o</w:t>
      </w:r>
    </w:p>
    <w:p>
      <w:pPr>
        <w:spacing w:after="0" w:line="147" w:lineRule="exact"/>
        <w:rPr>
          <w:sz w:val="24"/>
          <w:szCs w:val="24"/>
          <w:color w:val="auto"/>
        </w:rPr>
      </w:pPr>
    </w:p>
    <w:p>
      <w:pPr>
        <w:ind w:firstLine="194"/>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660"/>
        <w:spacing w:after="0"/>
        <w:rPr>
          <w:sz w:val="20"/>
          <w:szCs w:val="20"/>
          <w:color w:val="auto"/>
        </w:rPr>
      </w:pPr>
      <w:r>
        <w:rPr>
          <w:rFonts w:ascii="Arial" w:cs="Arial" w:eastAsia="Arial" w:hAnsi="Arial"/>
          <w:sz w:val="18"/>
          <w:szCs w:val="18"/>
          <w:color w:val="auto"/>
        </w:rPr>
        <w:t>Yes þ No o</w:t>
      </w:r>
    </w:p>
    <w:p>
      <w:pPr>
        <w:spacing w:after="0" w:line="211" w:lineRule="exact"/>
        <w:rPr>
          <w:sz w:val="24"/>
          <w:szCs w:val="24"/>
          <w:color w:val="auto"/>
        </w:rPr>
      </w:pPr>
    </w:p>
    <w:p>
      <w:pPr>
        <w:ind w:right="140" w:firstLine="19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360"/>
          </w:cols>
          <w:pgMar w:left="240" w:top="445" w:right="299" w:bottom="1440" w:gutter="0" w:footer="0" w:header="0"/>
        </w:sectPr>
      </w:pPr>
    </w:p>
    <w:p>
      <w:pPr>
        <w:spacing w:after="0" w:line="147" w:lineRule="exact"/>
        <w:rPr>
          <w:sz w:val="24"/>
          <w:szCs w:val="24"/>
          <w:color w:val="auto"/>
        </w:rPr>
      </w:pPr>
    </w:p>
    <w:p>
      <w:pPr>
        <w:ind w:left="180" w:right="420"/>
        <w:spacing w:after="0" w:line="342" w:lineRule="auto"/>
        <w:rPr>
          <w:sz w:val="20"/>
          <w:szCs w:val="20"/>
          <w:color w:val="auto"/>
        </w:rPr>
      </w:pPr>
      <w:r>
        <w:rPr>
          <w:rFonts w:ascii="Arial" w:cs="Arial" w:eastAsia="Arial" w:hAnsi="Arial"/>
          <w:sz w:val="16"/>
          <w:szCs w:val="16"/>
          <w:color w:val="auto"/>
        </w:rPr>
        <w:t>Large accelerated filer o Non-accelerated filer þ</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33" w:lineRule="exact"/>
        <w:rPr>
          <w:sz w:val="24"/>
          <w:szCs w:val="24"/>
          <w:color w:val="auto"/>
        </w:rPr>
      </w:pPr>
    </w:p>
    <w:p>
      <w:pPr>
        <w:sectPr>
          <w:pgSz w:w="11900" w:h="16838" w:orient="portrait"/>
          <w:cols w:equalWidth="0" w:num="2">
            <w:col w:w="2380" w:space="720"/>
            <w:col w:w="8260"/>
          </w:cols>
          <w:pgMar w:left="240" w:top="445" w:right="2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þ</w:t>
      </w:r>
    </w:p>
    <w:p>
      <w:pPr>
        <w:spacing w:after="0" w:line="24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As of July 30, 2014 the registrant had 48,847,982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JUNE 30,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17"/>
            <w:shd w:val="clear" w:color="auto" w:fill="CCEEFF"/>
          </w:tcPr>
          <w:p>
            <w:pPr>
              <w:spacing w:after="0"/>
              <w:rPr>
                <w:sz w:val="20"/>
                <w:szCs w:val="20"/>
                <w:color w:val="auto"/>
              </w:rPr>
            </w:pPr>
            <w:r>
              <w:rPr>
                <w:rFonts w:ascii="Arial" w:cs="Arial" w:eastAsia="Arial" w:hAnsi="Arial"/>
                <w:sz w:val="18"/>
                <w:szCs w:val="18"/>
                <w:b w:val="1"/>
                <w:bCs w:val="1"/>
                <w:color w:val="auto"/>
              </w:rPr>
              <w:t>Part 1. FINANCIAL INFORMATION</w:t>
            </w: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88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2014 and December 31, 2013 (unaudited)</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Statements of Operations and Comprehensive Income (Loss) for the Three and Six months Ended</w:t>
              </w:r>
            </w:hyperlink>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4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30, 2014 and June 30, 2013 (unaudited)</w:t>
              </w:r>
            </w:hyperlink>
          </w:p>
        </w:tc>
        <w:tc>
          <w:tcPr>
            <w:tcW w:w="520" w:type="dxa"/>
            <w:vAlign w:val="bottom"/>
            <w:tcBorders>
              <w:top w:val="single" w:sz="8" w:color="CCEEFF"/>
            </w:tcBorders>
            <w:gridSpan w:val="2"/>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Stockholders’ Equity for the Six months Ended June 30, 2014 (unaudited)</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Cash Flows for the Six months Ended June 30, 2014 and June 30, 2013 (unaudited)</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Financial Statements (unaudited)</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2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32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40" w:type="dxa"/>
            <w:vAlign w:val="bottom"/>
            <w:gridSpan w:val="17"/>
            <w:shd w:val="clear" w:color="auto" w:fill="CCEEFF"/>
          </w:tcPr>
          <w:p>
            <w:pPr>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1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32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32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320" w:type="dxa"/>
            <w:vAlign w:val="bottom"/>
            <w:shd w:val="clear" w:color="auto" w:fill="CCEEFF"/>
          </w:tcPr>
          <w:p>
            <w:pPr>
              <w:spacing w:after="0"/>
              <w:rPr>
                <w:sz w:val="17"/>
                <w:szCs w:val="17"/>
                <w:color w:val="auto"/>
              </w:rPr>
            </w:pPr>
          </w:p>
        </w:tc>
        <w:tc>
          <w:tcPr>
            <w:tcW w:w="8560" w:type="dxa"/>
            <w:vAlign w:val="bottom"/>
            <w:gridSpan w:val="14"/>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Signatures</w:t>
              </w:r>
            </w:hyperlink>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6540" w:type="dxa"/>
            <w:vAlign w:val="bottom"/>
            <w:tcBorders>
              <w:top w:val="single" w:sz="8" w:color="CCEEFF"/>
              <w:bottom w:val="single" w:sz="8" w:color="auto"/>
            </w:tcBorders>
            <w:gridSpan w:val="10"/>
          </w:tcPr>
          <w:p>
            <w:pPr>
              <w:jc w:val="right"/>
              <w:ind w:right="216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rPr>
              <w:t>ACURA PHARMACEUTICALS, INC. AND SUBSIDIARY</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b w:val="1"/>
                <w:bCs w:val="1"/>
                <w:color w:val="auto"/>
                <w:w w:val="89"/>
              </w:rPr>
              <w:t>(Unaudited; in thousands except par value)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June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90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13,820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$22 and $28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deferred assets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Deferred debt issuance costs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21,860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expenses (Note 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debt, net of debt discount of $341 and $400</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11,561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80" w:type="dxa"/>
            <w:vAlign w:val="bottom"/>
          </w:tcPr>
          <w:p>
            <w:pPr>
              <w:spacing w:after="0" w:line="201" w:lineRule="exact"/>
              <w:rPr>
                <w:sz w:val="20"/>
                <w:szCs w:val="20"/>
                <w:color w:val="auto"/>
              </w:rPr>
            </w:pPr>
            <w:r>
              <w:rPr>
                <w:rFonts w:ascii="Arial" w:cs="Arial" w:eastAsia="Arial" w:hAnsi="Arial"/>
                <w:sz w:val="18"/>
                <w:szCs w:val="18"/>
                <w:color w:val="auto"/>
                <w:w w:val="95"/>
              </w:rPr>
              <w:t>Common stock: $.01 par value per shares; 100,000 shares authorized, 48,848 and 48,325 shares issued and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outstanding at June 30, 2014 and December 31, 2013, respectively</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366,463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(356,721)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(349,112)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21,860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28,630</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jc w:val="center"/>
              <w:ind w:left="303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2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80" w:type="dxa"/>
            <w:vAlign w:val="bottom"/>
            <w:tcBorders>
              <w:bottom w:val="single" w:sz="8" w:color="auto"/>
            </w:tcBorders>
          </w:tcPr>
          <w:p>
            <w:pPr>
              <w:jc w:val="center"/>
              <w:ind w:left="3010"/>
              <w:spacing w:after="0"/>
              <w:rPr>
                <w:sz w:val="20"/>
                <w:szCs w:val="20"/>
                <w:color w:val="auto"/>
              </w:rPr>
            </w:pPr>
            <w:r>
              <w:rPr>
                <w:rFonts w:ascii="Arial" w:cs="Arial" w:eastAsia="Arial" w:hAnsi="Arial"/>
                <w:sz w:val="18"/>
                <w:szCs w:val="18"/>
                <w:color w:val="auto"/>
                <w:w w:val="99"/>
              </w:rPr>
              <w:t>2</w:t>
            </w: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3" w:name="page4"/>
    <w:bookmarkEnd w:id="3"/>
    <w:p>
      <w:pPr>
        <w:jc w:val="center"/>
        <w:ind w:left="260" w:right="1840"/>
        <w:spacing w:after="0" w:line="266" w:lineRule="auto"/>
        <w:rPr>
          <w:sz w:val="20"/>
          <w:szCs w:val="20"/>
          <w:color w:val="auto"/>
        </w:rPr>
      </w:pPr>
      <w:r>
        <w:rPr>
          <w:rFonts w:ascii="Arial" w:cs="Arial" w:eastAsia="Arial" w:hAnsi="Arial"/>
          <w:sz w:val="18"/>
          <w:szCs w:val="18"/>
          <w:b w:val="1"/>
          <w:bCs w:val="1"/>
          <w:color w:val="auto"/>
        </w:rPr>
        <w:t>ACURA PHARMACEUTICALS, INC. AND SUBSIDIARY CONSOLIDATED STATEMENTS OF OPERATIONS AND COMPREHENSIVE INCOME (LOSS) (Unaudited; in thousands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Three months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Six months</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Ended June 30,</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860"/>
              <w:spacing w:after="0"/>
              <w:rPr>
                <w:sz w:val="20"/>
                <w:szCs w:val="20"/>
                <w:color w:val="auto"/>
              </w:rPr>
            </w:pPr>
            <w:r>
              <w:rPr>
                <w:rFonts w:ascii="Arial" w:cs="Arial" w:eastAsia="Arial" w:hAnsi="Arial"/>
                <w:sz w:val="18"/>
                <w:szCs w:val="18"/>
                <w:color w:val="auto"/>
              </w:rPr>
              <w:t>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Royalty revenue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revenues, net</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Cost of sales (excludes inventory write-down)</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write-down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2,719</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4,175</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loss</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(Loss) gain on sales of marketable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(Note 8)</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(7,294</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(losses) on securities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comprehensive income (expense)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8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52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48,848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47,228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48,846</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48,848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47,228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48,846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8"/>
          </w:tcPr>
          <w:p>
            <w:pPr>
              <w:jc w:val="right"/>
              <w:spacing w:after="0"/>
              <w:rPr>
                <w:sz w:val="20"/>
                <w:szCs w:val="20"/>
                <w:color w:val="auto"/>
              </w:rPr>
            </w:pPr>
            <w:r>
              <w:rPr>
                <w:rFonts w:ascii="Arial" w:cs="Arial" w:eastAsia="Arial" w:hAnsi="Arial"/>
                <w:sz w:val="18"/>
                <w:szCs w:val="18"/>
                <w:color w:val="auto"/>
                <w:w w:val="91"/>
              </w:rPr>
              <w:t>Six months Ended June 30, 2014</w:t>
            </w:r>
          </w:p>
        </w:tc>
        <w:tc>
          <w:tcPr>
            <w:tcW w:w="60" w:type="dxa"/>
            <w:vAlign w:val="bottom"/>
          </w:tcPr>
          <w:p>
            <w:pPr>
              <w:spacing w:after="0"/>
              <w:rPr>
                <w:sz w:val="20"/>
                <w:szCs w:val="20"/>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980" w:type="dxa"/>
            <w:vAlign w:val="bottom"/>
            <w:gridSpan w:val="4"/>
          </w:tcPr>
          <w:p>
            <w:pPr>
              <w:ind w:left="5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Accumulated</w:t>
            </w:r>
          </w:p>
        </w:tc>
        <w:tc>
          <w:tcPr>
            <w:tcW w:w="1300" w:type="dxa"/>
            <w:vAlign w:val="bottom"/>
            <w:gridSpan w:val="4"/>
          </w:tcPr>
          <w:p>
            <w:pPr>
              <w:jc w:val="center"/>
              <w:ind w:right="40"/>
              <w:spacing w:after="0"/>
              <w:rPr>
                <w:sz w:val="20"/>
                <w:szCs w:val="20"/>
                <w:color w:val="auto"/>
              </w:rPr>
            </w:pPr>
            <w:r>
              <w:rPr>
                <w:rFonts w:ascii="Arial" w:cs="Arial" w:eastAsia="Arial" w:hAnsi="Arial"/>
                <w:sz w:val="18"/>
                <w:szCs w:val="18"/>
                <w:color w:val="auto"/>
                <w:w w:val="90"/>
              </w:rPr>
              <w:t>Comprehensive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Shares</w:t>
            </w:r>
          </w:p>
        </w:tc>
        <w:tc>
          <w:tcPr>
            <w:tcW w:w="800" w:type="dxa"/>
            <w:vAlign w:val="bottom"/>
            <w:gridSpan w:val="2"/>
          </w:tcPr>
          <w:p>
            <w:pPr>
              <w:ind w:left="80"/>
              <w:spacing w:after="0"/>
              <w:rPr>
                <w:sz w:val="20"/>
                <w:szCs w:val="20"/>
                <w:color w:val="auto"/>
              </w:rPr>
            </w:pPr>
            <w:r>
              <w:rPr>
                <w:rFonts w:ascii="Arial" w:cs="Arial" w:eastAsia="Arial" w:hAnsi="Arial"/>
                <w:sz w:val="18"/>
                <w:szCs w:val="18"/>
                <w:color w:val="auto"/>
                <w:w w:val="90"/>
              </w:rPr>
              <w:t>$ Amount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Deficit</w:t>
            </w:r>
          </w:p>
        </w:tc>
        <w:tc>
          <w:tcPr>
            <w:tcW w:w="60" w:type="dxa"/>
            <w:vAlign w:val="bottom"/>
          </w:tcPr>
          <w:p>
            <w:pPr>
              <w:spacing w:after="0"/>
              <w:rPr>
                <w:sz w:val="21"/>
                <w:szCs w:val="21"/>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48,325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(349,112</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distribution of common stock pursuant to</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award plan</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withheld for withholding taxes 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distribution of restricted stock units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issuance of common stock pursuant to cashless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shares withheld for withholding taxes on</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stock options</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for exercise of stock</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48,848</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366,463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(356,721)</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(7,609)</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Provision to reduce inventory to net realizable value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discount and deferred debt issue costs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(gain) on sales of marketable securities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refundable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deferred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902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Proceeds from sale and maturities of marketable securities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1,361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Acquisition of product rights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Statutory minimum withholding taxes paid on the distribution of common stock pursuant to restricted stock unit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plan and exercise of stock options</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320"/>
              <w:spacing w:after="0"/>
              <w:rPr>
                <w:sz w:val="20"/>
                <w:szCs w:val="20"/>
                <w:color w:val="auto"/>
              </w:rPr>
            </w:pPr>
            <w:r>
              <w:rPr>
                <w:rFonts w:ascii="Arial" w:cs="Arial" w:eastAsia="Arial" w:hAnsi="Arial"/>
                <w:sz w:val="18"/>
                <w:szCs w:val="18"/>
                <w:color w:val="auto"/>
              </w:rPr>
              <w:t>Proceeds from “at-the-market” offering</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Offering transaction costs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decreases in cash and cash 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12,340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ind w:left="160"/>
              <w:spacing w:after="0"/>
              <w:rPr>
                <w:sz w:val="20"/>
                <w:szCs w:val="20"/>
                <w:color w:val="auto"/>
              </w:rPr>
            </w:pPr>
            <w:r>
              <w:rPr>
                <w:rFonts w:ascii="Arial" w:cs="Arial" w:eastAsia="Arial" w:hAnsi="Arial"/>
                <w:sz w:val="18"/>
                <w:szCs w:val="18"/>
                <w:color w:val="auto"/>
              </w:rPr>
              <w:t>Cash paid (refunded) during the year for:</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tcPr>
          <w:p>
            <w:pPr>
              <w:ind w:left="480"/>
              <w:spacing w:after="0"/>
              <w:rPr>
                <w:sz w:val="20"/>
                <w:szCs w:val="20"/>
                <w:color w:val="auto"/>
              </w:rPr>
            </w:pPr>
            <w:r>
              <w:rPr>
                <w:rFonts w:ascii="Arial" w:cs="Arial" w:eastAsia="Arial" w:hAnsi="Arial"/>
                <w:sz w:val="18"/>
                <w:szCs w:val="18"/>
                <w:color w:val="auto"/>
              </w:rPr>
              <w:t>Income taxes, net of refunds</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ACURA PHARMACEUTICALS, INC. AND SUBSIDIAR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2014</w:t>
      </w:r>
    </w:p>
    <w:p>
      <w:pPr>
        <w:spacing w:after="0" w:line="225" w:lineRule="exact"/>
        <w:rPr>
          <w:sz w:val="20"/>
          <w:szCs w:val="20"/>
          <w:color w:val="auto"/>
        </w:rPr>
      </w:pPr>
    </w:p>
    <w:p>
      <w:pPr>
        <w:jc w:val="both"/>
        <w:ind w:left="340" w:hanging="332"/>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4 thousand shares for $7 in exercise costs and withholding 315 thousand shares for $525 in statutory minimum payroll taxes; we issued 510 thousand shares of common stock.</w:t>
      </w: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Options to purchase 24 thousand shares of common stock were exercised utilizing various cashless exercise features of the stock option plan and after withholding 16 thousand shares for $32 in exercise costs and withholding 2 thousand shares for $4 in statutory minimum payroll taxes, we issued 6 thousand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Six months Ended June 30, 2013</w:t>
      </w:r>
    </w:p>
    <w:p>
      <w:pPr>
        <w:spacing w:after="0" w:line="225" w:lineRule="exact"/>
        <w:rPr>
          <w:sz w:val="20"/>
          <w:szCs w:val="20"/>
          <w:color w:val="auto"/>
        </w:rPr>
      </w:pPr>
    </w:p>
    <w:p>
      <w:pPr>
        <w:jc w:val="both"/>
        <w:ind w:left="340" w:hanging="332"/>
        <w:spacing w:after="0" w:line="25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829 thousand shares of common stock were eligible for distribution pursuant to our RSU Plan utilizing various cashless exercise features of the plan and after withholding 3 thousand shares for $7 in exercise costs and withholding 321 thousand shares for $0.7 million in statutory minimum payroll taxes; we issued 505 thousand shares of common stock.</w:t>
      </w:r>
    </w:p>
    <w:p>
      <w:pPr>
        <w:jc w:val="both"/>
        <w:ind w:left="340" w:hanging="332"/>
        <w:spacing w:after="0" w:line="255"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Options to purchase 7 thousand shares of common stock were exercised utilizing various cashless exercise features of the stock option plan and after withholding 3 thousand shares for $9 in exercise costs and withholding 1 thousand shares for $4 in statutory minimum payroll taxes, we issued 3 thousand shares of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ACURA PHARMACEUTICALS, INC.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 AND JUNE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two proprietary technologies. Our oxycodone HCl tablets, CII formulated with Aversion® Technology, or Aversion® Oxycodone, is the first approved product utilizing Aversion®. Aversion Oxycodone was marketed by Pfizer Inc. under the brand name Oxecta® pursuant to our license agreement with Pfizer. Such license agreement was terminated effective April 9, 2014 and we have re-acquired all rights to Aversion Oxycodone. We have also developed our Impede® Technology which is a combination of inactive ingredients that prevent the extraction of pseudoephedrine from tablets and disrupt the direct conversion of pseudoephedrine from tablets into methamphetamine. In mid-December 2012 we launched in the United States Nexafed® (pseudoephedrine HC1) tablets formulated with our Impede Technology.</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consolidated financial statements of the Company were prepared in accordance with generally accepted accounting principles for interim financial information and instructions to Form 10-Q and Rule 10-01 of Regulation S-X. Accordingly, these financial statements do not include all of the information and footnotes required by accounting principles generally accepted in the United States of America for complete financial statements. In the opinion of management, all adjustments considered necessary to present fairly the Company’s financial position, results of operations and cash flows have been made. The results of operations for the three and six months ended June 30, 2014 are not necessarily indicative of results expected for the full year ending December 31, 2014. These unaudited consolidated financial statements should be read in conjunction with the audited consolidated financial statements and footnotes thereto for the year ended December 31, 2013 included in the Company's Annual Report on Form 10-K filed with the Securities and Exchange Commission. The 2013 year-end consolidated balance sheet presented in this Report was derived from the Company’s 2013 year-end audited consolidated financial statements, but does not include all disclosures required by generally accepted accounting principles.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LICENSE, DEVELOPMENT, AND COMMERCIALIZATION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2007, we entered into a License, Development and Commercialization Agreement, or the Pfizer Agreement, with King Pharmaceuticals Research and Development, Inc., now a subsidiary of Pfizer, to develop and commercialize in the United States, Canada and Mexico certain opioid analgesic products utilizing our Aversion Technology. Aversion Oxycodone was approved by the U.S. Food and Drug Administration, or FDA, on June 17, 2011 and sales of Aversion Oxycodone, under Pfizer’s brand name Oxecta, commenced in February 2012. For sales of Aversion Oxycodone occurring on and following February 2, 2013 (the one year anniversary of first commercial sale), Pfizer paid us a royalty of 5% of net sales of Aversion Oxycodone. On September 24, 2012, we entered into a letter agreement with Pfizer which provided for the termination of Pfizer’s license to our Aversion Technology used in three development-stage products licensed to Pfizer and for the return of these products to us.</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9, 2014, we entered into a second letter agreement with Pfizer providing for the termination of the Pfizer Agreement and the return of Aversion Oxycodone to us effective April 9, 2014. The letter agreement further provides that (i) Pfizer will cease the development, marketing and sale of any product using our technologies effective April 9, 2014, (ii) Pfizer will retain its Oxecta® trademark, (iii) Pfizer will transfer to us of all studies, data, regulatory filings (including the NDA) and all other information relating to Aversion Oxycodone pursuant to a transition process described in the letter agreement, (iv) we will remit to Pfizer a one-time termination payment of $2.0 million, and (v) each party waives all claims against the other relating to the Pfizer Agreement. Pfizer’s royalty payment obligations relating to Aversion Oxycodone ceased effective April 9, 2014 and all royalty payments due to us have been received. Our termination payment of $2.0 million has been recorded on our financial statements as an intangible asset and will be periodically assessed on its recorded value for impairment. We plan to enter into a license agreement with another pharmaceutical company for the manufacture and sale of Aversion Oxycodone in the United States and possibly other territories, of which no assurance can be given. At the point of entering into a license agreement, the intangible asset will be amortized based on the projected cash flows expected over the remaining useful life of the patent.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Paragraph IV ANDA Litigation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or about September 17, 2012, we believe the FDA internally changed the status of Aversion Oxycodone to be considered a Reference Listed Drug, or RLD. An RLD is the standard to which all generic versions must be shown to be bioequivalent and a drug company seeking approval to market a generic equivalent must refer to the RLD. By designating Aversion Oxycodone as an RLD, the FDA was allowed to accept ANDAs referencing Aversion Oxycodone.</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Aversion Oxycodone as the reference listed drug. Since such date, we have received similar Paragraph IV Notices from three other generic pharmaceutical companies that have filed ANDAs listing Aversion Oxycodone as the reference drug. The Paragraph IV Notices refer to our U.S. Patent Numbers 7,201,920, 7,510,726 and 7,981,439, which cover our Aversion Technology and Aversion Oxycodone.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III Certification, which indicated its intent not to market its generic Aversion Oxycodone product in advance of our patent expiring.</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Aversion Oxycodone product for which each of Par and Impax is separately seeking approval to market in the United States pursuant to an ANDA filing with the FDA infringes a U.S. patent owned by us. Par is the first filer of an ANDA for a generic Aversion Oxycodone product and is entitled to the 180-day first filer exclusivity under applicable law and FDA regulations.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Settlement Agreement with Par, Par may launch its generic Aversion Oxycodone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Aversion Oxycodone product.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Aversion Oxycodone product in the U.S., through the grant of a non-exclusive, royalty-free license from us that would trigger 180 days following the first sale of a generic Aversion Oxycodone product in the U.S. by an entity that is entitled to the 180 day first-filer exclusivity under applicable law and FDA regulations (or if no entity is entitled to such 180 day exclusivity period, the date on which a generic Aversion Oxycodone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8, 2014, we announced that we had entered into a Settlement Agreement with Ranbaxy Inc. to settle our patent infringement action pending in the United States District Court for the District of Delaware. In the suit, we alleged that a generic of our Aversion Oxycodone product for which Ranbaxy is seeking approval to market in the United States pursuant to an ANDA filed with the FDA infringes U.S. patents owned by us. The Settlement Agreement provides that Ranbaxy’s current generic of our Aversion Oxycodone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Aversion Oxycodone product.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spacing w:after="0" w:line="269" w:lineRule="auto"/>
        <w:rPr>
          <w:sz w:val="20"/>
          <w:szCs w:val="20"/>
          <w:color w:val="auto"/>
        </w:rPr>
      </w:pPr>
      <w:r>
        <w:rPr>
          <w:rFonts w:ascii="Arial" w:cs="Arial" w:eastAsia="Arial" w:hAnsi="Arial"/>
          <w:sz w:val="17"/>
          <w:szCs w:val="17"/>
          <w:color w:val="auto"/>
        </w:rPr>
        <w:t>On May 21, 2014, we announced that we had entered into a Settlement Agreement with Sandoz Inc. to settle our patent infringement action pending against Sandoz in the United States District Court for the District of Delaware. In the suit, we alleged that a generic of our AVERSION® oxycodone product for which Sandoz is seeking approval to market in the United States pursuant to an ANDA filed with the FDA infringes a U.S. patent owned by us. Under the Settlement Agreement, Sandoz may launch its generic to the AVERSION® oxycodone product in the U.S., through the grant of a non-exclusive license from us that would trigger 180 days following the first sale of a generic to the AVERSION® oxycodone product in the U.S. by an entity that is entitled to the 180 day first-filer exclusivity under applicable law and FDA regulations (or if no entity is entitled to such 180 day exclusivity period, the date on which a generic to the AVERSION® oxycodone product is first sold in the U.S). In certain circumstances, our license to Sandoz would become effective prior to such time. Sandoz is not obligated to pay us a royalty if its current formulation of its generic to the AVERSION® oxycodone product is approved by the FDA. In the event Sandoz changes or modifies the structure of its generic AVERSION® oxycodone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AVERSION® oxycodone product in the United States.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is inherently uncertain and we cannot predict the outcome of these infringement actions. It is possible that other generic manufacturers may also seek to launch a generic version of Aversion Oxycodone and challenge our patents. Any determination in such infringement actions that our patents covering our Aversion Technology and Aversion Oxycodone are invalid or unenforceable, in whole or in part, or that the products covered by generic sponsors’ ANDAs do not infringe our patents could have a material adverse effect on our operations and financial condition.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By designating Aversion Oxycodone as an RLD, we believe the FDA has acknowledged that Aversion Oxycodone contains unique properties and/or a unique label that is different from other FDA approved immediate-release oxycodone HCl tablets that do not contain abuse resistant characteristics. As required by the Food and Drug Administration Safety and Innovation Act of July 2012, the FDA published for comment draft guidance on the development of abuse-deterrent drug products in January 2013. We believe the ANDA applicants that refer to Aversion Oxycodone as an RLD will have to have substantially equivalent, if not identical, abuse deterrent characteristics to be considered by the FDA as therapeutically equivalent to Aversion Oxycodone. There can be no assurance, however, that FDA will rely on such guidance for ANDA applicants.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is generally realized or realizable and earned when there is persuasive evidence an arrangement exists, delivery has occurred or services rendered, the price is fixed and determinable, and collection is reasonably assured. We record revenue from its Nexafed product sales when the price is fixed and determinable at the date of sale, title and risk of ownership have been transferred to the customer, and returns can be reasonably estimated.</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Nexafed was launched in mid-December 2012. We sell Nexafed in the United States to wholesale pharmaceutical distributors as well as directly to chain drug stores. Nexafed is sold subject to the right of return for a period of up to twelve months after the product expiration. Nexafed currently has a shelf life of twenty-four months from the date of manufacture. Given the limited sales history of Nexafed, we currently cannot reliably estimate expected returns of the product at the time of shipment to certain customers. Accordingly, at June 30, 2014 we had deferred the recognition of revenue on $0.3 million of Nexafed shipments to these customers until the right of return no longer exists or adequate history and information becomes available to estimate product returns.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Commencing in February 2013, we began earning royalties based on net sales of Aversion Oxycodone by Pfizer. We have earned royalties of approximately $4 thousand for the six months ended June 30, 2014. The Pfizer Agreement was terminated effective April 9, 2014 and Pfizer’s royalty payment obligations ceased as of such date. All royalties owed to us have been received.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 shipping and handling costs in selling expenses. The amounts recorded to selling expenses from the shipments of Nexafed during each of the three month periods ended June 30, 2014 and 2013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RESEARCH AND DEVELOPMENT ACTIVITIES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expenses are subject to revisions as such studies progress to completion. Revisions are charged to expense in the period in which the facts that give rise to the revision become known. We had $0.1 million in accrued CRO expenses and clinical trial study and regulatory expenses at June 30, 2014. We did not have any of these accrued expenses at December 31, 2013. At December 31, 2013, we had $0.36 million of prepaid CRO costs and clinical trial study and regulatory expenses. We did not have any of these prepaid expenses at June 30, 2014.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NOTE 5 - INVESTMENTS IN MARKETABLE SECURITIES</w:t>
            </w: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20" w:type="dxa"/>
            <w:vAlign w:val="bottom"/>
            <w:gridSpan w:val="2"/>
          </w:tcPr>
          <w:p>
            <w:pPr>
              <w:spacing w:after="0"/>
              <w:rPr>
                <w:sz w:val="20"/>
                <w:szCs w:val="20"/>
                <w:color w:val="auto"/>
              </w:rPr>
            </w:pPr>
            <w:r>
              <w:rPr>
                <w:rFonts w:ascii="Arial" w:cs="Arial" w:eastAsia="Arial" w:hAnsi="Arial"/>
                <w:sz w:val="18"/>
                <w:szCs w:val="18"/>
                <w:color w:val="auto"/>
              </w:rPr>
              <w:t>Investments in marketable securities consisted of the following:</w:t>
            </w: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740" w:type="dxa"/>
            <w:vAlign w:val="bottom"/>
            <w:gridSpan w:val="6"/>
          </w:tcPr>
          <w:p>
            <w:pPr>
              <w:ind w:left="20"/>
              <w:spacing w:after="0"/>
              <w:rPr>
                <w:sz w:val="20"/>
                <w:szCs w:val="20"/>
                <w:color w:val="auto"/>
              </w:rPr>
            </w:pPr>
            <w:r>
              <w:rPr>
                <w:rFonts w:ascii="Arial" w:cs="Arial" w:eastAsia="Arial" w:hAnsi="Arial"/>
                <w:sz w:val="18"/>
                <w:szCs w:val="18"/>
                <w:color w:val="auto"/>
                <w:w w:val="94"/>
              </w:rPr>
              <w:t>June 30, 2014   December 31, 2013</w:t>
            </w:r>
          </w:p>
        </w:tc>
      </w:tr>
      <w:tr>
        <w:trPr>
          <w:trHeight w:val="210"/>
        </w:trPr>
        <w:tc>
          <w:tcPr>
            <w:tcW w:w="660" w:type="dxa"/>
            <w:vAlign w:val="bottom"/>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(in millions)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(in millions)</w:t>
            </w:r>
          </w:p>
        </w:tc>
        <w:tc>
          <w:tcPr>
            <w:tcW w:w="100" w:type="dxa"/>
            <w:vAlign w:val="bottom"/>
            <w:tcBorders>
              <w:bottom w:val="single" w:sz="8" w:color="CCEEFF"/>
            </w:tcBorders>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1800" w:type="dxa"/>
            <w:vAlign w:val="bottom"/>
            <w:gridSpan w:val="2"/>
          </w:tcPr>
          <w:p>
            <w:pPr>
              <w:jc w:val="right"/>
              <w:ind w:right="23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66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 — maturing after 1 through 4 years</w:t>
            </w: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30"/>
        </w:trPr>
        <w:tc>
          <w:tcPr>
            <w:tcW w:w="660" w:type="dxa"/>
            <w:vAlign w:val="bottom"/>
          </w:tcPr>
          <w:p>
            <w:pPr>
              <w:spacing w:after="0"/>
              <w:rPr>
                <w:sz w:val="19"/>
                <w:szCs w:val="19"/>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Exchange-traded funds</w:t>
            </w: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0"/>
        </w:trPr>
        <w:tc>
          <w:tcPr>
            <w:tcW w:w="66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marketable securities</w:t>
            </w:r>
          </w:p>
        </w:tc>
        <w:tc>
          <w:tcPr>
            <w:tcW w:w="1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Our marketable securities are classified as available-for-sale and are recorded at fair value based on quoted market prices using the specific identification method. The purchase cost of corporate bonds may include a purchase price premium or discount which will be amortized or accreted against earned interest income to the maturity date of the bond. Our investments are classified as current in the Company’s Consolidated Balance Sheet as they may be sold within one year </w:t>
      </w:r>
      <w:r>
        <w:rPr>
          <w:rFonts w:ascii="Arial" w:cs="Arial" w:eastAsia="Arial" w:hAnsi="Arial"/>
          <w:sz w:val="16"/>
          <w:szCs w:val="16"/>
          <w:color w:val="111111"/>
        </w:rPr>
        <w:t>in response to changes in market prices or interest rates, to realign our investment concentrations or to meet our working capital needs.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fair value and unrealized gains (losses) related to our available-for-sale securities (in millions):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 Current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June 30, 2014</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7101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320"/>
              <w:spacing w:after="0" w:line="195" w:lineRule="exact"/>
              <w:rPr>
                <w:sz w:val="20"/>
                <w:szCs w:val="20"/>
                <w:color w:val="auto"/>
              </w:rPr>
            </w:pPr>
            <w:r>
              <w:rPr>
                <w:rFonts w:ascii="Arial" w:cs="Arial" w:eastAsia="Arial" w:hAnsi="Arial"/>
                <w:sz w:val="18"/>
                <w:szCs w:val="18"/>
                <w:color w:val="auto"/>
                <w:w w:val="87"/>
              </w:rPr>
              <w:t>Gross</w:t>
            </w: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Unrealized</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Losses</w:t>
            </w: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Value</w:t>
            </w:r>
          </w:p>
        </w:tc>
      </w:tr>
      <w:tr>
        <w:trPr>
          <w:trHeight w:val="421"/>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880" w:type="dxa"/>
            <w:vAlign w:val="bottom"/>
          </w:tcPr>
          <w:p>
            <w:pPr>
              <w:jc w:val="right"/>
              <w:ind w:right="716"/>
              <w:spacing w:after="0"/>
              <w:rPr>
                <w:sz w:val="20"/>
                <w:szCs w:val="20"/>
                <w:color w:val="auto"/>
              </w:rPr>
            </w:pPr>
            <w:r>
              <w:rPr>
                <w:rFonts w:ascii="Arial" w:cs="Arial" w:eastAsia="Arial" w:hAnsi="Arial"/>
                <w:sz w:val="15"/>
                <w:szCs w:val="15"/>
                <w:color w:val="auto"/>
                <w:w w:val="71"/>
              </w:rPr>
              <w:t>$</w:t>
            </w:r>
          </w:p>
        </w:tc>
        <w:tc>
          <w:tcPr>
            <w:tcW w:w="400" w:type="dxa"/>
            <w:vAlign w:val="bottom"/>
            <w:gridSpan w:val="3"/>
          </w:tcPr>
          <w:p>
            <w:pPr>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-582295</wp:posOffset>
            </wp:positionV>
            <wp:extent cx="542861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-299720</wp:posOffset>
            </wp:positionV>
            <wp:extent cx="542861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920"/>
          </w:cols>
          <w:pgMar w:left="240" w:top="88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 Current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Arial" w:cs="Arial" w:eastAsia="Arial" w:hAnsi="Arial"/>
          <w:sz w:val="18"/>
          <w:szCs w:val="18"/>
          <w:color w:val="auto"/>
        </w:rPr>
        <w:t>December 31, 2013</w:t>
      </w:r>
    </w:p>
    <w:p>
      <w:pPr>
        <w:spacing w:after="0" w:line="23" w:lineRule="exact"/>
        <w:rPr>
          <w:sz w:val="20"/>
          <w:szCs w:val="20"/>
          <w:color w:val="auto"/>
        </w:rPr>
      </w:pPr>
    </w:p>
    <w:p>
      <w:pPr>
        <w:jc w:val="center"/>
        <w:ind w:right="164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27101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Gross</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Unrealized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Cost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Gains</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Losses</w:t>
            </w: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Value</w:t>
            </w:r>
          </w:p>
        </w:tc>
      </w:tr>
      <w:tr>
        <w:trPr>
          <w:trHeight w:val="425"/>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4"/>
                <w:szCs w:val="24"/>
                <w:color w:val="auto"/>
              </w:rPr>
            </w:pPr>
          </w:p>
        </w:tc>
        <w:tc>
          <w:tcPr>
            <w:tcW w:w="940" w:type="dxa"/>
            <w:vAlign w:val="bottom"/>
            <w:gridSpan w:val="2"/>
          </w:tcPr>
          <w:p>
            <w:pPr>
              <w:jc w:val="right"/>
              <w:ind w:right="694"/>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880" w:type="dxa"/>
            <w:vAlign w:val="bottom"/>
          </w:tcPr>
          <w:p>
            <w:pPr>
              <w:jc w:val="right"/>
              <w:ind w:right="716"/>
              <w:spacing w:after="0"/>
              <w:rPr>
                <w:sz w:val="20"/>
                <w:szCs w:val="20"/>
                <w:color w:val="auto"/>
              </w:rPr>
            </w:pPr>
            <w:r>
              <w:rPr>
                <w:rFonts w:ascii="Arial" w:cs="Arial" w:eastAsia="Arial" w:hAnsi="Arial"/>
                <w:sz w:val="15"/>
                <w:szCs w:val="15"/>
                <w:color w:val="auto"/>
                <w:w w:val="71"/>
              </w:rPr>
              <w:t>$</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0"/>
        </w:trPr>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-582295</wp:posOffset>
            </wp:positionV>
            <wp:extent cx="542861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28615" cy="146050"/>
                    </a:xfrm>
                    <a:prstGeom prst="rect">
                      <a:avLst/>
                    </a:prstGeom>
                    <a:noFill/>
                  </pic:spPr>
                </pic:pic>
              </a:graphicData>
            </a:graphic>
          </wp:anchor>
        </w:drawing>
        <w:drawing>
          <wp:anchor simplePos="0" relativeHeight="251657728" behindDoc="1" locked="0" layoutInCell="0" allowOverlap="1">
            <wp:simplePos x="0" y="0"/>
            <wp:positionH relativeFrom="column">
              <wp:posOffset>-2663190</wp:posOffset>
            </wp:positionH>
            <wp:positionV relativeFrom="paragraph">
              <wp:posOffset>-299720</wp:posOffset>
            </wp:positionV>
            <wp:extent cx="542861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780" w:space="720"/>
            <w:col w:w="5920"/>
          </w:cols>
          <w:pgMar w:left="240" w:top="895" w:right="239" w:bottom="1440" w:gutter="0" w:footer="0" w:header="0"/>
        </w:sectPr>
      </w:pPr>
    </w:p>
    <w:p>
      <w:pPr>
        <w:spacing w:after="0" w:line="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an orderly transaction between market participants. Fair values determined based on Level 1 inputs utilize quoted prices (unadjusted) in active markets for identical assets or liabilities. Fair values determined based on Level 2 inputs utilize observable quoted prices for similar assets and liabilities in active markets and observable quoted prices for identical or similar assets in markets that are not very active. Fair values determined based on Level 3 inputs utilize unobservable inputs and include valuations of assets or liabilities for which there is little, if any, market activity. A financial asset or liability’s classification within the above hierarchy is determined based on the lowest level input that is significant to the fair value measurement.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assets measured at fair value or disclosed at fair value on a recurring basis as at June 30, 2014 and December 31, 2013 consisted of the following (in millions):</w:t>
      </w:r>
    </w:p>
    <w:p>
      <w:pPr>
        <w:spacing w:after="0" w:line="184"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7"/>
              </w:rPr>
              <w:t>June 30, 2014</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3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Level 1</w:t>
            </w:r>
          </w:p>
        </w:tc>
        <w:tc>
          <w:tcPr>
            <w:tcW w:w="780" w:type="dxa"/>
            <w:vAlign w:val="bottom"/>
          </w:tcPr>
          <w:p>
            <w:pPr>
              <w:jc w:val="right"/>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6"/>
              </w:rPr>
              <w:t>Level 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Exchange-traded funds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7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92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9"/>
        </w:trPr>
        <w:tc>
          <w:tcPr>
            <w:tcW w:w="3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December 31, 2013</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3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(in millions)</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Level 1</w:t>
            </w:r>
          </w:p>
        </w:tc>
        <w:tc>
          <w:tcPr>
            <w:tcW w:w="780" w:type="dxa"/>
            <w:vAlign w:val="bottom"/>
          </w:tcPr>
          <w:p>
            <w:pPr>
              <w:jc w:val="right"/>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6"/>
              </w:rPr>
              <w:t>Level 3</w:t>
            </w:r>
          </w:p>
        </w:tc>
        <w:tc>
          <w:tcPr>
            <w:tcW w:w="80" w:type="dxa"/>
            <w:vAlign w:val="bottom"/>
            <w:gridSpan w:val="2"/>
          </w:tcPr>
          <w:p>
            <w:pPr>
              <w:spacing w:after="0"/>
              <w:rPr>
                <w:sz w:val="19"/>
                <w:szCs w:val="19"/>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Exchange-traded funds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7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92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Unrealized gains or losses on marketable securities are recorded in accumulated other comprehensive income (loss). Accumulated other comprehensive income (loss) at June 30, 2014 consisted of unrealized gains on securities of $69 thousand. Accumulated other comprehensive income (loss) at December 31, 2013 consisted of unrealized gains on securities of $19 thousand.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Comprehensive income (loss) includes all changes in equity during a period except those that resulted from investments by or distributions to our stockholders. Other comprehensive income (loss) refers to revenues, expenses, gains and losses that, under GAAP, are included in comprehensive income (loss), but excluded from net income (loss) as these amounts are recorded directly as an adjustment to stockholders’ equity. Our other comprehensive income (loss) is composed of unrealized gains (losses) on certain holdings of marketable securities, net of any realized gains (losses) included in net income (loss).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6 – INVENTORIES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Inventories consist of both raw and packaging materials on our Aversion Oxycodone product and finished goods held for distribution and sale on our Nexafed product. Inventories are stated at the lower of cost (first-in, first-out method) or market (net realizable value). We write down inventories to net realizable value based on forecasted demand and market conditions, which may differ from actual results. Our inventory reserve activity during the six months ended June 30, 2014 was to record a $0.2 million reserve expense and actual Nexafed inventory write-offs of $0.45 million.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related cost of sales on deferred revenue of $0.3 million from Nexafed shipments is excluded from the value of the June 30, 2014 inventories and is reported in our balance sheet in the other current deferred assets account. We will recognize the revenue and cost of sales on these Nexafed shipments once the right of return no longer exists or adequate history and information becomes available to estimate product returns.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3"/>
          </w:tcPr>
          <w:p>
            <w:pPr>
              <w:spacing w:after="0"/>
              <w:rPr>
                <w:sz w:val="20"/>
                <w:szCs w:val="20"/>
                <w:color w:val="auto"/>
              </w:rPr>
            </w:pPr>
            <w:r>
              <w:rPr>
                <w:rFonts w:ascii="Arial" w:cs="Arial" w:eastAsia="Arial" w:hAnsi="Arial"/>
                <w:sz w:val="18"/>
                <w:szCs w:val="18"/>
                <w:color w:val="auto"/>
              </w:rPr>
              <w:t>Inventories are summarized as follows:</w:t>
            </w: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color w:val="auto"/>
                <w:w w:val="89"/>
              </w:rPr>
              <w:t>June 30,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6"/>
          </w:tcPr>
          <w:p>
            <w:pPr>
              <w:ind w:left="60"/>
              <w:spacing w:after="0"/>
              <w:rPr>
                <w:sz w:val="20"/>
                <w:szCs w:val="20"/>
                <w:color w:val="auto"/>
              </w:rPr>
            </w:pPr>
            <w:r>
              <w:rPr>
                <w:rFonts w:ascii="Arial" w:cs="Arial" w:eastAsia="Arial" w:hAnsi="Arial"/>
                <w:sz w:val="18"/>
                <w:szCs w:val="18"/>
                <w:color w:val="auto"/>
                <w:w w:val="95"/>
              </w:rPr>
              <w:t>December 31,</w:t>
            </w:r>
          </w:p>
        </w:tc>
      </w:tr>
      <w:tr>
        <w:trPr>
          <w:trHeight w:val="230"/>
        </w:trPr>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7"/>
          </w:tcPr>
          <w:p>
            <w:pPr>
              <w:ind w:left="460"/>
              <w:spacing w:after="0"/>
              <w:rPr>
                <w:sz w:val="20"/>
                <w:szCs w:val="20"/>
                <w:color w:val="auto"/>
              </w:rPr>
            </w:pPr>
            <w:r>
              <w:rPr>
                <w:rFonts w:ascii="Arial" w:cs="Arial" w:eastAsia="Arial" w:hAnsi="Arial"/>
                <w:sz w:val="18"/>
                <w:szCs w:val="18"/>
                <w:color w:val="auto"/>
                <w:w w:val="91"/>
              </w:rPr>
              <w:t>(in thousands)</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and packaging materials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8"/>
                <w:szCs w:val="18"/>
                <w:color w:val="auto"/>
              </w:rPr>
              <w:t>501</w:t>
            </w:r>
          </w:p>
        </w:tc>
      </w:tr>
      <w:tr>
        <w:trPr>
          <w:trHeight w:val="210"/>
        </w:trPr>
        <w:tc>
          <w:tcPr>
            <w:tcW w:w="1300" w:type="dxa"/>
            <w:vAlign w:val="bottom"/>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Less: inventory reserve for finished goods</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color w:val="auto"/>
              </w:rPr>
              <w:t>(250)</w:t>
            </w:r>
          </w:p>
        </w:tc>
      </w:tr>
      <w:tr>
        <w:trPr>
          <w:trHeight w:val="210"/>
        </w:trPr>
        <w:tc>
          <w:tcPr>
            <w:tcW w:w="1300" w:type="dxa"/>
            <w:vAlign w:val="bottom"/>
          </w:tcPr>
          <w:p>
            <w:pPr>
              <w:spacing w:after="0"/>
              <w:rPr>
                <w:sz w:val="18"/>
                <w:szCs w:val="18"/>
                <w:color w:val="auto"/>
              </w:rPr>
            </w:pPr>
          </w:p>
        </w:tc>
        <w:tc>
          <w:tcPr>
            <w:tcW w:w="4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tcBorders>
              <w:top w:val="single" w:sz="8" w:color="CCEEFF"/>
            </w:tcBorders>
            <w:shd w:val="clear" w:color="auto" w:fill="CCEEFF"/>
          </w:tcPr>
          <w:p>
            <w:pPr>
              <w:spacing w:after="0"/>
              <w:rPr>
                <w:sz w:val="18"/>
                <w:szCs w:val="18"/>
                <w:color w:val="auto"/>
              </w:rPr>
            </w:pPr>
          </w:p>
        </w:tc>
      </w:tr>
      <w:tr>
        <w:trPr>
          <w:trHeight w:val="426"/>
        </w:trPr>
        <w:tc>
          <w:tcPr>
            <w:tcW w:w="5940" w:type="dxa"/>
            <w:vAlign w:val="bottom"/>
            <w:gridSpan w:val="3"/>
          </w:tcPr>
          <w:p>
            <w:pPr>
              <w:spacing w:after="0"/>
              <w:rPr>
                <w:sz w:val="20"/>
                <w:szCs w:val="20"/>
                <w:color w:val="auto"/>
              </w:rPr>
            </w:pPr>
            <w:r>
              <w:rPr>
                <w:rFonts w:ascii="Arial" w:cs="Arial" w:eastAsia="Arial" w:hAnsi="Arial"/>
                <w:sz w:val="18"/>
                <w:szCs w:val="18"/>
                <w:b w:val="1"/>
                <w:bCs w:val="1"/>
                <w:color w:val="auto"/>
              </w:rPr>
              <w:t>NOTE 7 - ACCRUED EXPENSES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940" w:type="dxa"/>
            <w:vAlign w:val="bottom"/>
            <w:gridSpan w:val="3"/>
          </w:tcPr>
          <w:p>
            <w:pPr>
              <w:spacing w:after="0"/>
              <w:rPr>
                <w:sz w:val="20"/>
                <w:szCs w:val="20"/>
                <w:color w:val="auto"/>
              </w:rPr>
            </w:pPr>
            <w:r>
              <w:rPr>
                <w:rFonts w:ascii="Arial" w:cs="Arial" w:eastAsia="Arial" w:hAnsi="Arial"/>
                <w:sz w:val="18"/>
                <w:szCs w:val="18"/>
                <w:color w:val="auto"/>
              </w:rPr>
              <w:t>Accrued expenses are summarized as follows: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1"/>
        </w:trPr>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gridSpan w:val="4"/>
          </w:tcPr>
          <w:p>
            <w:pPr>
              <w:ind w:left="160"/>
              <w:spacing w:after="0"/>
              <w:rPr>
                <w:sz w:val="20"/>
                <w:szCs w:val="20"/>
                <w:color w:val="auto"/>
              </w:rPr>
            </w:pPr>
            <w:r>
              <w:rPr>
                <w:rFonts w:ascii="Arial" w:cs="Arial" w:eastAsia="Arial" w:hAnsi="Arial"/>
                <w:sz w:val="18"/>
                <w:szCs w:val="18"/>
                <w:color w:val="auto"/>
              </w:rPr>
              <w:t>June 30,</w:t>
            </w:r>
          </w:p>
        </w:tc>
        <w:tc>
          <w:tcPr>
            <w:tcW w:w="1400" w:type="dxa"/>
            <w:vAlign w:val="bottom"/>
            <w:gridSpan w:val="9"/>
          </w:tcPr>
          <w:p>
            <w:pPr>
              <w:jc w:val="center"/>
              <w:ind w:right="200"/>
              <w:spacing w:after="0"/>
              <w:rPr>
                <w:sz w:val="20"/>
                <w:szCs w:val="20"/>
                <w:color w:val="auto"/>
              </w:rPr>
            </w:pPr>
            <w:r>
              <w:rPr>
                <w:rFonts w:ascii="Arial" w:cs="Arial" w:eastAsia="Arial" w:hAnsi="Arial"/>
                <w:sz w:val="18"/>
                <w:szCs w:val="18"/>
                <w:color w:val="auto"/>
                <w:w w:val="88"/>
              </w:rPr>
              <w:t>December 31,</w:t>
            </w:r>
          </w:p>
        </w:tc>
      </w:tr>
      <w:tr>
        <w:trPr>
          <w:trHeight w:val="230"/>
        </w:trPr>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2013</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7"/>
          </w:tcPr>
          <w:p>
            <w:pPr>
              <w:ind w:left="28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bonus and benefits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Professional services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 current</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Franchise taxes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Contract manufacturing services</w:t>
            </w: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Clinical and regulatory services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w:t>
            </w:r>
          </w:p>
        </w:tc>
        <w:tc>
          <w:tcPr>
            <w:tcW w:w="100" w:type="dxa"/>
            <w:vAlign w:val="bottom"/>
            <w:tcBorders>
              <w:bottom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541</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27, 2013, we entered into a Loan and Security Agreement (the “Loan Agreement”) with Oxford Finance LLC (“Oxford” or the “Lender”), for a term loan to us in the principal amount of $10.0 million (the “Term Loan”). The full principal amount of the Term Loan was funded on December 27, 2013. We may use the proceeds of the Loan Agreement for general working capital and to fund our business requirements. We estimate the fair value of our notes payable to be its carrying value due to its recent funding.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auto"/>
        </w:rPr>
        <w:t>The Term Loan accrues interest at a fixed rate of 8.35% per annum (with a default rate of 13.35% per annum). We are required to make monthly interest−only payments until the Amortization Date and starting on the Amortization Date, we are required to make payments of principal and accrued interest in equal monthly installments sufficient to amortize the Term Loan through the maturity date of December 1, 2018. The “Amortization Date” is April 1, 2015, but shall automatically become April 1, 2016 if we achieve 75% of our projected Nexafed cash receipts and 75% of our projected Aversion Oxycodone cash receipts for the fiscal year ending December 31, 2014 (collectively, the “First Revenue Event”). The Amortization Date will be further deferred until April 1, 2017 if the First Revenue Event occurs and in addition we achieve 75% of our projected Nexafed cash receipts and 75% of our projected Aversion Oxycodone cash receipts for the fiscal year ending December 31, 2015 (collectively, the “Second Revenue Event”). In view of the termination of the Pfizer Agreement in April 2014 and the return of Aversion Oxycodone to us, and the absence of sales of Aversion Oxycodone since such date pending the completion of a license agreement with another pharmaceutical company for the manufacture and sale of Aversion Oxycodone, we expect the Amortization Date of the Term Loan with Oxford will be April 1, 2015, at which date we will commence repayment of principal under the Term Loan. All unpaid principal and accrued and unpaid interest with respect to the Term Loan is due and payable in full on December 1, 2018. As security for our obligations under the Loan Agreement, we granted Lender a security interest in substantially all of our existing and after−acquired assets, exclusive of our intellectual property assets. Pursuant to the Loan Agreement, we are not allowed to pledge our intellectual property assets to others.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voluntarily prepay the Term Loan in full, but not in part, and any prepayment is subject to a prepayment premium equal to 3% of the principal prepaid if prepaid on or prior to December 27, 2014, 2% of the principal prepaid, if prepaid after December 27, 2014 but on or prior to December 27, 2015, and 1% of the principal prepaid if prepaid after December 27, 2015. In addition, at the maturity, termination or upon voluntary or mandatory prepayment of the Term Loan we must pay the Lender an additional one-time interest payment of (A) $795 thousand if the First Revenue Event does not occur, (B) $895 thousand if the First Revenue Event occurs but the Second Revenue Event does not occur, or (C) $995 thousand if both the First Revenue Event and the Second Revenue Event occur. We will incur and accrue additional monthly interest expense over the term of the loan for this additional one-time interest payment using the loan’s effective interest rate.</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were obligated to pay customary lender fees and expenses, including a one-time facility fee of $50 thousand and the Lender’s expenses in connection with the Loan Agreement. Combined with our own expenses and a $100 thousand consulting placement fee, we incurred $231 thousand in deferred debt issue costs. We will amortize those costs to non-operating expense over the term of the loan using the loan’s effective interest rate.</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our ability to incur liens, incur indebtedness, pay dividends, redeem stock, and merge or consolidate and dispose of assets. In addition, it contains customary events of default that entitles the Lender to cause any or all of our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issued to the Lender warrants to purchase an aggregate of up to 298 thousand shares of our common stock at an exercise price equal to $1.595 per share (the “Warrants”). We recorded $400 thousand as debt discount associated with the fair value of the Warrants and will amortize those costs to interest expense over the term of the loan using the loan’s effective interest rate. The Warrants are immediately exercisable for cash or by net exercise and will expire December 27,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Our interest expense consisted of the following:</w:t>
            </w: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18"/>
        </w:trPr>
        <w:tc>
          <w:tcPr>
            <w:tcW w:w="6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gridSpan w:val="4"/>
          </w:tcPr>
          <w:p>
            <w:pPr>
              <w:jc w:val="right"/>
              <w:ind w:right="17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jc w:val="right"/>
              <w:ind w:right="230"/>
              <w:spacing w:after="0"/>
              <w:rPr>
                <w:sz w:val="20"/>
                <w:szCs w:val="20"/>
                <w:color w:val="auto"/>
              </w:rPr>
            </w:pPr>
            <w:r>
              <w:rPr>
                <w:rFonts w:ascii="Arial" w:cs="Arial" w:eastAsia="Arial" w:hAnsi="Arial"/>
                <w:sz w:val="18"/>
                <w:szCs w:val="18"/>
                <w:color w:val="auto"/>
              </w:rPr>
              <w:t>Six months Ended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6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40" w:type="dxa"/>
            <w:vAlign w:val="bottom"/>
            <w:gridSpan w:val="3"/>
          </w:tcPr>
          <w:p>
            <w:pPr>
              <w:jc w:val="right"/>
              <w:ind w:right="630"/>
              <w:spacing w:after="0"/>
              <w:rPr>
                <w:sz w:val="20"/>
                <w:szCs w:val="20"/>
                <w:color w:val="auto"/>
              </w:rPr>
            </w:pPr>
            <w:r>
              <w:rPr>
                <w:rFonts w:ascii="Arial" w:cs="Arial" w:eastAsia="Arial" w:hAnsi="Arial"/>
                <w:sz w:val="18"/>
                <w:szCs w:val="18"/>
                <w:color w:val="auto"/>
              </w:rPr>
              <w:t>June 30,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w w:val="92"/>
              </w:rPr>
              <w:t>June</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7"/>
          </w:tcPr>
          <w:p>
            <w:pPr>
              <w:ind w:left="660"/>
              <w:spacing w:after="0"/>
              <w:rPr>
                <w:sz w:val="20"/>
                <w:szCs w:val="20"/>
                <w:color w:val="auto"/>
              </w:rPr>
            </w:pPr>
            <w:r>
              <w:rPr>
                <w:rFonts w:ascii="Arial" w:cs="Arial" w:eastAsia="Arial" w:hAnsi="Arial"/>
                <w:sz w:val="18"/>
                <w:szCs w:val="18"/>
                <w:color w:val="auto"/>
              </w:rPr>
              <w:t>(in thousands)</w:t>
            </w:r>
          </w:p>
        </w:tc>
        <w:tc>
          <w:tcPr>
            <w:tcW w:w="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Secured Promissory notes</w:t>
            </w:r>
          </w:p>
        </w:tc>
        <w:tc>
          <w:tcPr>
            <w:tcW w:w="186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255</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510</w:t>
            </w: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Debt issue costs</w:t>
            </w: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0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Pr>
          <w:p>
            <w:pPr>
              <w:spacing w:after="0"/>
              <w:rPr>
                <w:sz w:val="18"/>
                <w:szCs w:val="18"/>
                <w:color w:val="auto"/>
              </w:rPr>
            </w:pPr>
          </w:p>
        </w:tc>
      </w:tr>
      <w:tr>
        <w:trPr>
          <w:trHeight w:val="642"/>
        </w:trPr>
        <w:tc>
          <w:tcPr>
            <w:tcW w:w="6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annual principal payments on the long-term debt at June 30, 2014 are as follows for each of the periods ending December 31:</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Annual</w:t>
      </w:r>
    </w:p>
    <w:p>
      <w:pPr>
        <w:spacing w:after="0" w:line="9" w:lineRule="exact"/>
        <w:rPr>
          <w:sz w:val="20"/>
          <w:szCs w:val="20"/>
          <w:color w:val="auto"/>
        </w:rPr>
      </w:pPr>
    </w:p>
    <w:p>
      <w:pPr>
        <w:jc w:val="center"/>
        <w:ind w:left="2660"/>
        <w:spacing w:after="0"/>
        <w:rPr>
          <w:sz w:val="20"/>
          <w:szCs w:val="20"/>
          <w:color w:val="auto"/>
        </w:rPr>
      </w:pPr>
      <w:r>
        <w:rPr>
          <w:rFonts w:ascii="Arial" w:cs="Arial" w:eastAsia="Arial" w:hAnsi="Arial"/>
          <w:sz w:val="18"/>
          <w:szCs w:val="18"/>
          <w:u w:val="single" w:color="auto"/>
          <w:color w:val="auto"/>
        </w:rPr>
        <w:t>Principal Payments</w:t>
      </w:r>
    </w:p>
    <w:p>
      <w:pPr>
        <w:spacing w:after="0" w:line="9"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tbl>
      <w:tblPr>
        <w:tblLayout w:type="fixed"/>
        <w:tblInd w:w="3240" w:type="dxa"/>
        <w:tblCellMar>
          <w:top w:w="0" w:type="dxa"/>
          <w:left w:w="0" w:type="dxa"/>
          <w:bottom w:w="0" w:type="dxa"/>
          <w:right w:w="0" w:type="dxa"/>
        </w:tblCellMar>
      </w:tblPr>
      <w:tr>
        <w:trPr>
          <w:trHeight w:val="210"/>
        </w:trPr>
        <w:tc>
          <w:tcPr>
            <w:tcW w:w="1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1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2015</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1,758</w:t>
            </w: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2,522</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2017</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2,741</w:t>
            </w: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2,979</w:t>
            </w:r>
          </w:p>
        </w:tc>
      </w:tr>
      <w:tr>
        <w:trPr>
          <w:trHeight w:val="230"/>
        </w:trPr>
        <w:tc>
          <w:tcPr>
            <w:tcW w:w="1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r>
      <w:tr>
        <w:trPr>
          <w:trHeight w:val="210"/>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WARRANTS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common stock purchase warrants (“warrants”) exercisable for 1.9 million shares of our common stock with an exercise price of $3.40 per share and an expiration date in August 2014. In connection with the issuance of the $10.0 million secured promissory notes in December 2013, we issued warrants to acquire approximately 298 thousand shares of our common stock having an exercise price of $1.595 per share with an expiration date in December 2020. At June 30, 2014, we have total outstanding warrants exercisable for 2.2 million shares of our common stock having a weighted average exercise price of $3.15 per share. All of these warrants contain a cashless exercise feature.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share-based compensation plans covering stock options and RSUs for our employees and directors.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fair-value method. The fair value of the RSUs is the market price of our common stock on the date of grant, less its exercise cost.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share-based compensation expense recognized in the Company’s results of operations comprised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40" w:type="dxa"/>
            <w:vAlign w:val="bottom"/>
            <w:gridSpan w:val="6"/>
          </w:tcPr>
          <w:p>
            <w:pPr>
              <w:ind w:left="48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right"/>
              <w:ind w:right="130"/>
              <w:spacing w:after="0"/>
              <w:rPr>
                <w:sz w:val="20"/>
                <w:szCs w:val="20"/>
                <w:color w:val="auto"/>
              </w:rPr>
            </w:pPr>
            <w:r>
              <w:rPr>
                <w:rFonts w:ascii="Arial" w:cs="Arial" w:eastAsia="Arial" w:hAnsi="Arial"/>
                <w:sz w:val="18"/>
                <w:szCs w:val="18"/>
                <w:color w:val="auto"/>
              </w:rPr>
              <w:t>Six months Ended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w w:val="92"/>
              </w:rPr>
              <w:t>June</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6"/>
          </w:tcPr>
          <w:p>
            <w:pPr>
              <w:ind w:left="380"/>
              <w:spacing w:after="0"/>
              <w:rPr>
                <w:sz w:val="20"/>
                <w:szCs w:val="20"/>
                <w:color w:val="auto"/>
              </w:rPr>
            </w:pPr>
            <w:r>
              <w:rPr>
                <w:rFonts w:ascii="Arial" w:cs="Arial" w:eastAsia="Arial" w:hAnsi="Arial"/>
                <w:sz w:val="18"/>
                <w:szCs w:val="18"/>
                <w:color w:val="auto"/>
              </w:rPr>
              <w:t>(in thousands)</w:t>
            </w:r>
          </w:p>
        </w:tc>
        <w:tc>
          <w:tcPr>
            <w:tcW w:w="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1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162</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141</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197</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630</w:t>
            </w:r>
          </w:p>
        </w:tc>
        <w:tc>
          <w:tcPr>
            <w:tcW w:w="100" w:type="dxa"/>
            <w:vAlign w:val="bottom"/>
            <w:tcBorders>
              <w:bottom w:val="single" w:sz="8" w:color="CCEEFF"/>
            </w:tcBorders>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RSUs</w:t>
            </w: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21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Combined</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289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630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14</w:t>
            </w:r>
          </w:p>
        </w:tc>
        <w:tc>
          <w:tcPr>
            <w:tcW w:w="3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Stock Option Award Plans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one stock option plan in effect, and one stock option plan has expired by its terms, but pursuant to which stock options have been granted and remain outstanding. Our stock option award activity during the six months ended June 30, 2014 and 2013 is shown below:</w:t>
      </w:r>
    </w:p>
    <w:p>
      <w:pPr>
        <w:spacing w:after="0" w:line="17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right"/>
              <w:ind w:right="520"/>
              <w:spacing w:after="0"/>
              <w:rPr>
                <w:sz w:val="20"/>
                <w:szCs w:val="20"/>
                <w:color w:val="auto"/>
              </w:rPr>
            </w:pPr>
            <w:r>
              <w:rPr>
                <w:rFonts w:ascii="Arial" w:cs="Arial" w:eastAsia="Arial" w:hAnsi="Arial"/>
                <w:sz w:val="18"/>
                <w:szCs w:val="18"/>
                <w:color w:val="auto"/>
              </w:rPr>
              <w:t>Six months Ended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4"/>
          </w:tcPr>
          <w:p>
            <w:pPr>
              <w:jc w:val="right"/>
              <w:ind w:right="86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200" w:type="dxa"/>
            <w:vAlign w:val="bottom"/>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2014</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2013</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4200" w:type="dxa"/>
            <w:vAlign w:val="bottom"/>
          </w:tcPr>
          <w:p>
            <w:pPr>
              <w:spacing w:after="0"/>
              <w:rPr>
                <w:sz w:val="16"/>
                <w:szCs w:val="16"/>
                <w:color w:val="auto"/>
              </w:rPr>
            </w:pPr>
          </w:p>
        </w:tc>
        <w:tc>
          <w:tcPr>
            <w:tcW w:w="1080" w:type="dxa"/>
            <w:vAlign w:val="bottom"/>
            <w:gridSpan w:val="2"/>
          </w:tcPr>
          <w:p>
            <w:pPr>
              <w:jc w:val="center"/>
              <w:ind w:right="120"/>
              <w:spacing w:after="0" w:line="195" w:lineRule="exact"/>
              <w:rPr>
                <w:sz w:val="20"/>
                <w:szCs w:val="20"/>
                <w:color w:val="auto"/>
              </w:rPr>
            </w:pPr>
            <w:r>
              <w:rPr>
                <w:rFonts w:ascii="Arial" w:cs="Arial" w:eastAsia="Arial" w:hAnsi="Arial"/>
                <w:sz w:val="18"/>
                <w:szCs w:val="18"/>
                <w:color w:val="auto"/>
                <w:w w:val="93"/>
              </w:rPr>
              <w:t>Number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6"/>
                <w:szCs w:val="16"/>
                <w:color w:val="auto"/>
              </w:rPr>
            </w:pPr>
          </w:p>
        </w:tc>
        <w:tc>
          <w:tcPr>
            <w:tcW w:w="108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6"/>
                <w:szCs w:val="16"/>
                <w:color w:val="auto"/>
              </w:rPr>
            </w:pPr>
          </w:p>
        </w:tc>
        <w:tc>
          <w:tcPr>
            <w:tcW w:w="84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gridSpan w:val="2"/>
          </w:tcPr>
          <w:p>
            <w:pPr>
              <w:spacing w:after="0"/>
              <w:rPr>
                <w:sz w:val="16"/>
                <w:szCs w:val="16"/>
                <w:color w:val="auto"/>
              </w:rPr>
            </w:pPr>
          </w:p>
        </w:tc>
      </w:tr>
      <w:tr>
        <w:trPr>
          <w:trHeight w:val="216"/>
        </w:trPr>
        <w:tc>
          <w:tcPr>
            <w:tcW w:w="42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rPr>
              <w:t>of</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rPr>
              <w:t>of</w:t>
            </w:r>
          </w:p>
        </w:tc>
        <w:tc>
          <w:tcPr>
            <w:tcW w:w="12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Average</w:t>
            </w:r>
          </w:p>
        </w:tc>
      </w:tr>
      <w:tr>
        <w:trPr>
          <w:trHeight w:val="216"/>
        </w:trPr>
        <w:tc>
          <w:tcPr>
            <w:tcW w:w="42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Options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Exercise</w:t>
            </w:r>
          </w:p>
        </w:tc>
      </w:tr>
      <w:tr>
        <w:trPr>
          <w:trHeight w:val="230"/>
        </w:trPr>
        <w:tc>
          <w:tcPr>
            <w:tcW w:w="420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(000’s)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(000’s)</w:t>
            </w:r>
          </w:p>
        </w:tc>
        <w:tc>
          <w:tcPr>
            <w:tcW w:w="120" w:type="dxa"/>
            <w:vAlign w:val="bottom"/>
          </w:tcPr>
          <w:p>
            <w:pPr>
              <w:spacing w:after="0"/>
              <w:rPr>
                <w:sz w:val="20"/>
                <w:szCs w:val="20"/>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color w:val="auto"/>
                <w:w w:val="87"/>
              </w:rPr>
              <w:t>Price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00" w:type="dxa"/>
            <w:vAlign w:val="bottom"/>
          </w:tcPr>
          <w:p>
            <w:pPr>
              <w:ind w:left="16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r>
      <w:tr>
        <w:trPr>
          <w:trHeight w:val="230"/>
        </w:trPr>
        <w:tc>
          <w:tcPr>
            <w:tcW w:w="420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9"/>
                <w:szCs w:val="19"/>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Options exercisable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stock option grants during the six month period ended June 30, 2014. The assumptions used in the Black-Scholes model to determine fair value for the stock option awards granted during the comparable period are shown below:</w:t>
      </w:r>
    </w:p>
    <w:p>
      <w:pPr>
        <w:spacing w:after="0" w:line="18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Six months Ended June 30, 2013</w:t>
      </w:r>
    </w:p>
    <w:p>
      <w:pPr>
        <w:spacing w:after="0" w:line="43" w:lineRule="exact"/>
        <w:rPr>
          <w:sz w:val="20"/>
          <w:szCs w:val="20"/>
          <w:color w:val="auto"/>
        </w:rPr>
      </w:pPr>
    </w:p>
    <w:tbl>
      <w:tblPr>
        <w:tblLayout w:type="fixed"/>
        <w:tblInd w:w="2300" w:type="dxa"/>
        <w:tblCellMar>
          <w:top w:w="0" w:type="dxa"/>
          <w:left w:w="0" w:type="dxa"/>
          <w:bottom w:w="0" w:type="dxa"/>
          <w:right w:w="0" w:type="dxa"/>
        </w:tblCellMar>
      </w:tblPr>
      <w:tr>
        <w:trPr>
          <w:trHeight w:val="20"/>
        </w:trPr>
        <w:tc>
          <w:tcPr>
            <w:tcW w:w="43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Expected dividend yield</w:t>
            </w:r>
          </w:p>
        </w:tc>
        <w:tc>
          <w:tcPr>
            <w:tcW w:w="18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8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volatility</w:t>
            </w:r>
          </w:p>
        </w:tc>
        <w:tc>
          <w:tcPr>
            <w:tcW w:w="18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Expected term (years)</w:t>
            </w:r>
          </w:p>
        </w:tc>
        <w:tc>
          <w:tcPr>
            <w:tcW w:w="18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2014, 31 thousand NonISOs were exercised by our employees. Our employees elected to have 18 thousand shares withheld in satisfaction of $36 thousand for both the exercise costs and withholding tax obligations resulting in the net issuance of 13 thousand shares of common stock to them. During the six months ended June 30, 2013, 14 thousand NonISOs were exercised by our employees. Our employees elected to have 4 thousand shares withheld in satisfaction of $14 thousand for both the exercise costs and the withholding tax obligations resulting in the net issuance of 10 thousand common shares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two Restricted Stock Unit Award Plans for our employees and non-employee directors.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our 2005 Restricted Stock Unit Award Plan (the “2005 RSU Plan”), one-fourth of vested shares of common stock underlying an RSU award were distributed (after payment of $0.01 par value per share) on January 1 of each of 2011 thru 2014. Effective January 1, 2014, all RSUs granted under the 2005 RSU Plan had been distributed. The distribution dates of January 1, 2013 and 2014 each consisting of 0.83 million shares and occurred as follows:</w:t>
      </w:r>
    </w:p>
    <w:p>
      <w:pPr>
        <w:spacing w:after="0" w:line="147"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1, 2013, 0.50 million shares were distributed to the holders while 0.33 million shares were withheld by the Company upon elections made to exchange RSUs in satisfaction of $0.7 million withholding tax obligations;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1, 2014, 0.50 million shares were distributed to the holders while 0.33 million shares were withheld by the Company upon elections made to exchange RSUs in satisfaction of $0.5 million withholding tax obligations.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2014 Restricted Stock Unit Award Plan (the “2014 RSU Plan”) was approved by shareholders on May 1, 2014 and permits the grant of up to 2.0 million shares of our common stock pursuant to awards under the 2014 RSU Plan. On May 1, 2014, we awarded 36,764 RSUs to each of our 4 non-employee directors. Such RSU awards vest 50% on June 30, 2014 and 25% on each of September 30 and December 31, 2014. Such non-employee director awards allow for non-employee directors to receive payment in cash, instead of stock, for up to 40% of each RSU award. The RSU awards subject to cash settlement are recorded as a liability in the Company’s balance sheet. The liability was not material at June 30, 2014. Accordingly the vested portion of the awards containing the cash settlement feature will be marked-to-market each reporting period until they are distributed. Marked-to-market accounting can create fluctuations in our compensation expense including the need to record additional expense. RSU awards are generally distributed on the first business day of the year after vesting, but such distribution can be deferred until a later date at the election of the non-employee director. A summary of the grants under the 2005 RSU Plan and the 2014 RSU Plan as of June 30, 2014 and 2013 and for the six months then ended consisted of the following (in thousands):</w:t>
      </w:r>
    </w:p>
    <w:p>
      <w:pPr>
        <w:spacing w:after="0" w:line="167"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8"/>
                <w:szCs w:val="18"/>
                <w:color w:val="auto"/>
                <w:w w:val="90"/>
              </w:rPr>
              <w:t>Six months Ended</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4"/>
          </w:tcPr>
          <w:p>
            <w:pPr>
              <w:jc w:val="center"/>
              <w:ind w:right="300"/>
              <w:spacing w:after="0"/>
              <w:rPr>
                <w:sz w:val="20"/>
                <w:szCs w:val="20"/>
                <w:color w:val="auto"/>
              </w:rPr>
            </w:pPr>
            <w:r>
              <w:rPr>
                <w:rFonts w:ascii="Arial" w:cs="Arial" w:eastAsia="Arial" w:hAnsi="Arial"/>
                <w:sz w:val="18"/>
                <w:szCs w:val="18"/>
                <w:color w:val="auto"/>
                <w:w w:val="86"/>
              </w:rPr>
              <w:t>June 30,</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2014</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3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3"/>
              </w:rPr>
              <w:t>Number</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spacing w:after="0" w:line="195" w:lineRule="exact"/>
              <w:rPr>
                <w:sz w:val="20"/>
                <w:szCs w:val="20"/>
                <w:color w:val="auto"/>
              </w:rPr>
            </w:pPr>
            <w:r>
              <w:rPr>
                <w:rFonts w:ascii="Arial" w:cs="Arial" w:eastAsia="Arial" w:hAnsi="Arial"/>
                <w:sz w:val="18"/>
                <w:szCs w:val="18"/>
                <w:color w:val="auto"/>
                <w:w w:val="93"/>
              </w:rPr>
              <w:t>Number</w:t>
            </w:r>
          </w:p>
        </w:tc>
        <w:tc>
          <w:tcPr>
            <w:tcW w:w="60" w:type="dxa"/>
            <w:vAlign w:val="bottom"/>
            <w:gridSpan w:val="2"/>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Number</w:t>
            </w:r>
          </w:p>
        </w:tc>
        <w:tc>
          <w:tcPr>
            <w:tcW w:w="9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of Vested</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Number</w:t>
            </w:r>
          </w:p>
        </w:tc>
        <w:tc>
          <w:tcPr>
            <w:tcW w:w="92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of Vested</w:t>
            </w:r>
          </w:p>
        </w:tc>
      </w:tr>
      <w:tr>
        <w:trPr>
          <w:trHeight w:val="230"/>
        </w:trPr>
        <w:tc>
          <w:tcPr>
            <w:tcW w:w="3920" w:type="dxa"/>
            <w:vAlign w:val="bottom"/>
          </w:tcPr>
          <w:p>
            <w:pPr>
              <w:spacing w:after="0"/>
              <w:rPr>
                <w:sz w:val="20"/>
                <w:szCs w:val="20"/>
                <w:color w:val="auto"/>
              </w:rPr>
            </w:pPr>
          </w:p>
        </w:tc>
        <w:tc>
          <w:tcPr>
            <w:tcW w:w="1160" w:type="dxa"/>
            <w:vAlign w:val="bottom"/>
            <w:gridSpan w:val="3"/>
          </w:tcPr>
          <w:p>
            <w:pPr>
              <w:ind w:left="140"/>
              <w:spacing w:after="0"/>
              <w:rPr>
                <w:sz w:val="20"/>
                <w:szCs w:val="20"/>
                <w:color w:val="auto"/>
              </w:rPr>
            </w:pPr>
            <w:r>
              <w:rPr>
                <w:rFonts w:ascii="Arial" w:cs="Arial" w:eastAsia="Arial" w:hAnsi="Arial"/>
                <w:sz w:val="18"/>
                <w:szCs w:val="18"/>
                <w:color w:val="auto"/>
              </w:rPr>
              <w:t>of RSUs</w:t>
            </w: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RSUs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of RSUs</w:t>
            </w:r>
          </w:p>
        </w:tc>
        <w:tc>
          <w:tcPr>
            <w:tcW w:w="92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RSUs</w:t>
            </w:r>
          </w:p>
        </w:tc>
      </w:tr>
      <w:tr>
        <w:trPr>
          <w:trHeight w:val="210"/>
        </w:trPr>
        <w:tc>
          <w:tcPr>
            <w:tcW w:w="39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gridSpan w:val="4"/>
          </w:tcPr>
          <w:p>
            <w:pPr>
              <w:jc w:val="center"/>
              <w:ind w:right="300"/>
              <w:spacing w:after="0"/>
              <w:rPr>
                <w:sz w:val="20"/>
                <w:szCs w:val="20"/>
                <w:color w:val="auto"/>
              </w:rPr>
            </w:pPr>
            <w:r>
              <w:rPr>
                <w:rFonts w:ascii="Arial" w:cs="Arial" w:eastAsia="Arial" w:hAnsi="Arial"/>
                <w:sz w:val="18"/>
                <w:szCs w:val="18"/>
                <w:color w:val="auto"/>
                <w:w w:val="91"/>
              </w:rPr>
              <w:t>(in thousands)</w:t>
            </w:r>
          </w:p>
        </w:tc>
        <w:tc>
          <w:tcPr>
            <w:tcW w:w="86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23"/>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3920" w:type="dxa"/>
            <w:vAlign w:val="bottom"/>
          </w:tcPr>
          <w:p>
            <w:pPr>
              <w:ind w:left="160"/>
              <w:spacing w:after="0"/>
              <w:rPr>
                <w:sz w:val="20"/>
                <w:szCs w:val="20"/>
                <w:color w:val="auto"/>
              </w:rPr>
            </w:pPr>
            <w:r>
              <w:rPr>
                <w:rFonts w:ascii="Arial" w:cs="Arial" w:eastAsia="Arial" w:hAnsi="Arial"/>
                <w:sz w:val="18"/>
                <w:szCs w:val="18"/>
                <w:color w:val="auto"/>
              </w:rPr>
              <w:t>Granted</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3920" w:type="dxa"/>
            <w:vAlign w:val="bottom"/>
          </w:tcPr>
          <w:p>
            <w:pPr>
              <w:ind w:left="160"/>
              <w:spacing w:after="0"/>
              <w:rPr>
                <w:sz w:val="20"/>
                <w:szCs w:val="20"/>
                <w:color w:val="auto"/>
              </w:rPr>
            </w:pPr>
            <w:r>
              <w:rPr>
                <w:rFonts w:ascii="Arial" w:cs="Arial" w:eastAsia="Arial" w:hAnsi="Arial"/>
                <w:sz w:val="18"/>
                <w:szCs w:val="18"/>
                <w:color w:val="auto"/>
              </w:rPr>
              <w:t>Vested</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color w:val="auto"/>
              </w:rPr>
              <w:t>Outstanding, ending</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accounted for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both June 30, 2014 and December 31, 2013, all our remaining net deferred income tax assets were offset by a valuation allowance due to uncertainties with respect to future utilization of net operating loss (“NOL”)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 We have approximately $46.8 million federal income tax benefits at December 31, 2013 derived from $137.6 million Federal NOLs at the U.S. statutory tax rate of 34% and $2.8 million state NOLs, available to offset future taxable income, some of which have limitations for use as prescribed under IRC Section 382. Our NOL carryforwards will expire in varying amounts between 2014 and 2033 if not used, and those expirations will cause fluctuations in our valuation allowances. As of June 30, 2014 we had federal research and development tax credits of approximately $1.1 million, which expire in the years 2024 through 2033, and we had approximately $0.4 million of Indiana state research and development tax credits, which expire in the years 2014 through 2017.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 EARNINGS PER SHARE (“EPS”)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EPS is computed by dividing net income or loss by the weighted average common shares outstanding during a period, including shares weighted related to vested RSUs. (See Note 10).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2014 or 2013 as the Company reported a net loss for the three and six month periods, and including the effects of common stock equivalents in the diluted EPS calculation which would have been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7"/>
          </w:tcPr>
          <w:p>
            <w:pPr>
              <w:jc w:val="right"/>
              <w:ind w:right="80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4"/>
          </w:tcPr>
          <w:p>
            <w:pPr>
              <w:jc w:val="right"/>
              <w:ind w:right="50"/>
              <w:spacing w:after="0"/>
              <w:rPr>
                <w:sz w:val="20"/>
                <w:szCs w:val="20"/>
                <w:color w:val="auto"/>
              </w:rPr>
            </w:pPr>
            <w:r>
              <w:rPr>
                <w:rFonts w:ascii="Arial" w:cs="Arial" w:eastAsia="Arial" w:hAnsi="Arial"/>
                <w:sz w:val="18"/>
                <w:szCs w:val="18"/>
                <w:color w:val="auto"/>
              </w:rPr>
              <w:t>June 30,</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June</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30,</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EPS – basic and diluted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Numerator: 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(3,521)</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(3,076)</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(7,609)</w:t>
            </w: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480"/>
              <w:spacing w:after="0"/>
              <w:rPr>
                <w:sz w:val="20"/>
                <w:szCs w:val="20"/>
                <w:color w:val="auto"/>
              </w:rPr>
            </w:pPr>
            <w:r>
              <w:rPr>
                <w:rFonts w:ascii="Arial" w:cs="Arial" w:eastAsia="Arial" w:hAnsi="Arial"/>
                <w:sz w:val="18"/>
                <w:szCs w:val="18"/>
                <w:color w:val="auto"/>
              </w:rPr>
              <w:t>Common shares</w:t>
            </w: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48,848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46,399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48,846</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Vested RSUs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48,846</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EPS – basic and diluted</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Excluded securities: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shares issuable: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3,707</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Arial" w:cs="Arial" w:eastAsia="Arial" w:hAnsi="Arial"/>
                <w:sz w:val="18"/>
                <w:szCs w:val="18"/>
                <w:color w:val="auto"/>
              </w:rPr>
              <w:t>Nonvested RSUs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Common stock warrants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2,154</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Arial" w:cs="Arial" w:eastAsia="Arial" w:hAnsi="Arial"/>
                <w:sz w:val="18"/>
                <w:szCs w:val="18"/>
                <w:color w:val="auto"/>
              </w:rPr>
              <w:t>Total excluded common shares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2015 for approximately $25 thousand annually.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In this product liability litigation against numerous pharmaceutical product manufacturers and distributors, including us, plaintiffs claim injuries from their use of the Reglan brand of metoclopramide and generic metoclopramide.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Pennsylvania action, over 200 lawsuits have been filed against us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 xml:space="preserve">In the lawsuits filed to date, plaintiffs have not confirmed they ingested any of the generic metoclopramide manufactured by us. We discontinued manufacture and distribution of generic metoclopramide more than 18 years ago. In addition, we believe the June 23, 2011 decision by the U.S. Supreme Court in </w:t>
      </w:r>
      <w:r>
        <w:rPr>
          <w:rFonts w:ascii="Arial" w:cs="Arial" w:eastAsia="Arial" w:hAnsi="Arial"/>
          <w:sz w:val="18"/>
          <w:szCs w:val="18"/>
          <w:i w:val="1"/>
          <w:iCs w:val="1"/>
          <w:color w:val="auto"/>
        </w:rPr>
        <w:t>PLIVA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 Mensing (“Mensing </w:t>
      </w:r>
      <w:r>
        <w:rPr>
          <w:rFonts w:ascii="Arial" w:cs="Arial" w:eastAsia="Arial" w:hAnsi="Arial"/>
          <w:sz w:val="18"/>
          <w:szCs w:val="18"/>
          <w:color w:val="auto"/>
        </w:rPr>
        <w:t>decision”) holding that state tort law failure to warn claims against generic drug companies are pre-empted by the 1984 Hatch-Waxman</w:t>
      </w:r>
      <w:r>
        <w:rPr>
          <w:rFonts w:ascii="Arial" w:cs="Arial" w:eastAsia="Arial" w:hAnsi="Arial"/>
          <w:sz w:val="18"/>
          <w:szCs w:val="18"/>
          <w:i w:val="1"/>
          <w:iCs w:val="1"/>
          <w:color w:val="auto"/>
        </w:rPr>
        <w:t xml:space="preserve"> </w:t>
      </w:r>
      <w:r>
        <w:rPr>
          <w:rFonts w:ascii="Arial" w:cs="Arial" w:eastAsia="Arial" w:hAnsi="Arial"/>
          <w:sz w:val="18"/>
          <w:szCs w:val="18"/>
          <w:color w:val="auto"/>
        </w:rPr>
        <w:t>Act Amendments and federal drug regulations will assist us in favorably resolving these cases. We have consistently maintained the position that these claims are without merit and intend to vigorously defend these actions.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Acura with prejudice. 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Pennsylvania, on November 18, 2011, trial court denied Generic Defendants’ dispositive motion. In December 2011, the Generic Defendants appealed this ruling. On April 13, 2012, all trial court proceedings were stayed pending decisions by the Pennsylvania appellate courts. An adverse decision by the Pennsylvania Superior Court was issued in July 2013. Further appeal proceedings are pending and a decision is expected later this year. This appeal process eventually could result in dismissal of all of the Philadelphia cases against all generic defendants including Acura, although there can be no assurance in this regard. Legal fees related to this matter are currently covered by our insurance carrier.</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California, the trial court entered a May 25, 2012 Order denying Generic Defendants’ dispositive preemption motions. The Generics Defendants’ appeals from this order were denied by the California appellate courts. Therefore, subject to further developments, plaintiffs may be permitted to proceed with these lawsuits including state law claims based on (1) failing to communicate warnings to physicians through “Dear Doctor” letters; and (2) failure to update labeling to adopt brand labeling changes. California trial court also has acknowledged the preemptive effect of </w:t>
      </w:r>
      <w:r>
        <w:rPr>
          <w:rFonts w:ascii="Arial" w:cs="Arial" w:eastAsia="Arial" w:hAnsi="Arial"/>
          <w:sz w:val="17"/>
          <w:szCs w:val="17"/>
          <w:i w:val="1"/>
          <w:iCs w:val="1"/>
          <w:color w:val="auto"/>
        </w:rPr>
        <w:t>Mensing</w:t>
      </w:r>
      <w:r>
        <w:rPr>
          <w:rFonts w:ascii="Arial" w:cs="Arial" w:eastAsia="Arial" w:hAnsi="Arial"/>
          <w:sz w:val="17"/>
          <w:szCs w:val="17"/>
          <w:color w:val="auto"/>
        </w:rPr>
        <w:t xml:space="preserve"> so that any claim “that would render the generic defendants in violation of federal law if they are found responsible under a state law cause of action, would not be permissible.” Nonetheless, plaintiffs have not confirmed they ingested any of the generic metoclopramide manufactured by us.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Nebraska, the litigation against Acura has been stayed and plaintiffs have agreed to a final dismissal if there is no evidence of ingestion of generic metoclopramide manufactured by us. Legal fees related to this matter are currently covered by our insurance carrier.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June 30, 2014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Westport/Highland Complaint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21, 2014, we obtained a copy of a Complaint filed by Westport Pharmaceuticals, LLC (“Westport”) and Highland Pharmaceuticals, LLC (“Highland”) in the U.S. District Court for the Eastern District of Missouri naming us as the defendant. To date, we have not been formally served with this Complaint. In the Complaint, each of Westport and Highland are commencing a declaratory judgment action seeking a declaration of non-infringement of our U.S. Patent No. 8,409,616 (“616 Patent”) by Westport’s Zephrex-D® (pseudoephedrine hydrochloride, 30mg) product, to enable Westport to continue to sell Zephrex-D and to allow retail distributors to continue to sell Zephrex-D, a competing product to Nexafed. We intend to vigorously defend our Company’s intellectual property.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Advisor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August 2007 Unit Offering, we are obligated to pay a fee to our then financial advisor upon each exercise of the warrants issued in the Unit Offering, in proportion to the number of warrants exercised. The amount of the fee assuming 100% exercise of the remaining 1.9 million warrants is $0.38 million. The expiration date of these warrants is in August 2014. We have not reflected this obligation as a liability in our consolidated financial statements as the payment is contingent upon the timing and exercise of the warrants by each of the warrant holders. Such fee, if any, will be paid to the financial advisor and be offset against the equity proceeds as the warrants are exercised.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and analysis should be read in conjunction with the Company's financial statements and accompanying notes included elsewhere in this Report. Historical operating results are not necessarily indicative of results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enter into a license agreement for our FDA approved Aversion Oxycodone product;</w:t>
      </w:r>
    </w:p>
    <w:p>
      <w:pPr>
        <w:spacing w:after="0" w:line="225" w:lineRule="exact"/>
        <w:rPr>
          <w:rFonts w:ascii="Arial" w:cs="Arial" w:eastAsia="Arial" w:hAnsi="Arial"/>
          <w:sz w:val="18"/>
          <w:szCs w:val="18"/>
          <w:color w:val="auto"/>
        </w:rPr>
      </w:pPr>
    </w:p>
    <w:p>
      <w:pPr>
        <w:ind w:left="500" w:right="340" w:hanging="168"/>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Aversion Oxycodone and Nexafed Tablets;</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results of our meetings or discussions with the FDA relating to our Aversion hydrocodone/acetaminophen product;</w:t>
      </w:r>
    </w:p>
    <w:p>
      <w:pPr>
        <w:spacing w:after="0" w:line="225"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we will conduct an additional intranasal abuse liability study on our Aversion hydrocodone/ acetaminophen product and whether the results of such study will support a claim of intranasal abuse deterrence;</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 acceptance of and competitive environment for any of our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wholesalers and pharmacies to stock Nexafed Tablets;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 and the timing of first sales;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enter into additional license agreements for our Aversion Technology product candidates;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225" w:lineRule="exact"/>
        <w:rPr>
          <w:rFonts w:ascii="Arial" w:cs="Arial" w:eastAsia="Arial" w:hAnsi="Arial"/>
          <w:sz w:val="18"/>
          <w:szCs w:val="18"/>
          <w:color w:val="auto"/>
        </w:rPr>
      </w:pPr>
    </w:p>
    <w:p>
      <w:pPr>
        <w:ind w:left="500" w:right="180" w:hanging="168"/>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170" w:lineRule="exact"/>
        <w:rPr>
          <w:rFonts w:ascii="Arial" w:cs="Arial" w:eastAsia="Arial" w:hAnsi="Arial"/>
          <w:sz w:val="18"/>
          <w:szCs w:val="18"/>
          <w:color w:val="auto"/>
        </w:rPr>
      </w:pPr>
    </w:p>
    <w:p>
      <w:pPr>
        <w:ind w:left="500" w:right="20" w:hanging="168"/>
        <w:spacing w:after="0" w:line="259"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OTC Monograph standards as applicable;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ind w:left="500" w:right="320" w:hanging="16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safety findings relating to our product candidates;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225" w:lineRule="exact"/>
        <w:rPr>
          <w:rFonts w:ascii="Arial" w:cs="Arial" w:eastAsia="Arial" w:hAnsi="Arial"/>
          <w:sz w:val="18"/>
          <w:szCs w:val="18"/>
          <w:color w:val="auto"/>
        </w:rPr>
      </w:pPr>
    </w:p>
    <w:p>
      <w:pPr>
        <w:ind w:left="500" w:right="260" w:hanging="16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170"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our Aversion product candidates will ultimately deter abuse in commercial settings and whether our Impede technology will disrupt the processing of pseudoephedrine into methamphetamine.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this Report and in our filings with the Securities and Exchange Commission.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light of these risks, uncertainties and assumptions, the forward-looking events and circumstances discussed in this Report may not occur and actual results could differ materially and adversely from those anticipated or implied in the forward-looking statements. Accordingly, readers are cautioned not to place undue reliance on such forward-looking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two proprietary platform technologies which can be used to develop multiple products. Our Aversion® Technology is a mixture of inactive ingredients incorporated into pharmaceutical tablets and capsules intended to address some common methods of product tampering associated with opioid abuse. Oxycodone HCl tablets, CII, or Aversion Oxycodone, is the first approved product utilizing Aversion in the United States and we have 7 additional opioid products utilizing Aversion in various stages of development. In April 2014, we reacquired Aversion Oxycodone from our prior licensee and intend to seek a commercialization partner for that product and our Aversion opioids in development. We have also developed Impede® Technology which is a combination of inactive ingredients that prevent the extraction of pseudoephedrine from tablets and disrupt the direct conversion of pseudoephedrine from tablets into methamphetamine. We launched our first Impede Technology product, Nexafed®, into the United States market in December 2012 and we have multiple pseudoephedrine products in development utilizing Impede.</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Opioid analgesics are one of the largest prescription drug markets in the United States with 253 million prescriptions dispensed in 2013. Prescription opioids are also the most widely abused drugs with 12 million people abusing or misusing these products annually. We expect our Aversion Technology opioid products to compete primarily in the immediate-release opioid product segment. Because immediate-release opioid products are used for both acute and chronic pain, a prescription, on average, contains 65 tablets or capsules. According to IMS Health, in 2013, sales in the immediate-release opioid product segment were approximately 238 million prescriptions and $2.6 billion, of which ~97% was attributable to generic products. Immediate-release oxycodone tablets represent 16.7 million of these prescriptions or almost 1.6 billion tablets. The FDA approved label for our Aversion Oxycodone product describes the unique, and we believe promotable, abuse deterrent features of our product which we believe makes prescribing our product attractive to some healthcare providers.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7"/>
          <w:szCs w:val="17"/>
          <w:color w:val="auto"/>
        </w:rPr>
        <w:t>Hydrocodone bitartrate with acetaminophen, or hydrocodone/acetaminophen, is the most widely prescribed and often abused opioid product in the United States. Our Aversion hydrocodone/acetaminophen product is the most advanced opioid product in development and the primary focus of our opioid development efforts. On December 5, 2013, we met with the FDA to discuss the results of Study AP-ADF-301, or Study 301, a key abuse liability study for our Aversion hydrocodone/acetaminophen product and whether the results from Study 301 are acceptable for submission in a New Drug Application, or NDA. On May 27, 2014, we announced that the FDA advised us that the data from our Study 301 was insufficient to support an intranasal abuse deterrence claim. The FDA indicated that a product will have to have an impact on “drug liking” to support a claim of abuse-deterrence through a relevant route of abuse. The FDA’s advice also questioned whether the intranasal route is a relevant route of abuse for hydrocodone/ acetaminophen products and recommended that we identify variables that could have impacted the findings from Study 301 before considering or conducting an additional intranasal abuse liability study on our Aversion hydrocodone/ acetaminophen product. We have previously submitted a report to the FDA on the prevalence of abusing hydrocodone products by intranasal administration. We are currently scheduled to meet with the FDA on August 14, 2014 to discuss the FDA’s expectations in this area. We expect that the development program for all our Aversion opioid products in development will be consistent with that of Aversion Oxycodone and our hydrocodone/acetaminophen product candidate.</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2009, the United States market for over-the-counter market, or OTC, cold and allergy products containing an oral nasal decongestant was approximately $1 billion. In 2012, the DEA reported 11,210 laboratory incidents involving the illegal use of OTC pseudoephedrine products to manufacture the highly addictive drug methamphetamine, or meth. Nexafed, our 30mg pseudoephedrine hydrochloride immediate-release tablet utilizing our Impede Technology, is stocked in approximately 14% of the estimated 65,000 U.S. pharmacies. Many of these pharmacies are either actively recommending Nexafed to their patients or carry Nexafed as their only 30mg pseudoephedrine product. The category for meth-resistant pseudoephedrine products has also been the focus of some, as yet unsuccessful, state legislation seeking to incentivize consumers and pharmacists to utilize these meth-resistant technologies.</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advancing commercial preparations to launch the first line extension of Nexafed into the U.S. market later in 2014 and have an active development program to develop a sustained-release version of our technology to capitalize on higher sales products in the category. We also are investigating new technologies that would improve on our meth-resistant capabilities.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have discovered an early-stage technology, Limitx™, which, in proof of concept laboratory tests, demonstrates the ability to limit the release of the active ingredient from tablets when multiple tablets are consumed simultaneously.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Aversion Technology is a unique composition of inactive pharmaceutical ingredients utilized with an opioid or other drug susceptible of abuse to provide abuse deterrent functionality. All of our Aversion Technology opioid products are covered by six issued U.S. patents, which expire between 2023 and 2025. Our Aversion Technology products are intended to provide the same therapeutic benefits of the active drug ingredient as currently marketed products containing the same active pharmaceutical ingredient, while simultaneously discouraging the following common methods of pharmaceutical product misuse and abuse:</w:t>
      </w:r>
    </w:p>
    <w:p>
      <w:pPr>
        <w:spacing w:after="0" w:line="188" w:lineRule="exact"/>
        <w:rPr>
          <w:sz w:val="20"/>
          <w:szCs w:val="20"/>
          <w:color w:val="auto"/>
        </w:rPr>
      </w:pPr>
    </w:p>
    <w:p>
      <w:pPr>
        <w:jc w:val="both"/>
        <w:ind w:left="660" w:hanging="4"/>
        <w:spacing w:after="0" w:line="279" w:lineRule="auto"/>
        <w:tabs>
          <w:tab w:leader="none" w:pos="1029" w:val="left"/>
        </w:tabs>
        <w:numPr>
          <w:ilvl w:val="0"/>
          <w:numId w:val="9"/>
        </w:numPr>
        <w:rPr>
          <w:rFonts w:ascii="Arial" w:cs="Arial" w:eastAsia="Arial" w:hAnsi="Arial"/>
          <w:sz w:val="17"/>
          <w:szCs w:val="17"/>
          <w:color w:val="auto"/>
        </w:rPr>
      </w:pPr>
      <w:r>
        <w:rPr>
          <w:rFonts w:ascii="Arial" w:cs="Arial" w:eastAsia="Arial" w:hAnsi="Arial"/>
          <w:sz w:val="17"/>
          <w:szCs w:val="17"/>
          <w:color w:val="auto"/>
        </w:rPr>
        <w:t>Drug abusers may dissolve pharmaceutical tablets or capsules in water, alcohol, or other common solvents, filter the dissolved solution into a syringe, and inject the resulting fluid intravenously to obtain euphoric effects. Aversion Technology tablets dissolved in generally available solvents, including water or alcohol, into a volume and form suitable for intravenous injection, converts the tablet into a viscous gel mixture. We believe this gel will limit or impede drug abusers from extracting and injecting the active ingredients from our tablets.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jc w:val="both"/>
        <w:ind w:left="660" w:hanging="4"/>
        <w:spacing w:after="0" w:line="259" w:lineRule="auto"/>
        <w:tabs>
          <w:tab w:leader="none" w:pos="1029"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Drug abusers may crush pharmaceutical tablets or capsules and intranasally snort the resulting powder to absorb active ingredient through the nasal passages to obtain euphoric effects. The combination of Aversion Technology inactive ingredients is intended to induce nasal passage discomfort if the tablets are snorted. We believe products which utilize Aversion Technology may be disliked and will discourage prospective nasal drug abusers from snorting crushed tablets or capsules.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extent and manner in which any of the features described above may be described in the FDA approved label for our pipeline products will be dependent on the results of and the acceptance by the FDA of our and our licensees’ studies for each product.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we entered into an agreement with Purdue Pharma to settle a patent interference filing before the Patent Trial and Appeal Board of the United States Patent and Trademark Office brought by Purdue with respect to one of Acura’s issued patents relating to extended release oxycodone products (the “Acura ER Patent”). Under the settlement agreement, Acura conceded priority of the sole claim in the Acura ER Patent to Purdue and its earlier priority pending patent application. The settlement agreement and the Acura ER Patent do not cover our Aversion Oxycodone product, our Aversion hydrocodone/ acetaminophen product or our other immediate release Aversion products in development.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Oxycodone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Aversion Oxycodone is a Schedule II narcotic indicated for the management of acute and chronic moderate to severe pain where the use of an opioid analgesic is appropriate. Aversion Oxycodone was FDA approved on June 17, 2011 and introduced, by our former licensee, Pfizer Inc., into the U.S. market in February 2012 under the trade name Oxecta®. Pfizer strategically deprioritized their efforts in immediate-release opioids commencing in summer of 2012 and we reacquired the rights to Aversion Oxycodone in April 2014, shortly after Pfizer initiated minimal, non-sales representative promotion in late 2013. We plan to partner with a strategically focused pharmaceutical company to manufacture and commercialize Aversion Oxycodone in the United States and possibly other territories.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2013 market for immediate-release oxycodone products was 16.7 million dispensed prescription or 1.6 billion tablets. The current market is predominately serviced by generic formulations that contain no abuse deterrent features and sell for approximately $.10 to $.40 per tablet, depending on strength. Immediate-release opioids are prescribed by a broad cross-section of healthcare providers including primary care physicians, surgeons and pain specialists. We believe Aversion Oxycodone, given its differentiated label compared to generic products, can offer an alternative for opioid prescribing physicians concerned with the abuse or diversion for abuse of their prescriptions even at premium pricing to generics. Because the target audience for promoting our opioid products is so large, we will seek marketing partners to best capitalize on our opioid opportunities.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safety and efficacy of Aversion Oxycodone 5mg and 7.5mg tablets was established by demonstrating bioequivalence to commercially available oxycodone immediate-release tablets in the fasted state. Aversion Oxycodone differs from oxycodone tablets when taken with a high fat meal though these differences are not considered clinically relevant, and Aversion Oxycodone can be taken without regard to food. The FDA-approved label for Aversion Oxycodone describes elements unique to our Aversion Technology, which differs from current commercially available oxycodone immediate-release tablets. The label for Aversion Oxycodone includes the results from a clinical study that evaluated the effects of nasally snorting crushed Aversion Oxycodone and commercially available oxycodone tablets, and limitations on exposing Aversion Oxycodone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79" w:lineRule="exact"/>
        <w:rPr>
          <w:sz w:val="20"/>
          <w:szCs w:val="20"/>
          <w:color w:val="auto"/>
        </w:rPr>
      </w:pPr>
    </w:p>
    <w:p>
      <w:pPr>
        <w:ind w:left="820" w:hanging="164"/>
        <w:spacing w:after="0" w:line="258"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 of subjects exposed to Aversion Oxycodone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right="20" w:hanging="164"/>
        <w:spacing w:after="0" w:line="261"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subjects taking Aversion Oxycodone reported a higher incidence of nasopharyngeal and facial adverse events compared to immediate-release oxycodone;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ind w:left="820" w:hanging="164"/>
        <w:spacing w:after="0" w:line="25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Aversion Oxycodone tablets within a fixed time period (21 of 40 subjects), while all subjects were able to completely insufflate the entire dose of immediate-release oxycodone; and</w:t>
      </w:r>
    </w:p>
    <w:p>
      <w:pPr>
        <w:spacing w:after="0" w:line="1" w:lineRule="exact"/>
        <w:rPr>
          <w:rFonts w:ascii="Arial" w:cs="Arial" w:eastAsia="Arial" w:hAnsi="Arial"/>
          <w:sz w:val="18"/>
          <w:szCs w:val="18"/>
          <w:color w:val="auto"/>
        </w:rPr>
      </w:pPr>
    </w:p>
    <w:p>
      <w:pPr>
        <w:ind w:left="820" w:hanging="164"/>
        <w:spacing w:after="0" w:line="26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Aversion Oxycodone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Aversion Oxycodone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Aversion Oxycodone has a reduced abuse liability compared to immediate release oxycodone. We have a post-approval commitment with the FDA to perform an epidemiology study to assess the actual impact on abuse of Aversion Oxycodone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Aversion Oxycodone product label guides patients not to crush and dissolve the tablets or pre-soak, lick or otherwise wet the tablets prior to administration. Similarly, caregivers are advised not to crush and dissolve the tablets or otherwise use Aversion Oxycodone for administration via nasogastric, gastric or other feeding tubes as it may cause an obstruction. Our laboratory studies demonstrated that the Aversion Oxycodone tablet may gel when Aversion Oxycodone is exposed to certain solvents, including water.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Opioid Products in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opioid products utilizing our Aversion Technology in various stages of development:</w:t>
      </w:r>
    </w:p>
    <w:p>
      <w:pPr>
        <w:sectPr>
          <w:pgSz w:w="11900" w:h="16838" w:orient="portrait"/>
          <w:cols w:equalWidth="0" w:num="1">
            <w:col w:w="11420"/>
          </w:cols>
          <w:pgMar w:left="240" w:top="881" w:right="239" w:bottom="1440" w:gutter="0" w:footer="0" w:header="0"/>
        </w:sect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ind w:left="300"/>
              <w:spacing w:after="0"/>
              <w:rPr>
                <w:sz w:val="20"/>
                <w:szCs w:val="20"/>
                <w:color w:val="auto"/>
              </w:rPr>
            </w:pPr>
            <w:r>
              <w:rPr>
                <w:rFonts w:ascii="Arial" w:cs="Arial" w:eastAsia="Arial" w:hAnsi="Arial"/>
                <w:sz w:val="18"/>
                <w:szCs w:val="18"/>
                <w:color w:val="auto"/>
              </w:rPr>
              <w:t>Comparable Brand</w:t>
            </w:r>
          </w:p>
        </w:tc>
      </w:tr>
      <w:tr>
        <w:trPr>
          <w:trHeight w:val="267"/>
        </w:trPr>
        <w:tc>
          <w:tcPr>
            <w:tcW w:w="2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Aversion Technology Tablets</w:t>
            </w:r>
          </w:p>
        </w:tc>
        <w:tc>
          <w:tcPr>
            <w:tcW w:w="120" w:type="dxa"/>
            <w:vAlign w:val="bottom"/>
          </w:tcPr>
          <w:p>
            <w:pPr>
              <w:spacing w:after="0"/>
              <w:rPr>
                <w:sz w:val="23"/>
                <w:szCs w:val="23"/>
                <w:color w:val="auto"/>
              </w:rPr>
            </w:pPr>
          </w:p>
        </w:tc>
        <w:tc>
          <w:tcPr>
            <w:tcW w:w="1940" w:type="dxa"/>
            <w:vAlign w:val="bottom"/>
            <w:tcBorders>
              <w:bottom w:val="single" w:sz="8" w:color="auto"/>
            </w:tcBorders>
          </w:tcPr>
          <w:p>
            <w:pPr>
              <w:ind w:left="720"/>
              <w:spacing w:after="0" w:line="266" w:lineRule="exact"/>
              <w:rPr>
                <w:sz w:val="20"/>
                <w:szCs w:val="20"/>
                <w:color w:val="auto"/>
              </w:rPr>
            </w:pPr>
            <w:r>
              <w:rPr>
                <w:rFonts w:ascii="Arial" w:cs="Arial" w:eastAsia="Arial" w:hAnsi="Arial"/>
                <w:sz w:val="18"/>
                <w:szCs w:val="18"/>
                <w:color w:val="auto"/>
              </w:rPr>
              <w:t>Name</w:t>
            </w:r>
            <w:r>
              <w:rPr>
                <w:rFonts w:ascii="Arial" w:cs="Arial" w:eastAsia="Arial" w:hAnsi="Arial"/>
                <w:sz w:val="30"/>
                <w:szCs w:val="30"/>
                <w:color w:val="auto"/>
                <w:vertAlign w:val="superscript"/>
              </w:rPr>
              <w:t>1</w:t>
            </w:r>
          </w:p>
        </w:tc>
      </w:tr>
      <w:tr>
        <w:trPr>
          <w:trHeight w:val="411"/>
        </w:trPr>
        <w:tc>
          <w:tcPr>
            <w:tcW w:w="3100" w:type="dxa"/>
            <w:vAlign w:val="bottom"/>
            <w:gridSpan w:val="2"/>
          </w:tcPr>
          <w:p>
            <w:pPr>
              <w:spacing w:after="0"/>
              <w:rPr>
                <w:sz w:val="20"/>
                <w:szCs w:val="20"/>
                <w:color w:val="auto"/>
              </w:rPr>
            </w:pPr>
            <w:r>
              <w:rPr>
                <w:rFonts w:ascii="Arial" w:cs="Arial" w:eastAsia="Arial" w:hAnsi="Arial"/>
                <w:sz w:val="18"/>
                <w:szCs w:val="18"/>
                <w:color w:val="auto"/>
                <w:w w:val="98"/>
              </w:rPr>
              <w:t>Hydrocodone bitartrate/acetaminophen</w:t>
            </w:r>
          </w:p>
        </w:tc>
        <w:tc>
          <w:tcPr>
            <w:tcW w:w="1940" w:type="dxa"/>
            <w:vAlign w:val="bottom"/>
          </w:tcPr>
          <w:p>
            <w:pPr>
              <w:spacing w:after="0"/>
              <w:rPr>
                <w:sz w:val="20"/>
                <w:szCs w:val="20"/>
                <w:color w:val="auto"/>
              </w:rPr>
            </w:pPr>
            <w:r>
              <w:rPr>
                <w:rFonts w:ascii="Arial" w:cs="Arial" w:eastAsia="Arial" w:hAnsi="Arial"/>
                <w:sz w:val="18"/>
                <w:szCs w:val="18"/>
                <w:color w:val="auto"/>
              </w:rPr>
              <w:t>Vicodin®, Lortab®,</w:t>
            </w:r>
          </w:p>
        </w:tc>
      </w:tr>
      <w:tr>
        <w:trPr>
          <w:trHeight w:val="230"/>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Norco®</w:t>
            </w:r>
          </w:p>
        </w:tc>
      </w:tr>
      <w:tr>
        <w:trPr>
          <w:trHeight w:val="648"/>
        </w:trPr>
        <w:tc>
          <w:tcPr>
            <w:tcW w:w="3100" w:type="dxa"/>
            <w:vAlign w:val="bottom"/>
            <w:gridSpan w:val="2"/>
          </w:tcPr>
          <w:p>
            <w:pPr>
              <w:spacing w:after="0"/>
              <w:rPr>
                <w:sz w:val="20"/>
                <w:szCs w:val="20"/>
                <w:color w:val="auto"/>
              </w:rPr>
            </w:pPr>
            <w:r>
              <w:rPr>
                <w:rFonts w:ascii="Arial" w:cs="Arial" w:eastAsia="Arial" w:hAnsi="Arial"/>
                <w:sz w:val="18"/>
                <w:szCs w:val="18"/>
                <w:color w:val="auto"/>
              </w:rPr>
              <w:t>Hydromorphone HCl</w:t>
            </w:r>
          </w:p>
        </w:tc>
        <w:tc>
          <w:tcPr>
            <w:tcW w:w="1940" w:type="dxa"/>
            <w:vAlign w:val="bottom"/>
          </w:tcPr>
          <w:p>
            <w:pPr>
              <w:spacing w:after="0"/>
              <w:rPr>
                <w:sz w:val="20"/>
                <w:szCs w:val="20"/>
                <w:color w:val="auto"/>
              </w:rPr>
            </w:pPr>
            <w:r>
              <w:rPr>
                <w:rFonts w:ascii="Arial" w:cs="Arial" w:eastAsia="Arial" w:hAnsi="Arial"/>
                <w:sz w:val="18"/>
                <w:szCs w:val="18"/>
                <w:color w:val="auto"/>
              </w:rPr>
              <w:t>Dilaudid®</w:t>
            </w:r>
          </w:p>
        </w:tc>
      </w:tr>
      <w:tr>
        <w:trPr>
          <w:trHeight w:val="257"/>
        </w:trPr>
        <w:tc>
          <w:tcPr>
            <w:tcW w:w="3100" w:type="dxa"/>
            <w:vAlign w:val="bottom"/>
            <w:gridSpan w:val="2"/>
          </w:tcPr>
          <w:p>
            <w:pPr>
              <w:spacing w:after="0"/>
              <w:rPr>
                <w:sz w:val="20"/>
                <w:szCs w:val="20"/>
                <w:color w:val="auto"/>
              </w:rPr>
            </w:pPr>
            <w:r>
              <w:rPr>
                <w:rFonts w:ascii="Arial" w:cs="Arial" w:eastAsia="Arial" w:hAnsi="Arial"/>
                <w:sz w:val="18"/>
                <w:szCs w:val="18"/>
                <w:color w:val="auto"/>
              </w:rPr>
              <w:t>Methadone HCl</w:t>
            </w:r>
          </w:p>
        </w:tc>
        <w:tc>
          <w:tcPr>
            <w:tcW w:w="1940" w:type="dxa"/>
            <w:vAlign w:val="bottom"/>
          </w:tcPr>
          <w:p>
            <w:pPr>
              <w:spacing w:after="0"/>
              <w:rPr>
                <w:sz w:val="20"/>
                <w:szCs w:val="20"/>
                <w:color w:val="auto"/>
              </w:rPr>
            </w:pPr>
            <w:r>
              <w:rPr>
                <w:rFonts w:ascii="Arial" w:cs="Arial" w:eastAsia="Arial" w:hAnsi="Arial"/>
                <w:sz w:val="18"/>
                <w:szCs w:val="18"/>
                <w:color w:val="auto"/>
              </w:rPr>
              <w:t>Methadose</w:t>
            </w:r>
          </w:p>
        </w:tc>
      </w:tr>
      <w:tr>
        <w:trPr>
          <w:trHeight w:val="257"/>
        </w:trPr>
        <w:tc>
          <w:tcPr>
            <w:tcW w:w="3100" w:type="dxa"/>
            <w:vAlign w:val="bottom"/>
            <w:gridSpan w:val="2"/>
          </w:tcPr>
          <w:p>
            <w:pPr>
              <w:spacing w:after="0"/>
              <w:rPr>
                <w:sz w:val="20"/>
                <w:szCs w:val="20"/>
                <w:color w:val="auto"/>
              </w:rPr>
            </w:pPr>
            <w:r>
              <w:rPr>
                <w:rFonts w:ascii="Arial" w:cs="Arial" w:eastAsia="Arial" w:hAnsi="Arial"/>
                <w:sz w:val="18"/>
                <w:szCs w:val="18"/>
                <w:color w:val="auto"/>
              </w:rPr>
              <w:t>Morphine Sulfate</w:t>
            </w:r>
          </w:p>
        </w:tc>
        <w:tc>
          <w:tcPr>
            <w:tcW w:w="1940" w:type="dxa"/>
            <w:vAlign w:val="bottom"/>
          </w:tcPr>
          <w:p>
            <w:pPr>
              <w:spacing w:after="0"/>
              <w:rPr>
                <w:sz w:val="20"/>
                <w:szCs w:val="20"/>
                <w:color w:val="auto"/>
              </w:rPr>
            </w:pPr>
            <w:r>
              <w:rPr>
                <w:rFonts w:ascii="Arial" w:cs="Arial" w:eastAsia="Arial" w:hAnsi="Arial"/>
                <w:sz w:val="18"/>
                <w:szCs w:val="18"/>
                <w:color w:val="auto"/>
              </w:rPr>
              <w:t>MSIR®</w:t>
            </w:r>
          </w:p>
        </w:tc>
      </w:tr>
      <w:tr>
        <w:trPr>
          <w:trHeight w:val="257"/>
        </w:trPr>
        <w:tc>
          <w:tcPr>
            <w:tcW w:w="3100" w:type="dxa"/>
            <w:vAlign w:val="bottom"/>
            <w:gridSpan w:val="2"/>
          </w:tcPr>
          <w:p>
            <w:pPr>
              <w:spacing w:after="0"/>
              <w:rPr>
                <w:sz w:val="20"/>
                <w:szCs w:val="20"/>
                <w:color w:val="auto"/>
              </w:rPr>
            </w:pPr>
            <w:r>
              <w:rPr>
                <w:rFonts w:ascii="Arial" w:cs="Arial" w:eastAsia="Arial" w:hAnsi="Arial"/>
                <w:sz w:val="18"/>
                <w:szCs w:val="18"/>
                <w:color w:val="auto"/>
              </w:rPr>
              <w:t>Oxycodone HCl/acetaminophen</w:t>
            </w:r>
          </w:p>
        </w:tc>
        <w:tc>
          <w:tcPr>
            <w:tcW w:w="1940" w:type="dxa"/>
            <w:vAlign w:val="bottom"/>
          </w:tcPr>
          <w:p>
            <w:pPr>
              <w:spacing w:after="0"/>
              <w:rPr>
                <w:sz w:val="20"/>
                <w:szCs w:val="20"/>
                <w:color w:val="auto"/>
              </w:rPr>
            </w:pPr>
            <w:r>
              <w:rPr>
                <w:rFonts w:ascii="Arial" w:cs="Arial" w:eastAsia="Arial" w:hAnsi="Arial"/>
                <w:sz w:val="18"/>
                <w:szCs w:val="18"/>
                <w:color w:val="auto"/>
              </w:rPr>
              <w:t>Percocet®</w:t>
            </w:r>
          </w:p>
        </w:tc>
      </w:tr>
      <w:tr>
        <w:trPr>
          <w:trHeight w:val="257"/>
        </w:trPr>
        <w:tc>
          <w:tcPr>
            <w:tcW w:w="3100" w:type="dxa"/>
            <w:vAlign w:val="bottom"/>
            <w:gridSpan w:val="2"/>
          </w:tcPr>
          <w:p>
            <w:pPr>
              <w:spacing w:after="0"/>
              <w:rPr>
                <w:sz w:val="20"/>
                <w:szCs w:val="20"/>
                <w:color w:val="auto"/>
              </w:rPr>
            </w:pPr>
            <w:r>
              <w:rPr>
                <w:rFonts w:ascii="Arial" w:cs="Arial" w:eastAsia="Arial" w:hAnsi="Arial"/>
                <w:sz w:val="18"/>
                <w:szCs w:val="18"/>
                <w:color w:val="auto"/>
              </w:rPr>
              <w:t>Oxymorphone HCl</w:t>
            </w:r>
          </w:p>
        </w:tc>
        <w:tc>
          <w:tcPr>
            <w:tcW w:w="1940" w:type="dxa"/>
            <w:vAlign w:val="bottom"/>
          </w:tcPr>
          <w:p>
            <w:pPr>
              <w:spacing w:after="0"/>
              <w:rPr>
                <w:sz w:val="20"/>
                <w:szCs w:val="20"/>
                <w:color w:val="auto"/>
              </w:rPr>
            </w:pPr>
            <w:r>
              <w:rPr>
                <w:rFonts w:ascii="Arial" w:cs="Arial" w:eastAsia="Arial" w:hAnsi="Arial"/>
                <w:sz w:val="18"/>
                <w:szCs w:val="18"/>
                <w:color w:val="auto"/>
              </w:rPr>
              <w:t>Opana®</w:t>
            </w:r>
          </w:p>
        </w:tc>
      </w:tr>
      <w:tr>
        <w:trPr>
          <w:trHeight w:val="257"/>
        </w:trPr>
        <w:tc>
          <w:tcPr>
            <w:tcW w:w="3100" w:type="dxa"/>
            <w:vAlign w:val="bottom"/>
            <w:gridSpan w:val="2"/>
          </w:tcPr>
          <w:p>
            <w:pPr>
              <w:spacing w:after="0"/>
              <w:rPr>
                <w:sz w:val="20"/>
                <w:szCs w:val="20"/>
                <w:color w:val="auto"/>
              </w:rPr>
            </w:pPr>
            <w:r>
              <w:rPr>
                <w:rFonts w:ascii="Arial" w:cs="Arial" w:eastAsia="Arial" w:hAnsi="Arial"/>
                <w:sz w:val="18"/>
                <w:szCs w:val="18"/>
                <w:color w:val="auto"/>
              </w:rPr>
              <w:t>Tramadol HCl</w:t>
            </w:r>
          </w:p>
        </w:tc>
        <w:tc>
          <w:tcPr>
            <w:tcW w:w="1940" w:type="dxa"/>
            <w:vAlign w:val="bottom"/>
          </w:tcPr>
          <w:p>
            <w:pPr>
              <w:spacing w:after="0"/>
              <w:rPr>
                <w:sz w:val="20"/>
                <w:szCs w:val="20"/>
                <w:color w:val="auto"/>
              </w:rPr>
            </w:pPr>
            <w:r>
              <w:rPr>
                <w:rFonts w:ascii="Arial" w:cs="Arial" w:eastAsia="Arial" w:hAnsi="Arial"/>
                <w:sz w:val="18"/>
                <w:szCs w:val="18"/>
                <w:color w:val="auto"/>
              </w:rPr>
              <w:t>Ultram®</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978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 submitted to the FDA on December 20,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Pharmacokinetic studies in progress.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FDA meeting scheduled for August 14, 2014 to discuss FDA’s determination relating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results of Study AP-ADF-301</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Proof of Concept</w:t>
      </w:r>
      <w:r>
        <w:rPr>
          <w:rFonts w:ascii="Arial" w:cs="Arial" w:eastAsia="Arial" w:hAnsi="Arial"/>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Proof of Concept</w:t>
      </w:r>
      <w:r>
        <w:rPr>
          <w:rFonts w:ascii="Arial" w:cs="Arial" w:eastAsia="Arial" w:hAnsi="Arial"/>
          <w:sz w:val="30"/>
          <w:szCs w:val="30"/>
          <w:color w:val="auto"/>
          <w:vertAlign w:val="superscript"/>
        </w:rPr>
        <w:t>2</w:t>
      </w:r>
    </w:p>
    <w:p>
      <w:pPr>
        <w:spacing w:after="0" w:line="139" w:lineRule="exact"/>
        <w:rPr>
          <w:sz w:val="20"/>
          <w:szCs w:val="20"/>
          <w:color w:val="auto"/>
        </w:rPr>
      </w:pPr>
    </w:p>
    <w:p>
      <w:pPr>
        <w:sectPr>
          <w:pgSz w:w="11900" w:h="16838" w:orient="portrait"/>
          <w:cols w:equalWidth="0" w:num="2">
            <w:col w:w="5040" w:space="120"/>
            <w:col w:w="6260"/>
          </w:cols>
          <w:pgMar w:left="240" w:top="881" w:right="239" w:bottom="1440" w:gutter="0" w:footer="0" w:header="0"/>
          <w:type w:val="continuous"/>
        </w:sectPr>
      </w:pPr>
    </w:p>
    <w:p>
      <w:pPr>
        <w:ind w:left="180" w:hanging="172"/>
        <w:spacing w:after="0" w:line="194" w:lineRule="auto"/>
        <w:tabs>
          <w:tab w:leader="none" w:pos="13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Comparable Brand Name refers to currently marketed prescription products in the United States containing the same active analgesic ingredient(s) as in the corresponding Aversion Technology product.</w:t>
      </w:r>
    </w:p>
    <w:p>
      <w:pPr>
        <w:spacing w:after="0" w:line="27" w:lineRule="exact"/>
        <w:rPr>
          <w:sz w:val="20"/>
          <w:szCs w:val="20"/>
          <w:color w:val="auto"/>
        </w:rPr>
      </w:pPr>
    </w:p>
    <w:p>
      <w:pPr>
        <w:ind w:left="180" w:hanging="172"/>
        <w:spacing w:after="0" w:line="194" w:lineRule="auto"/>
        <w:tabs>
          <w:tab w:leader="none" w:pos="157"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Proof of Concept is attained upon demonstration of product stability and bioavailability parameters. All proof of concept formulations contain niacin (derived from the initial Aversion formulation) and will require reformulation.</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anticipate the development program for each of our Aversion opioid products will be consistent with that of Aversion Oxycodone. Because our products use known active ingredients in approved dosage strengths, the safety and efficacy of the Aversion opioid will be established by a series of pharmacokinetic studies demonstrating: (a) bioequivalence to an approved reference drug, (b) food effect of our formulations, and (c) dose proportionality of our formulation.</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abuse deterrent studies of the Aversion products will be consistent with FDA’s draft guidance for the development of abuse deterrent opioids with the objective to obtain a description of our studies and/or abuse deterrent features in the product’s label. These studies may include in vitro laboratory studies to determine, among other things, syringeability of the formulation, extractability of the opioid, and particle size of the crushed product. We also may conduct human abuse liability studies comparing the abuse liability of Aversion products to currently marketed products.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We may have to perform additional safety and/or efficacy assessment as may be identified by the FDA for each specific formulation during the IND or NDA phase of development. In accordance with the FDA draft guidance, we will likely have a post-approval requirement for each of our products, if approved, to perform an epidemiology study to assess the in-market impact on abuse of our formulation.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the time to develop each Aversion opioid product from IND to NDA submission can be as short as 18 months to 24 months, provided all studies meet their primary study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Hydrocodone/Acetaminophen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most advanced opioid development product is Aversion hydrocodone/acetaminophen. Our clinical development program for our hydrocodone/acetaminophen product is expected to consist of:</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nasal abuse liability liking study in about 40 recreational drug users against a reference drug, or Study AP-ADF-301;</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pharmacokinetic study (Study AP-ADF-302) in about 36 fasted subjects to establish bioequivalence to the FDA’s reference listed drug and determine the food effect on our drug;</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pharmacokinetic study (Study AP-ADF-303) in about 24 subjects demonstrating dose proportionality of our formulation;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pharmacokinetic study (Study AP-ADF-304) in about 24 subjects to establish safety compared to the reference listed drugs tramadol/acetaminophen (for acetaminophen) and hydrocodone bitartrate/ibuprofen (for hydrocodone);</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Laboratory studies demonstrating extraction, syringing, swelling and particle size characteristics of our product;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assessment of the routes of abuse of hydrocodone products;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Depending on the results of our August 14, 2014 FDA meeting, an additional nasal abuse liability study in recreational drug users against a reference drug.</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26, 2013, we announced top-line results from Study AP-ADF-301 (Study 301), a phase II clinical study in 40 recreational drug abusers assessing the abuse liability of snorting of our crushed hydrocodone/acetaminophen product. Study 301’s primary endpoint indicated Aversion hydrocodone/acetaminophen had slightly lower numeric mean maximum drug liking (Emax: 72.1) compared to an equivalent dose of a generic hydrocodone/acetaminophen tablet (Emax: 75.6) currently on the market, however these results were not statistically significant (p=0.22). The secondary endpoints demonstrated the effects of the Aversion ingredients on drug snorting. Aversion hydrocodone/acetaminophen’s mean minimum liking (Emin: 40.2) was less than the comparator (Emin: 50.4) (the difference being statistically significant at p=0.0003). The mean minimum drug liking for Aversion hydrocodone/acetaminophen and the placebo control were 40.2 and 48.8, respectively (the difference being statistically significant at p=0.0042). A score below 50 indicates a subject disliked the drug they were taking at some point during the treatment (a score of 50 means neither like or dislike), and a score greater than 50 indicates they liked the drug they were taking.</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mean minimum liking results correlated closely the Overall Drug Liking score (ODL) and Take Drug Again assessment (TDA). ODL assessed the subject like or dislike for the drug experience 12 hours after taking the dose. The ODL for Aversion hydrocodone/acetaminophen (52.7) was lower than the generic comparator (71.0) (the difference being statistically significant at p=0.0001) with a score of 50 indicating a neither a like or dislike. TDA assessed a subject’s willingness to take the drug again assessed 12 hours after taking the dose. The TDA for Aversion hydrocodone/acetaminophen (45.1) was lower than the generic comparator (71.0) (the difference being statistically significant at p=0.0001) with the Aversion hydrocodone/acetaminophen score below 50 indicating an unwillingness to take the drug again.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serious adverse events reported for Aversion hydrocodone/acetaminophen. There was no sequence effect identified in the study but a carryover effect between the 5 study crossover periods was identified for the Emax measure but not the Emin measure.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color w:val="auto"/>
        </w:rPr>
        <w:t>On December 5, 2013, we met with FDA to discuss if the FDA will consider whether the results of Study 301 are acceptable for submission in a NDA. On May 27, 2014, we announced that the FDA advised us that the data from our Study 301 was insufficient to support an intranasal abuse deterrence claim. The FDA indicated that a product will have to have an impact on “drug liking” to support a claim of abuse-deterrence through a relevant route of abuse. The FDA’s advice also questioned whether the intranasal route is a relevant route of abuse for hydrocodone/ acetaminophen products and recommended that we identify variables that could have impacted the findings from Study 301 before considering or conducting an additional intranasal abuse liability study on our Aversion hydrocodone/ acetaminophen product. We have previously submitted a report to the FDA on the prevalence of abusing hydrocodone products by intranasal administration. We are currently scheduled to meet with the FDA on August 14, 2014 to discuss the FDA’s expectations in this area.</w:t>
      </w:r>
    </w:p>
    <w:p>
      <w:pPr>
        <w:spacing w:after="0" w:line="16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have completed scale-up activities for our Aversion hydrocodone/acetaminophen product at the proposed commercial manufacturer and have manufactured our registration batches for use in subsequent clinical trials. We commenced the pharmacokinetic studies (302, 303 and 304) for Aversion hydrocodone/acetaminophen in the first quarter 2014 and expect to announce results of these studies in 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of 2014.</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 Utilizing Aversion Technology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179,787—between 2006 and 2010. Immediate release, or IR, opioid products comprise the vast majority of this abuse compared with extended release, or ER, opioid products.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253 million tablet and capsule prescriptions dispensed in 2013 of which approximately 238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2013, sales in the IR opioid product segment were approximately $2.6 billion, of which ~97% was attributable to generic products. Due to fewer identified competitors and the significantly larger market for dispensed prescriptions for IR opioid products compared to ER opioid products, we have initially focused on developing IR opioid products utilizing our Aversion Technology. Aversion oxycodone and our Aversion Technology products in development include the active opioid ingredients representing approximately 76% of the U.S. IR Opioid Product segment. A summary of the IR opioid product prescription data for 2013 is provided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tbl>
      <w:tblPr>
        <w:tblLayout w:type="fixed"/>
        <w:tblInd w:w="200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2013 US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Prescriptions</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r>
      <w:tr>
        <w:trPr>
          <w:trHeight w:val="267"/>
        </w:trPr>
        <w:tc>
          <w:tcPr>
            <w:tcW w:w="5160" w:type="dxa"/>
            <w:vAlign w:val="bottom"/>
            <w:tcBorders>
              <w:bottom w:val="single" w:sz="8" w:color="auto"/>
            </w:tcBorders>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8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14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of Total</w:t>
            </w:r>
          </w:p>
        </w:tc>
        <w:tc>
          <w:tcPr>
            <w:tcW w:w="160" w:type="dxa"/>
            <w:vAlign w:val="bottom"/>
            <w:tcBorders>
              <w:bottom w:val="single" w:sz="8" w:color="CCEEFF"/>
            </w:tcBorders>
          </w:tcPr>
          <w:p>
            <w:pPr>
              <w:spacing w:after="0"/>
              <w:rPr>
                <w:sz w:val="23"/>
                <w:szCs w:val="23"/>
                <w:color w:val="auto"/>
              </w:rPr>
            </w:pPr>
          </w:p>
        </w:tc>
      </w:tr>
      <w:tr>
        <w:trPr>
          <w:trHeight w:val="21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Hydrocodone</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Oxycodone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Tramadol</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r>
      <w:tr>
        <w:trPr>
          <w:trHeight w:val="216"/>
        </w:trPr>
        <w:tc>
          <w:tcPr>
            <w:tcW w:w="5240" w:type="dxa"/>
            <w:vAlign w:val="bottom"/>
            <w:gridSpan w:val="2"/>
          </w:tcPr>
          <w:p>
            <w:pPr>
              <w:ind w:left="40"/>
              <w:spacing w:after="0"/>
              <w:rPr>
                <w:sz w:val="20"/>
                <w:szCs w:val="20"/>
                <w:color w:val="auto"/>
              </w:rPr>
            </w:pPr>
            <w:r>
              <w:rPr>
                <w:rFonts w:ascii="Arial" w:cs="Arial" w:eastAsia="Arial" w:hAnsi="Arial"/>
                <w:sz w:val="18"/>
                <w:szCs w:val="18"/>
                <w:color w:val="auto"/>
              </w:rPr>
              <w:t>Codeine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 Others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30"/>
        </w:trPr>
        <w:tc>
          <w:tcPr>
            <w:tcW w:w="52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82" w:lineRule="exact"/>
        <w:rPr>
          <w:sz w:val="20"/>
          <w:szCs w:val="20"/>
          <w:color w:val="auto"/>
        </w:rPr>
      </w:pPr>
    </w:p>
    <w:p>
      <w:pPr>
        <w:ind w:left="1960" w:hanging="331"/>
        <w:spacing w:after="0"/>
        <w:tabs>
          <w:tab w:leader="none" w:pos="1960" w:val="left"/>
        </w:tabs>
        <w:numPr>
          <w:ilvl w:val="0"/>
          <w:numId w:val="16"/>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ind w:left="1960" w:hanging="331"/>
        <w:spacing w:after="0" w:line="180" w:lineRule="auto"/>
        <w:tabs>
          <w:tab w:leader="none" w:pos="196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IMS Health, 2013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Aversion Technology Products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2013, the FDA published draft guidance for industry on the evaluation and labeling of abuse-deterrent opioids. While this guidance is non-binding on the FDA, it outlines FDA’s current thinking on the labeling of abuse-deterrent products. FDA encourages sponsors to seek approval of proposed product labeling that sets forth the results of physiochemical, physiologic, pharmacodynamic, pharmacokinetic, and/or formal post-marketing studies that appropriately characterizes the abuse-deterrent properties of a product. To date, FDA has limited data correlating the potentially abuse-deterrent properties of certain opioid drug products with actual reduction in abuse or adverse events associated with abuse. When the data predict or show that a product’s potentially abuse-deterrent properties can be expected to, or actually do, result in a significant reduction in that product’s abuse potential, these data, together with an accurate characterization of what the data mean, should be included in product labeling.</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or our licensee may seek to include descriptions of studies that characterize the abuse-deterrent properties in the label for our Aversion Technology products in development. Although the FDA approved label for Aversion Oxycodone contains limitations on exposing Aversion Oxycodone tablets to water and other solvents and administration through feeding tubes, the FDA approved Aversion Oxycodone label does not contain a description of the I.V. injection studies we performed to characterize the abuse deterrent properties of Aversion Oxycodone. We have committed to the FDA to undertake epidemiological studies to assess the actual consequences of abuse of Aversion Oxycodone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Aversion Oxycodone.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Impede Technology, a proprietary mixture of inactive ingredients, prevents the extraction of pseudoephedrine, or PSE, from tablets using known extraction methods and disrupts the direct conversion of PSE from tablets into methamphetamine. The chemical structure of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vast range of solvents are amenable to the process.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Studies sponsored by us at an independent laboratory demonstrated our Impede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We are developing a next generation of our Impede Technology in order to improve the meth-resistance of our technology. The U.S. Drug Enforcement Administration, or DEA, may grant exemptions from the purchase requirements and behind-the-counter status of PSE under the Combat Methamphetamine Epidemic Act of 2005, or CMEA. We believe a more robust formulation along with in-market data demonstrating a reduction in meth lab incidents may qualify for this exemption, although there can be no assurance this will be the case.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Nexafed product is an immediate-release 30mg pseudoephedrine HCl tablet which utilizes our patent pending Impede Technology.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However, as meth-resistant products become pervasive, we believe meth cooks will migrate to other, larger selling, PSE containing products.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demonstrated that our Nexafed 30mg tablets is bioequivalent to Johnson &amp; Johnson’s Sudafed 30mg Tablets when a single 2 tablets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9,300 U.S. pharmacies or about 14%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Rite Aid has advised us that it is currently identifying its high meth prone stores and making Nexafed its only stocked 30mg PSE tablet in those stores, displacing all other comparable branded and generic (store brand) products. Rite Aid further advised us that it has distributed Nexafed related educational materials for the pharmacy personnel to all their 4,600 pharmacies to encourage the utilization of Nexafed. Rite Aid commenced reordering Nexafed in April 2014.</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approximately 47% of Nexafed stocking pharmacies, excluding Rite Aid which purchases directly from us, are repeat customers.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shipped approximately $53 thousand in Nexafed product during the quarter ended June 30, 2014 and $96 thousand during the six months ended June 30, 2014. Prior to a drop in shipments in June due to the cold/allergy off-season, Nexafed shipments in May 2014 were 70% higher than January 2014 shipments. We are marketing our 30mg Nexafed product under FDA’s regulations applicable to OTC Monograph products. Nexafed tablets are offered in 24-count blister packaged cartons and priced comparable to other branded PSE 30mg tablets.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tbl>
      <w:tblPr>
        <w:tblLayout w:type="fixed"/>
        <w:tblInd w:w="200" w:type="dxa"/>
        <w:tblCellMar>
          <w:top w:w="0" w:type="dxa"/>
          <w:left w:w="0" w:type="dxa"/>
          <w:bottom w:w="0" w:type="dxa"/>
          <w:right w:w="0" w:type="dxa"/>
        </w:tblCellMar>
      </w:tblPr>
      <w:tr>
        <w:trPr>
          <w:trHeight w:val="230"/>
        </w:trPr>
        <w:tc>
          <w:tcPr>
            <w:tcW w:w="7640" w:type="dxa"/>
            <w:vAlign w:val="bottom"/>
            <w:gridSpan w:val="2"/>
          </w:tcPr>
          <w:p>
            <w:pPr>
              <w:ind w:left="2760"/>
              <w:spacing w:after="0"/>
              <w:rPr>
                <w:sz w:val="20"/>
                <w:szCs w:val="20"/>
                <w:color w:val="auto"/>
              </w:rPr>
            </w:pPr>
            <w:r>
              <w:rPr>
                <w:rFonts w:ascii="Arial" w:cs="Arial" w:eastAsia="Arial" w:hAnsi="Arial"/>
                <w:sz w:val="18"/>
                <w:szCs w:val="18"/>
                <w:color w:val="auto"/>
              </w:rPr>
              <w:t>Impede Technology Product</w:t>
            </w:r>
          </w:p>
        </w:tc>
        <w:tc>
          <w:tcPr>
            <w:tcW w:w="2960" w:type="dxa"/>
            <w:vAlign w:val="bottom"/>
          </w:tcPr>
          <w:p>
            <w:pPr>
              <w:ind w:left="1260"/>
              <w:spacing w:after="0"/>
              <w:rPr>
                <w:sz w:val="20"/>
                <w:szCs w:val="20"/>
                <w:color w:val="auto"/>
              </w:rPr>
            </w:pPr>
            <w:r>
              <w:rPr>
                <w:rFonts w:ascii="Arial" w:cs="Arial" w:eastAsia="Arial" w:hAnsi="Arial"/>
                <w:sz w:val="18"/>
                <w:szCs w:val="18"/>
                <w:color w:val="auto"/>
              </w:rPr>
              <w:t>Status</w:t>
            </w:r>
          </w:p>
        </w:tc>
      </w:tr>
      <w:tr>
        <w:trPr>
          <w:trHeight w:val="195"/>
        </w:trPr>
        <w:tc>
          <w:tcPr>
            <w:tcW w:w="7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Immediate-release Combination #1</w:t>
            </w:r>
          </w:p>
        </w:tc>
        <w:tc>
          <w:tcPr>
            <w:tcW w:w="10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6"/>
              </w:rPr>
              <w:t>In commercial manufacturing scale-up</w:t>
            </w:r>
          </w:p>
        </w:tc>
      </w:tr>
      <w:tr>
        <w:trPr>
          <w:trHeight w:val="216"/>
        </w:trPr>
        <w:tc>
          <w:tcPr>
            <w:tcW w:w="7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Launch expected in late 2014</w:t>
            </w: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w w:val="94"/>
              </w:rPr>
              <w:t>Immediate-release pseudoephedrine HCl in combination with other cold and allergy active ingredients</w:t>
            </w:r>
          </w:p>
        </w:tc>
        <w:tc>
          <w:tcPr>
            <w:tcW w:w="2960" w:type="dxa"/>
            <w:vAlign w:val="bottom"/>
          </w:tcPr>
          <w:p>
            <w:pPr>
              <w:spacing w:after="0"/>
              <w:rPr>
                <w:sz w:val="20"/>
                <w:szCs w:val="20"/>
                <w:color w:val="auto"/>
              </w:rPr>
            </w:pPr>
            <w:r>
              <w:rPr>
                <w:rFonts w:ascii="Arial" w:cs="Arial" w:eastAsia="Arial" w:hAnsi="Arial"/>
                <w:sz w:val="18"/>
                <w:szCs w:val="18"/>
                <w:color w:val="auto"/>
              </w:rPr>
              <w:t>Formulations being considered</w:t>
            </w: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Extended-release formulation</w:t>
            </w:r>
          </w:p>
        </w:tc>
        <w:tc>
          <w:tcPr>
            <w:tcW w:w="2960" w:type="dxa"/>
            <w:vAlign w:val="bottom"/>
          </w:tcPr>
          <w:p>
            <w:pPr>
              <w:spacing w:after="0"/>
              <w:rPr>
                <w:sz w:val="20"/>
                <w:szCs w:val="20"/>
                <w:color w:val="auto"/>
              </w:rPr>
            </w:pPr>
            <w:r>
              <w:rPr>
                <w:rFonts w:ascii="Arial" w:cs="Arial" w:eastAsia="Arial" w:hAnsi="Arial"/>
                <w:sz w:val="18"/>
                <w:szCs w:val="18"/>
                <w:color w:val="auto"/>
              </w:rPr>
              <w:t>Development initiated</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been working on a next generation Impede Technology, an improvement for our Nexafed franchise which is an enhancement on the methamphetamine resistance of our current technology in the one-pot methamphetamine conversion method.</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outside the United States. Within the United States, we may consider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Methamphetamine is a highly addictive illicit drug used non-medically by an estimated 13 million people at some point in their lifetime. In 2006, the Combat Methamphetamine Epidemic Act, or CMEA, was enacted in response to an alarming increase in and widespread conversion of PSE containing products into methamphetamine. Among other things, the CMEA requires retail stores to maintain their inventory of PSE containing products in a secured location and restricts the amount of PSE products a store can sell to an individual customer. Implementation of the CMEA initially reduced the number of illegal methamphetamine laboratory seizures reported by the Drug Enforcement Administration, or DEA, as the then most commonly used process for conversion of PSE to methamphetamine required substantial quantities of PSE. However, a newer process for converting PSE to methamphetamine requires less PSE. Possibly as a result of this new conversion process, the DEA reported 2010 clandestine methamphetamine laboratory seizures increased 84% over the low reported in 2007. Laboratory seizures were down 12% and 5.5% in 2011 and 2012, respectively, although certain states continue to see increases. In response to the ongoing methamphetamine problem, several local jurisdictions (state, counties and/or local municipalities) have enacted or propose to enact legislation to require a physician’s prescription to obtain a PSE-containing product. For example, a bill passed the West Virginia Senate in 2014 requiring all PSE products to have a prescription with an exemption for meth-resistant products like Nexafed, however, this bill failed to pass in the state Assembly. In July, CVS pharmacies announced the removal of older single-ingredient PSE products from their West Virginia stores. We believe the vast majority of West Virginia pharmacies now stock either no single-ingredient PSE products or exclusively meth-resistant products. The West Virginia Gazette recently reported that PSE purchases in the state are down 30% and meth lab seizures in the state are trending down 20% compared to 2013.</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2009, AC Nielsen reported approximately $1.0 billion in retail sales of non-prescription products containing either PSE or phenylephrine as a nasal decongestant, of which approximately 47% contained PSE. The top selling brands of OTC cold/allergy products in 2009 were: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tbl>
      <w:tblPr>
        <w:tblLayout w:type="fixed"/>
        <w:tblInd w:w="580" w:type="dxa"/>
        <w:tblCellMar>
          <w:top w:w="0" w:type="dxa"/>
          <w:left w:w="0" w:type="dxa"/>
          <w:bottom w:w="0" w:type="dxa"/>
          <w:right w:w="0" w:type="dxa"/>
        </w:tblCellMar>
      </w:tblPr>
      <w:tr>
        <w:trPr>
          <w:trHeight w:val="216"/>
        </w:trPr>
        <w:tc>
          <w:tcPr>
            <w:tcW w:w="2580" w:type="dxa"/>
            <w:vAlign w:val="bottom"/>
            <w:vMerge w:val="restart"/>
          </w:tcPr>
          <w:p>
            <w:pPr>
              <w:spacing w:after="0"/>
              <w:rPr>
                <w:sz w:val="20"/>
                <w:szCs w:val="20"/>
                <w:color w:val="auto"/>
              </w:rPr>
            </w:pPr>
            <w:r>
              <w:rPr>
                <w:rFonts w:ascii="Arial" w:cs="Arial" w:eastAsia="Arial" w:hAnsi="Arial"/>
                <w:sz w:val="18"/>
                <w:szCs w:val="18"/>
                <w:color w:val="auto"/>
              </w:rPr>
              <w:t>Brand</w:t>
            </w:r>
            <w:r>
              <w:rPr>
                <w:rFonts w:ascii="Arial" w:cs="Arial" w:eastAsia="Arial" w:hAnsi="Arial"/>
                <w:sz w:val="30"/>
                <w:szCs w:val="30"/>
                <w:color w:val="auto"/>
                <w:vertAlign w:val="superscript"/>
              </w:rPr>
              <w:t>1</w:t>
            </w: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Active</w:t>
            </w:r>
          </w:p>
        </w:tc>
        <w:tc>
          <w:tcPr>
            <w:tcW w:w="10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w w:val="99"/>
              </w:rPr>
              <w:t>2009 Retail Sales</w:t>
            </w:r>
          </w:p>
        </w:tc>
        <w:tc>
          <w:tcPr>
            <w:tcW w:w="0" w:type="dxa"/>
            <w:vAlign w:val="bottom"/>
          </w:tcPr>
          <w:p>
            <w:pPr>
              <w:spacing w:after="0"/>
              <w:rPr>
                <w:sz w:val="1"/>
                <w:szCs w:val="1"/>
                <w:color w:val="auto"/>
              </w:rPr>
            </w:pPr>
          </w:p>
        </w:tc>
      </w:tr>
      <w:tr>
        <w:trPr>
          <w:trHeight w:val="230"/>
        </w:trPr>
        <w:tc>
          <w:tcPr>
            <w:tcW w:w="2580" w:type="dxa"/>
            <w:vAlign w:val="bottom"/>
            <w:vMerge w:val="continue"/>
          </w:tcPr>
          <w:p>
            <w:pPr>
              <w:spacing w:after="0"/>
              <w:rPr>
                <w:sz w:val="20"/>
                <w:szCs w:val="20"/>
                <w:color w:val="auto"/>
              </w:rPr>
            </w:pP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Company</w:t>
            </w: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Ingredient(s)</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w w:val="87"/>
              </w:rPr>
              <w:t>($</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Millions)</w:t>
            </w: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Merck</w:t>
            </w:r>
          </w:p>
        </w:tc>
        <w:tc>
          <w:tcPr>
            <w:tcW w:w="100" w:type="dxa"/>
            <w:vAlign w:val="bottom"/>
            <w:vMerge w:val="continue"/>
            <w:shd w:val="clear" w:color="auto" w:fill="CCEEFF"/>
          </w:tcPr>
          <w:p>
            <w:pPr>
              <w:spacing w:after="0"/>
              <w:rPr>
                <w:sz w:val="21"/>
                <w:szCs w:val="21"/>
                <w:color w:val="auto"/>
              </w:rPr>
            </w:pPr>
          </w:p>
        </w:tc>
        <w:tc>
          <w:tcPr>
            <w:tcW w:w="33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580" w:type="dxa"/>
            <w:vAlign w:val="bottom"/>
          </w:tcPr>
          <w:p>
            <w:pPr>
              <w:spacing w:after="0"/>
              <w:rPr>
                <w:sz w:val="20"/>
                <w:szCs w:val="20"/>
                <w:color w:val="auto"/>
              </w:rPr>
            </w:pPr>
            <w:r>
              <w:rPr>
                <w:rFonts w:ascii="Arial" w:cs="Arial" w:eastAsia="Arial" w:hAnsi="Arial"/>
                <w:sz w:val="18"/>
                <w:szCs w:val="18"/>
                <w:color w:val="auto"/>
              </w:rPr>
              <w:t>Mucinex-D</w:t>
            </w: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Rickett Benckiser</w:t>
            </w:r>
          </w:p>
        </w:tc>
        <w:tc>
          <w:tcPr>
            <w:tcW w:w="3480" w:type="dxa"/>
            <w:vAlign w:val="bottom"/>
            <w:gridSpan w:val="2"/>
          </w:tcPr>
          <w:p>
            <w:pPr>
              <w:ind w:left="100"/>
              <w:spacing w:after="0" w:line="256" w:lineRule="exact"/>
              <w:rPr>
                <w:sz w:val="20"/>
                <w:szCs w:val="20"/>
                <w:color w:val="auto"/>
              </w:rPr>
            </w:pPr>
            <w:r>
              <w:rPr>
                <w:rFonts w:ascii="Arial" w:cs="Arial" w:eastAsia="Arial" w:hAnsi="Arial"/>
                <w:sz w:val="18"/>
                <w:szCs w:val="18"/>
                <w:color w:val="auto"/>
              </w:rPr>
              <w:t>PSE &amp; Guaifenesin</w:t>
            </w:r>
            <w:r>
              <w:rPr>
                <w:rFonts w:ascii="Arial" w:cs="Arial" w:eastAsia="Arial" w:hAnsi="Arial"/>
                <w:sz w:val="29"/>
                <w:szCs w:val="29"/>
                <w:color w:val="auto"/>
                <w:vertAlign w:val="superscript"/>
              </w:rPr>
              <w:t>2</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Pfizer</w:t>
            </w:r>
          </w:p>
        </w:tc>
        <w:tc>
          <w:tcPr>
            <w:tcW w:w="348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Advil Sinus</w:t>
            </w: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Pfizer</w:t>
            </w: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PSE &amp; Ibuprofen</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J&amp;J</w:t>
            </w:r>
          </w:p>
        </w:tc>
        <w:tc>
          <w:tcPr>
            <w:tcW w:w="3480" w:type="dxa"/>
            <w:vAlign w:val="bottom"/>
            <w:gridSpan w:val="2"/>
            <w:shd w:val="clear" w:color="auto" w:fill="CCEEFF"/>
          </w:tcPr>
          <w:p>
            <w:pPr>
              <w:ind w:left="100"/>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580" w:type="dxa"/>
            <w:vAlign w:val="bottom"/>
          </w:tcPr>
          <w:p>
            <w:pPr>
              <w:spacing w:after="0"/>
              <w:rPr>
                <w:sz w:val="20"/>
                <w:szCs w:val="20"/>
                <w:color w:val="auto"/>
              </w:rPr>
            </w:pPr>
            <w:r>
              <w:rPr>
                <w:rFonts w:ascii="Arial" w:cs="Arial" w:eastAsia="Arial" w:hAnsi="Arial"/>
                <w:sz w:val="18"/>
                <w:szCs w:val="18"/>
                <w:color w:val="auto"/>
              </w:rPr>
              <w:t>Sudafed 30mg</w:t>
            </w:r>
          </w:p>
        </w:tc>
        <w:tc>
          <w:tcPr>
            <w:tcW w:w="2700" w:type="dxa"/>
            <w:vAlign w:val="bottom"/>
            <w:gridSpan w:val="2"/>
          </w:tcPr>
          <w:p>
            <w:pPr>
              <w:ind w:left="100"/>
              <w:spacing w:after="0"/>
              <w:rPr>
                <w:sz w:val="20"/>
                <w:szCs w:val="20"/>
                <w:color w:val="auto"/>
              </w:rPr>
            </w:pPr>
            <w:r>
              <w:rPr>
                <w:rFonts w:ascii="Arial" w:cs="Arial" w:eastAsia="Arial" w:hAnsi="Arial"/>
                <w:sz w:val="18"/>
                <w:szCs w:val="18"/>
                <w:color w:val="auto"/>
              </w:rPr>
              <w:t>J&amp;J</w:t>
            </w:r>
          </w:p>
        </w:tc>
        <w:tc>
          <w:tcPr>
            <w:tcW w:w="3480" w:type="dxa"/>
            <w:vAlign w:val="bottom"/>
            <w:gridSpan w:val="2"/>
          </w:tcPr>
          <w:p>
            <w:pPr>
              <w:ind w:left="100"/>
              <w:spacing w:after="0"/>
              <w:rPr>
                <w:sz w:val="20"/>
                <w:szCs w:val="20"/>
                <w:color w:val="auto"/>
              </w:rPr>
            </w:pPr>
            <w:r>
              <w:rPr>
                <w:rFonts w:ascii="Arial" w:cs="Arial" w:eastAsia="Arial" w:hAnsi="Arial"/>
                <w:sz w:val="18"/>
                <w:szCs w:val="18"/>
                <w:color w:val="auto"/>
              </w:rPr>
              <w:t>PSE</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20" w:hanging="334"/>
        <w:spacing w:after="0" w:line="186" w:lineRule="auto"/>
        <w:tabs>
          <w:tab w:leader="none" w:pos="72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Branded product only. Does not include store brand sales.</w:t>
      </w:r>
    </w:p>
    <w:p>
      <w:pPr>
        <w:ind w:left="720" w:hanging="334"/>
        <w:spacing w:after="0" w:line="181" w:lineRule="auto"/>
        <w:tabs>
          <w:tab w:leader="none" w:pos="72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Extended release PSE formulations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2009 market for 30mg PSE tablets, including store brands was approximately 372 million tablets or 15.5 million boxes of 24 tablets. Nexafed is currently priced at $3.99 for a box of 24 tablets.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2010 market research study showed that 93% of the 204 pharmacists surveyed believe that PSE has superior efficacy as a nasal decongestant compared to phenylephrine. In our 2012 survey of 215 chain and independent pharmacists, 164 indicated they had influence over the pharmacies’ product offerings. Of such pharmacists, 70% indicated they were likely to stock or recommend stocking Nexafed in their pharmacies. The 215 surveyed pharmacists also indicated a willingness to recommend Nexafed to over 50% of their customers who seek a pharmacist’s advice for a single ingredient nasal decongestant.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marketing our Nexafed product pursuant to the FDA’s OTC Monograph regulations, which require that our product have labeling as specified in the regulations. We are advertising the extraction characteristics and methamphetamine-resistant benefits of our Nexafed product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Company’s Present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July 30, 2014 we had cash, cash equivalents and marketable securities of approximately $16.5 million. We estimate that our current cash reserves will be sufficient to fund operations through at least the next 12 months.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six months ended June 30, 2014 we had shipments of Nexafed totaling $96 thousand. We recognized revenue of $73 thousand from Nexafed product sales. Certain of our customers have accepted a pricing allowance in exchange for forfeiting the right to return Nexafed and therefore we are recognizing revenue upon product shipment to them. Additionally we are recognizing revenue from certain of our other customers based on a pharmacy’s Nexafed reorder activity with their own drug wholesaler supplier. For all other customers, given the limited sales history of Nexafed, we currently cannot reliably estimate expected returns of the product from these customers at the time of shipment. Accordingly, we are deferring recognition of revenue on these product shipments of Nexafed until the right of return no longer exists or adequate history and information is available to estimate product returns. Pfizer no longer has a royalty obligation to us on Pfizer’s sale of Aversion Oxycodone as our license agreement with Pfizer was terminated effective April 9, 2014.</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fund our continued operations, we expect to rely on our current cash resources (which includes the proceeds of our $10.0 million term loan from Oxford Finance having principal debt repayments beginning April 1, 2015), milestones and royalty payments that may be made under future license agreements with pharmaceutical company partners, of which there can be no assurance of obtaining, and revenues from our commercialization of our Nexafed Tablets. Our cash requirements for operating activities may increase in the future as we continue to conduct pre-clinical studies and clinical trials for our product candidates, maintain, defend, and expand the scope of our intellectual property, hire additional personnel, commercialize our Nexafed Tablets, or invest in other areas.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63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i w:val="1"/>
                <w:iCs w:val="1"/>
                <w:color w:val="auto"/>
                <w:w w:val="87"/>
              </w:rPr>
              <w:t>Three months Ended June 30, 2014 Compared to Three months Ended June 30, 2013</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87"/>
              </w:rPr>
              <w:t>June 30</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4"/>
          </w:tcPr>
          <w:p>
            <w:pPr>
              <w:jc w:val="right"/>
              <w:ind w:right="82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3"/>
          </w:tcPr>
          <w:p>
            <w:pPr>
              <w:jc w:val="center"/>
              <w:ind w:left="590"/>
              <w:spacing w:after="0"/>
              <w:rPr>
                <w:sz w:val="20"/>
                <w:szCs w:val="20"/>
                <w:color w:val="auto"/>
              </w:rPr>
            </w:pPr>
            <w:r>
              <w:rPr>
                <w:rFonts w:ascii="Arial" w:cs="Arial" w:eastAsia="Arial" w:hAnsi="Arial"/>
                <w:sz w:val="18"/>
                <w:szCs w:val="18"/>
                <w:color w:val="auto"/>
                <w:w w:val="90"/>
              </w:rPr>
              <w:t>$000’s</w:t>
            </w: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$000’s</w:t>
            </w:r>
          </w:p>
        </w:tc>
        <w:tc>
          <w:tcPr>
            <w:tcW w:w="12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Percent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w w:val="87"/>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Total revenues, net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Cost of sales (excludes inventory write-down)</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Inventory write-down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7"/>
              </w:rPr>
              <w:t>Selling, marketing, general and administrative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(3,140)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income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Loss on sales of marketable securities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tcPr>
          <w:p>
            <w:pPr>
              <w:ind w:left="300"/>
              <w:spacing w:after="0"/>
              <w:rPr>
                <w:sz w:val="20"/>
                <w:szCs w:val="20"/>
                <w:color w:val="auto"/>
              </w:rPr>
            </w:pPr>
            <w:r>
              <w:rPr>
                <w:rFonts w:ascii="Arial" w:cs="Arial" w:eastAsia="Arial" w:hAnsi="Arial"/>
                <w:sz w:val="18"/>
                <w:szCs w:val="18"/>
                <w:color w:val="auto"/>
              </w:rPr>
              <w:t>Total other income (expense)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(3,076)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ind w:left="660"/>
              <w:spacing w:after="0"/>
              <w:rPr>
                <w:sz w:val="20"/>
                <w:szCs w:val="20"/>
                <w:color w:val="auto"/>
              </w:rPr>
            </w:pPr>
            <w:r>
              <w:rPr>
                <w:rFonts w:ascii="Arial" w:cs="Arial" w:eastAsia="Arial" w:hAnsi="Arial"/>
                <w:sz w:val="18"/>
                <w:szCs w:val="18"/>
                <w:color w:val="auto"/>
                <w:w w:val="79"/>
              </w:rPr>
              <w:t>nm</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20"/>
                <w:szCs w:val="20"/>
                <w:color w:val="auto"/>
              </w:rPr>
            </w:pPr>
          </w:p>
        </w:tc>
        <w:tc>
          <w:tcPr>
            <w:tcW w:w="3700" w:type="dxa"/>
            <w:vAlign w:val="bottom"/>
          </w:tcPr>
          <w:p>
            <w:pPr>
              <w:ind w:left="60"/>
              <w:spacing w:after="0"/>
              <w:rPr>
                <w:sz w:val="20"/>
                <w:szCs w:val="20"/>
                <w:color w:val="auto"/>
              </w:rPr>
            </w:pPr>
            <w:r>
              <w:rPr>
                <w:rFonts w:ascii="Arial" w:cs="Arial" w:eastAsia="Arial" w:hAnsi="Arial"/>
                <w:sz w:val="18"/>
                <w:szCs w:val="18"/>
                <w:color w:val="auto"/>
              </w:rPr>
              <w:t>= not meaningful</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launched Nexafed commercially in mid-December 2012. Given the limited sales history of Nexafed, we could not reliably estimate expected returns of the product at the time of shipment. Accordingly, we have deferred recognition of revenue and the related cost of sales on selected product shipments of Nexafed until the right of return no longer exists or adequate history and information is available to estimate product returns. At June 30, 2014 we have deferred $307 thousand of revenue. During the three months ended June 30, 2014 we recognized revenue of $34 thousand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but also expect to continue the deferral of some revenue in the foreseeable future. We did not recognize any revenue from product shipments for the three months ended June 30, 2013.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Pfizer Agreement, we began to earn royalties equal to 5% of Aversion Oxycodone net sales starting in February 2013. We earned royalties of approximately $1 thousand in each of the three month periods ending June 30, 2014 and 2013. The Pfizer Agreement was terminated effective April 9, 2014 and Pfizer’s royalty payment obligations ceased as of such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includes third party acquisition costs, third party warehousing and product distribution charges and inventory reserve charges for the Nexafed product line. During the three months ended June 30, 2014 we recorded $0.1 million inventory reserve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Research and development (“R&amp;D”) expense during the three months ended June 30, 2014 and 2013 were primarily for our Aversion or our Impede Technologies development, including costs of preclinical, clinical trials, clinical supplies and related formulation and design costs, salaries and other personnel related expenses, and facility costs. Included in each of the 2014 and 2013 results are non-cash share-based compensation expenses of $0.1 million. Excluding the share-based compensation expense, our R&amp;D expenses increased approximately $0.5 million between reporting periods. The increase is primarily due from the resumption of our development work during the quarter on our Aversion hydrocodone/acetaminophen product candidate.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during the three months ended June 30, 2014 and 2013 primarily consisted of advertising and marketing activities on Nexafed. Our Nexafed advertising and marketing activities will continue in 2014. Our general and administrative expenses primarily consisted of legal, audit and other professional services, corporate insurance, and payroll. Included in each of the 2014 and 2013 results are non-cash share-based compensation expenses of $0.2 million. Excluding the share-based compensation expense our selling, marketing, general and administrative expenses decreased approximately $0.1 million between reporting periods. The decrease is primarily due to our legal services relating to our paragraph IV ANDA litigation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During the three months ended June 30, 2014 and 2013, other non-operating income consisted principally of investment income derived from our cash reserves being invested in marketable securities in accordance with a Board of Director approved investment policy. Our marketable securities are classified as available-for-sale and are recorded at fair value based on quoted market prices. Our marketable securities may be sold within one year </w:t>
      </w:r>
      <w:r>
        <w:rPr>
          <w:rFonts w:ascii="Arial" w:cs="Arial" w:eastAsia="Arial" w:hAnsi="Arial"/>
          <w:sz w:val="16"/>
          <w:szCs w:val="16"/>
          <w:color w:val="111111"/>
        </w:rPr>
        <w:t>in response to</w:t>
      </w:r>
      <w:r>
        <w:rPr>
          <w:rFonts w:ascii="Arial" w:cs="Arial" w:eastAsia="Arial" w:hAnsi="Arial"/>
          <w:sz w:val="16"/>
          <w:szCs w:val="16"/>
          <w:color w:val="auto"/>
        </w:rPr>
        <w:t xml:space="preserve"> </w:t>
      </w:r>
      <w:r>
        <w:rPr>
          <w:rFonts w:ascii="Arial" w:cs="Arial" w:eastAsia="Arial" w:hAnsi="Arial"/>
          <w:sz w:val="16"/>
          <w:szCs w:val="16"/>
          <w:color w:val="111111"/>
        </w:rPr>
        <w:t>changes in market prices or interest rates, to realign our investment concentrations or to meet our working capital needs and we may realize a gain or loss upon sale. During the three months ended June 30, 2014, other non-operating expense consisted of $0.3 million interest cost associated with our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loss for the three months ended June 30, 2014 and 2013 includes no federal or state income tax benefit provisions due to uncertainty of their future utilization.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740" w:type="dxa"/>
            <w:vAlign w:val="bottom"/>
            <w:gridSpan w:val="6"/>
          </w:tcPr>
          <w:p>
            <w:pPr>
              <w:jc w:val="right"/>
              <w:ind w:right="690"/>
              <w:spacing w:after="0"/>
              <w:rPr>
                <w:sz w:val="20"/>
                <w:szCs w:val="20"/>
                <w:color w:val="auto"/>
              </w:rPr>
            </w:pPr>
            <w:r>
              <w:rPr>
                <w:rFonts w:ascii="Arial" w:cs="Arial" w:eastAsia="Arial" w:hAnsi="Arial"/>
                <w:sz w:val="18"/>
                <w:szCs w:val="18"/>
                <w:b w:val="1"/>
                <w:bCs w:val="1"/>
                <w:i w:val="1"/>
                <w:iCs w:val="1"/>
                <w:color w:val="auto"/>
                <w:w w:val="87"/>
              </w:rPr>
              <w:t>Six months Ended June 30, 2014 Compared to Six months Ended June 30, 2013</w:t>
            </w: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88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37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gridSpan w:val="4"/>
          </w:tcPr>
          <w:p>
            <w:pPr>
              <w:jc w:val="right"/>
              <w:ind w:right="660"/>
              <w:spacing w:after="0"/>
              <w:rPr>
                <w:sz w:val="20"/>
                <w:szCs w:val="20"/>
                <w:color w:val="auto"/>
              </w:rPr>
            </w:pPr>
            <w:r>
              <w:rPr>
                <w:rFonts w:ascii="Arial" w:cs="Arial" w:eastAsia="Arial" w:hAnsi="Arial"/>
                <w:sz w:val="18"/>
                <w:szCs w:val="18"/>
                <w:color w:val="auto"/>
              </w:rPr>
              <w:t>Increase (decrease)</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$000’s</w:t>
            </w: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$000’s</w:t>
            </w:r>
          </w:p>
        </w:tc>
        <w:tc>
          <w:tcPr>
            <w:tcW w:w="10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Percent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Royalty revenue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Total revenues, net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Expenses: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 (excludes inventory write-down)</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Inventory write-down</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2,719</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Selling, marketing, general and administrative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4,175</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7,175</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loss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(7,098)</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(7,384)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income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140"/>
              <w:spacing w:after="0"/>
              <w:rPr>
                <w:sz w:val="20"/>
                <w:szCs w:val="20"/>
                <w:color w:val="auto"/>
              </w:rPr>
            </w:pPr>
            <w:r>
              <w:rPr>
                <w:rFonts w:ascii="Arial" w:cs="Arial" w:eastAsia="Arial" w:hAnsi="Arial"/>
                <w:sz w:val="18"/>
                <w:szCs w:val="18"/>
                <w:color w:val="auto"/>
              </w:rPr>
              <w:t>(Loss) gain on sales of marketable securities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ind w:left="300"/>
              <w:spacing w:after="0"/>
              <w:rPr>
                <w:sz w:val="20"/>
                <w:szCs w:val="20"/>
                <w:color w:val="auto"/>
              </w:rPr>
            </w:pPr>
            <w:r>
              <w:rPr>
                <w:rFonts w:ascii="Arial" w:cs="Arial" w:eastAsia="Arial" w:hAnsi="Arial"/>
                <w:sz w:val="18"/>
                <w:szCs w:val="18"/>
                <w:color w:val="auto"/>
              </w:rPr>
              <w:t>Total other income (expense)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(7,609)</w:t>
            </w:r>
          </w:p>
        </w:tc>
        <w:tc>
          <w:tcPr>
            <w:tcW w:w="3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(7,294)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ind w:left="660"/>
              <w:spacing w:after="0"/>
              <w:rPr>
                <w:sz w:val="20"/>
                <w:szCs w:val="20"/>
                <w:color w:val="auto"/>
              </w:rPr>
            </w:pPr>
            <w:r>
              <w:rPr>
                <w:rFonts w:ascii="Arial" w:cs="Arial" w:eastAsia="Arial" w:hAnsi="Arial"/>
                <w:sz w:val="18"/>
                <w:szCs w:val="18"/>
                <w:color w:val="auto"/>
                <w:w w:val="79"/>
              </w:rPr>
              <w:t>nm</w:t>
            </w: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20"/>
                <w:szCs w:val="20"/>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rPr>
              <w:t>= not meaningful</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launched Nexafed commercially in mid-December 2012. Given the limited sales history of Nexafed, we could not reliably estimate expected returns of the product at the time of shipment. Accordingly, we have deferred recognition of revenue and the related cost of sales on selected product shipments of Nexafed since its launch until the right of return no longer exists or adequate history and information is available to estimate product returns. At June 30, 2014 we have deferred $307 thousand of revenue. During the six months ended June 30, 2014 we recognized revenue of $73 thousand for shipments to customers where the right of return no longer existed either because a pricing allowance was accepted in exchange for forfeiting the right of return or because information became available on pharmacy’s reorder activity with their drug wholesaler. We will continue to analyze information to assess the recognition of our revenue but also expect to continue the deferral of some revenue in the foreseeable future. We did not recognize any revenue from product shipments for the six months ended June 30, 2013.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Pfizer Agreement, we began to earn royalties equal to 5% of Aversion Oxycodone net sales starting in February 2013. We earned royalties of approximately $4 thousand for the six months 2014 on Pfizer’s net sales of Aversion Oxycodone of approximately $60 thousand as compared to $5 thousand in royalty revenue for the same period ended June 30, 2013. The Pfizer Agreement was terminated effective April 9, 2014 and Pfizer’s royalty payment obligations ceased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includes third party acquisition costs, third party warehousing and product distribution charges and inventory reserve charges for the Nexafed product line. During the six months ended June 30, 2014 we recorded $0.2 million inventory reserve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(“R&amp;D”) expense during the six months ended June 30, 2014 and 2013 were primarily for our Aversion or our Impede Technologies development, including costs of preclinical, clinical trials, clinical supplies and related formulation and design costs, salaries and other personnel related expenses, and facility costs. Included in each of the 2014 and 2013 results are non-cash share-based compensation expenses of $0.1 million and $0.2 million, respectively. Excluding the share-based compensation expense, our R&amp;D expenses decreased approximately $0.1 million between reporting periods. The decrease is primarily due from the nasal abuse liability liking study AP-ADF-301 expenses on our Aversion hydrocodone/acetaminophen product candidate which was ongoing during the six month period ended June 30, 2013 and completed in 2013.</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during the six months ended June 30, 2014 and 2013 primarily consisted of advertising and marketing activities on Nexafed. Nexafed advertising and marketing activities will continue in 2014. Our general and administrative expenses primarily consisted of legal, audit and other professional services, corporate insurance, and payroll. Included in each of the 2014 and 2013 results are non-cash share-based compensation expenses of $0.4 million and $0.5 million, respectively. Excluding the share-based compensation expense our selling, marketing, general and administrative expenses increased approximately $0.1 million between reporting periods. The increase is primarily due our legal services relating to our paragraph IV ANDA litigation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During the six months ended June 30, 2014 and 2013, other non-operating income consisted principally of investment income derived from our cash reserves being invested in marketable securities in accordance with a Board of Director approved investment policy. Our marketable securities are classified as available-for-sale and are recorded at fair value based on quoted market prices. Our marketable securities may be sold within one year </w:t>
      </w:r>
      <w:r>
        <w:rPr>
          <w:rFonts w:ascii="Arial" w:cs="Arial" w:eastAsia="Arial" w:hAnsi="Arial"/>
          <w:sz w:val="16"/>
          <w:szCs w:val="16"/>
          <w:color w:val="111111"/>
        </w:rPr>
        <w:t>in response to changes</w:t>
      </w:r>
      <w:r>
        <w:rPr>
          <w:rFonts w:ascii="Arial" w:cs="Arial" w:eastAsia="Arial" w:hAnsi="Arial"/>
          <w:sz w:val="16"/>
          <w:szCs w:val="16"/>
          <w:color w:val="auto"/>
        </w:rPr>
        <w:t xml:space="preserve"> </w:t>
      </w:r>
      <w:r>
        <w:rPr>
          <w:rFonts w:ascii="Arial" w:cs="Arial" w:eastAsia="Arial" w:hAnsi="Arial"/>
          <w:sz w:val="16"/>
          <w:szCs w:val="16"/>
          <w:color w:val="111111"/>
        </w:rPr>
        <w:t>in market prices or interest rates, to realign our investment concentrations or to meet our working capital needs and we may realize a gain or loss upon sale. During the six months ended June 30, 2014, other non-operating expense consisted of $0.6 million interest cost associated with our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net loss for the six months ended June 30, 2014 and 2013 includes no federal or state income tax benefit provisions due to uncertainty of their future utilization.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2014, the Company had cash, cash equivalents and marketable securities of $17.4 million compared to $26.1 million at December 31, 2013. The Company had working capital of $16.4 million at June 30, 2014 compared to $26.3 million at December 31, 2013. The decrease in our cash position is primarily due to our period’s net operating loss which is adjusted for non-cash share-based compensation expenses. Our net loss includes our advertising and marketing activities on Nexafed of $1.4 million, our legal expenses incurred in our paragraph IV ANDA litigation of $0.3 million and in maintaining our patent and trademarks of $0.4 million. The decrease in our cash position includes our payment of employees’ withholding taxes of $0.5 million associated with their option exercises and RSU exchanges during such period.</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Pending the receipt of milestone and royalty payments under license agreements similar to the Pfizer Agreement anticipated to be negotiated and executed with other pharmaceutical company partners, of which no assurance can be given, we must rely on revenues from our Nexafed sales, the proceeds of our $10.0 million loan from Oxford Finance, and our current cash reserves, including interest income from the investment of our cash reserves, to fund the development of our Aversion Technology, Impede Technology and related administrative and operating expenses. Our future sources of revenue, if any, will be derived from milestone payments and royalties under license agreements similar to the Pfizer Agreement with other pharmaceutical company partners, for which there can be no assurance, and from the commercialization of our Nexafed tablets and other Impede Technology products that we expect to develop.</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July 30, 2014, the Company had cash, cash equivalents and marketable securities of approximately $16.5 million. We estimate that our current cash reserves will be sufficient to fund operations through at least the next 12 months.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A of the Notes to Consolidated Financial Statements, in the Company’s 2013 Annual Report on Form 10-K, includes a summary of the Company's significant accounting policies and methods used in the preparation of the financial statements. The application of these accounting policies involves the exercise of judgment and use of assumptions as to future uncertainties and, as a result, actual results could differ from these estimates. The Company's critical accounting policies described in the 2013 Annual Report are also applicable to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ind w:firstLine="8"/>
        <w:spacing w:after="0" w:line="271"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Disclosure Controls and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management,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has evaluated the effectiveness of the Company’s disclosure controls and procedures (as such term is defined on Rules 13a – 13(e) and 15(d) – 15(e) under the Exchange Act) as of the end of the period covered by this Report. The Company’s disclosure controls and procedures are designed to provide reasonable assurance that information is recorded, processed, summarized and reported accurately and on a timely basis in the Company’s periodic reports filed with the SEC. Based upon such evaluation, the Company’s Chief Executive Officer and Chief Financial Officer have concluded that, as of the end of such period, the Company's disclosure controls and procedures are effective to provide reasonable assurance. Notwithstanding the foregoing, a control system, no matter how well designed and operated, can provide only reasonable, not absolute assurance that it will detect or uncover failures within the Company to disclose material information otherwise require to be set forth in the Company’s periodic reports.</w:t>
      </w:r>
    </w:p>
    <w:p>
      <w:pPr>
        <w:spacing w:after="0" w:line="178" w:lineRule="exact"/>
        <w:rPr>
          <w:rFonts w:ascii="Arial" w:cs="Arial" w:eastAsia="Arial" w:hAnsi="Arial"/>
          <w:sz w:val="17"/>
          <w:szCs w:val="17"/>
          <w:color w:val="auto"/>
        </w:rPr>
      </w:pPr>
    </w:p>
    <w:p>
      <w:pPr>
        <w:ind w:right="20" w:firstLine="8"/>
        <w:spacing w:after="0" w:line="308"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i w:val="1"/>
          <w:iCs w:val="1"/>
          <w:u w:val="single" w:color="auto"/>
          <w:color w:val="auto"/>
        </w:rPr>
        <w:t>Changes in Internal Controls over Financial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There were no changes in our internal controls over financial reporting during the second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2014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Note 2, “License, Development, and Commercialization Agreement – Paragraph IV ANDA Litigation”, and Note 13, “Commitments and Contingencies,” in Part I, Item 1,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 in our common stock should consider the following risk factor, in addition to those risk factors set forth in our 2013 Form 10-K:</w:t>
      </w:r>
    </w:p>
    <w:p>
      <w:pPr>
        <w:spacing w:after="0" w:line="225" w:lineRule="exact"/>
        <w:rPr>
          <w:sz w:val="20"/>
          <w:szCs w:val="20"/>
          <w:color w:val="auto"/>
        </w:rPr>
      </w:pPr>
    </w:p>
    <w:p>
      <w:pPr>
        <w:ind w:left="400" w:right="20" w:hanging="258"/>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systems and infrastructure face certain risks, including cybersecurity and data storage risks.</w:t>
      </w:r>
    </w:p>
    <w:p>
      <w:pPr>
        <w:spacing w:after="0" w:line="170" w:lineRule="exact"/>
        <w:rPr>
          <w:sz w:val="20"/>
          <w:szCs w:val="20"/>
          <w:color w:val="auto"/>
        </w:rPr>
      </w:pPr>
    </w:p>
    <w:p>
      <w:pPr>
        <w:jc w:val="both"/>
        <w:ind w:left="380"/>
        <w:spacing w:after="0" w:line="268" w:lineRule="auto"/>
        <w:rPr>
          <w:sz w:val="20"/>
          <w:szCs w:val="20"/>
          <w:color w:val="auto"/>
        </w:rPr>
      </w:pPr>
      <w:r>
        <w:rPr>
          <w:rFonts w:ascii="Arial" w:cs="Arial" w:eastAsia="Arial" w:hAnsi="Arial"/>
          <w:sz w:val="17"/>
          <w:szCs w:val="17"/>
          <w:color w:val="auto"/>
        </w:rPr>
        <w:t>Significant disruptions to our information technology systems or breaches of information security could adversely affect our business. In the ordinary course of business, we collect, store and transmit confidential information, and it is critical that we do so in a secure manner in order to maintain the confidentiality and integrity of such confidential information. Our information technology systems are potentially vulnerable to service interruptions and security breaches from inadvertent or intentional actions by our employees, partners, vendors, or from attacks by malicious third parties. Maintaining the secrecy of this confidential, proprietary, and/or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access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or misappropriation or misuse of trade secrets, proprietary information, or other confidential information, whether as a result of theft, hacking, or other forms of deception, or for any other cause, could enable others to produce competing products, use our proprietary technology and/or adversely affect our business position. Further, any such interruption, security breach, loss or disclosure of confidential information could result in financial, legal, business, and reputational harm to us and could have a material effect on our business, financial position, results of operations and/or cash flow.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20" w:type="dxa"/>
            <w:vAlign w:val="bottom"/>
            <w:gridSpan w:val="2"/>
          </w:tcPr>
          <w:p>
            <w:pPr>
              <w:ind w:left="340"/>
              <w:spacing w:after="0"/>
              <w:rPr>
                <w:sz w:val="20"/>
                <w:szCs w:val="20"/>
                <w:color w:val="auto"/>
              </w:rPr>
            </w:pPr>
            <w:r>
              <w:rPr>
                <w:rFonts w:ascii="Arial" w:cs="Arial" w:eastAsia="Arial" w:hAnsi="Arial"/>
                <w:sz w:val="18"/>
                <w:szCs w:val="18"/>
                <w:color w:val="auto"/>
              </w:rPr>
              <w:t>The exhibits required by this Item are listed below.</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tcPr>
          <w:p>
            <w:pPr>
              <w:ind w:left="460"/>
              <w:spacing w:after="0"/>
              <w:rPr>
                <w:sz w:val="20"/>
                <w:szCs w:val="20"/>
                <w:color w:val="auto"/>
              </w:rPr>
            </w:pPr>
            <w:r>
              <w:rPr>
                <w:rFonts w:ascii="Arial" w:cs="Arial" w:eastAsia="Arial" w:hAnsi="Arial"/>
                <w:sz w:val="18"/>
                <w:szCs w:val="18"/>
                <w:color w:val="auto"/>
                <w:w w:val="93"/>
              </w:rPr>
              <w:t>Letter Agreement dated April 9, 2014 between King Pharmaceuticals Research and Development Inc. and us terminating License,</w:t>
            </w:r>
          </w:p>
        </w:tc>
      </w:tr>
      <w:tr>
        <w:trPr>
          <w:trHeight w:val="216"/>
        </w:trPr>
        <w:tc>
          <w:tcPr>
            <w:tcW w:w="1260" w:type="dxa"/>
            <w:vAlign w:val="bottom"/>
          </w:tcPr>
          <w:p>
            <w:pPr>
              <w:spacing w:after="0"/>
              <w:rPr>
                <w:sz w:val="18"/>
                <w:szCs w:val="18"/>
                <w:color w:val="auto"/>
              </w:rPr>
            </w:pPr>
          </w:p>
        </w:tc>
        <w:tc>
          <w:tcPr>
            <w:tcW w:w="10160" w:type="dxa"/>
            <w:vAlign w:val="bottom"/>
          </w:tcPr>
          <w:p>
            <w:pPr>
              <w:ind w:left="460"/>
              <w:spacing w:after="0"/>
              <w:rPr>
                <w:sz w:val="20"/>
                <w:szCs w:val="20"/>
                <w:color w:val="auto"/>
              </w:rPr>
            </w:pPr>
            <w:r>
              <w:rPr>
                <w:rFonts w:ascii="Arial" w:cs="Arial" w:eastAsia="Arial" w:hAnsi="Arial"/>
                <w:sz w:val="18"/>
                <w:szCs w:val="18"/>
                <w:color w:val="auto"/>
                <w:w w:val="92"/>
              </w:rPr>
              <w:t>Development and Commercialization Agreement dated October 30, 2007 (certain information has been omitted and filed separately</w:t>
            </w:r>
          </w:p>
        </w:tc>
      </w:tr>
      <w:tr>
        <w:trPr>
          <w:trHeight w:val="230"/>
        </w:trPr>
        <w:tc>
          <w:tcPr>
            <w:tcW w:w="1260" w:type="dxa"/>
            <w:vAlign w:val="bottom"/>
          </w:tcPr>
          <w:p>
            <w:pPr>
              <w:spacing w:after="0"/>
              <w:rPr>
                <w:sz w:val="20"/>
                <w:szCs w:val="20"/>
                <w:color w:val="auto"/>
              </w:rPr>
            </w:pPr>
          </w:p>
        </w:tc>
        <w:tc>
          <w:tcPr>
            <w:tcW w:w="10160" w:type="dxa"/>
            <w:vAlign w:val="bottom"/>
          </w:tcPr>
          <w:p>
            <w:pPr>
              <w:ind w:left="460"/>
              <w:spacing w:after="0"/>
              <w:rPr>
                <w:sz w:val="20"/>
                <w:szCs w:val="20"/>
                <w:color w:val="auto"/>
              </w:rPr>
            </w:pPr>
            <w:r>
              <w:rPr>
                <w:rFonts w:ascii="Arial" w:cs="Arial" w:eastAsia="Arial" w:hAnsi="Arial"/>
                <w:sz w:val="18"/>
                <w:szCs w:val="18"/>
                <w:color w:val="auto"/>
                <w:w w:val="93"/>
              </w:rPr>
              <w:t>with the Securities and Exchange Commission and confidential treatment has been requested with respect to the omitted portion).</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10160" w:type="dxa"/>
            <w:vAlign w:val="bottom"/>
          </w:tcPr>
          <w:p>
            <w:pPr>
              <w:ind w:left="460"/>
              <w:spacing w:after="0"/>
              <w:rPr>
                <w:sz w:val="20"/>
                <w:szCs w:val="20"/>
                <w:color w:val="auto"/>
              </w:rPr>
            </w:pPr>
            <w:r>
              <w:rPr>
                <w:rFonts w:ascii="Arial" w:cs="Arial" w:eastAsia="Arial" w:hAnsi="Arial"/>
                <w:sz w:val="18"/>
                <w:szCs w:val="18"/>
                <w:color w:val="auto"/>
                <w:w w:val="94"/>
              </w:rPr>
              <w:t>Certification of Periodic Report by Chief Executive Officer pursuant to Rule 13a-14 and 15d-14 of the Securities Exchange Act of</w:t>
            </w:r>
          </w:p>
        </w:tc>
      </w:tr>
      <w:tr>
        <w:trPr>
          <w:trHeight w:val="230"/>
        </w:trPr>
        <w:tc>
          <w:tcPr>
            <w:tcW w:w="1260" w:type="dxa"/>
            <w:vAlign w:val="bottom"/>
          </w:tcPr>
          <w:p>
            <w:pPr>
              <w:spacing w:after="0"/>
              <w:rPr>
                <w:sz w:val="20"/>
                <w:szCs w:val="20"/>
                <w:color w:val="auto"/>
              </w:rPr>
            </w:pPr>
          </w:p>
        </w:tc>
        <w:tc>
          <w:tcPr>
            <w:tcW w:w="10160" w:type="dxa"/>
            <w:vAlign w:val="bottom"/>
          </w:tcPr>
          <w:p>
            <w:pPr>
              <w:ind w:left="460"/>
              <w:spacing w:after="0"/>
              <w:rPr>
                <w:sz w:val="20"/>
                <w:szCs w:val="20"/>
                <w:color w:val="auto"/>
              </w:rPr>
            </w:pPr>
            <w:r>
              <w:rPr>
                <w:rFonts w:ascii="Arial" w:cs="Arial" w:eastAsia="Arial" w:hAnsi="Arial"/>
                <w:sz w:val="18"/>
                <w:szCs w:val="18"/>
                <w:color w:val="auto"/>
              </w:rPr>
              <w:t>1934.</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10160" w:type="dxa"/>
            <w:vAlign w:val="bottom"/>
          </w:tcPr>
          <w:p>
            <w:pPr>
              <w:ind w:left="460"/>
              <w:spacing w:after="0"/>
              <w:rPr>
                <w:sz w:val="20"/>
                <w:szCs w:val="20"/>
                <w:color w:val="auto"/>
              </w:rPr>
            </w:pPr>
            <w:r>
              <w:rPr>
                <w:rFonts w:ascii="Arial" w:cs="Arial" w:eastAsia="Arial" w:hAnsi="Arial"/>
                <w:sz w:val="18"/>
                <w:szCs w:val="18"/>
                <w:color w:val="auto"/>
                <w:w w:val="95"/>
              </w:rPr>
              <w:t>Certification of Periodic Report by Chief Financial Officer pursuant to Rule 13a-14 and 15d-14 of the Securities Exchange Act of</w:t>
            </w:r>
          </w:p>
        </w:tc>
      </w:tr>
      <w:tr>
        <w:trPr>
          <w:trHeight w:val="230"/>
        </w:trPr>
        <w:tc>
          <w:tcPr>
            <w:tcW w:w="1260" w:type="dxa"/>
            <w:vAlign w:val="bottom"/>
          </w:tcPr>
          <w:p>
            <w:pPr>
              <w:spacing w:after="0"/>
              <w:rPr>
                <w:sz w:val="20"/>
                <w:szCs w:val="20"/>
                <w:color w:val="auto"/>
              </w:rPr>
            </w:pPr>
          </w:p>
        </w:tc>
        <w:tc>
          <w:tcPr>
            <w:tcW w:w="10160" w:type="dxa"/>
            <w:vAlign w:val="bottom"/>
          </w:tcPr>
          <w:p>
            <w:pPr>
              <w:ind w:left="460"/>
              <w:spacing w:after="0"/>
              <w:rPr>
                <w:sz w:val="20"/>
                <w:szCs w:val="20"/>
                <w:color w:val="auto"/>
              </w:rPr>
            </w:pPr>
            <w:r>
              <w:rPr>
                <w:rFonts w:ascii="Arial" w:cs="Arial" w:eastAsia="Arial" w:hAnsi="Arial"/>
                <w:sz w:val="18"/>
                <w:szCs w:val="18"/>
                <w:color w:val="auto"/>
              </w:rPr>
              <w:t>1934.</w:t>
            </w:r>
          </w:p>
        </w:tc>
      </w:tr>
      <w:tr>
        <w:trPr>
          <w:trHeight w:val="418"/>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10160" w:type="dxa"/>
            <w:vAlign w:val="bottom"/>
          </w:tcPr>
          <w:p>
            <w:pPr>
              <w:ind w:left="460"/>
              <w:spacing w:after="0"/>
              <w:rPr>
                <w:sz w:val="20"/>
                <w:szCs w:val="20"/>
                <w:color w:val="auto"/>
              </w:rPr>
            </w:pPr>
            <w:r>
              <w:rPr>
                <w:rFonts w:ascii="Arial" w:cs="Arial" w:eastAsia="Arial" w:hAnsi="Arial"/>
                <w:sz w:val="18"/>
                <w:szCs w:val="18"/>
                <w:color w:val="auto"/>
                <w:w w:val="94"/>
              </w:rPr>
              <w:t>Certification of Periodic Report by the Chief Executive Officer and Chief Financial Officer pursuant to 18 U.S.C. Section 1350, as</w:t>
            </w:r>
          </w:p>
        </w:tc>
      </w:tr>
      <w:tr>
        <w:trPr>
          <w:trHeight w:val="230"/>
        </w:trPr>
        <w:tc>
          <w:tcPr>
            <w:tcW w:w="1260" w:type="dxa"/>
            <w:vAlign w:val="bottom"/>
          </w:tcPr>
          <w:p>
            <w:pPr>
              <w:spacing w:after="0"/>
              <w:rPr>
                <w:sz w:val="20"/>
                <w:szCs w:val="20"/>
                <w:color w:val="auto"/>
              </w:rPr>
            </w:pPr>
          </w:p>
        </w:tc>
        <w:tc>
          <w:tcPr>
            <w:tcW w:w="10160" w:type="dxa"/>
            <w:vAlign w:val="bottom"/>
          </w:tcPr>
          <w:p>
            <w:pPr>
              <w:ind w:left="460"/>
              <w:spacing w:after="0"/>
              <w:rPr>
                <w:sz w:val="20"/>
                <w:szCs w:val="20"/>
                <w:color w:val="auto"/>
              </w:rPr>
            </w:pPr>
            <w:r>
              <w:rPr>
                <w:rFonts w:ascii="Arial" w:cs="Arial" w:eastAsia="Arial" w:hAnsi="Arial"/>
                <w:sz w:val="18"/>
                <w:szCs w:val="18"/>
                <w:color w:val="auto"/>
              </w:rPr>
              <w:t>adopted pursuant to Section 906 of the Sarbanes-Oxley Act of 2002.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Instance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Presentation Linkbase</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4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60" w:type="dxa"/>
            <w:vAlign w:val="bottom"/>
          </w:tcPr>
          <w:p>
            <w:pPr>
              <w:spacing w:after="0"/>
              <w:rPr>
                <w:sz w:val="20"/>
                <w:szCs w:val="20"/>
                <w:color w:val="auto"/>
              </w:rPr>
            </w:pPr>
            <w:r>
              <w:rPr>
                <w:rFonts w:ascii="Arial" w:cs="Arial" w:eastAsia="Arial" w:hAnsi="Arial"/>
                <w:sz w:val="18"/>
                <w:szCs w:val="18"/>
                <w:b w:val="1"/>
                <w:bCs w:val="1"/>
                <w:i w:val="1"/>
                <w:iCs w:val="1"/>
                <w:color w:val="auto"/>
              </w:rPr>
              <w:t>Signatures</w:t>
            </w:r>
          </w:p>
        </w:tc>
        <w:tc>
          <w:tcPr>
            <w:tcW w:w="10160" w:type="dxa"/>
            <w:vAlign w:val="bottom"/>
          </w:tcPr>
          <w:p>
            <w:pPr>
              <w:spacing w:after="0"/>
              <w:rPr>
                <w:sz w:val="24"/>
                <w:szCs w:val="24"/>
                <w:color w:val="auto"/>
              </w:rPr>
            </w:pPr>
          </w:p>
        </w:tc>
      </w:tr>
    </w:tbl>
    <w:p>
      <w:pPr>
        <w:spacing w:after="0" w:line="202"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920"/>
        <w:spacing w:after="0"/>
        <w:tabs>
          <w:tab w:leader="none" w:pos="5700" w:val="left"/>
        </w:tabs>
        <w:rPr>
          <w:sz w:val="20"/>
          <w:szCs w:val="20"/>
          <w:color w:val="auto"/>
        </w:rPr>
      </w:pPr>
      <w:r>
        <w:rPr>
          <w:rFonts w:ascii="Arial" w:cs="Arial" w:eastAsia="Arial" w:hAnsi="Arial"/>
          <w:sz w:val="18"/>
          <w:szCs w:val="18"/>
          <w:color w:val="auto"/>
        </w:rPr>
        <w:t>July 30, 2014</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315210" cy="780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1521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616 N. North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 60067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Re:</w:t>
            </w:r>
          </w:p>
        </w:tc>
        <w:tc>
          <w:tcPr>
            <w:tcW w:w="10580" w:type="dxa"/>
            <w:vAlign w:val="bottom"/>
            <w:gridSpan w:val="3"/>
          </w:tcPr>
          <w:p>
            <w:pPr>
              <w:ind w:left="200"/>
              <w:spacing w:after="0"/>
              <w:rPr>
                <w:sz w:val="20"/>
                <w:szCs w:val="20"/>
                <w:color w:val="auto"/>
              </w:rPr>
            </w:pPr>
            <w:r>
              <w:rPr>
                <w:rFonts w:ascii="Arial" w:cs="Arial" w:eastAsia="Arial" w:hAnsi="Arial"/>
                <w:sz w:val="18"/>
                <w:szCs w:val="18"/>
                <w:color w:val="auto"/>
                <w:w w:val="90"/>
              </w:rPr>
              <w:t>License, Development and Commercialization Agreement, dated October 30, 2007, by and between Acura Pharmaceuticals, Inc. (“</w:t>
            </w:r>
            <w:r>
              <w:rPr>
                <w:rFonts w:ascii="Arial" w:cs="Arial" w:eastAsia="Arial" w:hAnsi="Arial"/>
                <w:sz w:val="18"/>
                <w:szCs w:val="18"/>
                <w:b w:val="1"/>
                <w:bCs w:val="1"/>
                <w:color w:val="auto"/>
                <w:w w:val="90"/>
              </w:rPr>
              <w:t>Acura</w:t>
            </w:r>
            <w:r>
              <w:rPr>
                <w:rFonts w:ascii="Arial" w:cs="Arial" w:eastAsia="Arial" w:hAnsi="Arial"/>
                <w:sz w:val="18"/>
                <w:szCs w:val="18"/>
                <w:color w:val="auto"/>
                <w:w w:val="90"/>
              </w:rPr>
              <w:t>”) and</w:t>
            </w:r>
          </w:p>
        </w:tc>
      </w:tr>
      <w:tr>
        <w:trPr>
          <w:trHeight w:val="194"/>
        </w:trPr>
        <w:tc>
          <w:tcPr>
            <w:tcW w:w="460" w:type="dxa"/>
            <w:vAlign w:val="bottom"/>
          </w:tcPr>
          <w:p>
            <w:pPr>
              <w:spacing w:after="0"/>
              <w:rPr>
                <w:sz w:val="16"/>
                <w:szCs w:val="16"/>
                <w:color w:val="auto"/>
              </w:rPr>
            </w:pPr>
          </w:p>
        </w:tc>
        <w:tc>
          <w:tcPr>
            <w:tcW w:w="10580" w:type="dxa"/>
            <w:vAlign w:val="bottom"/>
            <w:gridSpan w:val="3"/>
          </w:tcPr>
          <w:p>
            <w:pPr>
              <w:ind w:left="200"/>
              <w:spacing w:after="0" w:line="194" w:lineRule="exact"/>
              <w:rPr>
                <w:sz w:val="20"/>
                <w:szCs w:val="20"/>
                <w:color w:val="auto"/>
              </w:rPr>
            </w:pPr>
            <w:r>
              <w:rPr>
                <w:rFonts w:ascii="Arial" w:cs="Arial" w:eastAsia="Arial" w:hAnsi="Arial"/>
                <w:sz w:val="18"/>
                <w:szCs w:val="18"/>
                <w:color w:val="auto"/>
              </w:rPr>
              <w:t>King Pharmaceuticals Research and Development, Inc. (“</w:t>
            </w:r>
            <w:r>
              <w:rPr>
                <w:rFonts w:ascii="Arial" w:cs="Arial" w:eastAsia="Arial" w:hAnsi="Arial"/>
                <w:sz w:val="18"/>
                <w:szCs w:val="18"/>
                <w:b w:val="1"/>
                <w:bCs w:val="1"/>
                <w:color w:val="auto"/>
              </w:rPr>
              <w:t>King</w:t>
            </w:r>
            <w:r>
              <w:rPr>
                <w:rFonts w:ascii="Arial" w:cs="Arial" w:eastAsia="Arial" w:hAnsi="Arial"/>
                <w:sz w:val="18"/>
                <w:szCs w:val="18"/>
                <w:color w:val="auto"/>
              </w:rPr>
              <w:t>”) (the “</w:t>
            </w:r>
            <w:r>
              <w:rPr>
                <w:rFonts w:ascii="Arial" w:cs="Arial" w:eastAsia="Arial" w:hAnsi="Arial"/>
                <w:sz w:val="18"/>
                <w:szCs w:val="18"/>
                <w:b w:val="1"/>
                <w:bCs w:val="1"/>
                <w:color w:val="auto"/>
              </w:rPr>
              <w:t>License Agreement</w:t>
            </w:r>
            <w:r>
              <w:rPr>
                <w:rFonts w:ascii="Arial" w:cs="Arial" w:eastAsia="Arial" w:hAnsi="Arial"/>
                <w:sz w:val="18"/>
                <w:szCs w:val="18"/>
                <w:color w:val="auto"/>
              </w:rPr>
              <w:t>”)</w:t>
            </w:r>
          </w:p>
        </w:tc>
      </w:tr>
      <w:tr>
        <w:trPr>
          <w:trHeight w:val="20"/>
        </w:trPr>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Bob:</w:t>
      </w:r>
    </w:p>
    <w:p>
      <w:pPr>
        <w:spacing w:after="0" w:line="221" w:lineRule="exact"/>
        <w:rPr>
          <w:sz w:val="20"/>
          <w:szCs w:val="20"/>
          <w:color w:val="auto"/>
        </w:rPr>
      </w:pPr>
    </w:p>
    <w:p>
      <w:pPr>
        <w:ind w:right="220" w:firstLine="648"/>
        <w:spacing w:after="0" w:line="289" w:lineRule="auto"/>
        <w:rPr>
          <w:sz w:val="20"/>
          <w:szCs w:val="20"/>
          <w:color w:val="auto"/>
        </w:rPr>
      </w:pPr>
      <w:r>
        <w:rPr>
          <w:rFonts w:ascii="Arial" w:cs="Arial" w:eastAsia="Arial" w:hAnsi="Arial"/>
          <w:sz w:val="17"/>
          <w:szCs w:val="17"/>
          <w:color w:val="auto"/>
        </w:rPr>
        <w:t>The purpose of this letter agreement (“</w:t>
      </w:r>
      <w:r>
        <w:rPr>
          <w:rFonts w:ascii="Arial" w:cs="Arial" w:eastAsia="Arial" w:hAnsi="Arial"/>
          <w:sz w:val="17"/>
          <w:szCs w:val="17"/>
          <w:b w:val="1"/>
          <w:bCs w:val="1"/>
          <w:color w:val="auto"/>
        </w:rPr>
        <w:t>Letter Agreement</w:t>
      </w:r>
      <w:r>
        <w:rPr>
          <w:rFonts w:ascii="Arial" w:cs="Arial" w:eastAsia="Arial" w:hAnsi="Arial"/>
          <w:sz w:val="17"/>
          <w:szCs w:val="17"/>
          <w:color w:val="auto"/>
        </w:rPr>
        <w:t>”) is to memorialize the Parties’ (i) termination of the License Agreement, (ii) King’s conveyance and assignment to Acura of all rights relating to the Product (as defined below) and (iii) agreement to certain post-termination provisions as set forth below in Section 4. All capitalized terms used but not defined herein shall have the meanings set forth in the License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acknowledge and agree as follows:</w:t>
      </w:r>
    </w:p>
    <w:p>
      <w:pPr>
        <w:spacing w:after="0" w:line="221" w:lineRule="exact"/>
        <w:rPr>
          <w:sz w:val="20"/>
          <w:szCs w:val="20"/>
          <w:color w:val="auto"/>
        </w:rPr>
      </w:pPr>
    </w:p>
    <w:p>
      <w:pPr>
        <w:ind w:left="1060" w:right="160" w:hanging="404"/>
        <w:spacing w:after="0" w:line="291" w:lineRule="auto"/>
        <w:tabs>
          <w:tab w:leader="none" w:pos="1060"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License Agreement</w:t>
      </w:r>
      <w:r>
        <w:rPr>
          <w:rFonts w:ascii="Arial" w:cs="Arial" w:eastAsia="Arial" w:hAnsi="Arial"/>
          <w:sz w:val="16"/>
          <w:szCs w:val="16"/>
          <w:color w:val="auto"/>
        </w:rPr>
        <w:t>. The Parties acknowledge and agree that, by mutual agreement, with effect from April 9, 2014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Effective Date”), the License Agreement is terminated in its entirety and shall have no further force or effect. Upon the Termination Effective Date all obligations of each Party under the License Agreement shall be deemed fully and completely discharged and each Party hereby releases, acquits, and forever discharges the other Party from any and all rights, actions, claims, debts, demands, costs, contracts, liabilities, obligations, damages and causes of action whether known, suspected or unknown, whether in law or in equity, which the releasing party had or now have or may claim to have by reason of those matters set forth in the License Agreement, and any other matters which may have been raised in connection to the License Agreement, in each case other than claims and obligations under this Letter Agreement or under those sections of the License Agreement that survive termination as listed in Section 7 of this Letter Agreement.</w:t>
      </w:r>
    </w:p>
    <w:p>
      <w:pPr>
        <w:spacing w:after="0" w:line="295" w:lineRule="exact"/>
        <w:rPr>
          <w:rFonts w:ascii="Arial" w:cs="Arial" w:eastAsia="Arial" w:hAnsi="Arial"/>
          <w:sz w:val="16"/>
          <w:szCs w:val="16"/>
          <w:b w:val="1"/>
          <w:bCs w:val="1"/>
          <w:color w:val="auto"/>
        </w:rPr>
      </w:pPr>
    </w:p>
    <w:p>
      <w:pPr>
        <w:ind w:left="660" w:right="20" w:hanging="652"/>
        <w:spacing w:after="0" w:line="282"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18097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7" w:name="page38"/>
    <w:bookmarkEnd w:id="37"/>
    <w:p>
      <w:pPr>
        <w:ind w:left="404" w:hanging="404"/>
        <w:spacing w:after="0" w:line="266" w:lineRule="auto"/>
        <w:tabs>
          <w:tab w:leader="none" w:pos="40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Non-Compete</w:t>
      </w:r>
      <w:r>
        <w:rPr>
          <w:rFonts w:ascii="Arial" w:cs="Arial" w:eastAsia="Arial" w:hAnsi="Arial"/>
          <w:sz w:val="18"/>
          <w:szCs w:val="18"/>
          <w:color w:val="auto"/>
        </w:rPr>
        <w:t>. Notwithstanding any provision of the License Agreement, the Parties acknowledge and agree that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covenant not to compete set forth in Section 13.1 (a)(i) and (ii) of the License Agreement is terminated as of the Termination Effective Date and shall have no further force and effect.</w:t>
      </w:r>
    </w:p>
    <w:p>
      <w:pPr>
        <w:spacing w:after="0" w:line="176" w:lineRule="exact"/>
        <w:rPr>
          <w:rFonts w:ascii="Arial" w:cs="Arial" w:eastAsia="Arial" w:hAnsi="Arial"/>
          <w:sz w:val="18"/>
          <w:szCs w:val="18"/>
          <w:b w:val="1"/>
          <w:bCs w:val="1"/>
          <w:color w:val="auto"/>
        </w:rPr>
      </w:pPr>
    </w:p>
    <w:p>
      <w:pPr>
        <w:ind w:left="404" w:right="180" w:hanging="404"/>
        <w:spacing w:after="0" w:line="266" w:lineRule="auto"/>
        <w:tabs>
          <w:tab w:leader="none" w:pos="40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Trademarks</w:t>
      </w:r>
      <w:r>
        <w:rPr>
          <w:rFonts w:ascii="Arial" w:cs="Arial" w:eastAsia="Arial" w:hAnsi="Arial"/>
          <w:sz w:val="18"/>
          <w:szCs w:val="18"/>
          <w:color w:val="auto"/>
        </w:rPr>
        <w:t>. Except as provided in Section 4, the Parties acknowledge and agree that with effect from the Termination Effective Date, King</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Affiliates shall have the exclusive right to the OXECTA mark, trade dress, brand names, logos, slogans and to any internet domain names incorporating or utilizing the OXECTA mark.</w:t>
      </w:r>
    </w:p>
    <w:p>
      <w:pPr>
        <w:spacing w:after="0" w:line="176" w:lineRule="exact"/>
        <w:rPr>
          <w:rFonts w:ascii="Arial" w:cs="Arial" w:eastAsia="Arial" w:hAnsi="Arial"/>
          <w:sz w:val="18"/>
          <w:szCs w:val="18"/>
          <w:b w:val="1"/>
          <w:bCs w:val="1"/>
          <w:color w:val="auto"/>
        </w:rPr>
      </w:pPr>
    </w:p>
    <w:p>
      <w:pPr>
        <w:ind w:left="404" w:right="140" w:hanging="404"/>
        <w:spacing w:after="0" w:line="313" w:lineRule="auto"/>
        <w:tabs>
          <w:tab w:leader="none" w:pos="40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w:t>
      </w:r>
      <w:r>
        <w:rPr>
          <w:rFonts w:ascii="Arial" w:cs="Arial" w:eastAsia="Arial" w:hAnsi="Arial"/>
          <w:sz w:val="17"/>
          <w:szCs w:val="17"/>
          <w:color w:val="auto"/>
        </w:rPr>
        <w:t>. In connection with the termination of the License Agreement, the Parties acknowledge and agree that Section 16.7 of the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shall not apply to such termination and the following provisions in this Section 4 shall be applicable instead.</w:t>
      </w:r>
    </w:p>
    <w:p>
      <w:pPr>
        <w:spacing w:after="0" w:line="138" w:lineRule="exact"/>
        <w:rPr>
          <w:rFonts w:ascii="Arial" w:cs="Arial" w:eastAsia="Arial" w:hAnsi="Arial"/>
          <w:sz w:val="17"/>
          <w:szCs w:val="17"/>
          <w:b w:val="1"/>
          <w:bCs w:val="1"/>
          <w:color w:val="auto"/>
        </w:rPr>
      </w:pPr>
    </w:p>
    <w:p>
      <w:pPr>
        <w:ind w:left="40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Consequences of Termination</w:t>
      </w:r>
      <w:r>
        <w:rPr>
          <w:rFonts w:ascii="Arial" w:cs="Arial" w:eastAsia="Arial" w:hAnsi="Arial"/>
          <w:sz w:val="18"/>
          <w:szCs w:val="18"/>
          <w:color w:val="auto"/>
        </w:rPr>
        <w:t>.</w:t>
      </w:r>
    </w:p>
    <w:p>
      <w:pPr>
        <w:spacing w:after="0" w:line="229" w:lineRule="exact"/>
        <w:rPr>
          <w:rFonts w:ascii="Arial" w:cs="Arial" w:eastAsia="Arial" w:hAnsi="Arial"/>
          <w:sz w:val="17"/>
          <w:szCs w:val="17"/>
          <w:b w:val="1"/>
          <w:bCs w:val="1"/>
          <w:color w:val="auto"/>
        </w:rPr>
      </w:pPr>
    </w:p>
    <w:p>
      <w:pPr>
        <w:ind w:left="1144" w:hanging="658"/>
        <w:spacing w:after="0"/>
        <w:tabs>
          <w:tab w:leader="none" w:pos="1144" w:val="left"/>
        </w:tabs>
        <w:numPr>
          <w:ilvl w:val="1"/>
          <w:numId w:val="2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Termination by King and Acura by Mutual Consent</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i w:val="1"/>
          <w:iCs w:val="1"/>
          <w:color w:val="auto"/>
        </w:rPr>
      </w:pPr>
    </w:p>
    <w:p>
      <w:pPr>
        <w:ind w:left="1344" w:right="120" w:hanging="250"/>
        <w:spacing w:after="0" w:line="277" w:lineRule="auto"/>
        <w:tabs>
          <w:tab w:leader="none" w:pos="1344"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and all licenses granted by Acura to King or by King to Acura under the License Agreement shall terminate in their entirety with effect from the Termination Effective Date.</w:t>
      </w:r>
    </w:p>
    <w:p>
      <w:pPr>
        <w:spacing w:after="0" w:line="170" w:lineRule="exact"/>
        <w:rPr>
          <w:rFonts w:ascii="Arial" w:cs="Arial" w:eastAsia="Arial" w:hAnsi="Arial"/>
          <w:sz w:val="18"/>
          <w:szCs w:val="18"/>
          <w:color w:val="auto"/>
        </w:rPr>
      </w:pPr>
    </w:p>
    <w:p>
      <w:pPr>
        <w:ind w:left="1344" w:right="360" w:hanging="250"/>
        <w:spacing w:after="0" w:line="264" w:lineRule="auto"/>
        <w:tabs>
          <w:tab w:leader="none" w:pos="1344" w:val="left"/>
        </w:tabs>
        <w:numPr>
          <w:ilvl w:val="2"/>
          <w:numId w:val="22"/>
        </w:numPr>
        <w:rPr>
          <w:rFonts w:ascii="Arial" w:cs="Arial" w:eastAsia="Arial" w:hAnsi="Arial"/>
          <w:sz w:val="18"/>
          <w:szCs w:val="18"/>
          <w:color w:val="auto"/>
        </w:rPr>
      </w:pPr>
      <w:r>
        <w:rPr>
          <w:rFonts w:ascii="Arial" w:cs="Arial" w:eastAsia="Arial" w:hAnsi="Arial"/>
          <w:sz w:val="18"/>
          <w:szCs w:val="18"/>
          <w:color w:val="auto"/>
        </w:rPr>
        <w:t>King hereby grants to Acura effective the Termination Effective Date a fully paid-up, nonexclusive license under King Sole Inventions relating to the Product or the Aversion Technology to develop, manufacture, use, sell, offer for sale and import the Product anywhere in the world including the right to grant sublicenses.</w:t>
      </w:r>
    </w:p>
    <w:p>
      <w:pPr>
        <w:spacing w:after="0" w:line="181" w:lineRule="exact"/>
        <w:rPr>
          <w:rFonts w:ascii="Arial" w:cs="Arial" w:eastAsia="Arial" w:hAnsi="Arial"/>
          <w:sz w:val="18"/>
          <w:szCs w:val="18"/>
          <w:color w:val="auto"/>
        </w:rPr>
      </w:pPr>
    </w:p>
    <w:p>
      <w:pPr>
        <w:ind w:left="1344" w:right="20" w:hanging="250"/>
        <w:spacing w:after="0" w:line="286" w:lineRule="auto"/>
        <w:tabs>
          <w:tab w:leader="none" w:pos="1344" w:val="left"/>
        </w:tabs>
        <w:numPr>
          <w:ilvl w:val="2"/>
          <w:numId w:val="22"/>
        </w:numPr>
        <w:rPr>
          <w:rFonts w:ascii="Arial" w:cs="Arial" w:eastAsia="Arial" w:hAnsi="Arial"/>
          <w:sz w:val="16"/>
          <w:szCs w:val="16"/>
          <w:color w:val="auto"/>
        </w:rPr>
      </w:pPr>
      <w:r>
        <w:rPr>
          <w:rFonts w:ascii="Arial" w:cs="Arial" w:eastAsia="Arial" w:hAnsi="Arial"/>
          <w:sz w:val="16"/>
          <w:szCs w:val="16"/>
          <w:color w:val="auto"/>
        </w:rPr>
        <w:t>King hereby conveys, assigns and transfers to Acura effective the Termination Effective Date at no expense to Acura, and free of any liens, pledges, security interests and other financial encumbrances including those incurred in the Commercialization of the Product, all of King’s and its Affiliates’ right, title and interest in and to the Listed Assets (as defined in the Transition Plan attached as Schedule A to this Letter Agreement) and to all other information and assets of any kind or nature whatsoever, in King’s possession or in the possession of its Affiliates or its or their respective agents related to the Product (all of the foregoing, including the Listed Assets, being the “Conveyed Assets”). The Conveyed Assets shall be deemed to be Acura Confidential Information and shall be subject to all of the protections of Sections 12.1 to 12.4 of the License Agreement. The term “</w:t>
      </w:r>
      <w:r>
        <w:rPr>
          <w:rFonts w:ascii="Arial" w:cs="Arial" w:eastAsia="Arial" w:hAnsi="Arial"/>
          <w:sz w:val="16"/>
          <w:szCs w:val="16"/>
          <w:b w:val="1"/>
          <w:bCs w:val="1"/>
          <w:color w:val="auto"/>
        </w:rPr>
        <w:t>Product</w:t>
      </w:r>
      <w:r>
        <w:rPr>
          <w:rFonts w:ascii="Arial" w:cs="Arial" w:eastAsia="Arial" w:hAnsi="Arial"/>
          <w:sz w:val="16"/>
          <w:szCs w:val="16"/>
          <w:color w:val="auto"/>
        </w:rPr>
        <w:t>” is defined as the pharmaceutical drug in all doses described in New Drug Application (“NDA”) #202080. King represents and warrants that it has full right, title and interest to the Conveyed Assets, that there are no liens, pledges, security interests and other financial encumbrances on the Conveyed Assets, that all Regulatory Approvals and approvals relating to the Product are valid and are up to date</w:t>
      </w:r>
      <w:r>
        <w:rPr>
          <w:rFonts w:ascii="Arial" w:cs="Arial" w:eastAsia="Arial" w:hAnsi="Arial"/>
          <w:sz w:val="16"/>
          <w:szCs w:val="16"/>
          <w:b w:val="1"/>
          <w:bCs w:val="1"/>
          <w:color w:val="auto"/>
        </w:rPr>
        <w:t>.</w:t>
      </w:r>
      <w:r>
        <w:rPr>
          <w:rFonts w:ascii="Arial" w:cs="Arial" w:eastAsia="Arial" w:hAnsi="Arial"/>
          <w:sz w:val="16"/>
          <w:szCs w:val="16"/>
          <w:color w:val="auto"/>
        </w:rPr>
        <w:t xml:space="preserve"> In the event Acura or King determines after the Termination Effective Date that title to or ownership of any of the Conveyed Assets is in a King Affiliate, King shall promptly cause such Affiliate to convey, assign and transfer to Acura such Conveyed Asset at no cost or expense to Acura.</w:t>
      </w:r>
    </w:p>
    <w:p>
      <w:pPr>
        <w:spacing w:after="0" w:line="39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877" w:right="259" w:bottom="1440" w:gutter="0" w:footer="0" w:header="0"/>
        </w:sectPr>
      </w:pPr>
    </w:p>
    <w:bookmarkStart w:id="38" w:name="page39"/>
    <w:bookmarkEnd w:id="38"/>
    <w:p>
      <w:pPr>
        <w:ind w:left="858" w:hanging="250"/>
        <w:spacing w:after="0" w:line="255" w:lineRule="auto"/>
        <w:tabs>
          <w:tab w:leader="none" w:pos="8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Parties agree that certain of the activities relating to the assignment and transfer to Acura of the Conveyed Assets and the assistance in the transition of the Product to Acura will occur following the Termination Effective Date in accordance with the Transition Plan attached as Schedule A to this Letter Agreement. King will commence delivery of the items specified in the Transition Plan as soon as reasonably practicable and complete such delivery within the time period specified in the applicable deliveries. The Parties shall use reasonable efforts to complete the Transition Plan and all deliveries of items therein within ninety (90) days from the Termination Effective Date.</w:t>
      </w:r>
    </w:p>
    <w:p>
      <w:pPr>
        <w:spacing w:after="0" w:line="193" w:lineRule="exact"/>
        <w:rPr>
          <w:rFonts w:ascii="Arial" w:cs="Arial" w:eastAsia="Arial" w:hAnsi="Arial"/>
          <w:sz w:val="18"/>
          <w:szCs w:val="18"/>
          <w:color w:val="auto"/>
        </w:rPr>
      </w:pPr>
    </w:p>
    <w:p>
      <w:pPr>
        <w:ind w:left="858" w:right="240" w:hanging="250"/>
        <w:spacing w:after="0" w:line="277" w:lineRule="auto"/>
        <w:tabs>
          <w:tab w:leader="none" w:pos="8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King shall have no obligations or responsibility for the commercial supply of Product to Acura from the Termination Effective Date.</w:t>
      </w:r>
    </w:p>
    <w:p>
      <w:pPr>
        <w:spacing w:after="0" w:line="170" w:lineRule="exact"/>
        <w:rPr>
          <w:rFonts w:ascii="Arial" w:cs="Arial" w:eastAsia="Arial" w:hAnsi="Arial"/>
          <w:sz w:val="18"/>
          <w:szCs w:val="18"/>
          <w:color w:val="auto"/>
        </w:rPr>
      </w:pPr>
    </w:p>
    <w:p>
      <w:pPr>
        <w:ind w:left="858" w:right="380" w:hanging="250"/>
        <w:spacing w:after="0" w:line="302" w:lineRule="auto"/>
        <w:tabs>
          <w:tab w:leader="none" w:pos="858" w:val="left"/>
        </w:tabs>
        <w:numPr>
          <w:ilvl w:val="1"/>
          <w:numId w:val="23"/>
        </w:numPr>
        <w:rPr>
          <w:rFonts w:ascii="Arial" w:cs="Arial" w:eastAsia="Arial" w:hAnsi="Arial"/>
          <w:sz w:val="16"/>
          <w:szCs w:val="16"/>
          <w:color w:val="auto"/>
        </w:rPr>
      </w:pPr>
      <w:r>
        <w:rPr>
          <w:rFonts w:ascii="Arial" w:cs="Arial" w:eastAsia="Arial" w:hAnsi="Arial"/>
          <w:sz w:val="16"/>
          <w:szCs w:val="16"/>
          <w:color w:val="auto"/>
        </w:rPr>
        <w:t>King shall as of the Termination Effective Date cease Developing, manufacturing, and Commercializing Product under the License Agreement and the licenses granted to King thereunder with respect to Product shall terminate as of the Termination Effective Date, and King shall be responsible for all returns, financial and regulatory obligations (including chargebacks and pharmacovigilance investigations and reporting) for Product manufactured prior to the Termination Effective Date.</w:t>
      </w:r>
    </w:p>
    <w:p>
      <w:pPr>
        <w:spacing w:after="0" w:line="154" w:lineRule="exact"/>
        <w:rPr>
          <w:rFonts w:ascii="Arial" w:cs="Arial" w:eastAsia="Arial" w:hAnsi="Arial"/>
          <w:sz w:val="16"/>
          <w:szCs w:val="16"/>
          <w:color w:val="auto"/>
        </w:rPr>
      </w:pPr>
    </w:p>
    <w:p>
      <w:pPr>
        <w:ind w:left="658" w:right="40" w:hanging="658"/>
        <w:spacing w:after="0" w:line="273" w:lineRule="auto"/>
        <w:tabs>
          <w:tab w:leader="none" w:pos="658"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Royalty and Payment Obligations</w:t>
      </w:r>
      <w:r>
        <w:rPr>
          <w:rFonts w:ascii="Arial" w:cs="Arial" w:eastAsia="Arial" w:hAnsi="Arial"/>
          <w:sz w:val="17"/>
          <w:szCs w:val="17"/>
          <w:color w:val="auto"/>
        </w:rPr>
        <w:t>. Termination of this License Agreement will not release King from any obligation to pay royalties</w:t>
      </w:r>
      <w:r>
        <w:rPr>
          <w:rFonts w:ascii="Arial" w:cs="Arial" w:eastAsia="Arial" w:hAnsi="Arial"/>
          <w:sz w:val="17"/>
          <w:szCs w:val="17"/>
          <w:i w:val="1"/>
          <w:iCs w:val="1"/>
          <w:color w:val="auto"/>
        </w:rPr>
        <w:t xml:space="preserve"> </w:t>
      </w:r>
      <w:r>
        <w:rPr>
          <w:rFonts w:ascii="Arial" w:cs="Arial" w:eastAsia="Arial" w:hAnsi="Arial"/>
          <w:sz w:val="17"/>
          <w:szCs w:val="17"/>
          <w:color w:val="auto"/>
        </w:rPr>
        <w:t>to Acura which were accrued prior to the Termination Effective Date in accordance with Article 9 of the License Agreement. However, termination of this License Agreement will release King from any obligation to pay royalties or make any payments to Acura which would have otherwise become accrued after the Termination Effective Date (provided that King shall be obligated to pay royalties after the effective date of termination for Product sold prior to such effective date). For clarity, there are no milestones or other payments due or payable from King to Acura under this License Agreement.</w:t>
      </w:r>
    </w:p>
    <w:p>
      <w:pPr>
        <w:spacing w:after="0" w:line="395" w:lineRule="exact"/>
        <w:rPr>
          <w:sz w:val="20"/>
          <w:szCs w:val="20"/>
          <w:color w:val="auto"/>
        </w:rPr>
      </w:pPr>
    </w:p>
    <w:p>
      <w:pPr>
        <w:ind w:left="451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8"/>
          </w:cols>
          <w:pgMar w:left="1382" w:top="881" w:right="299" w:bottom="1440" w:gutter="0" w:footer="0" w:header="0"/>
        </w:sectPr>
      </w:pPr>
    </w:p>
    <w:bookmarkStart w:id="39" w:name="page40"/>
    <w:bookmarkEnd w:id="39"/>
    <w:p>
      <w:pPr>
        <w:ind w:left="1144" w:right="40" w:hanging="658"/>
        <w:spacing w:after="0" w:line="259" w:lineRule="auto"/>
        <w:tabs>
          <w:tab w:leader="none" w:pos="1144" w:val="left"/>
        </w:tabs>
        <w:numPr>
          <w:ilvl w:val="1"/>
          <w:numId w:val="25"/>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Fee</w:t>
      </w:r>
      <w:r>
        <w:rPr>
          <w:rFonts w:ascii="Arial" w:cs="Arial" w:eastAsia="Arial" w:hAnsi="Arial"/>
          <w:sz w:val="18"/>
          <w:szCs w:val="18"/>
          <w:color w:val="auto"/>
        </w:rPr>
        <w:t>. Acura shall pay a fee to King or as directed by King to King’s Affiliate the sum of two million (US$2,000,000)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dollars, one million (US$1,000,000) US dollars within ten (10) days of Termination Effective Date and one million (US$1,000,000) within five (5) days of King’s submission to the FDA of a letter (substantially in the form attached to the Transition Plan as Exhibit 1.1) notifying FDA of the transfer of NDA 202,080 from King to Acura.</w:t>
      </w:r>
    </w:p>
    <w:p>
      <w:pPr>
        <w:spacing w:after="0" w:line="182" w:lineRule="exact"/>
        <w:rPr>
          <w:rFonts w:ascii="Arial" w:cs="Arial" w:eastAsia="Arial" w:hAnsi="Arial"/>
          <w:sz w:val="18"/>
          <w:szCs w:val="18"/>
          <w:color w:val="auto"/>
        </w:rPr>
      </w:pPr>
    </w:p>
    <w:p>
      <w:pPr>
        <w:ind w:left="404" w:right="40" w:hanging="404"/>
        <w:spacing w:after="0" w:line="254" w:lineRule="auto"/>
        <w:tabs>
          <w:tab w:leader="none" w:pos="40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r>
        <w:rPr>
          <w:rFonts w:ascii="Arial" w:cs="Arial" w:eastAsia="Arial" w:hAnsi="Arial"/>
          <w:sz w:val="18"/>
          <w:szCs w:val="18"/>
          <w:color w:val="auto"/>
        </w:rPr>
        <w:t>. Neither party will originate any publicity, press release, or other public announcement or make any comment, written or oral,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relating to this Letter Agreement without the advance written consent of the other Party (except as has been previously consented), unless such announcement is required by law or the regulations of a national securities exchange. A Party required by law, rule or regulation or the regulation of a national securities exchange to make such an announcement will give the other Party an opportunity to review the form or content of such announcement and make comments upon it in advance. Either Party may issue a press release in the form substantially similar to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to this Letter Agreement. The Parties acknowledge that Acura will file a Form 8-K with the Securities and Exchange Commission regarding this Letter Agreement and will be attaching a redacted copy of the Letter Agreement to such 8-K (or a Form 10-Q or 10-K as appropriate) requesting confidential treatment of certain information and the 8-K and redacted copy will be treated as a public announcement as described herein.</w:t>
      </w:r>
    </w:p>
    <w:p>
      <w:pPr>
        <w:spacing w:after="0" w:line="189" w:lineRule="exact"/>
        <w:rPr>
          <w:rFonts w:ascii="Arial" w:cs="Arial" w:eastAsia="Arial" w:hAnsi="Arial"/>
          <w:sz w:val="18"/>
          <w:szCs w:val="18"/>
          <w:b w:val="1"/>
          <w:bCs w:val="1"/>
          <w:color w:val="auto"/>
        </w:rPr>
      </w:pPr>
    </w:p>
    <w:p>
      <w:pPr>
        <w:ind w:left="404" w:hanging="404"/>
        <w:spacing w:after="0" w:line="266" w:lineRule="auto"/>
        <w:tabs>
          <w:tab w:leader="none" w:pos="40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The terms of this Letter Agreement shall be deemed Confidential Information of each Party and the Schedules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Confidential Information of each Party (provided that the contents of any Conveyed Assets are solely the Confidential Information of Acura as provided in Section 4).</w:t>
      </w:r>
    </w:p>
    <w:p>
      <w:pPr>
        <w:spacing w:after="0" w:line="176" w:lineRule="exact"/>
        <w:rPr>
          <w:rFonts w:ascii="Arial" w:cs="Arial" w:eastAsia="Arial" w:hAnsi="Arial"/>
          <w:sz w:val="18"/>
          <w:szCs w:val="18"/>
          <w:b w:val="1"/>
          <w:bCs w:val="1"/>
          <w:color w:val="auto"/>
        </w:rPr>
      </w:pPr>
    </w:p>
    <w:p>
      <w:pPr>
        <w:ind w:left="404" w:hanging="404"/>
        <w:spacing w:after="0"/>
        <w:tabs>
          <w:tab w:leader="none" w:pos="404"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Survival of Obligations/Further Assurances. </w:t>
      </w:r>
      <w:r>
        <w:rPr>
          <w:rFonts w:ascii="Arial" w:cs="Arial" w:eastAsia="Arial" w:hAnsi="Arial"/>
          <w:sz w:val="16"/>
          <w:szCs w:val="16"/>
          <w:color w:val="auto"/>
        </w:rPr>
        <w:t>Sections 10.4 (with respect to payments due under the License Agreement to Acura), 11.1,</w:t>
      </w:r>
    </w:p>
    <w:p>
      <w:pPr>
        <w:spacing w:after="0" w:line="50" w:lineRule="exact"/>
        <w:rPr>
          <w:rFonts w:ascii="Arial" w:cs="Arial" w:eastAsia="Arial" w:hAnsi="Arial"/>
          <w:sz w:val="16"/>
          <w:szCs w:val="16"/>
          <w:b w:val="1"/>
          <w:bCs w:val="1"/>
          <w:color w:val="auto"/>
        </w:rPr>
      </w:pPr>
    </w:p>
    <w:p>
      <w:pPr>
        <w:ind w:left="404" w:right="4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11.8(d)(i) (with respect to any claims relating to the Oxecta trademark or any King trademark or any trademark used in connection with the Product prior to the Termination Effective Date), 12.1 through 12.4, and Articles 10, 14 and 17 and any definitions used in any such Section or Article shall survive the termination of this License Agreement in its entirety. Each Party at any time after the date hereof, at the reasonable request of the other Party shall execute, acknowledge and deliver any further assignments, documents and instruments of transfer that may be reasonably necessary for the purpose of conveying, assigning and granting to Acura the Conveyed Assets.</w:t>
      </w:r>
    </w:p>
    <w:p>
      <w:pPr>
        <w:spacing w:after="0" w:line="39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4"/>
          </w:cols>
          <w:pgMar w:left="896" w:top="881" w:right="279" w:bottom="1440" w:gutter="0" w:footer="0" w:header="0"/>
        </w:sectPr>
      </w:pPr>
    </w:p>
    <w:bookmarkStart w:id="40" w:name="page41"/>
    <w:bookmarkEnd w:id="40"/>
    <w:p>
      <w:pPr>
        <w:ind w:left="1060" w:right="580" w:hanging="404"/>
        <w:spacing w:after="0" w:line="282" w:lineRule="auto"/>
        <w:tabs>
          <w:tab w:leader="none" w:pos="10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the laws of the State of New York without regard to its conflict of laws rules or</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w:t>
      </w:r>
    </w:p>
    <w:p>
      <w:pPr>
        <w:spacing w:after="0" w:line="161" w:lineRule="exact"/>
        <w:rPr>
          <w:rFonts w:ascii="Arial" w:cs="Arial" w:eastAsia="Arial" w:hAnsi="Arial"/>
          <w:sz w:val="18"/>
          <w:szCs w:val="18"/>
          <w:b w:val="1"/>
          <w:bCs w:val="1"/>
          <w:color w:val="auto"/>
        </w:rPr>
      </w:pPr>
    </w:p>
    <w:p>
      <w:pPr>
        <w:ind w:left="1060" w:right="160" w:hanging="404"/>
        <w:spacing w:after="0" w:line="266" w:lineRule="auto"/>
        <w:tabs>
          <w:tab w:leader="none" w:pos="10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Specific Performance. </w:t>
      </w:r>
      <w:r>
        <w:rPr>
          <w:rFonts w:ascii="Arial" w:cs="Arial" w:eastAsia="Arial" w:hAnsi="Arial"/>
          <w:sz w:val="18"/>
          <w:szCs w:val="18"/>
          <w:color w:val="auto"/>
        </w:rPr>
        <w:t>In the event of a breach or threatened breach of any provision of this Letter Agreement by King and without limiting</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available remedies, nothing in this Letter Agreement shall prevent Acura from seeking to obtain from any court of competent jurisdiction, injunctive relief, including specific performance.</w:t>
      </w:r>
    </w:p>
    <w:p>
      <w:pPr>
        <w:spacing w:after="0" w:line="176" w:lineRule="exact"/>
        <w:rPr>
          <w:rFonts w:ascii="Arial" w:cs="Arial" w:eastAsia="Arial" w:hAnsi="Arial"/>
          <w:sz w:val="18"/>
          <w:szCs w:val="18"/>
          <w:b w:val="1"/>
          <w:bCs w:val="1"/>
          <w:color w:val="auto"/>
        </w:rPr>
      </w:pPr>
    </w:p>
    <w:p>
      <w:pPr>
        <w:ind w:left="1060" w:hanging="404"/>
        <w:spacing w:after="0" w:line="266" w:lineRule="auto"/>
        <w:tabs>
          <w:tab w:leader="none" w:pos="10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Miscellaneous. </w:t>
      </w:r>
      <w:r>
        <w:rPr>
          <w:rFonts w:ascii="Arial" w:cs="Arial" w:eastAsia="Arial" w:hAnsi="Arial"/>
          <w:sz w:val="18"/>
          <w:szCs w:val="18"/>
          <w:color w:val="auto"/>
        </w:rPr>
        <w:t>This Letter Agreement may be executed manually, electronically in Adobe® PDF file format, or by facsimile by the Parties,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any number of counterparts, each of which shall be considered one and the same agreement and shall become effective when a counterpart hereof shall have been signed by each of the Parties and delivered to the other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KING PHARMACEUTICALS RESEARCH AND DEVELOPMENT,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Thomas Dykstra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31045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Thomas Dykstra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31045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31045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ACURA PHARMACEUTICALS,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31045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31045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Title:</w:t>
        <w:tab/>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17145</wp:posOffset>
            </wp:positionV>
            <wp:extent cx="31045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8" w:right="29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TRANSITION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(LISTED ASSETS)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assets described below in which Pfizer/King does not directly own but has an interest in, Pfizer shall assign its interest in such asset to Acura, to the extent reasonably practical.</w:t>
      </w:r>
    </w:p>
    <w:p>
      <w:pPr>
        <w:spacing w:after="0" w:line="16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7" w:lineRule="exact"/>
        <w:rPr>
          <w:rFonts w:ascii="Arial" w:cs="Arial" w:eastAsia="Arial" w:hAnsi="Arial"/>
          <w:sz w:val="18"/>
          <w:szCs w:val="18"/>
          <w:b w:val="1"/>
          <w:bCs w:val="1"/>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CMC </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Clinical [</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w:t>
      </w:r>
    </w:p>
    <w:p>
      <w:pPr>
        <w:spacing w:after="0" w:line="9" w:lineRule="exact"/>
        <w:rPr>
          <w:rFonts w:ascii="Arial" w:cs="Arial" w:eastAsia="Arial" w:hAnsi="Arial"/>
          <w:sz w:val="18"/>
          <w:szCs w:val="18"/>
          <w:b w:val="1"/>
          <w:bCs w:val="1"/>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During the 90 days transition period, if either Party identifies assets and both parties mutually agree that the assets are necessary for Acura to maintain the Product NDA or to manufacture and/or sell the Product, such assets shall be added to this 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2" w:lineRule="exact"/>
        <w:rPr>
          <w:sz w:val="20"/>
          <w:szCs w:val="20"/>
          <w:color w:val="auto"/>
        </w:rPr>
      </w:pPr>
    </w:p>
    <w:p>
      <w:pPr>
        <w:ind w:left="660" w:hanging="652"/>
        <w:spacing w:after="0" w:line="28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Confidential treatment requested pursuant to a request for confidential treatment filed with the Securities and Exchange Commission; omitted portions have been separately filed with the Commission.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EXHIBIT 1.1</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[FDA TRANSMITTAL LETTER AND FORM 356h]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[Center for Drug Evaluation and Research]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Food and Drug Administration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Metro Park North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7500 Standish Place, Room 150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MD 20855-2773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NDA # 202080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Mr._________:</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the Code of Federal Regulation, Title 21 314.72, KING PHARMACEUTICALS RESEARCH AND DEVELOPMENT, INC. is providing notice that all rights to NDA# 202080 approved on June 17, 2011 have been transferred to ACURA PHARMACEUTICALS, INC. A complete copy of the application has been provided to Acura Pharmaceuticals, Inc. The change of ownership for this application becomes effective on XX/XX/XX. FDA Form 356h is enclosed.</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Should you have any questions or require additional information on this transfer, please do not hesitate to contact me at the telephone number or address shown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82" w:right="37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color w:val="auto"/>
        </w:rPr>
        <w:t>SCHEDULE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PRESS RELEASE]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Acura Pharmaceuticals Announces Return of Product Rights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Palatine, IL - (XXXXXXX, </w:t>
      </w:r>
      <w:r>
        <w:rPr>
          <w:rFonts w:ascii="Arial" w:cs="Arial" w:eastAsia="Arial" w:hAnsi="Arial"/>
          <w:sz w:val="18"/>
          <w:szCs w:val="18"/>
          <w:color w:val="auto"/>
          <w:highlight w:val="yellow"/>
        </w:rPr>
        <w:t>YY, 2014)</w:t>
      </w:r>
      <w:r>
        <w:rPr>
          <w:rFonts w:ascii="Arial" w:cs="Arial" w:eastAsia="Arial" w:hAnsi="Arial"/>
          <w:sz w:val="18"/>
          <w:szCs w:val="18"/>
          <w:color w:val="auto"/>
        </w:rPr>
        <w:t xml:space="preserve"> - Acura Pharmaceuticals, Inc. (NASDAQ: ACUR), a specialty pharmaceutical company developing products intended to address medication abuse and misuse, announced today a letter agreement with Pfizer Inc. providing for the termination of Pfizer’s license to Acura’s AVERSION Technology and the return to Acura of the FDA approved Oxecta® (oxycodone HCl) product. The letter agreement provides that Acura will make a one-time payment of $2.0 million to Pfizer. The license termination is effective April 9, 2014. The AVERSION Technology utilizes a proprietary mixture of inactive ingredients to discourage tampering of a product for abusive purposes.</w:t>
      </w:r>
    </w:p>
    <w:p>
      <w:pPr>
        <w:spacing w:after="0" w:line="4"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“We are pleased that we have been able to reach agreement on acceptable terms for the license termination,” said Bob Jones, President and Chief Executive Officer of Acura Pharmaceuticals. Mr. Jones further added, “We are currently evaluating our strategic options for the returned product and our other AVERSION Technology products in development, which may include a re-launch under a new brand name in partnership with another pharmaceutical company.”</w:t>
      </w:r>
    </w:p>
    <w:p>
      <w:pPr>
        <w:spacing w:after="0" w:line="2"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The Company will host a conference call to discuss our strategies for the product going forward on XXXXXX at XXXXX ET. To participate in the live conference call, please dial XXX-XXX-XXXX (U.S. and Canada) five to ten minutes prior to the start of the call. The participant passcode is YYYYYYY</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8" w:right="29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31.1</w:t>
      </w:r>
    </w:p>
    <w:p>
      <w:pPr>
        <w:spacing w:after="0" w:line="246"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7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67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340" w:hanging="8"/>
        <w:spacing w:after="0" w:line="308" w:lineRule="auto"/>
        <w:tabs>
          <w:tab w:leader="none" w:pos="681"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hanging="8"/>
        <w:spacing w:after="0" w:line="308" w:lineRule="auto"/>
        <w:tabs>
          <w:tab w:leader="none" w:pos="7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340" w:hanging="8"/>
        <w:spacing w:after="0" w:line="308" w:lineRule="auto"/>
        <w:tabs>
          <w:tab w:leader="none" w:pos="68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340"/>
              <w:spacing w:after="0"/>
              <w:rPr>
                <w:sz w:val="20"/>
                <w:szCs w:val="20"/>
                <w:color w:val="auto"/>
              </w:rPr>
            </w:pPr>
            <w:r>
              <w:rPr>
                <w:rFonts w:ascii="Arial" w:cs="Arial" w:eastAsia="Arial" w:hAnsi="Arial"/>
                <w:sz w:val="18"/>
                <w:szCs w:val="18"/>
                <w:color w:val="auto"/>
              </w:rPr>
              <w:t>July 30,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PERIODIC REPORT PURSUANT TO RULES 13a-14 AND 15d-14</w:t>
      </w:r>
    </w:p>
    <w:p>
      <w:pPr>
        <w:spacing w:after="0" w:line="1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OF THE SECURITIES EXCHANGE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631"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340" w:hanging="8"/>
        <w:spacing w:after="0" w:line="264" w:lineRule="auto"/>
        <w:tabs>
          <w:tab w:leader="none" w:pos="63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8"/>
        <w:spacing w:after="0" w:line="308" w:lineRule="auto"/>
        <w:tabs>
          <w:tab w:leader="none" w:pos="681"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hanging="8"/>
        <w:spacing w:after="0" w:line="308" w:lineRule="auto"/>
        <w:tabs>
          <w:tab w:leader="none" w:pos="70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340" w:hanging="8"/>
        <w:spacing w:after="0" w:line="308" w:lineRule="auto"/>
        <w:tabs>
          <w:tab w:leader="none" w:pos="672"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380"/>
              <w:spacing w:after="0"/>
              <w:rPr>
                <w:sz w:val="20"/>
                <w:szCs w:val="20"/>
                <w:color w:val="auto"/>
              </w:rPr>
            </w:pPr>
            <w:r>
              <w:rPr>
                <w:rFonts w:ascii="Arial" w:cs="Arial" w:eastAsia="Arial" w:hAnsi="Arial"/>
                <w:sz w:val="18"/>
                <w:szCs w:val="18"/>
                <w:color w:val="auto"/>
              </w:rPr>
              <w:t>July 30, 2014</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32.1</w:t>
      </w:r>
    </w:p>
    <w:p>
      <w:pPr>
        <w:spacing w:after="0" w:line="246"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June 30, 2014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300" w:hanging="292"/>
        <w:spacing w:after="0"/>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340"/>
              <w:spacing w:after="0"/>
              <w:rPr>
                <w:sz w:val="20"/>
                <w:szCs w:val="20"/>
                <w:color w:val="auto"/>
              </w:rPr>
            </w:pPr>
            <w:r>
              <w:rPr>
                <w:rFonts w:ascii="Arial" w:cs="Arial" w:eastAsia="Arial" w:hAnsi="Arial"/>
                <w:sz w:val="18"/>
                <w:szCs w:val="18"/>
                <w:color w:val="auto"/>
              </w:rPr>
              <w:t>July 30, 2014</w:t>
            </w: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r>
      <w:tr>
        <w:trPr>
          <w:trHeight w:val="195"/>
        </w:trPr>
        <w:tc>
          <w:tcPr>
            <w:tcW w:w="5500" w:type="dxa"/>
            <w:vAlign w:val="bottom"/>
          </w:tcPr>
          <w:p>
            <w:pPr>
              <w:spacing w:after="0"/>
              <w:rPr>
                <w:sz w:val="16"/>
                <w:szCs w:val="16"/>
                <w:color w:val="auto"/>
              </w:rPr>
            </w:pPr>
          </w:p>
        </w:tc>
        <w:tc>
          <w:tcPr>
            <w:tcW w:w="592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550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5500" w:type="dxa"/>
            <w:vAlign w:val="bottom"/>
          </w:tcPr>
          <w:p>
            <w:pPr>
              <w:spacing w:after="0"/>
              <w:rPr>
                <w:sz w:val="24"/>
                <w:szCs w:val="24"/>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5500" w:type="dxa"/>
            <w:vAlign w:val="bottom"/>
          </w:tcPr>
          <w:p>
            <w:pPr>
              <w:spacing w:after="0"/>
              <w:rPr>
                <w:sz w:val="16"/>
                <w:szCs w:val="16"/>
                <w:color w:val="auto"/>
              </w:rPr>
            </w:pPr>
          </w:p>
        </w:tc>
        <w:tc>
          <w:tcPr>
            <w:tcW w:w="592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5500" w:type="dxa"/>
            <w:vAlign w:val="bottom"/>
          </w:tcPr>
          <w:p>
            <w:pPr>
              <w:spacing w:after="0"/>
              <w:rPr>
                <w:sz w:val="20"/>
                <w:szCs w:val="20"/>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55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þ"/>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bullet"/>
      <w:start w:val="1"/>
    </w:lvl>
  </w:abstractNum>
  <w:abstractNum w:abstractNumId="13">
    <w:nsid w:val="6763845E"/>
    <w:multiLevelType w:val="hybridMultilevel"/>
    <w:lvl w:ilvl="0">
      <w:lvlJc w:val="left"/>
      <w:lvlText w:val="2"/>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bullet"/>
      <w:start w:val="1"/>
    </w:lvl>
  </w:abstractNum>
  <w:abstractNum w:abstractNumId="16">
    <w:nsid w:val="79838CB2"/>
    <w:multiLevelType w:val="hybridMultilevel"/>
    <w:lvl w:ilvl="0">
      <w:lvlJc w:val="left"/>
      <w:lvlText w:val="2"/>
      <w:numFmt w:val="bullet"/>
      <w:start w:val="1"/>
    </w:lvl>
  </w:abstractNum>
  <w:abstractNum w:abstractNumId="17">
    <w:nsid w:val="4353D0CD"/>
    <w:multiLevelType w:val="hybridMultilevel"/>
    <w:lvl w:ilvl="0">
      <w:lvlJc w:val="left"/>
      <w:lvlText w:val="1"/>
      <w:numFmt w:val="bullet"/>
      <w:start w:val="1"/>
    </w:lvl>
  </w:abstractNum>
  <w:abstractNum w:abstractNumId="18">
    <w:nsid w:val="B03E0C6"/>
    <w:multiLevelType w:val="hybridMultilevel"/>
    <w:lvl w:ilvl="0">
      <w:lvlJc w:val="left"/>
      <w:lvlText w:val="2"/>
      <w:numFmt w:val="bullet"/>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
      <w:numFmt w:val="bullet"/>
      <w:start w:val="1"/>
    </w:lvl>
    <w:lvl w:ilvl="1">
      <w:lvlJc w:val="left"/>
      <w:lvlText w:val="%2."/>
      <w:numFmt w:val="decimal"/>
      <w:start w:val="1"/>
    </w:lvl>
  </w:abstractNum>
  <w:abstractNum w:abstractNumId="21">
    <w:nsid w:val="71F3245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
    <w:nsid w:val="2CA88611"/>
    <w:multiLevelType w:val="hybridMultilevel"/>
    <w:lvl w:ilvl="0">
      <w:lvlJc w:val="left"/>
      <w:lvlText w:val="%1"/>
      <w:numFmt w:val="lowerLetter"/>
      <w:start w:val="1"/>
    </w:lvl>
    <w:lvl w:ilvl="1">
      <w:lvlJc w:val="left"/>
      <w:lvlText w:val="%2."/>
      <w:numFmt w:val="lowerRoman"/>
      <w:start w:val="4"/>
    </w:lvl>
  </w:abstractNum>
  <w:abstractNum w:abstractNumId="23">
    <w:nsid w:val="836C40E"/>
    <w:multiLevelType w:val="hybridMultilevel"/>
    <w:lvl w:ilvl="0">
      <w:lvlJc w:val="left"/>
      <w:lvlText w:val="%1."/>
      <w:numFmt w:val="lowerLetter"/>
      <w:start w:val="2"/>
    </w:lvl>
    <w:lvl w:ilvl="1">
      <w:lvlJc w:val="left"/>
      <w:lvlText w:val="%2"/>
      <w:numFmt w:val="lowerRoman"/>
      <w:start w:val="1"/>
    </w:lvl>
  </w:abstractNum>
  <w:abstractNum w:abstractNumId="24">
    <w:nsid w:val="2901D82"/>
    <w:multiLevelType w:val="hybridMultilevel"/>
    <w:lvl w:ilvl="0">
      <w:lvlJc w:val="left"/>
      <w:lvlText w:val="%1"/>
      <w:numFmt w:val="decimal"/>
      <w:start w:val="1"/>
    </w:lvl>
    <w:lvl w:ilvl="1">
      <w:lvlJc w:val="left"/>
      <w:lvlText w:val="%2."/>
      <w:numFmt w:val="lowerLetter"/>
      <w:start w:val="3"/>
    </w:lvl>
  </w:abstractNum>
  <w:abstractNum w:abstractNumId="25">
    <w:nsid w:val="3A95F874"/>
    <w:multiLevelType w:val="hybridMultilevel"/>
    <w:lvl w:ilvl="0">
      <w:lvlJc w:val="left"/>
      <w:lvlText w:val="%1."/>
      <w:numFmt w:val="decimal"/>
      <w:start w:val="5"/>
    </w:lvl>
    <w:lvl w:ilvl="1">
      <w:lvlJc w:val="left"/>
      <w:lvlText w:val="%2"/>
      <w:numFmt w:val="lowerLetter"/>
      <w:start w:val="1"/>
    </w:lvl>
  </w:abstractNum>
  <w:abstractNum w:abstractNumId="26">
    <w:nsid w:val="8138641"/>
    <w:multiLevelType w:val="hybridMultilevel"/>
    <w:lvl w:ilvl="0">
      <w:lvlJc w:val="left"/>
      <w:lvlText w:val="%1."/>
      <w:numFmt w:val="decimal"/>
      <w:start w:val="8"/>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2019-12-05T21:31:35Z</dcterms:created>
  <dcterms:modified xsi:type="dcterms:W3CDTF">2019-12-05T21:31:35Z</dcterms:modified>
</cp:coreProperties>
</file>