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 C. 20549</w:t>
      </w:r>
    </w:p>
    <w:p>
      <w:pPr>
        <w:spacing w:after="0" w:line="1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Pursuant to Section 13 or 15(d) of the Securities Exchange Act Of 1934</w:t>
      </w:r>
    </w:p>
    <w:p>
      <w:pPr>
        <w:spacing w:after="0" w:line="2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29,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ACURA PHARMACEUTICALS,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ectPr>
          <w:pgSz w:w="11900" w:h="16838" w:orient="portrait"/>
          <w:cols w:equalWidth="0" w:num="1">
            <w:col w:w="11240"/>
          </w:cols>
          <w:pgMar w:left="320" w:top="718" w:right="339" w:bottom="1440" w:gutter="0" w:footer="0" w:header="0"/>
        </w:sectPr>
      </w:pPr>
    </w:p>
    <w:p>
      <w:pPr>
        <w:spacing w:after="0" w:line="200" w:lineRule="exact"/>
        <w:rPr>
          <w:sz w:val="24"/>
          <w:szCs w:val="24"/>
          <w:color w:val="auto"/>
        </w:rPr>
      </w:pPr>
    </w:p>
    <w:p>
      <w:pPr>
        <w:spacing w:after="0" w:line="366" w:lineRule="exact"/>
        <w:rPr>
          <w:sz w:val="24"/>
          <w:szCs w:val="24"/>
          <w:color w:val="auto"/>
        </w:rPr>
      </w:pPr>
    </w:p>
    <w:p>
      <w:pPr>
        <w:ind w:left="1480"/>
        <w:spacing w:after="0"/>
        <w:rPr>
          <w:sz w:val="20"/>
          <w:szCs w:val="20"/>
          <w:color w:val="auto"/>
        </w:rPr>
      </w:pPr>
      <w:r>
        <w:rPr>
          <w:rFonts w:ascii="Times New Roman" w:cs="Times New Roman" w:eastAsia="Times New Roman" w:hAnsi="Times New Roman"/>
          <w:sz w:val="18"/>
          <w:szCs w:val="18"/>
          <w:b w:val="1"/>
          <w:bCs w:val="1"/>
          <w:color w:val="auto"/>
        </w:rPr>
        <w:t>New York</w:t>
      </w:r>
    </w:p>
    <w:p>
      <w:pPr>
        <w:spacing w:after="0" w:line="31" w:lineRule="exact"/>
        <w:rPr>
          <w:sz w:val="24"/>
          <w:szCs w:val="24"/>
          <w:color w:val="auto"/>
        </w:rPr>
      </w:pPr>
    </w:p>
    <w:p>
      <w:pPr>
        <w:ind w:left="82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9" w:lineRule="exact"/>
        <w:rPr>
          <w:sz w:val="24"/>
          <w:szCs w:val="24"/>
          <w:color w:val="auto"/>
        </w:rPr>
      </w:pPr>
    </w:p>
    <w:p>
      <w:pPr>
        <w:ind w:left="780"/>
        <w:spacing w:after="0"/>
        <w:rPr>
          <w:sz w:val="20"/>
          <w:szCs w:val="20"/>
          <w:color w:val="auto"/>
        </w:rPr>
      </w:pPr>
      <w:r>
        <w:rPr>
          <w:rFonts w:ascii="Times New Roman" w:cs="Times New Roman" w:eastAsia="Times New Roman" w:hAnsi="Times New Roman"/>
          <w:sz w:val="17"/>
          <w:szCs w:val="17"/>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46"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8"/>
          <w:szCs w:val="18"/>
          <w:b w:val="1"/>
          <w:bCs w:val="1"/>
          <w:color w:val="auto"/>
        </w:rPr>
        <w:t>1-10113</w:t>
      </w:r>
    </w:p>
    <w:p>
      <w:pPr>
        <w:spacing w:after="0" w:line="31"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46"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11-0853640</w:t>
      </w:r>
    </w:p>
    <w:p>
      <w:pPr>
        <w:spacing w:after="0" w:line="31" w:lineRule="exact"/>
        <w:rPr>
          <w:sz w:val="24"/>
          <w:szCs w:val="24"/>
          <w:color w:val="auto"/>
        </w:rPr>
      </w:pPr>
    </w:p>
    <w:p>
      <w:pPr>
        <w:ind w:left="20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Identification Number)</w:t>
      </w:r>
    </w:p>
    <w:p>
      <w:pPr>
        <w:spacing w:after="0" w:line="200" w:lineRule="exact"/>
        <w:rPr>
          <w:sz w:val="24"/>
          <w:szCs w:val="24"/>
          <w:color w:val="auto"/>
        </w:rPr>
      </w:pPr>
    </w:p>
    <w:p>
      <w:pPr>
        <w:sectPr>
          <w:pgSz w:w="11900" w:h="16838" w:orient="portrait"/>
          <w:cols w:equalWidth="0" w:num="3">
            <w:col w:w="3920" w:space="720"/>
            <w:col w:w="3200" w:space="720"/>
            <w:col w:w="2680"/>
          </w:cols>
          <w:pgMar w:left="320" w:top="718"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616 N. North Court, Suite 120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Palatine, Illinois 60067</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(847) 705-7709</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718" w:right="339" w:bottom="1440" w:gutter="0" w:footer="0" w:header="0"/>
          <w:type w:val="continuous"/>
        </w:sectPr>
      </w:pPr>
    </w:p>
    <w:p>
      <w:pPr>
        <w:spacing w:after="0" w:line="21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416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Trading Symbol(s)</w:t>
            </w:r>
          </w:p>
        </w:tc>
        <w:tc>
          <w:tcPr>
            <w:tcW w:w="3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144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520" w:type="dxa"/>
            <w:vAlign w:val="bottom"/>
            <w:shd w:val="clear" w:color="auto" w:fill="000000"/>
          </w:tcPr>
          <w:p>
            <w:pPr>
              <w:spacing w:after="0" w:line="20" w:lineRule="exact"/>
              <w:rPr>
                <w:sz w:val="1"/>
                <w:szCs w:val="1"/>
                <w:color w:val="auto"/>
              </w:rPr>
            </w:pPr>
          </w:p>
        </w:tc>
      </w:tr>
      <w:tr>
        <w:trPr>
          <w:trHeight w:val="237"/>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 $0.01 par value per share</w:t>
            </w:r>
          </w:p>
        </w:tc>
        <w:tc>
          <w:tcPr>
            <w:tcW w:w="41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ACUR</w:t>
            </w: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OTC Market – OTC Expert Market</w:t>
            </w:r>
          </w:p>
        </w:tc>
      </w:tr>
    </w:tbl>
    <w:p>
      <w:pPr>
        <w:spacing w:after="0" w:line="19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(17CFR240.14d-2(b))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(17CFR 240.13e-4(c))</w:t>
      </w:r>
    </w:p>
    <w:p>
      <w:pPr>
        <w:spacing w:after="0" w:line="225"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18"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 Entry into a Material Definitive Agreement.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each of May 15, 2026 and May 29, 2026, we received $100,000 loans from Abuse Deterrent Pharma, LLC (“AD Pharma”). On June 24, 2026, we received a $200,000 loan from AD Pharma. These loans combined with previous loans made to the Company and combined with the $2,319,279 under the November 10, 2022 Amended Consolidated and Restated Secured Promissory Note, now has a principal balance of $10,694,279 with accrued interest of approximately $1,160,000 as of June 24, 2026 and bears interest at 5.25% (“Note”). The Events of default under the Note include, among other items, bankruptcy events, failure to pay interest and principal when due and such failure continues for 5 days, and if Acura is generally not, or is unable to, or admits in writing its inability to, pay its debts as those debts become due. If any amount payable hereunder is not paid when due (without regard to any applicable grace periods), whether at stated maturity, by acceleration, or otherwise, including upon an event of default, such overdue amount shall bear interest at the rate per annum of 7.5% from the date of such non-payment until such amount is paid in full.</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funding provided by AD Pharma was used to meet day-to-day operation activity. There can be no assurance we will be successful in receiving additional financing. In the absence of the receipt of additional financing by late July 2026, we will be required to scale back our operations, including the furlough and lay-off of employees, or to terminate operations and/or seek protection under applicable bankruptcy laws. This could result in a complete loss of shareholder value in the Company. Even assuming we are successful in securing additional sources of financing to fund continued operations, there can be no assurance that the proceeds of such financing will be sufficient to fund operations until such time, if at all, that we generate sufficient revenue from our products and product candidates to sustain and grow our operation.</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inclusion of a description of the Note under Item 1.01 of this Current Report on Form 8-K shall not be deemed an acknowledgement that the Note is a material agreement not made, or deemed not to be made, in the ordinary course of our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 Entry into a Material Definitive Agreement.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29, 2026, Acura Pharmaceuticals, Inc. (“we” “Acura” or the “Company”), received the executed agreement to further amend the June 28, 2019 License, Development and Commercialization Agreement (“Amended Agreement”) with AD Pharma, for the development of LTX-03 (hydrocodone bitartrate with acetaminophen) immediate-release tablets utilizing Acura’s patented LIMITx technology which addresses the consequences of excess oral administration of opioid tablets, the most prevalent route of opioid overdose and abuse.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amendment #14 has an effective date of June 15, 2026 and extends the FDA’s acceptance date of a New Drug Application (“NDA”) for LTX-03 from June 30, 2026 to December 31, 2026 (“NDA Acceptance Date”) (“Amended Agreement”).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 Pharma may terminate the Amended Agreement at any time. Additionally, if the NDA for LTX-03 is not accepted by the FDA by the NDA Acceptance Date, AD Pharma may terminate the Amended Agreement and take ownership of the intellectual property rights of LTX-03 from the Company. Should AD Pharma choose not to exercise this option to terminate the Amended Agreement and the NDA for LTX-03 is subsequently accepted by the FDA, such option to terminate the Amended Agreement expires.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inclusion of a description of the Amended Agreement with AD Pharma under Item 1.01 of this Current Report on Form 8-K shall not be deemed an acknowledgment that the Amended Agreement is a material agreement not made, or deemed not to be made, in the ordinary course of our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 Entry into a Material Definitive Agreement.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29, 2026, we received the executed agreement to further amend the November 10, 2022 Amended, Consolidated and Restated Secured Promissory Note (the “Amended Note”) with AD Pharma. This amendment #8 has an effective date of June 15, 2026 and changes the maturity date of the Amended Note from June 30, 2026 to December 31, 2026, at which time all principal and interest is due.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inclusion of a description of the Amended Note under Item 1.01 of this Current Report on Form 8-K shall not be deemed an acknowledgement that the Amended Note is a material agreement not made, or deemed not to be made, in the ordinary course of our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 Entry into a Material Definitive Agreement.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previously announced on June 28, 2019, we entered into a promissory note with John Schutte that consolidated existing promissory notes into a single note for $6.0 million bearing interest at 7.5% (“$6.0 Million Note”). At that time, we also granted to Mr. Schutte conversion rights of the $6.0 Million Note into Acura common stock at $0.16 per share, issued to him a warrant to purchase 10.0 million shares of the Company’s common stock at a price of $0.01 per share having an expiration date of June 28, 2024 (“Warrant”) and granted a security interest in all our assets (“Security Agreement”). With our consent, effective on June 28, 2019, Mr. Schutte assigned and transferred to AD Pharma all of his right, title and interest in this $6.0 Million Loan, Security Agreement and Warrant. We previously announced on June 9, 2021, we received notice of conversion from AD Pharma for the $6.0 Million Note and approximately $877 thousand of accrued but unpaid interest on the $6.0 Million Note. The principal and interest on the $6.0 Million Note were converted into 42,984,375 shares of the Company’s common stock.</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both"/>
        <w:spacing w:after="0" w:line="266" w:lineRule="auto"/>
        <w:rPr>
          <w:sz w:val="20"/>
          <w:szCs w:val="20"/>
          <w:color w:val="auto"/>
        </w:rPr>
      </w:pPr>
      <w:r>
        <w:rPr>
          <w:rFonts w:ascii="Times New Roman" w:cs="Times New Roman" w:eastAsia="Times New Roman" w:hAnsi="Times New Roman"/>
          <w:sz w:val="18"/>
          <w:szCs w:val="18"/>
          <w:color w:val="auto"/>
        </w:rPr>
        <w:t>Effective June 15, 2026, in consideration of further amending the November 10, 2022 Amended, Consolidated and Restated Secured Promissory Note (the “Note”) with AD Pharma which changed the maturity date of the Note from June 30, 2026 to December 31, 2026, we amended the Warrant to change the expiration date of the Warrant from June 30, 2026 to December 31, 2026.</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inclusion of a description of the Warrant under Item 1.01 of this Current Report on Form 8-K shall not be deemed an acknowledgement that the Note is a material agreement not made, or deemed not to be made, in the ordinary course of our business.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June 15, 2026, AD Pharma directly owns approximately 65% of the outstanding common stock of the Company. The ownership percentage of the Company held by AD Pharma does not include their warrant to purchase 10.0 million shares of common stock of the Company. AD Pharma is an entity controlled by Mr. Schutte, of which Mr. Schutte is the managing partner and investor. At June 15, 2026, Mr. Schutte directly owns approximately 13% of the outstanding common stock of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2.01 – Completion of Acquisition or Disposition of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contents of all Items 1.01 are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 Creation of a Direct Financial Obligation or an Obligation under an Off-Balance Sheet Arrangement of a Registrant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contents of all Items 1.01 are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Acura Forward-Looking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Statements in this Current Report constitute forward-looking statements within the meaning of the Private Securities Litigation Reform Act of 1995 and these forward-looking statements are made in reliance on the safe harbor provisions of Section 27A of the Securities Act of 1933, as amended, and Section 21E of the Securities Exchange Act of 1934, as amended. Such forward-looking statements involve known and unknown risks, uncertainties and other factors which may cause our actual results, performance or achievements to be materially different from any future results, performance, or achievements expressed or implied by such forward-looking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Forward-looking statements may include, but are not limited to:</w:t>
      </w:r>
    </w:p>
    <w:p>
      <w:pPr>
        <w:spacing w:after="0" w:line="225"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FDA will agree with or accept the results of our studies for our product candidates;</w:t>
      </w:r>
    </w:p>
    <w:p>
      <w:pPr>
        <w:spacing w:after="0" w:line="27"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fulfill the FDA requirements for approving our product candidates for commercial manufacturing and distribution in the United States, including, without limitation, the adequacy of the results of the laboratory and clinical studies completed to date, the results of laboratory and clinical studies we may complete in the future to support FDA approval of our product candidates and the sufficiency of our development process to meet over-the-counter (“OTC”) Monograph standards, as applicable;</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can successfully submit a New Drug Application for LTX-03, request a priority review and whether such filings and requests will be accepted by the FDA;</w:t>
      </w:r>
    </w:p>
    <w:p>
      <w:pPr>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from Abuse Deterrent Pharma, LLC or other parties for our continuing operations, including the development of our products utilizing our LIMITx™ and Impede® technologies;</w:t>
      </w:r>
    </w:p>
    <w:p>
      <w:pPr>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can renegotiate the date by which we are required to obtain FDA acceptance, currently December 31, 2026, for an NDA for LTX-03 by our agreement with Abuse Deterrent Pharma, LLC on which we depend to finance operations;</w:t>
      </w:r>
    </w:p>
    <w:p>
      <w:pPr>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can renegotiate the date by which we are required to pay off the secured promissory note and accrued interest to Abuse Deterrent Pharma, LLC, currently December 31, 2026, 2026;</w:t>
      </w: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licensing partners will develop any additional products and utilize Acura for such development;</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results of clinical studies relating to LTX-03, a LIMITx hydrocodone bitartrate and acetaminophen combination product, or any successor product candidate, the date by which such studies will be complete and the results will be available and whether LTX-03 will ultimately receive FDA approval;</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could be adversely affected by health epidemics in regions where third parties for which we rely, as in CROs or CMOs, have concentrations of clinical trial sites or other business operations, and could cause significant disruption in the operations of third-party manufacturers and CROs upon whom we rely;</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LIMITx will retard the release of opioid active ingredients as dose levels increase;</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extent to which products formulated with the LIMITx Technology reduce respiratory depression will be determined sufficient by the FDA to support approval or labelling describing safety features;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our licensee’s ability to successfully launch and commercialize our products and technologies;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and timing of our development of our LIMITx Technology, including, but not limited to, the submission of a NDA and/or FDA filing acceptance;</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or our licensees’ ability to obtain necessary regulatory approvals and commercialize products utilizing our technologies;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acceptance of, timing of commercial launch and competitive environment for any of our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potential market share for our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enter into additional license agreements for our product candidates using our technologies;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exposure to product liability and other lawsuits in connection with the commercialization of our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increasing cost of insurance and the availability of product liability insurance coverage;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avoid infringement of patents, trademarks and other proprietary rights of third parties;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patents to protect our products from generic competition and our ability to protect and enforce our patent rights in any paragraph IV patent infringement litigation;</w:t>
      </w:r>
    </w:p>
    <w:p>
      <w:pPr>
        <w:ind w:left="6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the development program for our product candidates, including whether additional clinical studies will be required to support FDA approval of our product candidates;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safety findings relating to our commercialized products or product candidates in development;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FDA will agree with our analysis of our clinical and laboratory studies;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when we are able to obtain FDA approval of labeling for our product candidates for the proposed indications and whether we will be able to promote the features of our technologies; and</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product candidates will ultimately perform as intended in commercial settings.</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“aim”, "anticipate", "believe", "could", "design", "estimate", "expect", "forecast", "goal", "guidance", "imply", “indicate”, "intend", "may", "objective", "opportunity", "outlook", "plan", "position", "potential", "predict", "project", "prospective", "pursue", "seek", "should", "strategy", "target", "would", "will", and other words of similar meaning, expressions, derivations of such words and the use of future dates intended to identify forward-looking statements. These statements reflect our current views with respect to future events and are based on assumptions and subject to risks and uncertainties. Given these uncertainties, you should not place undue reliance on these forward-looking statements. We discuss many of these risks in greater detail in Acura’s Annual Report on Form 10-K and Quarterly Reports on Form 10-Q filed with the U.S. Securities and Exchange Commission ("SEC") and in other filings Acura makes with the SEC from time to time. Investors and potential investors are urged not to place undue reliance on forward-looking statements in this communication, which speak only as of this date of the Current Report and are based on the Company’s current beliefs, assumptions, and expectations. While Acura may elect to update these forward-looking statements at some point in the future, it specifically disclaims any obligation to update or revise any forward-looking statements contained in this Current Report whether as a result of new information or future events, except as may be required by applicable law.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 Financial Statements and Exhibits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95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12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440" w:type="dxa"/>
            <w:vAlign w:val="bottom"/>
          </w:tcPr>
          <w:p>
            <w:pPr>
              <w:spacing w:after="0"/>
              <w:rPr>
                <w:sz w:val="17"/>
                <w:szCs w:val="17"/>
                <w:color w:val="auto"/>
              </w:rPr>
            </w:pPr>
          </w:p>
        </w:tc>
        <w:tc>
          <w:tcPr>
            <w:tcW w:w="954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Amended Loan Schedule dated June 29, 2026 to the November 10, 2022 Amended, Consolidated and Restated Secured Promissory</w:t>
            </w:r>
          </w:p>
        </w:tc>
      </w:tr>
      <w:tr>
        <w:trPr>
          <w:trHeight w:val="196"/>
        </w:trPr>
        <w:tc>
          <w:tcPr>
            <w:tcW w:w="320" w:type="dxa"/>
            <w:vAlign w:val="bottom"/>
            <w:tcBorders>
              <w:top w:val="single" w:sz="8" w:color="0000EE"/>
            </w:tcBorders>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4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Note with Abuse Deterrent Pharma, LLC</w:t>
            </w:r>
          </w:p>
        </w:tc>
      </w:tr>
      <w:tr>
        <w:trPr>
          <w:trHeight w:val="20"/>
        </w:trPr>
        <w:tc>
          <w:tcPr>
            <w:tcW w:w="12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12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2</w:t>
            </w:r>
          </w:p>
        </w:tc>
        <w:tc>
          <w:tcPr>
            <w:tcW w:w="440" w:type="dxa"/>
            <w:vAlign w:val="bottom"/>
          </w:tcPr>
          <w:p>
            <w:pPr>
              <w:spacing w:after="0"/>
              <w:rPr>
                <w:sz w:val="17"/>
                <w:szCs w:val="17"/>
                <w:color w:val="auto"/>
              </w:rPr>
            </w:pPr>
          </w:p>
        </w:tc>
        <w:tc>
          <w:tcPr>
            <w:tcW w:w="954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Amendment #14 dated June 15, 2026 to the License, Development and Commercialization Agreement with Abuse Deterrent</w:t>
            </w:r>
          </w:p>
        </w:tc>
      </w:tr>
      <w:tr>
        <w:trPr>
          <w:trHeight w:val="196"/>
        </w:trPr>
        <w:tc>
          <w:tcPr>
            <w:tcW w:w="320" w:type="dxa"/>
            <w:vAlign w:val="bottom"/>
            <w:tcBorders>
              <w:top w:val="single" w:sz="8" w:color="0000EE"/>
            </w:tcBorders>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Pharma, LLC</w:t>
            </w:r>
          </w:p>
        </w:tc>
        <w:tc>
          <w:tcPr>
            <w:tcW w:w="8560" w:type="dxa"/>
            <w:vAlign w:val="bottom"/>
            <w:tcBorders>
              <w:top w:val="single" w:sz="8" w:color="0000EE"/>
            </w:tcBorders>
            <w:gridSpan w:val="4"/>
          </w:tcPr>
          <w:p>
            <w:pPr>
              <w:spacing w:after="0"/>
              <w:rPr>
                <w:sz w:val="17"/>
                <w:szCs w:val="17"/>
                <w:color w:val="auto"/>
              </w:rPr>
            </w:pPr>
          </w:p>
        </w:tc>
      </w:tr>
      <w:tr>
        <w:trPr>
          <w:trHeight w:val="196"/>
        </w:trPr>
        <w:tc>
          <w:tcPr>
            <w:tcW w:w="12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3</w:t>
            </w:r>
          </w:p>
        </w:tc>
        <w:tc>
          <w:tcPr>
            <w:tcW w:w="440" w:type="dxa"/>
            <w:vAlign w:val="bottom"/>
          </w:tcPr>
          <w:p>
            <w:pPr>
              <w:spacing w:after="0"/>
              <w:rPr>
                <w:sz w:val="17"/>
                <w:szCs w:val="17"/>
                <w:color w:val="auto"/>
              </w:rPr>
            </w:pPr>
          </w:p>
        </w:tc>
        <w:tc>
          <w:tcPr>
            <w:tcW w:w="954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Amendment #8 dated June 15, 2026 to the November 10, 2022 Amended, Consolidated and Restated Secured Promissory Note with</w:t>
            </w:r>
          </w:p>
        </w:tc>
      </w:tr>
      <w:tr>
        <w:trPr>
          <w:trHeight w:val="196"/>
        </w:trPr>
        <w:tc>
          <w:tcPr>
            <w:tcW w:w="320" w:type="dxa"/>
            <w:vAlign w:val="bottom"/>
            <w:tcBorders>
              <w:top w:val="single" w:sz="8" w:color="0000EE"/>
            </w:tcBorders>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4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Abuse Deterrent Pharma, LLC</w:t>
            </w:r>
          </w:p>
        </w:tc>
      </w:tr>
      <w:tr>
        <w:trPr>
          <w:trHeight w:val="20"/>
        </w:trPr>
        <w:tc>
          <w:tcPr>
            <w:tcW w:w="12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7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12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4</w:t>
            </w:r>
          </w:p>
        </w:tc>
        <w:tc>
          <w:tcPr>
            <w:tcW w:w="440" w:type="dxa"/>
            <w:vAlign w:val="bottom"/>
          </w:tcPr>
          <w:p>
            <w:pPr>
              <w:spacing w:after="0"/>
              <w:rPr>
                <w:sz w:val="17"/>
                <w:szCs w:val="17"/>
                <w:color w:val="auto"/>
              </w:rPr>
            </w:pPr>
          </w:p>
        </w:tc>
        <w:tc>
          <w:tcPr>
            <w:tcW w:w="954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Amendment #6 dated June 15, 2026 to the June 28, 2019 Common Stock Purchase Warrant with Abuse Deterrent Pharma, LLC</w:t>
            </w:r>
          </w:p>
        </w:tc>
      </w:tr>
      <w:tr>
        <w:trPr>
          <w:trHeight w:val="237"/>
        </w:trPr>
        <w:tc>
          <w:tcPr>
            <w:tcW w:w="3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104</w:t>
            </w: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4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Inline XBRL document)</w:t>
            </w:r>
          </w:p>
        </w:tc>
        <w:tc>
          <w:tcPr>
            <w:tcW w:w="300" w:type="dxa"/>
            <w:vAlign w:val="bottom"/>
          </w:tcPr>
          <w:p>
            <w:pPr>
              <w:spacing w:after="0"/>
              <w:rPr>
                <w:sz w:val="20"/>
                <w:szCs w:val="20"/>
                <w:color w:val="auto"/>
              </w:rPr>
            </w:pPr>
          </w:p>
        </w:tc>
      </w:tr>
      <w:tr>
        <w:trPr>
          <w:trHeight w:val="891"/>
        </w:trPr>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gridSpan w:val="5"/>
          </w:tcPr>
          <w:p>
            <w:pPr>
              <w:ind w:left="3880"/>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ACURA PHARMACEUTICALS,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Robert A. Seiser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Robert A. Seiser</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Senior Vice President &amp; Chief Financial Officer</w:t>
      </w:r>
    </w:p>
    <w:p>
      <w:pPr>
        <w:spacing w:after="0" w:line="20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Date:</w:t>
        <w:tab/>
        <w:t>June 29, 2026</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ind w:left="2800" w:right="2600" w:hanging="248"/>
        <w:spacing w:after="0" w:line="317" w:lineRule="auto"/>
        <w:rPr>
          <w:sz w:val="20"/>
          <w:szCs w:val="20"/>
          <w:color w:val="auto"/>
        </w:rPr>
      </w:pPr>
      <w:r>
        <w:rPr>
          <w:rFonts w:ascii="Times New Roman" w:cs="Times New Roman" w:eastAsia="Times New Roman" w:hAnsi="Times New Roman"/>
          <w:sz w:val="17"/>
          <w:szCs w:val="17"/>
          <w:b w:val="1"/>
          <w:bCs w:val="1"/>
          <w:color w:val="auto"/>
        </w:rPr>
        <w:t>Amended Loan Schedule to Secured Promissory Note dated November 10, 2022 between Acura Pharmaceuticals, Inc. and Abuse Deterrent Pharma, LLC</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Aggregated</w:t>
            </w:r>
          </w:p>
        </w:tc>
      </w:tr>
      <w:tr>
        <w:trPr>
          <w:trHeight w:val="234"/>
        </w:trPr>
        <w:tc>
          <w:tcPr>
            <w:tcW w:w="6760" w:type="dxa"/>
            <w:vAlign w:val="bottom"/>
          </w:tcPr>
          <w:p>
            <w:pPr>
              <w:spacing w:after="0"/>
              <w:rPr>
                <w:sz w:val="20"/>
                <w:szCs w:val="20"/>
                <w:color w:val="auto"/>
              </w:rPr>
            </w:pPr>
          </w:p>
        </w:tc>
        <w:tc>
          <w:tcPr>
            <w:tcW w:w="16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Date</w:t>
            </w:r>
          </w:p>
        </w:tc>
        <w:tc>
          <w:tcPr>
            <w:tcW w:w="180" w:type="dxa"/>
            <w:vAlign w:val="bottom"/>
          </w:tcPr>
          <w:p>
            <w:pPr>
              <w:spacing w:after="0"/>
              <w:rPr>
                <w:sz w:val="20"/>
                <w:szCs w:val="20"/>
                <w:color w:val="auto"/>
              </w:rPr>
            </w:pP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Principal</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Principal</w:t>
            </w:r>
          </w:p>
        </w:tc>
      </w:tr>
      <w:tr>
        <w:trPr>
          <w:trHeight w:val="209"/>
        </w:trPr>
        <w:tc>
          <w:tcPr>
            <w:tcW w:w="6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Original Secured Promissory Note</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11/10/2022</w:t>
            </w: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2,319,279</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2,319,279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Additional Loans to be included:</w:t>
            </w: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Loans #1 dated 12/22/2022 through Loans #50 dated 12/31/2025</w:t>
            </w: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7,075,000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9,394,279</w:t>
            </w:r>
          </w:p>
        </w:tc>
      </w:tr>
      <w:tr>
        <w:trPr>
          <w:trHeight w:val="216"/>
        </w:trPr>
        <w:tc>
          <w:tcPr>
            <w:tcW w:w="6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Loan #51</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1/02/2026</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100,000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9,494,279</w:t>
            </w:r>
          </w:p>
        </w:tc>
      </w:tr>
      <w:tr>
        <w:trPr>
          <w:trHeight w:val="216"/>
        </w:trPr>
        <w:tc>
          <w:tcPr>
            <w:tcW w:w="6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Loan #52</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1/16/2026</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100,000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9,594,279</w:t>
            </w:r>
          </w:p>
        </w:tc>
      </w:tr>
      <w:tr>
        <w:trPr>
          <w:trHeight w:val="216"/>
        </w:trPr>
        <w:tc>
          <w:tcPr>
            <w:tcW w:w="6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Loan #53</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2/06/2026</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100,000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9,694,279</w:t>
            </w:r>
          </w:p>
        </w:tc>
      </w:tr>
      <w:tr>
        <w:trPr>
          <w:trHeight w:val="216"/>
        </w:trPr>
        <w:tc>
          <w:tcPr>
            <w:tcW w:w="6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Loan #54</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2/13/2026</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100,000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9,794,279</w:t>
            </w:r>
          </w:p>
        </w:tc>
      </w:tr>
      <w:tr>
        <w:trPr>
          <w:trHeight w:val="216"/>
        </w:trPr>
        <w:tc>
          <w:tcPr>
            <w:tcW w:w="6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Loan #55</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3/09/2026</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100,000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9,894,279</w:t>
            </w:r>
          </w:p>
        </w:tc>
      </w:tr>
      <w:tr>
        <w:trPr>
          <w:trHeight w:val="216"/>
        </w:trPr>
        <w:tc>
          <w:tcPr>
            <w:tcW w:w="6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Loan #56</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3/30/2026</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100,000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9,994,279</w:t>
            </w:r>
          </w:p>
        </w:tc>
      </w:tr>
      <w:tr>
        <w:trPr>
          <w:trHeight w:val="216"/>
        </w:trPr>
        <w:tc>
          <w:tcPr>
            <w:tcW w:w="6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Loan #57</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4/03/2026</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100,000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10,094,279</w:t>
            </w:r>
          </w:p>
        </w:tc>
      </w:tr>
      <w:tr>
        <w:trPr>
          <w:trHeight w:val="216"/>
        </w:trPr>
        <w:tc>
          <w:tcPr>
            <w:tcW w:w="6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Loan #58</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4/20/2026</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100,000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10,194,279</w:t>
            </w:r>
          </w:p>
        </w:tc>
      </w:tr>
      <w:tr>
        <w:trPr>
          <w:trHeight w:val="216"/>
        </w:trPr>
        <w:tc>
          <w:tcPr>
            <w:tcW w:w="6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Loan #59</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5/05/2026</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100,000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10,294,279</w:t>
            </w:r>
          </w:p>
        </w:tc>
      </w:tr>
      <w:tr>
        <w:trPr>
          <w:trHeight w:val="216"/>
        </w:trPr>
        <w:tc>
          <w:tcPr>
            <w:tcW w:w="6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Loan #60</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5/15/2026</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100,000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10,394,279</w:t>
            </w:r>
          </w:p>
        </w:tc>
      </w:tr>
      <w:tr>
        <w:trPr>
          <w:trHeight w:val="216"/>
        </w:trPr>
        <w:tc>
          <w:tcPr>
            <w:tcW w:w="6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Loan #61</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5/29/2026</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100,000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10,494,279</w:t>
            </w:r>
          </w:p>
        </w:tc>
      </w:tr>
      <w:tr>
        <w:trPr>
          <w:trHeight w:val="216"/>
        </w:trPr>
        <w:tc>
          <w:tcPr>
            <w:tcW w:w="6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Loan #62</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6/24/2026</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200,000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10,694,279</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ACURA PHARMACEUTICALS,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Robert A. Seiser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A. Seiser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&amp; CFO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29,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ind w:left="10120"/>
        <w:spacing w:after="0"/>
        <w:rPr>
          <w:sz w:val="20"/>
          <w:szCs w:val="20"/>
          <w:color w:val="auto"/>
        </w:rPr>
      </w:pPr>
      <w:r>
        <w:rPr>
          <w:rFonts w:ascii="Times New Roman" w:cs="Times New Roman" w:eastAsia="Times New Roman" w:hAnsi="Times New Roman"/>
          <w:sz w:val="21"/>
          <w:szCs w:val="21"/>
          <w:b w:val="1"/>
          <w:bCs w:val="1"/>
          <w:color w:val="auto"/>
        </w:rPr>
        <w:t>Exhibit 99.2</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F0E0F"/>
        </w:rPr>
        <w:t>AMENDMENT #14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F0E0F"/>
        </w:rPr>
        <w:t>TO LICENSE, DEVELOPMENT AND COMMERCIALIZATION AGREEMENT</w:t>
      </w:r>
    </w:p>
    <w:p>
      <w:pPr>
        <w:spacing w:after="0" w:line="203"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0F0E0F"/>
        </w:rPr>
        <w:t xml:space="preserve">This AMENDMENT #14 (this </w:t>
      </w:r>
      <w:r>
        <w:rPr>
          <w:rFonts w:ascii="Times New Roman" w:cs="Times New Roman" w:eastAsia="Times New Roman" w:hAnsi="Times New Roman"/>
          <w:sz w:val="18"/>
          <w:szCs w:val="18"/>
          <w:b w:val="1"/>
          <w:bCs w:val="1"/>
          <w:color w:val="0F0E0F"/>
        </w:rPr>
        <w:t>"Amendment")</w:t>
      </w:r>
      <w:r>
        <w:rPr>
          <w:rFonts w:ascii="Times New Roman" w:cs="Times New Roman" w:eastAsia="Times New Roman" w:hAnsi="Times New Roman"/>
          <w:sz w:val="18"/>
          <w:szCs w:val="18"/>
          <w:color w:val="0F0E0F"/>
        </w:rPr>
        <w:t xml:space="preserve"> TO LICENSE, DEVELOPMENT AND COMMERCIALIZATION AGREEMENT (the </w:t>
      </w:r>
      <w:r>
        <w:rPr>
          <w:rFonts w:ascii="Times New Roman" w:cs="Times New Roman" w:eastAsia="Times New Roman" w:hAnsi="Times New Roman"/>
          <w:sz w:val="18"/>
          <w:szCs w:val="18"/>
          <w:b w:val="1"/>
          <w:bCs w:val="1"/>
          <w:color w:val="0F0E0F"/>
        </w:rPr>
        <w:t xml:space="preserve">"Agreement") </w:t>
      </w:r>
      <w:r>
        <w:rPr>
          <w:rFonts w:ascii="Times New Roman" w:cs="Times New Roman" w:eastAsia="Times New Roman" w:hAnsi="Times New Roman"/>
          <w:sz w:val="18"/>
          <w:szCs w:val="18"/>
          <w:color w:val="0F0E0F"/>
        </w:rPr>
        <w:t>dated June 28, 2019 between Acura Pharmaceuticals, Inc</w:t>
      </w:r>
      <w:r>
        <w:rPr>
          <w:rFonts w:ascii="Times New Roman" w:cs="Times New Roman" w:eastAsia="Times New Roman" w:hAnsi="Times New Roman"/>
          <w:sz w:val="18"/>
          <w:szCs w:val="18"/>
          <w:color w:val="3D3D3D"/>
        </w:rPr>
        <w:t>.</w:t>
      </w:r>
      <w:r>
        <w:rPr>
          <w:rFonts w:ascii="Times New Roman" w:cs="Times New Roman" w:eastAsia="Times New Roman" w:hAnsi="Times New Roman"/>
          <w:sz w:val="18"/>
          <w:szCs w:val="18"/>
          <w:b w:val="1"/>
          <w:bCs w:val="1"/>
          <w:color w:val="0F0E0F"/>
        </w:rPr>
        <w:t xml:space="preserve"> ("Acura"), </w:t>
      </w:r>
      <w:r>
        <w:rPr>
          <w:rFonts w:ascii="Times New Roman" w:cs="Times New Roman" w:eastAsia="Times New Roman" w:hAnsi="Times New Roman"/>
          <w:sz w:val="18"/>
          <w:szCs w:val="18"/>
          <w:color w:val="0F0E0F"/>
        </w:rPr>
        <w:t>a New York corporation, having a place of business at 616 N. North</w:t>
      </w:r>
      <w:r>
        <w:rPr>
          <w:rFonts w:ascii="Times New Roman" w:cs="Times New Roman" w:eastAsia="Times New Roman" w:hAnsi="Times New Roman"/>
          <w:sz w:val="18"/>
          <w:szCs w:val="18"/>
          <w:b w:val="1"/>
          <w:bCs w:val="1"/>
          <w:color w:val="0F0E0F"/>
        </w:rPr>
        <w:t xml:space="preserve"> </w:t>
      </w:r>
      <w:r>
        <w:rPr>
          <w:rFonts w:ascii="Times New Roman" w:cs="Times New Roman" w:eastAsia="Times New Roman" w:hAnsi="Times New Roman"/>
          <w:sz w:val="18"/>
          <w:szCs w:val="18"/>
          <w:color w:val="0F0E0F"/>
        </w:rPr>
        <w:t>Court, Suite 120, Palatine</w:t>
      </w:r>
      <w:r>
        <w:rPr>
          <w:rFonts w:ascii="Times New Roman" w:cs="Times New Roman" w:eastAsia="Times New Roman" w:hAnsi="Times New Roman"/>
          <w:sz w:val="18"/>
          <w:szCs w:val="18"/>
          <w:color w:val="262626"/>
        </w:rPr>
        <w:t>,</w:t>
      </w:r>
      <w:r>
        <w:rPr>
          <w:rFonts w:ascii="Times New Roman" w:cs="Times New Roman" w:eastAsia="Times New Roman" w:hAnsi="Times New Roman"/>
          <w:sz w:val="18"/>
          <w:szCs w:val="18"/>
          <w:color w:val="0F0E0F"/>
        </w:rPr>
        <w:t xml:space="preserve"> IL 60067, and Abuse Deterrent Pharma</w:t>
      </w:r>
      <w:r>
        <w:rPr>
          <w:rFonts w:ascii="Times New Roman" w:cs="Times New Roman" w:eastAsia="Times New Roman" w:hAnsi="Times New Roman"/>
          <w:sz w:val="18"/>
          <w:szCs w:val="18"/>
          <w:color w:val="262626"/>
        </w:rPr>
        <w:t>,</w:t>
      </w:r>
      <w:r>
        <w:rPr>
          <w:rFonts w:ascii="Times New Roman" w:cs="Times New Roman" w:eastAsia="Times New Roman" w:hAnsi="Times New Roman"/>
          <w:sz w:val="18"/>
          <w:szCs w:val="18"/>
          <w:color w:val="0F0E0F"/>
        </w:rPr>
        <w:t xml:space="preserve"> LLC </w:t>
      </w:r>
      <w:r>
        <w:rPr>
          <w:rFonts w:ascii="Times New Roman" w:cs="Times New Roman" w:eastAsia="Times New Roman" w:hAnsi="Times New Roman"/>
          <w:sz w:val="18"/>
          <w:szCs w:val="18"/>
          <w:b w:val="1"/>
          <w:bCs w:val="1"/>
          <w:color w:val="0F0E0F"/>
        </w:rPr>
        <w:t>("AD Pharma"),</w:t>
      </w:r>
      <w:r>
        <w:rPr>
          <w:rFonts w:ascii="Times New Roman" w:cs="Times New Roman" w:eastAsia="Times New Roman" w:hAnsi="Times New Roman"/>
          <w:sz w:val="18"/>
          <w:szCs w:val="18"/>
          <w:color w:val="0F0E0F"/>
        </w:rPr>
        <w:t xml:space="preserve"> a Kentucky limited liability company</w:t>
      </w:r>
      <w:r>
        <w:rPr>
          <w:rFonts w:ascii="Times New Roman" w:cs="Times New Roman" w:eastAsia="Times New Roman" w:hAnsi="Times New Roman"/>
          <w:sz w:val="18"/>
          <w:szCs w:val="18"/>
          <w:color w:val="3D3D3D"/>
        </w:rPr>
        <w:t>,</w:t>
      </w:r>
      <w:r>
        <w:rPr>
          <w:rFonts w:ascii="Times New Roman" w:cs="Times New Roman" w:eastAsia="Times New Roman" w:hAnsi="Times New Roman"/>
          <w:sz w:val="18"/>
          <w:szCs w:val="18"/>
          <w:color w:val="0F0E0F"/>
        </w:rPr>
        <w:t xml:space="preserve"> having a place of business at 2604 River Green Circle, Louisville, Kentucky 40206, is made as of June 15, 2026.</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F0E0F"/>
        </w:rPr>
        <w:t>RECITALS</w:t>
      </w:r>
    </w:p>
    <w:p>
      <w:pPr>
        <w:spacing w:after="0" w:line="225"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color w:val="0F0E0F"/>
        </w:rPr>
        <w:t xml:space="preserve">WHEREAS, </w:t>
      </w:r>
      <w:r>
        <w:rPr>
          <w:rFonts w:ascii="Times New Roman" w:cs="Times New Roman" w:eastAsia="Times New Roman" w:hAnsi="Times New Roman"/>
          <w:sz w:val="18"/>
          <w:szCs w:val="18"/>
          <w:color w:val="0F0E0F"/>
        </w:rPr>
        <w:t>Acura and AD Pharma have entered into certain Amendments to the Agreement (the</w:t>
      </w:r>
      <w:r>
        <w:rPr>
          <w:rFonts w:ascii="Times New Roman" w:cs="Times New Roman" w:eastAsia="Times New Roman" w:hAnsi="Times New Roman"/>
          <w:sz w:val="18"/>
          <w:szCs w:val="18"/>
          <w:b w:val="1"/>
          <w:bCs w:val="1"/>
          <w:color w:val="0F0E0F"/>
        </w:rPr>
        <w:t xml:space="preserve"> "Prior Amendments") </w:t>
      </w:r>
      <w:r>
        <w:rPr>
          <w:rFonts w:ascii="Times New Roman" w:cs="Times New Roman" w:eastAsia="Times New Roman" w:hAnsi="Times New Roman"/>
          <w:sz w:val="18"/>
          <w:szCs w:val="18"/>
          <w:color w:val="0F0E0F"/>
        </w:rPr>
        <w:t>as follows: Amendment # 1</w:t>
      </w:r>
      <w:r>
        <w:rPr>
          <w:rFonts w:ascii="Times New Roman" w:cs="Times New Roman" w:eastAsia="Times New Roman" w:hAnsi="Times New Roman"/>
          <w:sz w:val="18"/>
          <w:szCs w:val="18"/>
          <w:b w:val="1"/>
          <w:bCs w:val="1"/>
          <w:color w:val="0F0E0F"/>
        </w:rPr>
        <w:t xml:space="preserve"> </w:t>
      </w:r>
      <w:r>
        <w:rPr>
          <w:rFonts w:ascii="Times New Roman" w:cs="Times New Roman" w:eastAsia="Times New Roman" w:hAnsi="Times New Roman"/>
          <w:sz w:val="18"/>
          <w:szCs w:val="18"/>
          <w:color w:val="0F0E0F"/>
        </w:rPr>
        <w:t>on October 16, 2020</w:t>
      </w:r>
      <w:r>
        <w:rPr>
          <w:rFonts w:ascii="Times New Roman" w:cs="Times New Roman" w:eastAsia="Times New Roman" w:hAnsi="Times New Roman"/>
          <w:sz w:val="18"/>
          <w:szCs w:val="18"/>
          <w:color w:val="262626"/>
        </w:rPr>
        <w:t>,</w:t>
      </w:r>
      <w:r>
        <w:rPr>
          <w:rFonts w:ascii="Times New Roman" w:cs="Times New Roman" w:eastAsia="Times New Roman" w:hAnsi="Times New Roman"/>
          <w:sz w:val="18"/>
          <w:szCs w:val="18"/>
          <w:color w:val="0F0E0F"/>
        </w:rPr>
        <w:t xml:space="preserve"> Amendment #2 on June 17</w:t>
      </w:r>
      <w:r>
        <w:rPr>
          <w:rFonts w:ascii="Times New Roman" w:cs="Times New Roman" w:eastAsia="Times New Roman" w:hAnsi="Times New Roman"/>
          <w:sz w:val="18"/>
          <w:szCs w:val="18"/>
          <w:color w:val="262626"/>
        </w:rPr>
        <w:t>,</w:t>
      </w:r>
      <w:r>
        <w:rPr>
          <w:rFonts w:ascii="Times New Roman" w:cs="Times New Roman" w:eastAsia="Times New Roman" w:hAnsi="Times New Roman"/>
          <w:sz w:val="18"/>
          <w:szCs w:val="18"/>
          <w:color w:val="0F0E0F"/>
        </w:rPr>
        <w:t xml:space="preserve"> 2021</w:t>
      </w:r>
      <w:r>
        <w:rPr>
          <w:rFonts w:ascii="Times New Roman" w:cs="Times New Roman" w:eastAsia="Times New Roman" w:hAnsi="Times New Roman"/>
          <w:sz w:val="18"/>
          <w:szCs w:val="18"/>
          <w:color w:val="3D3D3D"/>
        </w:rPr>
        <w:t>,</w:t>
      </w:r>
    </w:p>
    <w:p>
      <w:pPr>
        <w:spacing w:after="0" w:line="1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0F0E0F"/>
        </w:rPr>
        <w:t>Amendment #3 on February 28, 2022,</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0F0E0F"/>
        </w:rPr>
        <w:t>Amendment #4 on November 10, 2022,</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0F0E0F"/>
        </w:rPr>
        <w:t>Amendment #5 on December 8</w:t>
      </w:r>
      <w:r>
        <w:rPr>
          <w:rFonts w:ascii="Times New Roman" w:cs="Times New Roman" w:eastAsia="Times New Roman" w:hAnsi="Times New Roman"/>
          <w:sz w:val="18"/>
          <w:szCs w:val="18"/>
          <w:color w:val="262626"/>
        </w:rPr>
        <w:t>,</w:t>
      </w:r>
      <w:r>
        <w:rPr>
          <w:rFonts w:ascii="Times New Roman" w:cs="Times New Roman" w:eastAsia="Times New Roman" w:hAnsi="Times New Roman"/>
          <w:sz w:val="18"/>
          <w:szCs w:val="18"/>
          <w:color w:val="0F0E0F"/>
        </w:rPr>
        <w:t xml:space="preserve"> 2022,</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0F0E0F"/>
        </w:rPr>
        <w:t>Amendment #6 on June 15, 2023,</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0F0E0F"/>
        </w:rPr>
        <w:t>Amendment #7 on November 13, 2023,</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0F0E0F"/>
        </w:rPr>
        <w:t>Amendment #8 on March 15, 2024,</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0F0E0F"/>
        </w:rPr>
        <w:t>Amendment #9 on June 14, 2024,</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0F0E0F"/>
        </w:rPr>
        <w:t>Amendment #10 on October 28, 2024,</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0F0E0F"/>
        </w:rPr>
        <w:t>Amendment #11 on February 28, 2025,</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0F0E0F"/>
        </w:rPr>
        <w:t>Amendment #12 on May 29, 2025,</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0F0E0F"/>
        </w:rPr>
        <w:t xml:space="preserve">Amendment # 13 on December 22, 2025 </w:t>
      </w:r>
      <w:r>
        <w:rPr>
          <w:rFonts w:ascii="Times New Roman" w:cs="Times New Roman" w:eastAsia="Times New Roman" w:hAnsi="Times New Roman"/>
          <w:sz w:val="18"/>
          <w:szCs w:val="18"/>
          <w:b w:val="1"/>
          <w:bCs w:val="1"/>
          <w:color w:val="0F0E0F"/>
        </w:rPr>
        <w:t>and</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0F0E0F"/>
        </w:rPr>
        <w:t xml:space="preserve">WHEREAS, </w:t>
      </w:r>
      <w:r>
        <w:rPr>
          <w:rFonts w:ascii="Times New Roman" w:cs="Times New Roman" w:eastAsia="Times New Roman" w:hAnsi="Times New Roman"/>
          <w:sz w:val="18"/>
          <w:szCs w:val="18"/>
          <w:color w:val="0F0E0F"/>
        </w:rPr>
        <w:t>the Parties desire to amend the Agreement to provide for an extension to the LIMITx™ Regulatory Submission Timeline.</w:t>
      </w:r>
    </w:p>
    <w:p>
      <w:pPr>
        <w:spacing w:after="0" w:line="225"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0F0E0F"/>
        </w:rPr>
        <w:t xml:space="preserve">NOW THEREFORE, </w:t>
      </w:r>
      <w:r>
        <w:rPr>
          <w:rFonts w:ascii="Times New Roman" w:cs="Times New Roman" w:eastAsia="Times New Roman" w:hAnsi="Times New Roman"/>
          <w:sz w:val="18"/>
          <w:szCs w:val="18"/>
          <w:color w:val="0F0E0F"/>
        </w:rPr>
        <w:t>in consideration of the mutual covenants and promises contained in the Agreement</w:t>
      </w:r>
      <w:r>
        <w:rPr>
          <w:rFonts w:ascii="Times New Roman" w:cs="Times New Roman" w:eastAsia="Times New Roman" w:hAnsi="Times New Roman"/>
          <w:sz w:val="18"/>
          <w:szCs w:val="18"/>
          <w:color w:val="262626"/>
        </w:rPr>
        <w:t>,</w:t>
      </w:r>
      <w:r>
        <w:rPr>
          <w:rFonts w:ascii="Times New Roman" w:cs="Times New Roman" w:eastAsia="Times New Roman" w:hAnsi="Times New Roman"/>
          <w:sz w:val="18"/>
          <w:szCs w:val="18"/>
          <w:b w:val="1"/>
          <w:bCs w:val="1"/>
          <w:color w:val="0F0E0F"/>
        </w:rPr>
        <w:t xml:space="preserve"> </w:t>
      </w:r>
      <w:r>
        <w:rPr>
          <w:rFonts w:ascii="Times New Roman" w:cs="Times New Roman" w:eastAsia="Times New Roman" w:hAnsi="Times New Roman"/>
          <w:sz w:val="18"/>
          <w:szCs w:val="18"/>
          <w:color w:val="0F0E0F"/>
        </w:rPr>
        <w:t>as amended, and this Amendment and</w:t>
      </w:r>
      <w:r>
        <w:rPr>
          <w:rFonts w:ascii="Times New Roman" w:cs="Times New Roman" w:eastAsia="Times New Roman" w:hAnsi="Times New Roman"/>
          <w:sz w:val="18"/>
          <w:szCs w:val="18"/>
          <w:b w:val="1"/>
          <w:bCs w:val="1"/>
          <w:color w:val="0F0E0F"/>
        </w:rPr>
        <w:t xml:space="preserve"> </w:t>
      </w:r>
      <w:r>
        <w:rPr>
          <w:rFonts w:ascii="Times New Roman" w:cs="Times New Roman" w:eastAsia="Times New Roman" w:hAnsi="Times New Roman"/>
          <w:sz w:val="18"/>
          <w:szCs w:val="18"/>
          <w:color w:val="0F0E0F"/>
        </w:rPr>
        <w:t>other good and valuable consideration</w:t>
      </w:r>
      <w:r>
        <w:rPr>
          <w:rFonts w:ascii="Times New Roman" w:cs="Times New Roman" w:eastAsia="Times New Roman" w:hAnsi="Times New Roman"/>
          <w:sz w:val="18"/>
          <w:szCs w:val="18"/>
          <w:color w:val="262626"/>
        </w:rPr>
        <w:t>,</w:t>
      </w:r>
      <w:r>
        <w:rPr>
          <w:rFonts w:ascii="Times New Roman" w:cs="Times New Roman" w:eastAsia="Times New Roman" w:hAnsi="Times New Roman"/>
          <w:sz w:val="18"/>
          <w:szCs w:val="18"/>
          <w:color w:val="0F0E0F"/>
        </w:rPr>
        <w:t xml:space="preserve"> the receipt and sufficiency of which are hereby acknowledged, Acura and AD Pharma agree as follows</w:t>
      </w:r>
      <w:r>
        <w:rPr>
          <w:rFonts w:ascii="Times New Roman" w:cs="Times New Roman" w:eastAsia="Times New Roman" w:hAnsi="Times New Roman"/>
          <w:sz w:val="18"/>
          <w:szCs w:val="18"/>
          <w:color w:val="262626"/>
        </w:rPr>
        <w:t>:</w:t>
      </w:r>
    </w:p>
    <w:p>
      <w:pPr>
        <w:spacing w:after="0" w:line="15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0F0E0F"/>
        </w:rPr>
        <w:t>ARTICLE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F0E0F"/>
        </w:rPr>
        <w:t>AMENDMENTS TO AGREEMENT</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0F0E0F"/>
        </w:rPr>
        <w:t>1.1</w:t>
      </w:r>
      <w:r>
        <w:rPr>
          <w:rFonts w:ascii="Times New Roman" w:cs="Times New Roman" w:eastAsia="Times New Roman" w:hAnsi="Times New Roman"/>
          <w:sz w:val="18"/>
          <w:szCs w:val="18"/>
          <w:color w:val="0F0E0F"/>
        </w:rPr>
        <w:t>           Item 3 of Schedule 1 "LIMITx™ Regulatory Application Submission Timeline" is hereby amended and replaced</w:t>
      </w:r>
      <w:r>
        <w:rPr>
          <w:rFonts w:ascii="Times New Roman" w:cs="Times New Roman" w:eastAsia="Times New Roman" w:hAnsi="Times New Roman"/>
          <w:sz w:val="18"/>
          <w:szCs w:val="18"/>
          <w:b w:val="1"/>
          <w:bCs w:val="1"/>
          <w:color w:val="0F0E0F"/>
        </w:rPr>
        <w:t xml:space="preserve"> </w:t>
      </w:r>
      <w:r>
        <w:rPr>
          <w:rFonts w:ascii="Times New Roman" w:cs="Times New Roman" w:eastAsia="Times New Roman" w:hAnsi="Times New Roman"/>
          <w:sz w:val="18"/>
          <w:szCs w:val="18"/>
          <w:color w:val="262626"/>
        </w:rPr>
        <w:t>i</w:t>
      </w:r>
      <w:r>
        <w:rPr>
          <w:rFonts w:ascii="Times New Roman" w:cs="Times New Roman" w:eastAsia="Times New Roman" w:hAnsi="Times New Roman"/>
          <w:sz w:val="18"/>
          <w:szCs w:val="18"/>
          <w:color w:val="0F0E0F"/>
        </w:rPr>
        <w:t>n its entirety as follows: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0F0E0F"/>
        </w:rPr>
        <w:t xml:space="preserve">3. By </w:t>
      </w:r>
      <w:r>
        <w:rPr>
          <w:rFonts w:ascii="Times New Roman" w:cs="Times New Roman" w:eastAsia="Times New Roman" w:hAnsi="Times New Roman"/>
          <w:sz w:val="18"/>
          <w:szCs w:val="18"/>
          <w:color w:val="262626"/>
        </w:rPr>
        <w:t>December 31, 2026 Acura</w:t>
      </w:r>
      <w:r>
        <w:rPr>
          <w:rFonts w:ascii="Times New Roman" w:cs="Times New Roman" w:eastAsia="Times New Roman" w:hAnsi="Times New Roman"/>
          <w:sz w:val="18"/>
          <w:szCs w:val="18"/>
          <w:color w:val="0F0E0F"/>
        </w:rPr>
        <w:t xml:space="preserve"> must gain filing acceptance by the FDA of a Regulatory Approval Application for the Product.</w:t>
      </w:r>
    </w:p>
    <w:p>
      <w:pPr>
        <w:spacing w:after="0" w:line="221"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0F0E0F"/>
        </w:rPr>
        <w:t>ARTICLE 2</w:t>
      </w:r>
    </w:p>
    <w:p>
      <w:pPr>
        <w:spacing w:after="0" w:line="31"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0F0E0F"/>
        </w:rPr>
        <w:t>MISCELLANEOUS</w:t>
      </w:r>
    </w:p>
    <w:p>
      <w:pPr>
        <w:spacing w:after="0" w:line="203"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0F0E0F"/>
        </w:rPr>
        <w:t xml:space="preserve">2.1           Governing Law. </w:t>
      </w:r>
      <w:r>
        <w:rPr>
          <w:rFonts w:ascii="Times New Roman" w:cs="Times New Roman" w:eastAsia="Times New Roman" w:hAnsi="Times New Roman"/>
          <w:sz w:val="18"/>
          <w:szCs w:val="18"/>
          <w:color w:val="0F0E0F"/>
        </w:rPr>
        <w:t>This Amendment shall be governed by the laws of the State of New York without regard to its conflict of laws rules or</w:t>
      </w:r>
      <w:r>
        <w:rPr>
          <w:rFonts w:ascii="Times New Roman" w:cs="Times New Roman" w:eastAsia="Times New Roman" w:hAnsi="Times New Roman"/>
          <w:sz w:val="18"/>
          <w:szCs w:val="18"/>
          <w:b w:val="1"/>
          <w:bCs w:val="1"/>
          <w:color w:val="0F0E0F"/>
        </w:rPr>
        <w:t xml:space="preserve"> </w:t>
      </w:r>
      <w:r>
        <w:rPr>
          <w:rFonts w:ascii="Times New Roman" w:cs="Times New Roman" w:eastAsia="Times New Roman" w:hAnsi="Times New Roman"/>
          <w:sz w:val="18"/>
          <w:szCs w:val="18"/>
          <w:color w:val="0F0E0F"/>
        </w:rPr>
        <w:t>principles</w:t>
      </w:r>
      <w:r>
        <w:rPr>
          <w:rFonts w:ascii="Times New Roman" w:cs="Times New Roman" w:eastAsia="Times New Roman" w:hAnsi="Times New Roman"/>
          <w:sz w:val="18"/>
          <w:szCs w:val="18"/>
          <w:color w:val="3D3D3D"/>
        </w:rPr>
        <w:t>.</w:t>
      </w:r>
    </w:p>
    <w:p>
      <w:pPr>
        <w:spacing w:after="0" w:line="155"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0F0E0F"/>
        </w:rPr>
        <w:t>2.2            Amendments</w:t>
      </w:r>
      <w:r>
        <w:rPr>
          <w:rFonts w:ascii="Times New Roman" w:cs="Times New Roman" w:eastAsia="Times New Roman" w:hAnsi="Times New Roman"/>
          <w:sz w:val="18"/>
          <w:szCs w:val="18"/>
          <w:b w:val="1"/>
          <w:bCs w:val="1"/>
          <w:color w:val="262626"/>
        </w:rPr>
        <w:t>.</w:t>
      </w:r>
      <w:r>
        <w:rPr>
          <w:rFonts w:ascii="Times New Roman" w:cs="Times New Roman" w:eastAsia="Times New Roman" w:hAnsi="Times New Roman"/>
          <w:sz w:val="18"/>
          <w:szCs w:val="18"/>
          <w:b w:val="1"/>
          <w:bCs w:val="1"/>
          <w:color w:val="0F0E0F"/>
        </w:rPr>
        <w:t xml:space="preserve"> </w:t>
      </w:r>
      <w:r>
        <w:rPr>
          <w:rFonts w:ascii="Times New Roman" w:cs="Times New Roman" w:eastAsia="Times New Roman" w:hAnsi="Times New Roman"/>
          <w:sz w:val="18"/>
          <w:szCs w:val="18"/>
          <w:color w:val="0F0E0F"/>
        </w:rPr>
        <w:t>Except as expressly amended by this Amendment #14 and the "Prior Amendments", the Agreement shall remain unmodified and</w:t>
      </w:r>
      <w:r>
        <w:rPr>
          <w:rFonts w:ascii="Times New Roman" w:cs="Times New Roman" w:eastAsia="Times New Roman" w:hAnsi="Times New Roman"/>
          <w:sz w:val="18"/>
          <w:szCs w:val="18"/>
          <w:b w:val="1"/>
          <w:bCs w:val="1"/>
          <w:color w:val="0F0E0F"/>
        </w:rPr>
        <w:t xml:space="preserve"> </w:t>
      </w:r>
      <w:r>
        <w:rPr>
          <w:rFonts w:ascii="Times New Roman" w:cs="Times New Roman" w:eastAsia="Times New Roman" w:hAnsi="Times New Roman"/>
          <w:sz w:val="18"/>
          <w:szCs w:val="18"/>
          <w:color w:val="0F0E0F"/>
        </w:rPr>
        <w:t>in full force and effect.</w:t>
      </w:r>
    </w:p>
    <w:p>
      <w:pPr>
        <w:spacing w:after="0" w:line="155"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0F0E0F"/>
        </w:rPr>
        <w:t xml:space="preserve">2.3           Entire Agreement. </w:t>
      </w:r>
      <w:r>
        <w:rPr>
          <w:rFonts w:ascii="Times New Roman" w:cs="Times New Roman" w:eastAsia="Times New Roman" w:hAnsi="Times New Roman"/>
          <w:sz w:val="18"/>
          <w:szCs w:val="18"/>
          <w:color w:val="0F0E0F"/>
        </w:rPr>
        <w:t>The Agreement (including the Schedules attached thereto)</w:t>
      </w:r>
      <w:r>
        <w:rPr>
          <w:rFonts w:ascii="Times New Roman" w:cs="Times New Roman" w:eastAsia="Times New Roman" w:hAnsi="Times New Roman"/>
          <w:sz w:val="18"/>
          <w:szCs w:val="18"/>
          <w:color w:val="262626"/>
        </w:rPr>
        <w:t>,</w:t>
      </w:r>
      <w:r>
        <w:rPr>
          <w:rFonts w:ascii="Times New Roman" w:cs="Times New Roman" w:eastAsia="Times New Roman" w:hAnsi="Times New Roman"/>
          <w:sz w:val="18"/>
          <w:szCs w:val="18"/>
          <w:b w:val="1"/>
          <w:bCs w:val="1"/>
          <w:color w:val="0F0E0F"/>
        </w:rPr>
        <w:t xml:space="preserve"> </w:t>
      </w:r>
      <w:r>
        <w:rPr>
          <w:rFonts w:ascii="Times New Roman" w:cs="Times New Roman" w:eastAsia="Times New Roman" w:hAnsi="Times New Roman"/>
          <w:sz w:val="18"/>
          <w:szCs w:val="18"/>
          <w:color w:val="0F0E0F"/>
        </w:rPr>
        <w:t>as amended by the "Prior Amendments" and this Amendment,</w:t>
      </w:r>
      <w:r>
        <w:rPr>
          <w:rFonts w:ascii="Times New Roman" w:cs="Times New Roman" w:eastAsia="Times New Roman" w:hAnsi="Times New Roman"/>
          <w:sz w:val="18"/>
          <w:szCs w:val="18"/>
          <w:b w:val="1"/>
          <w:bCs w:val="1"/>
          <w:color w:val="0F0E0F"/>
        </w:rPr>
        <w:t xml:space="preserve"> </w:t>
      </w:r>
      <w:r>
        <w:rPr>
          <w:rFonts w:ascii="Times New Roman" w:cs="Times New Roman" w:eastAsia="Times New Roman" w:hAnsi="Times New Roman"/>
          <w:sz w:val="18"/>
          <w:szCs w:val="18"/>
          <w:color w:val="0F0E0F"/>
        </w:rPr>
        <w:t>constitutes the entire agreement of the Parties with respect to the subject matter hereof and supersede all prior understandings and writings between the Parties relating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 w:name="page8"/>
    <w:bookmarkEnd w:id="7"/>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2.4           Interpretation. </w:t>
      </w:r>
      <w:r>
        <w:rPr>
          <w:rFonts w:ascii="Times New Roman" w:cs="Times New Roman" w:eastAsia="Times New Roman" w:hAnsi="Times New Roman"/>
          <w:sz w:val="18"/>
          <w:szCs w:val="18"/>
          <w:color w:val="auto"/>
        </w:rPr>
        <w:t>Any capitalized terms used in this Amendment and not otherwise defined herein shall have the meaning provided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w:t>
      </w:r>
    </w:p>
    <w:p>
      <w:pPr>
        <w:spacing w:after="0" w:line="155"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2.5           Counterparts. </w:t>
      </w:r>
      <w:r>
        <w:rPr>
          <w:rFonts w:ascii="Times New Roman" w:cs="Times New Roman" w:eastAsia="Times New Roman" w:hAnsi="Times New Roman"/>
          <w:sz w:val="18"/>
          <w:szCs w:val="18"/>
          <w:color w:val="auto"/>
        </w:rPr>
        <w:t>This Amendment may be executed manually or electronically by the Parties, in any number of counterparts, each of which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considered one and the same amendment and shall become effective when a counterpart hereof shall have been signed by each of the Parties and delivered to the other Party.</w:t>
      </w:r>
    </w:p>
    <w:p>
      <w:pPr>
        <w:spacing w:after="0" w:line="171"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0E0C0E"/>
        </w:rPr>
        <w:t xml:space="preserve">IN WITNESS WHEREOF, </w:t>
      </w:r>
      <w:r>
        <w:rPr>
          <w:rFonts w:ascii="Times New Roman" w:cs="Times New Roman" w:eastAsia="Times New Roman" w:hAnsi="Times New Roman"/>
          <w:sz w:val="18"/>
          <w:szCs w:val="18"/>
          <w:color w:val="0E0C0E"/>
        </w:rPr>
        <w:t>the Parties hereto have caused this Amendment to be executed in their names by their properly and duly authorized</w:t>
      </w:r>
      <w:r>
        <w:rPr>
          <w:rFonts w:ascii="Times New Roman" w:cs="Times New Roman" w:eastAsia="Times New Roman" w:hAnsi="Times New Roman"/>
          <w:sz w:val="18"/>
          <w:szCs w:val="18"/>
          <w:b w:val="1"/>
          <w:bCs w:val="1"/>
          <w:color w:val="0E0C0E"/>
        </w:rPr>
        <w:t xml:space="preserve"> </w:t>
      </w:r>
      <w:r>
        <w:rPr>
          <w:rFonts w:ascii="Times New Roman" w:cs="Times New Roman" w:eastAsia="Times New Roman" w:hAnsi="Times New Roman"/>
          <w:sz w:val="18"/>
          <w:szCs w:val="18"/>
          <w:color w:val="0E0C0E"/>
        </w:rPr>
        <w:t>officers or representatives as of the date first written above.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E0C0E"/>
        </w:rPr>
        <w:t xml:space="preserve">ACURA PHARMACEUTICALS, </w:t>
      </w:r>
      <w:r>
        <w:rPr>
          <w:rFonts w:ascii="Times New Roman" w:cs="Times New Roman" w:eastAsia="Times New Roman" w:hAnsi="Times New Roman"/>
          <w:sz w:val="18"/>
          <w:szCs w:val="18"/>
          <w:b w:val="1"/>
          <w:bCs w:val="1"/>
          <w:color w:val="232323"/>
        </w:rPr>
        <w:t>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Robert Seiser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E0C0E"/>
        </w:rPr>
        <w:t>Name: Robert Seiser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E0C0E"/>
        </w:rPr>
        <w:t>Title: SVP and CFO</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E0C0E"/>
        </w:rPr>
        <w:t>ABUSE DETERRENT PHARMA,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John Schutte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E0C0E"/>
        </w:rPr>
        <w:t>Name</w:t>
      </w:r>
      <w:r>
        <w:rPr>
          <w:rFonts w:ascii="Times New Roman" w:cs="Times New Roman" w:eastAsia="Times New Roman" w:hAnsi="Times New Roman"/>
          <w:sz w:val="18"/>
          <w:szCs w:val="18"/>
          <w:color w:val="424142"/>
        </w:rPr>
        <w:t>:</w:t>
      </w:r>
      <w:r>
        <w:rPr>
          <w:rFonts w:ascii="Times New Roman" w:cs="Times New Roman" w:eastAsia="Times New Roman" w:hAnsi="Times New Roman"/>
          <w:sz w:val="18"/>
          <w:szCs w:val="18"/>
          <w:color w:val="0E0C0E"/>
        </w:rPr>
        <w:t xml:space="preserve"> John Schutte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r>
        <w:rPr>
          <w:rFonts w:ascii="Times New Roman" w:cs="Times New Roman" w:eastAsia="Times New Roman" w:hAnsi="Times New Roman"/>
          <w:sz w:val="18"/>
          <w:szCs w:val="18"/>
          <w:color w:val="424142"/>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E0C0E"/>
        </w:rPr>
        <w:t>Managing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22"/>
          <w:szCs w:val="22"/>
          <w:b w:val="1"/>
          <w:bCs w:val="1"/>
          <w:color w:val="auto"/>
        </w:rPr>
        <w:t>Exhibit 99.3</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#8</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CONSOLIDATED AND RESTATED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SECURED PROMISSORY NOTE</w:t>
      </w:r>
    </w:p>
    <w:p>
      <w:pPr>
        <w:spacing w:after="0" w:line="20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This AMENDMENT #8 (this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TO AMENDED, CONSOLIDATED AND RESTATED SECURED PROMISSSORY NOTE (the “</w:t>
      </w: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dated November 10, 2022 between Acura Pharmaceuticals, Inc. (“</w:t>
      </w:r>
      <w:r>
        <w:rPr>
          <w:rFonts w:ascii="Times New Roman" w:cs="Times New Roman" w:eastAsia="Times New Roman" w:hAnsi="Times New Roman"/>
          <w:sz w:val="18"/>
          <w:szCs w:val="18"/>
          <w:b w:val="1"/>
          <w:bCs w:val="1"/>
          <w:color w:val="auto"/>
        </w:rPr>
        <w:t>Acura</w:t>
      </w:r>
      <w:r>
        <w:rPr>
          <w:rFonts w:ascii="Times New Roman" w:cs="Times New Roman" w:eastAsia="Times New Roman" w:hAnsi="Times New Roman"/>
          <w:sz w:val="18"/>
          <w:szCs w:val="18"/>
          <w:color w:val="auto"/>
        </w:rPr>
        <w:t>”), a New York corporation, having a place of business at 616 N. North Court, Suite 120, Palatine, IL 60067, and Abuse Deterrent Pharma, LLC (“</w:t>
      </w:r>
      <w:r>
        <w:rPr>
          <w:rFonts w:ascii="Times New Roman" w:cs="Times New Roman" w:eastAsia="Times New Roman" w:hAnsi="Times New Roman"/>
          <w:sz w:val="18"/>
          <w:szCs w:val="18"/>
          <w:b w:val="1"/>
          <w:bCs w:val="1"/>
          <w:color w:val="auto"/>
        </w:rPr>
        <w:t>AD Pharma</w:t>
      </w:r>
      <w:r>
        <w:rPr>
          <w:rFonts w:ascii="Times New Roman" w:cs="Times New Roman" w:eastAsia="Times New Roman" w:hAnsi="Times New Roman"/>
          <w:sz w:val="18"/>
          <w:szCs w:val="18"/>
          <w:color w:val="auto"/>
        </w:rPr>
        <w:t>”), a Kentucky limited liability company, having a place of business at 2604 River Green Circle, Louisville, Kentucky 40206, is made as of June 15, 2026.</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the Parties desire to amend the Note to change the Maturity Date of this Note.</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mutual covenants and promises contained in the Note, as amended, and this Amendment and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good and valuable consideration, the receipt and sufficiency of which are hereby acknowledged, Acura and AD Pharma agree as follows: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TO AGREEMENT</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1.1</w:t>
      </w:r>
      <w:r>
        <w:rPr>
          <w:rFonts w:ascii="Times New Roman" w:cs="Times New Roman" w:eastAsia="Times New Roman" w:hAnsi="Times New Roman"/>
          <w:sz w:val="18"/>
          <w:szCs w:val="18"/>
          <w:color w:val="auto"/>
        </w:rPr>
        <w:t>           Item 2.1 ”Maturity Date” is hereby amended and replaced in its entirety as follows:</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Company agrees to pay the principal sum of this Note and interest on the unpaid principal sum of this Note on December 31, 2026 (the “</w:t>
      </w:r>
      <w:r>
        <w:rPr>
          <w:rFonts w:ascii="Times New Roman" w:cs="Times New Roman" w:eastAsia="Times New Roman" w:hAnsi="Times New Roman"/>
          <w:sz w:val="18"/>
          <w:szCs w:val="18"/>
          <w:b w:val="1"/>
          <w:bCs w:val="1"/>
          <w:color w:val="auto"/>
        </w:rPr>
        <w:t>Maturity Date</w:t>
      </w:r>
      <w:r>
        <w:rPr>
          <w:rFonts w:ascii="Times New Roman" w:cs="Times New Roman" w:eastAsia="Times New Roman" w:hAnsi="Times New Roman"/>
          <w:sz w:val="18"/>
          <w:szCs w:val="18"/>
          <w:color w:val="auto"/>
        </w:rPr>
        <w:t>”). Time shall be of the essence with respect to all of the Company’s obligations under this Note.</w:t>
      </w:r>
    </w:p>
    <w:p>
      <w:pPr>
        <w:spacing w:after="0" w:line="158" w:lineRule="exact"/>
        <w:rPr>
          <w:sz w:val="20"/>
          <w:szCs w:val="20"/>
          <w:color w:val="auto"/>
        </w:rPr>
      </w:pPr>
    </w:p>
    <w:p>
      <w:pPr>
        <w:ind w:left="660"/>
        <w:spacing w:after="0" w:line="286" w:lineRule="auto"/>
        <w:rPr>
          <w:sz w:val="20"/>
          <w:szCs w:val="20"/>
          <w:color w:val="auto"/>
        </w:rPr>
      </w:pPr>
      <w:r>
        <w:rPr>
          <w:rFonts w:ascii="Times New Roman" w:cs="Times New Roman" w:eastAsia="Times New Roman" w:hAnsi="Times New Roman"/>
          <w:sz w:val="18"/>
          <w:szCs w:val="18"/>
          <w:b w:val="1"/>
          <w:bCs w:val="1"/>
          <w:color w:val="auto"/>
        </w:rPr>
        <w:t>2.1           Amendments</w:t>
      </w:r>
      <w:r>
        <w:rPr>
          <w:rFonts w:ascii="Times New Roman" w:cs="Times New Roman" w:eastAsia="Times New Roman" w:hAnsi="Times New Roman"/>
          <w:sz w:val="18"/>
          <w:szCs w:val="18"/>
          <w:color w:val="auto"/>
        </w:rPr>
        <w:t>. Except as expressly amended by this Amendment #8 and the “Prior Amendments”, the Note shall remain unmodified and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full force and effect.</w:t>
      </w:r>
    </w:p>
    <w:p>
      <w:pPr>
        <w:spacing w:after="0" w:line="15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Amendment to be executed in their names by their properly and duly authorized officers or representatives as of the date first written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ACURA PHARMACEUTICALS,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Robert Seiser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Robert Seiser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SVP and CFO</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ABUSE DETERRENT PHARMA,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John Schutte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John Schutte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Managing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22"/>
          <w:szCs w:val="22"/>
          <w:b w:val="1"/>
          <w:bCs w:val="1"/>
          <w:color w:val="auto"/>
        </w:rPr>
        <w:t>Exhibit 99.4</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#6 COMMON STOCK PURCHASE WARRANT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This AMENDMENT #6 (this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TO COMMON STOCK PURCHASE WARRANT (the “</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dated June 28, 2019 between Acura Pharmaceuticals, Inc. (“</w:t>
      </w:r>
      <w:r>
        <w:rPr>
          <w:rFonts w:ascii="Times New Roman" w:cs="Times New Roman" w:eastAsia="Times New Roman" w:hAnsi="Times New Roman"/>
          <w:sz w:val="18"/>
          <w:szCs w:val="18"/>
          <w:b w:val="1"/>
          <w:bCs w:val="1"/>
          <w:color w:val="auto"/>
        </w:rPr>
        <w:t>Acura</w:t>
      </w:r>
      <w:r>
        <w:rPr>
          <w:rFonts w:ascii="Times New Roman" w:cs="Times New Roman" w:eastAsia="Times New Roman" w:hAnsi="Times New Roman"/>
          <w:sz w:val="18"/>
          <w:szCs w:val="18"/>
          <w:color w:val="auto"/>
        </w:rPr>
        <w:t>”), a New York corporation, having a place of business at 616 N. North Court, Suite 120, Palatine, IL 60067, and Abuse Deterrent Pharma, LLC (“</w:t>
      </w:r>
      <w:r>
        <w:rPr>
          <w:rFonts w:ascii="Times New Roman" w:cs="Times New Roman" w:eastAsia="Times New Roman" w:hAnsi="Times New Roman"/>
          <w:sz w:val="18"/>
          <w:szCs w:val="18"/>
          <w:b w:val="1"/>
          <w:bCs w:val="1"/>
          <w:color w:val="auto"/>
        </w:rPr>
        <w:t>AD Pharma</w:t>
      </w:r>
      <w:r>
        <w:rPr>
          <w:rFonts w:ascii="Times New Roman" w:cs="Times New Roman" w:eastAsia="Times New Roman" w:hAnsi="Times New Roman"/>
          <w:sz w:val="18"/>
          <w:szCs w:val="18"/>
          <w:color w:val="auto"/>
        </w:rPr>
        <w:t>”), a Kentucky limited liability company, having a place of business at 2604 River Green Circle, Louisville, Kentucky 40206, is made as of June 15, 2026.</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the Parties desire to amend the Warrant to change the Expiration Date of this Warrant.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mutual covenants and promises contained in the Warrant, as amended, and this Amendment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good and valuable consideration, the receipt and sufficiency of which are hereby acknowledged, Acura and AD Pharma agree to change Expiration Date of this Warrant to December 31, 2026.</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Amendments. </w:t>
      </w:r>
      <w:r>
        <w:rPr>
          <w:rFonts w:ascii="Times New Roman" w:cs="Times New Roman" w:eastAsia="Times New Roman" w:hAnsi="Times New Roman"/>
          <w:sz w:val="18"/>
          <w:szCs w:val="18"/>
          <w:color w:val="auto"/>
        </w:rPr>
        <w:t>Except as expressly amended by this Amendment #6, the Warrant shall remain unmodified and in full force and effect.</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Amendment to be executed in their names by their properly and duly authorized officers or representatives as of the date first written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ACURA PHARMACEUTICALS,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Robert Seiser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Robert Seiser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SVP and CFO</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ABUSE DETERRENT PHARMA,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John Schutte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John Schutte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Managing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2026-06-29T15:42:55Z</dcterms:created>
  <dcterms:modified xsi:type="dcterms:W3CDTF">2026-06-29T15:42:55Z</dcterms:modified>
</cp:coreProperties>
</file>