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6560" w:type="dxa"/>
            <w:vAlign w:val="bottom"/>
            <w:tcBorders>
              <w:right w:val="single" w:sz="8" w:color="auto"/>
            </w:tcBorders>
            <w:vMerge w:val="restart"/>
          </w:tcPr>
          <w:p>
            <w:pPr>
              <w:jc w:val="center"/>
              <w:ind w:left="1945"/>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3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OMB APPROVAL</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6560" w:type="dxa"/>
            <w:vAlign w:val="bottom"/>
            <w:tcBorders>
              <w:right w:val="single" w:sz="8" w:color="auto"/>
            </w:tcBorders>
            <w:vMerge w:val="continue"/>
          </w:tcPr>
          <w:p>
            <w:pPr>
              <w:spacing w:after="0"/>
              <w:rPr>
                <w:sz w:val="15"/>
                <w:szCs w:val="15"/>
                <w:color w:val="auto"/>
              </w:rPr>
            </w:pPr>
          </w:p>
        </w:tc>
        <w:tc>
          <w:tcPr>
            <w:tcW w:w="158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80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60" w:type="dxa"/>
            <w:vAlign w:val="bottom"/>
            <w:tcBorders>
              <w:right w:val="single" w:sz="8" w:color="auto"/>
            </w:tcBorders>
          </w:tcPr>
          <w:p>
            <w:pPr>
              <w:jc w:val="center"/>
              <w:ind w:left="1905"/>
              <w:spacing w:after="0"/>
              <w:rPr>
                <w:sz w:val="20"/>
                <w:szCs w:val="20"/>
                <w:color w:val="auto"/>
              </w:rPr>
            </w:pPr>
            <w:r>
              <w:rPr>
                <w:rFonts w:ascii="Times New Roman" w:cs="Times New Roman" w:eastAsia="Times New Roman" w:hAnsi="Times New Roman"/>
                <w:sz w:val="18"/>
                <w:szCs w:val="18"/>
                <w:b w:val="1"/>
                <w:bCs w:val="1"/>
                <w:color w:val="auto"/>
                <w:w w:val="99"/>
              </w:rPr>
              <w:t>SECURITIES AND EXCHANGE</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60" w:type="dxa"/>
            <w:vAlign w:val="bottom"/>
            <w:tcBorders>
              <w:right w:val="single" w:sz="8" w:color="auto"/>
            </w:tcBorders>
          </w:tcPr>
          <w:p>
            <w:pPr>
              <w:jc w:val="center"/>
              <w:ind w:left="1965"/>
              <w:spacing w:after="0"/>
              <w:rPr>
                <w:sz w:val="20"/>
                <w:szCs w:val="20"/>
                <w:color w:val="auto"/>
              </w:rPr>
            </w:pPr>
            <w:r>
              <w:rPr>
                <w:rFonts w:ascii="Times New Roman" w:cs="Times New Roman" w:eastAsia="Times New Roman" w:hAnsi="Times New Roman"/>
                <w:sz w:val="18"/>
                <w:szCs w:val="18"/>
                <w:b w:val="1"/>
                <w:bCs w:val="1"/>
                <w:color w:val="auto"/>
                <w:w w:val="99"/>
              </w:rPr>
              <w:t>COMMISSION</w:t>
            </w:r>
          </w:p>
        </w:tc>
        <w:tc>
          <w:tcPr>
            <w:tcW w:w="33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252"/>
        </w:trPr>
        <w:tc>
          <w:tcPr>
            <w:tcW w:w="1320" w:type="dxa"/>
            <w:vAlign w:val="bottom"/>
          </w:tcPr>
          <w:p>
            <w:pPr>
              <w:spacing w:after="0"/>
              <w:rPr>
                <w:sz w:val="21"/>
                <w:szCs w:val="21"/>
                <w:color w:val="auto"/>
              </w:rPr>
            </w:pPr>
          </w:p>
        </w:tc>
        <w:tc>
          <w:tcPr>
            <w:tcW w:w="6560" w:type="dxa"/>
            <w:vAlign w:val="bottom"/>
            <w:tcBorders>
              <w:right w:val="single" w:sz="8" w:color="auto"/>
            </w:tcBorders>
          </w:tcPr>
          <w:p>
            <w:pPr>
              <w:jc w:val="center"/>
              <w:ind w:left="1965"/>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hours per response.</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6560" w:type="dxa"/>
            <w:vAlign w:val="bottom"/>
            <w:tcBorders>
              <w:right w:val="single" w:sz="8" w:color="auto"/>
            </w:tcBorders>
            <w:vMerge w:val="restart"/>
          </w:tcPr>
          <w:p>
            <w:pPr>
              <w:jc w:val="center"/>
              <w:ind w:left="1945"/>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33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6560" w:type="dxa"/>
            <w:vAlign w:val="bottom"/>
            <w:tcBorders>
              <w:right w:val="single" w:sz="8" w:color="auto"/>
            </w:tcBorders>
            <w:vMerge w:val="continue"/>
          </w:tcPr>
          <w:p>
            <w:pPr>
              <w:spacing w:after="0"/>
              <w:rPr>
                <w:sz w:val="14"/>
                <w:szCs w:val="14"/>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1-10113</w:t>
            </w: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320" w:type="dxa"/>
            <w:vAlign w:val="bottom"/>
          </w:tcPr>
          <w:p>
            <w:pPr>
              <w:spacing w:after="0"/>
              <w:rPr>
                <w:sz w:val="6"/>
                <w:szCs w:val="6"/>
                <w:color w:val="auto"/>
              </w:rPr>
            </w:pPr>
          </w:p>
        </w:tc>
        <w:tc>
          <w:tcPr>
            <w:tcW w:w="6560" w:type="dxa"/>
            <w:vAlign w:val="bottom"/>
            <w:tcBorders>
              <w:right w:val="single" w:sz="8" w:color="auto"/>
            </w:tcBorders>
          </w:tcPr>
          <w:p>
            <w:pPr>
              <w:spacing w:after="0"/>
              <w:rPr>
                <w:sz w:val="6"/>
                <w:szCs w:val="6"/>
                <w:color w:val="auto"/>
              </w:rPr>
            </w:pPr>
          </w:p>
        </w:tc>
        <w:tc>
          <w:tcPr>
            <w:tcW w:w="1580" w:type="dxa"/>
            <w:vAlign w:val="bottom"/>
            <w:tcBorders>
              <w:bottom w:val="single" w:sz="8" w:color="auto"/>
            </w:tcBorders>
            <w:vMerge w:val="continue"/>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6560" w:type="dxa"/>
            <w:vAlign w:val="bottom"/>
            <w:tcBorders>
              <w:right w:val="single" w:sz="8" w:color="auto"/>
            </w:tcBorders>
            <w:vMerge w:val="restart"/>
          </w:tcPr>
          <w:p>
            <w:pPr>
              <w:jc w:val="center"/>
              <w:ind w:left="1945"/>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3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560" w:type="dxa"/>
            <w:vAlign w:val="bottom"/>
            <w:tcBorders>
              <w:right w:val="single" w:sz="8" w:color="auto"/>
            </w:tcBorders>
            <w:vMerge w:val="continue"/>
          </w:tcPr>
          <w:p>
            <w:pPr>
              <w:spacing w:after="0"/>
              <w:rPr>
                <w:sz w:val="20"/>
                <w:szCs w:val="20"/>
                <w:color w:val="auto"/>
              </w:rPr>
            </w:pPr>
          </w:p>
        </w:tc>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00509L 802</w:t>
            </w: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656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 ]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15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800" w:type="dxa"/>
            <w:vAlign w:val="bottom"/>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0" w:type="dxa"/>
            <w:vAlign w:val="bottom"/>
          </w:tcPr>
          <w:p>
            <w:pPr>
              <w:spacing w:after="0"/>
              <w:rPr>
                <w:sz w:val="1"/>
                <w:szCs w:val="1"/>
                <w:color w:val="auto"/>
              </w:rPr>
            </w:pPr>
          </w:p>
        </w:tc>
      </w:tr>
    </w:tbl>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18"/>
          <w:szCs w:val="18"/>
          <w:color w:val="auto"/>
        </w:rPr>
        <w:t>For Period Ended:  June 30, 2025</w:t>
      </w:r>
    </w:p>
    <w:p>
      <w:pPr>
        <w:spacing w:after="0" w:line="22" w:lineRule="exact"/>
        <w:rPr>
          <w:sz w:val="24"/>
          <w:szCs w:val="24"/>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60067-8121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27" w:lineRule="exact"/>
        <w:rPr>
          <w:sz w:val="20"/>
          <w:szCs w:val="20"/>
          <w:color w:val="auto"/>
        </w:rPr>
      </w:pPr>
    </w:p>
    <w:p>
      <w:pPr>
        <w:jc w:val="both"/>
        <w:ind w:left="580" w:hanging="560"/>
        <w:spacing w:after="0" w:line="187" w:lineRule="auto"/>
        <w:tabs>
          <w:tab w:leader="none" w:pos="58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Registrant’s Quarterly Report on Form 10-Q for the period ended June 30, 2025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2024, 2023 nor 2022. We have not filed our Quarterly Reports for any of the quarterly periods in our fiscal year of 2024, 2023 or 2022. We have not filed our Quarterly Report for the quarterly period ended March 31, 2025. We continue to delay our public accounting firm’s review services of each of our 2022, 2023 and 2024 quarterly results and their audit services of each of our 2022, 2023 and 2024 annual results, pending finding funding solutions and/or the receipt of loans from Abuse Deterrent Pharma, LLC; which may meet day-to-day operation obligations on a longer term basis.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A. Seiser</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847</w:t>
            </w:r>
          </w:p>
        </w:tc>
        <w:tc>
          <w:tcPr>
            <w:tcW w:w="28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705-7709</w:t>
            </w:r>
          </w:p>
        </w:tc>
      </w:tr>
      <w:tr>
        <w:trPr>
          <w:trHeight w:val="228"/>
        </w:trPr>
        <w:tc>
          <w:tcPr>
            <w:tcW w:w="5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580" w:hanging="572"/>
        <w:spacing w:after="0" w:line="255"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998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Quarterly Report for the quarterly period ended June 30, 2025 will not be filed on time. The Quarterly Report for the quarterly period ending</w:t>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March 31, 2025 has not been field. Each of the quarterly reports for the periods ending September 30, June 30, and March 31, in each of the years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ended 2024, 2023, and 2022 have not been filed. The Annual Report for each of the annual periods ended December 31, 2024, 2023 and 2022 have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27" w:lineRule="exact"/>
        <w:rPr>
          <w:sz w:val="20"/>
          <w:szCs w:val="20"/>
          <w:color w:val="auto"/>
        </w:rPr>
      </w:pPr>
    </w:p>
    <w:p>
      <w:pPr>
        <w:ind w:left="580" w:right="340" w:hanging="572"/>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994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64" w:lineRule="exact"/>
        <w:rPr>
          <w:sz w:val="20"/>
          <w:szCs w:val="20"/>
          <w:color w:val="auto"/>
        </w:rPr>
      </w:pPr>
    </w:p>
    <w:p>
      <w:pPr>
        <w:ind w:left="580" w:right="340"/>
        <w:spacing w:after="0" w:line="259"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080"/>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840" w:val="left"/>
        </w:tabs>
        <w:rPr>
          <w:sz w:val="20"/>
          <w:szCs w:val="20"/>
          <w:color w:val="auto"/>
        </w:rPr>
      </w:pPr>
      <w:r>
        <w:rPr>
          <w:rFonts w:ascii="Times New Roman" w:cs="Times New Roman" w:eastAsia="Times New Roman" w:hAnsi="Times New Roman"/>
          <w:sz w:val="18"/>
          <w:szCs w:val="18"/>
          <w:color w:val="auto"/>
        </w:rPr>
        <w:t>Date:</w:t>
        <w:tab/>
        <w:t>August 19, 2025</w:t>
      </w:r>
      <w:r>
        <w:rPr>
          <w:sz w:val="20"/>
          <w:szCs w:val="20"/>
          <w:color w:val="auto"/>
        </w:rPr>
        <w:tab/>
      </w:r>
      <w:r>
        <w:rPr>
          <w:rFonts w:ascii="Times New Roman" w:cs="Times New Roman" w:eastAsia="Times New Roman" w:hAnsi="Times New Roman"/>
          <w:sz w:val="18"/>
          <w:szCs w:val="18"/>
          <w:color w:val="auto"/>
        </w:rPr>
        <w:t>By: /s/ Robert A. Seiser,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2025-08-19T12:58:18Z</dcterms:created>
  <dcterms:modified xsi:type="dcterms:W3CDTF">2025-08-19T12:58:18Z</dcterms:modified>
</cp:coreProperties>
</file>