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660" w:right="2280" w:hanging="652"/>
        <w:spacing w:after="0" w:line="235" w:lineRule="auto"/>
        <w:tabs>
          <w:tab w:leader="none" w:pos="6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2021</w:t>
      </w:r>
    </w:p>
    <w:p>
      <w:pPr>
        <w:jc w:val="center"/>
        <w:spacing w:after="0" w:line="234" w:lineRule="auto"/>
        <w:rPr>
          <w:sz w:val="20"/>
          <w:szCs w:val="20"/>
          <w:color w:val="auto"/>
        </w:rPr>
      </w:pPr>
      <w:r>
        <w:rPr>
          <w:rFonts w:ascii="Arial" w:cs="Arial" w:eastAsia="Arial" w:hAnsi="Arial"/>
          <w:sz w:val="14"/>
          <w:szCs w:val="14"/>
          <w:b w:val="1"/>
          <w:bCs w:val="1"/>
          <w:color w:val="auto"/>
        </w:rPr>
        <w:t>or</w:t>
      </w:r>
    </w:p>
    <w:p>
      <w:pPr>
        <w:ind w:left="660" w:right="1980" w:hanging="652"/>
        <w:spacing w:after="0" w:line="263" w:lineRule="auto"/>
        <w:tabs>
          <w:tab w:leader="none" w:pos="6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 to____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Commission file number 1-10113</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ACURA PHARMACEUTICALS,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66"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New York</w:t>
      </w:r>
    </w:p>
    <w:p>
      <w:pPr>
        <w:spacing w:after="0" w:line="4" w:lineRule="exact"/>
        <w:rPr>
          <w:sz w:val="24"/>
          <w:szCs w:val="24"/>
          <w:color w:val="auto"/>
        </w:rPr>
      </w:pPr>
    </w:p>
    <w:p>
      <w:pPr>
        <w:jc w:val="center"/>
        <w:ind w:right="6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11-0853640</w:t>
      </w:r>
    </w:p>
    <w:p>
      <w:pPr>
        <w:spacing w:after="0" w:line="4" w:lineRule="exact"/>
        <w:rPr>
          <w:sz w:val="24"/>
          <w:szCs w:val="24"/>
          <w:color w:val="auto"/>
        </w:rPr>
      </w:pPr>
    </w:p>
    <w:p>
      <w:pPr>
        <w:jc w:val="center"/>
        <w:ind w:right="1340"/>
        <w:spacing w:after="0"/>
        <w:rPr>
          <w:sz w:val="20"/>
          <w:szCs w:val="20"/>
          <w:color w:val="auto"/>
        </w:rPr>
      </w:pPr>
      <w:r>
        <w:rPr>
          <w:rFonts w:ascii="Arial" w:cs="Arial" w:eastAsia="Arial" w:hAnsi="Arial"/>
          <w:sz w:val="13"/>
          <w:szCs w:val="13"/>
          <w:color w:val="auto"/>
        </w:rPr>
        <w:t>(I.R.S. Employer Identification No.)</w:t>
      </w:r>
    </w:p>
    <w:p>
      <w:pPr>
        <w:spacing w:after="0" w:line="132" w:lineRule="exact"/>
        <w:rPr>
          <w:sz w:val="24"/>
          <w:szCs w:val="24"/>
          <w:color w:val="auto"/>
        </w:rPr>
      </w:pPr>
    </w:p>
    <w:p>
      <w:pPr>
        <w:sectPr>
          <w:pgSz w:w="11900" w:h="16838" w:orient="portrait"/>
          <w:cols w:equalWidth="0" w:num="2">
            <w:col w:w="5780" w:space="720"/>
            <w:col w:w="3420"/>
          </w:cols>
          <w:pgMar w:left="980" w:top="665" w:right="999" w:bottom="1440" w:gutter="0" w:footer="0" w:header="0"/>
          <w:type w:val="continuous"/>
        </w:sectPr>
      </w:pPr>
    </w:p>
    <w:p>
      <w:pPr>
        <w:ind w:left="1120"/>
        <w:spacing w:after="0"/>
        <w:rPr>
          <w:sz w:val="20"/>
          <w:szCs w:val="20"/>
          <w:color w:val="auto"/>
        </w:rPr>
      </w:pPr>
      <w:r>
        <w:rPr>
          <w:rFonts w:ascii="Arial" w:cs="Arial" w:eastAsia="Arial" w:hAnsi="Arial"/>
          <w:sz w:val="14"/>
          <w:szCs w:val="14"/>
          <w:b w:val="1"/>
          <w:bCs w:val="1"/>
          <w:color w:val="auto"/>
        </w:rPr>
        <w:t>616 N. North Court, Suite 120, Palatine, Illinois</w:t>
      </w:r>
    </w:p>
    <w:p>
      <w:pPr>
        <w:spacing w:after="0" w:line="4" w:lineRule="exact"/>
        <w:rPr>
          <w:sz w:val="24"/>
          <w:szCs w:val="24"/>
          <w:color w:val="auto"/>
        </w:rPr>
      </w:pPr>
    </w:p>
    <w:p>
      <w:pPr>
        <w:ind w:left="1440"/>
        <w:spacing w:after="0"/>
        <w:rPr>
          <w:sz w:val="20"/>
          <w:szCs w:val="20"/>
          <w:color w:val="auto"/>
        </w:rPr>
      </w:pPr>
      <w:r>
        <w:rPr>
          <w:rFonts w:ascii="Arial" w:cs="Arial" w:eastAsia="Arial" w:hAnsi="Arial"/>
          <w:sz w:val="14"/>
          <w:szCs w:val="14"/>
          <w:color w:val="auto"/>
        </w:rPr>
        <w:t>(Address of principal executive offices)</w:t>
      </w:r>
    </w:p>
    <w:p>
      <w:pPr>
        <w:spacing w:after="0" w:line="53" w:lineRule="exact"/>
        <w:rPr>
          <w:sz w:val="24"/>
          <w:szCs w:val="24"/>
          <w:color w:val="auto"/>
        </w:rPr>
      </w:pPr>
    </w:p>
    <w:p>
      <w:pPr>
        <w:ind w:left="306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847 705 7709</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9" w:lineRule="exact"/>
        <w:rPr>
          <w:sz w:val="24"/>
          <w:szCs w:val="24"/>
          <w:color w:val="auto"/>
        </w:rPr>
      </w:pPr>
    </w:p>
    <w:p>
      <w:pPr>
        <w:ind w:left="1120"/>
        <w:spacing w:after="0"/>
        <w:tabs>
          <w:tab w:leader="none" w:pos="43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Trading Symbol(s)</w:t>
      </w:r>
    </w:p>
    <w:p>
      <w:pPr>
        <w:spacing w:after="0" w:line="4" w:lineRule="exact"/>
        <w:rPr>
          <w:sz w:val="24"/>
          <w:szCs w:val="24"/>
          <w:color w:val="auto"/>
        </w:rPr>
      </w:pPr>
    </w:p>
    <w:p>
      <w:pPr>
        <w:ind w:left="720"/>
        <w:spacing w:after="0"/>
        <w:tabs>
          <w:tab w:leader="none" w:pos="4740" w:val="left"/>
        </w:tabs>
        <w:rPr>
          <w:sz w:val="20"/>
          <w:szCs w:val="20"/>
          <w:color w:val="auto"/>
        </w:rPr>
      </w:pPr>
      <w:r>
        <w:rPr>
          <w:rFonts w:ascii="Arial" w:cs="Arial" w:eastAsia="Arial" w:hAnsi="Arial"/>
          <w:sz w:val="14"/>
          <w:szCs w:val="14"/>
          <w:color w:val="auto"/>
        </w:rPr>
        <w:t>Common Stock, $0.01 par value</w:t>
      </w:r>
      <w:r>
        <w:rPr>
          <w:sz w:val="20"/>
          <w:szCs w:val="20"/>
          <w:color w:val="auto"/>
        </w:rPr>
        <w:tab/>
      </w:r>
      <w:r>
        <w:rPr>
          <w:rFonts w:ascii="Arial" w:cs="Arial" w:eastAsia="Arial" w:hAnsi="Arial"/>
          <w:sz w:val="13"/>
          <w:szCs w:val="13"/>
          <w:color w:val="auto"/>
        </w:rPr>
        <w:t>ACUR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Arial" w:cs="Arial" w:eastAsia="Arial" w:hAnsi="Arial"/>
          <w:sz w:val="14"/>
          <w:szCs w:val="14"/>
          <w:b w:val="1"/>
          <w:bCs w:val="1"/>
          <w:color w:val="auto"/>
        </w:rPr>
        <w:t>60067</w:t>
      </w:r>
    </w:p>
    <w:p>
      <w:pPr>
        <w:spacing w:after="0" w:line="4" w:lineRule="exact"/>
        <w:rPr>
          <w:sz w:val="24"/>
          <w:szCs w:val="24"/>
          <w:color w:val="auto"/>
        </w:rPr>
      </w:pPr>
    </w:p>
    <w:p>
      <w:pPr>
        <w:ind w:left="3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4"/>
          <w:szCs w:val="14"/>
          <w:color w:val="auto"/>
        </w:rPr>
        <w:t>OTC Market — Expert Market</w:t>
      </w:r>
    </w:p>
    <w:p>
      <w:pPr>
        <w:spacing w:after="0" w:line="53" w:lineRule="exact"/>
        <w:rPr>
          <w:sz w:val="24"/>
          <w:szCs w:val="24"/>
          <w:color w:val="auto"/>
        </w:rPr>
      </w:pPr>
    </w:p>
    <w:p>
      <w:pPr>
        <w:sectPr>
          <w:pgSz w:w="11900" w:h="16838" w:orient="portrait"/>
          <w:cols w:equalWidth="0" w:num="2">
            <w:col w:w="6880" w:space="40"/>
            <w:col w:w="30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Common Stock, par value $0.01 per share</w:t>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file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2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Large Accelerated Filer</w:t>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p>
      <w:pPr>
        <w:spacing w:after="0" w:line="62"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w:t>
      </w:r>
    </w:p>
    <w:p>
      <w:pPr>
        <w:spacing w:after="0" w:line="2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w:t>
      </w:r>
    </w:p>
    <w:p>
      <w:pPr>
        <w:spacing w:after="0" w:line="82" w:lineRule="exact"/>
        <w:rPr>
          <w:sz w:val="24"/>
          <w:szCs w:val="24"/>
          <w:color w:val="auto"/>
        </w:rPr>
      </w:pPr>
    </w:p>
    <w:p>
      <w:pPr>
        <w:sectPr>
          <w:pgSz w:w="11900" w:h="16838" w:orient="portrait"/>
          <w:cols w:equalWidth="0" w:num="2">
            <w:col w:w="4340" w:space="720"/>
            <w:col w:w="4860"/>
          </w:cols>
          <w:pgMar w:left="980" w:top="665" w:right="99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7" w:lineRule="exact"/>
        <w:rPr>
          <w:sz w:val="24"/>
          <w:szCs w:val="24"/>
          <w:color w:val="auto"/>
        </w:rPr>
      </w:pPr>
    </w:p>
    <w:p>
      <w:pPr>
        <w:ind w:right="120"/>
        <w:spacing w:after="0" w:line="18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7" w:lineRule="exact"/>
        <w:rPr>
          <w:sz w:val="24"/>
          <w:szCs w:val="24"/>
          <w:color w:val="auto"/>
        </w:rPr>
      </w:pPr>
    </w:p>
    <w:p>
      <w:pPr>
        <w:ind w:right="220"/>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7"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ind w:right="440"/>
        <w:spacing w:after="0" w:line="290" w:lineRule="auto"/>
        <w:rPr>
          <w:sz w:val="20"/>
          <w:szCs w:val="20"/>
          <w:color w:val="auto"/>
        </w:rPr>
      </w:pPr>
      <w:r>
        <w:rPr>
          <w:rFonts w:ascii="Arial" w:cs="Arial" w:eastAsia="Arial" w:hAnsi="Arial"/>
          <w:sz w:val="13"/>
          <w:szCs w:val="13"/>
          <w:color w:val="auto"/>
        </w:rPr>
        <w:t>Based on the last sale price of the registrant’s Common Stock on the OTC Market - OTCQB of $0.66 on June 30, 2021 (the last business day of the registrant’s most recently completed second fiscal quarter), the aggregate market value of the voting stock held by non-affiliates of the registrant was approximately $4.9 million.</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2023, the registrant had 66,001,783 shares of Common Stock, par value $0.01, outstanding.</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518160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89535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4"/>
          </w:tcPr>
          <w:p>
            <w:pPr>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6"/>
          </w:tcPr>
          <w:p>
            <w:pPr>
              <w:jc w:val="center"/>
              <w:ind w:right="3020"/>
              <w:spacing w:after="0"/>
              <w:rPr>
                <w:sz w:val="20"/>
                <w:szCs w:val="20"/>
                <w:color w:val="auto"/>
              </w:rPr>
            </w:pPr>
            <w:r>
              <w:rPr>
                <w:rFonts w:ascii="Arial" w:cs="Arial" w:eastAsia="Arial" w:hAnsi="Arial"/>
                <w:sz w:val="18"/>
                <w:szCs w:val="18"/>
                <w:b w:val="1"/>
                <w:bCs w:val="1"/>
                <w:color w:val="auto"/>
                <w:w w:val="91"/>
              </w:rPr>
              <w:t>Acura Pharmaceuticals, Inc.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0" w:type="dxa"/>
            <w:vAlign w:val="bottom"/>
            <w:gridSpan w:val="15"/>
          </w:tcPr>
          <w:p>
            <w:pPr>
              <w:jc w:val="center"/>
              <w:ind w:right="3420"/>
              <w:spacing w:after="0"/>
              <w:rPr>
                <w:sz w:val="20"/>
                <w:szCs w:val="20"/>
                <w:color w:val="auto"/>
              </w:rPr>
            </w:pPr>
            <w:r>
              <w:rPr>
                <w:rFonts w:ascii="Arial" w:cs="Arial" w:eastAsia="Arial" w:hAnsi="Arial"/>
                <w:sz w:val="18"/>
                <w:szCs w:val="18"/>
                <w:b w:val="1"/>
                <w:bCs w:val="1"/>
                <w:color w:val="auto"/>
                <w:w w:val="96"/>
              </w:rPr>
              <w:t>Form 10-K</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80" w:type="dxa"/>
            <w:vAlign w:val="bottom"/>
            <w:gridSpan w:val="18"/>
          </w:tcPr>
          <w:p>
            <w:pPr>
              <w:jc w:val="center"/>
              <w:ind w:right="2160"/>
              <w:spacing w:after="0"/>
              <w:rPr>
                <w:sz w:val="20"/>
                <w:szCs w:val="20"/>
                <w:color w:val="auto"/>
              </w:rPr>
            </w:pPr>
            <w:r>
              <w:rPr>
                <w:rFonts w:ascii="Arial" w:cs="Arial" w:eastAsia="Arial" w:hAnsi="Arial"/>
                <w:sz w:val="18"/>
                <w:szCs w:val="18"/>
                <w:b w:val="1"/>
                <w:bCs w:val="1"/>
                <w:color w:val="auto"/>
                <w:w w:val="89"/>
              </w:rPr>
              <w:t>For the Fiscal Year Ended December 31, 2021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w w:val="8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40" w:type="dxa"/>
            <w:vAlign w:val="bottom"/>
            <w:gridSpan w:val="12"/>
            <w:shd w:val="clear" w:color="auto" w:fill="CCEEFF"/>
          </w:tcPr>
          <w:p>
            <w:pPr>
              <w:jc w:val="center"/>
              <w:ind w:right="3900"/>
              <w:spacing w:after="0" w:line="169" w:lineRule="exact"/>
              <w:rPr>
                <w:sz w:val="20"/>
                <w:szCs w:val="20"/>
                <w:color w:val="auto"/>
              </w:rPr>
            </w:pPr>
            <w:r>
              <w:rPr>
                <w:rFonts w:ascii="Arial" w:cs="Arial" w:eastAsia="Arial" w:hAnsi="Arial"/>
                <w:sz w:val="18"/>
                <w:szCs w:val="18"/>
                <w:color w:val="0000EE"/>
                <w:w w:val="92"/>
              </w:rPr>
              <w:t>PART I</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0000EE"/>
              </w:rPr>
              <w:t>Item 1.</w:t>
            </w:r>
          </w:p>
        </w:tc>
        <w:tc>
          <w:tcPr>
            <w:tcW w:w="3880" w:type="dxa"/>
            <w:vAlign w:val="bottom"/>
            <w:tcBorders>
              <w:top w:val="single" w:sz="8" w:color="CCEEFF"/>
            </w:tcBorders>
            <w:gridSpan w:val="17"/>
          </w:tcPr>
          <w:p>
            <w:pPr>
              <w:spacing w:after="0" w:line="176" w:lineRule="exact"/>
              <w:rPr>
                <w:sz w:val="20"/>
                <w:szCs w:val="20"/>
                <w:color w:val="auto"/>
              </w:rPr>
            </w:pPr>
            <w:r>
              <w:rPr>
                <w:rFonts w:ascii="Arial" w:cs="Arial" w:eastAsia="Arial" w:hAnsi="Arial"/>
                <w:sz w:val="18"/>
                <w:szCs w:val="18"/>
                <w:color w:val="0000EE"/>
              </w:rPr>
              <w:t>Business</w:t>
            </w:r>
          </w:p>
        </w:tc>
        <w:tc>
          <w:tcPr>
            <w:tcW w:w="540" w:type="dxa"/>
            <w:vAlign w:val="bottom"/>
            <w:tcBorders>
              <w:top w:val="single" w:sz="8" w:color="0000EE"/>
            </w:tcBorders>
            <w:gridSpan w:val="3"/>
          </w:tcPr>
          <w:p>
            <w:pPr>
              <w:spacing w:after="0"/>
              <w:rPr>
                <w:sz w:val="15"/>
                <w:szCs w:val="15"/>
                <w:color w:val="auto"/>
              </w:rPr>
            </w:pPr>
          </w:p>
        </w:tc>
        <w:tc>
          <w:tcPr>
            <w:tcW w:w="3900" w:type="dxa"/>
            <w:vAlign w:val="bottom"/>
            <w:tcBorders>
              <w:top w:val="single" w:sz="8" w:color="CCEEFF"/>
            </w:tcBorders>
            <w:gridSpan w:val="9"/>
          </w:tcPr>
          <w:p>
            <w:pPr>
              <w:spacing w:after="0"/>
              <w:rPr>
                <w:sz w:val="15"/>
                <w:szCs w:val="15"/>
                <w:color w:val="auto"/>
              </w:rPr>
            </w:pPr>
          </w:p>
        </w:tc>
        <w:tc>
          <w:tcPr>
            <w:tcW w:w="7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sz w:val="20"/>
                <w:szCs w:val="20"/>
                <w:color w:val="auto"/>
              </w:rPr>
            </w:pPr>
            <w:r>
              <w:rPr>
                <w:rFonts w:ascii="Arial" w:cs="Arial" w:eastAsia="Arial" w:hAnsi="Arial"/>
                <w:sz w:val="18"/>
                <w:szCs w:val="18"/>
                <w:color w:val="0000EE"/>
                <w:w w:val="89"/>
              </w:rPr>
              <w:t>Item 1B.</w:t>
            </w:r>
          </w:p>
        </w:tc>
        <w:tc>
          <w:tcPr>
            <w:tcW w:w="220" w:type="dxa"/>
            <w:vAlign w:val="bottom"/>
          </w:tcPr>
          <w:p>
            <w:pPr>
              <w:spacing w:after="0"/>
              <w:rPr>
                <w:sz w:val="15"/>
                <w:szCs w:val="15"/>
                <w:color w:val="auto"/>
              </w:rPr>
            </w:pP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Unresolved Staff Comments</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340" w:type="dxa"/>
            <w:vAlign w:val="bottom"/>
            <w:gridSpan w:val="3"/>
            <w:shd w:val="clear" w:color="auto" w:fill="CCEEFF"/>
          </w:tcPr>
          <w:p>
            <w:pPr>
              <w:spacing w:after="0"/>
              <w:rPr>
                <w:sz w:val="15"/>
                <w:szCs w:val="15"/>
                <w:color w:val="auto"/>
              </w:rPr>
            </w:pP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Properties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sz w:val="20"/>
                <w:szCs w:val="20"/>
                <w:color w:val="auto"/>
              </w:rPr>
            </w:pPr>
            <w:r>
              <w:rPr>
                <w:rFonts w:ascii="Arial" w:cs="Arial" w:eastAsia="Arial" w:hAnsi="Arial"/>
                <w:sz w:val="18"/>
                <w:szCs w:val="18"/>
                <w:color w:val="0000EE"/>
                <w:w w:val="87"/>
              </w:rPr>
              <w:t>Item 3.</w:t>
            </w:r>
          </w:p>
        </w:tc>
        <w:tc>
          <w:tcPr>
            <w:tcW w:w="340" w:type="dxa"/>
            <w:vAlign w:val="bottom"/>
            <w:gridSpan w:val="3"/>
          </w:tcPr>
          <w:p>
            <w:pPr>
              <w:spacing w:after="0"/>
              <w:rPr>
                <w:sz w:val="15"/>
                <w:szCs w:val="15"/>
                <w:color w:val="auto"/>
              </w:rPr>
            </w:pP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Legal Proceedings</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4500" w:type="dxa"/>
            <w:vAlign w:val="bottom"/>
            <w:tcBorders>
              <w:top w:val="single" w:sz="8" w:color="CCEEFF"/>
            </w:tcBorders>
            <w:gridSpan w:val="14"/>
          </w:tcPr>
          <w:p>
            <w:pPr>
              <w:jc w:val="center"/>
              <w:ind w:right="3820"/>
              <w:spacing w:after="0" w:line="176" w:lineRule="exact"/>
              <w:rPr>
                <w:sz w:val="20"/>
                <w:szCs w:val="20"/>
                <w:color w:val="auto"/>
              </w:rPr>
            </w:pPr>
            <w:r>
              <w:rPr>
                <w:rFonts w:ascii="Arial" w:cs="Arial" w:eastAsia="Arial" w:hAnsi="Arial"/>
                <w:sz w:val="18"/>
                <w:szCs w:val="18"/>
                <w:color w:val="0000EE"/>
                <w:w w:val="95"/>
              </w:rPr>
              <w:t>PART II</w:t>
            </w:r>
          </w:p>
        </w:tc>
        <w:tc>
          <w:tcPr>
            <w:tcW w:w="7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5.</w:t>
            </w:r>
          </w:p>
        </w:tc>
        <w:tc>
          <w:tcPr>
            <w:tcW w:w="340" w:type="dxa"/>
            <w:vAlign w:val="bottom"/>
            <w:gridSpan w:val="3"/>
            <w:shd w:val="clear" w:color="auto" w:fill="CCEEFF"/>
          </w:tcPr>
          <w:p>
            <w:pPr>
              <w:spacing w:after="0"/>
              <w:rPr>
                <w:sz w:val="17"/>
                <w:szCs w:val="17"/>
                <w:color w:val="auto"/>
              </w:rPr>
            </w:pP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 Securities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87"/>
              </w:rPr>
              <w:t>Item 6.</w:t>
            </w:r>
          </w:p>
        </w:tc>
        <w:tc>
          <w:tcPr>
            <w:tcW w:w="340" w:type="dxa"/>
            <w:vAlign w:val="bottom"/>
            <w:tcBorders>
              <w:top w:val="single" w:sz="8" w:color="CCEEFF"/>
            </w:tcBorders>
            <w:gridSpan w:val="3"/>
          </w:tcPr>
          <w:p>
            <w:pPr>
              <w:spacing w:after="0"/>
              <w:rPr>
                <w:sz w:val="15"/>
                <w:szCs w:val="15"/>
                <w:color w:val="auto"/>
              </w:rPr>
            </w:pPr>
          </w:p>
        </w:tc>
        <w:tc>
          <w:tcPr>
            <w:tcW w:w="8060" w:type="dxa"/>
            <w:vAlign w:val="bottom"/>
            <w:tcBorders>
              <w:top w:val="single" w:sz="8" w:color="0000EE"/>
            </w:tcBorders>
            <w:gridSpan w:val="28"/>
          </w:tcPr>
          <w:p>
            <w:pPr>
              <w:spacing w:after="0" w:line="176" w:lineRule="exact"/>
              <w:rPr>
                <w:sz w:val="20"/>
                <w:szCs w:val="20"/>
                <w:color w:val="auto"/>
              </w:rPr>
            </w:pPr>
            <w:r>
              <w:rPr>
                <w:rFonts w:ascii="Arial" w:cs="Arial" w:eastAsia="Arial" w:hAnsi="Arial"/>
                <w:sz w:val="18"/>
                <w:szCs w:val="18"/>
                <w:color w:val="0000EE"/>
              </w:rPr>
              <w:t>Reserved</w:t>
            </w:r>
          </w:p>
        </w:tc>
        <w:tc>
          <w:tcPr>
            <w:tcW w:w="2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7.</w:t>
            </w:r>
          </w:p>
        </w:tc>
        <w:tc>
          <w:tcPr>
            <w:tcW w:w="340" w:type="dxa"/>
            <w:vAlign w:val="bottom"/>
            <w:gridSpan w:val="3"/>
            <w:shd w:val="clear" w:color="auto" w:fill="CCEEFF"/>
          </w:tcPr>
          <w:p>
            <w:pPr>
              <w:spacing w:after="0"/>
              <w:rPr>
                <w:sz w:val="15"/>
                <w:szCs w:val="15"/>
                <w:color w:val="auto"/>
              </w:rPr>
            </w:pP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4"/>
          </w:tcPr>
          <w:p>
            <w:pPr>
              <w:spacing w:after="0" w:line="176" w:lineRule="exact"/>
              <w:rPr>
                <w:sz w:val="20"/>
                <w:szCs w:val="20"/>
                <w:color w:val="auto"/>
              </w:rPr>
            </w:pPr>
            <w:r>
              <w:rPr>
                <w:rFonts w:ascii="Arial" w:cs="Arial" w:eastAsia="Arial" w:hAnsi="Arial"/>
                <w:sz w:val="18"/>
                <w:szCs w:val="18"/>
                <w:color w:val="0000EE"/>
              </w:rPr>
              <w:t>Item 7A.</w:t>
            </w: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8.</w:t>
            </w:r>
          </w:p>
        </w:tc>
        <w:tc>
          <w:tcPr>
            <w:tcW w:w="340" w:type="dxa"/>
            <w:vAlign w:val="bottom"/>
            <w:gridSpan w:val="3"/>
            <w:shd w:val="clear" w:color="auto" w:fill="CCEEFF"/>
          </w:tcPr>
          <w:p>
            <w:pPr>
              <w:spacing w:after="0"/>
              <w:rPr>
                <w:sz w:val="15"/>
                <w:szCs w:val="15"/>
                <w:color w:val="auto"/>
              </w:rPr>
            </w:pP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Pr>
          <w:p>
            <w:pPr>
              <w:spacing w:after="0" w:line="176" w:lineRule="exact"/>
              <w:rPr>
                <w:sz w:val="20"/>
                <w:szCs w:val="20"/>
                <w:color w:val="auto"/>
              </w:rPr>
            </w:pPr>
            <w:r>
              <w:rPr>
                <w:rFonts w:ascii="Arial" w:cs="Arial" w:eastAsia="Arial" w:hAnsi="Arial"/>
                <w:sz w:val="18"/>
                <w:szCs w:val="18"/>
                <w:color w:val="0000EE"/>
                <w:w w:val="87"/>
              </w:rPr>
              <w:t>Item 9.</w:t>
            </w:r>
          </w:p>
        </w:tc>
        <w:tc>
          <w:tcPr>
            <w:tcW w:w="340" w:type="dxa"/>
            <w:vAlign w:val="bottom"/>
            <w:gridSpan w:val="3"/>
          </w:tcPr>
          <w:p>
            <w:pPr>
              <w:spacing w:after="0"/>
              <w:rPr>
                <w:sz w:val="15"/>
                <w:szCs w:val="15"/>
                <w:color w:val="auto"/>
              </w:rPr>
            </w:pP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Changes in and Disagreement with Accountants on Accounting and Financial Disclosure</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9A.</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89"/>
              </w:rPr>
              <w:t>Item 9B.</w:t>
            </w:r>
          </w:p>
        </w:tc>
        <w:tc>
          <w:tcPr>
            <w:tcW w:w="22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Other Information</w:t>
            </w:r>
          </w:p>
        </w:tc>
        <w:tc>
          <w:tcPr>
            <w:tcW w:w="6560" w:type="dxa"/>
            <w:vAlign w:val="bottom"/>
            <w:tcBorders>
              <w:top w:val="single" w:sz="8" w:color="CCEEFF"/>
            </w:tcBorders>
            <w:gridSpan w:val="20"/>
          </w:tcPr>
          <w:p>
            <w:pPr>
              <w:spacing w:after="0"/>
              <w:rPr>
                <w:sz w:val="15"/>
                <w:szCs w:val="15"/>
                <w:color w:val="auto"/>
              </w:rPr>
            </w:pPr>
          </w:p>
        </w:tc>
        <w:tc>
          <w:tcPr>
            <w:tcW w:w="7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w w:val="88"/>
              </w:rPr>
              <w:t>Item 9C.</w:t>
            </w:r>
          </w:p>
        </w:tc>
        <w:tc>
          <w:tcPr>
            <w:tcW w:w="220" w:type="dxa"/>
            <w:vAlign w:val="bottom"/>
            <w:shd w:val="clear" w:color="auto" w:fill="CCEEFF"/>
          </w:tcPr>
          <w:p>
            <w:pPr>
              <w:spacing w:after="0"/>
              <w:rPr>
                <w:sz w:val="17"/>
                <w:szCs w:val="17"/>
                <w:color w:val="auto"/>
              </w:rPr>
            </w:pP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gridSpan w:val="8"/>
          </w:tcPr>
          <w:p>
            <w:pPr>
              <w:jc w:val="center"/>
              <w:ind w:right="460"/>
              <w:spacing w:after="0" w:line="176" w:lineRule="exact"/>
              <w:rPr>
                <w:sz w:val="20"/>
                <w:szCs w:val="20"/>
                <w:color w:val="auto"/>
              </w:rPr>
            </w:pPr>
            <w:r>
              <w:rPr>
                <w:rFonts w:ascii="Arial" w:cs="Arial" w:eastAsia="Arial" w:hAnsi="Arial"/>
                <w:sz w:val="18"/>
                <w:szCs w:val="18"/>
                <w:color w:val="0000EE"/>
                <w:w w:val="96"/>
              </w:rPr>
              <w:t>PART III</w:t>
            </w:r>
          </w:p>
        </w:tc>
        <w:tc>
          <w:tcPr>
            <w:tcW w:w="3380" w:type="dxa"/>
            <w:vAlign w:val="bottom"/>
            <w:tcBorders>
              <w:top w:val="single" w:sz="8" w:color="CCEEFF"/>
            </w:tcBorders>
            <w:gridSpan w:val="6"/>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10.</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tcPr>
          <w:p>
            <w:pPr>
              <w:spacing w:after="0" w:line="176" w:lineRule="exact"/>
              <w:rPr>
                <w:sz w:val="20"/>
                <w:szCs w:val="20"/>
                <w:color w:val="auto"/>
              </w:rPr>
            </w:pPr>
            <w:r>
              <w:rPr>
                <w:rFonts w:ascii="Arial" w:cs="Arial" w:eastAsia="Arial" w:hAnsi="Arial"/>
                <w:sz w:val="18"/>
                <w:szCs w:val="18"/>
                <w:color w:val="0000EE"/>
              </w:rPr>
              <w:t>Item 11.</w:t>
            </w: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Executive Compensation</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12.</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tcPr>
          <w:p>
            <w:pPr>
              <w:spacing w:after="0" w:line="176" w:lineRule="exact"/>
              <w:rPr>
                <w:sz w:val="20"/>
                <w:szCs w:val="20"/>
                <w:color w:val="auto"/>
              </w:rPr>
            </w:pPr>
            <w:r>
              <w:rPr>
                <w:rFonts w:ascii="Arial" w:cs="Arial" w:eastAsia="Arial" w:hAnsi="Arial"/>
                <w:sz w:val="18"/>
                <w:szCs w:val="18"/>
                <w:color w:val="0000EE"/>
              </w:rPr>
              <w:t>Item 13.</w:t>
            </w: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14.</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Principal Accounting Fees and Services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000" w:type="dxa"/>
            <w:vAlign w:val="bottom"/>
            <w:tcBorders>
              <w:top w:val="single" w:sz="8" w:color="CCEEFF"/>
            </w:tcBorders>
            <w:gridSpan w:val="15"/>
          </w:tcPr>
          <w:p>
            <w:pPr>
              <w:jc w:val="center"/>
              <w:ind w:right="3340"/>
              <w:spacing w:after="0" w:line="176" w:lineRule="exact"/>
              <w:rPr>
                <w:sz w:val="20"/>
                <w:szCs w:val="20"/>
                <w:color w:val="auto"/>
              </w:rPr>
            </w:pPr>
            <w:r>
              <w:rPr>
                <w:rFonts w:ascii="Arial" w:cs="Arial" w:eastAsia="Arial" w:hAnsi="Arial"/>
                <w:sz w:val="18"/>
                <w:szCs w:val="18"/>
                <w:color w:val="0000EE"/>
                <w:w w:val="94"/>
              </w:rPr>
              <w:t>PART IV</w:t>
            </w:r>
          </w:p>
        </w:tc>
        <w:tc>
          <w:tcPr>
            <w:tcW w:w="7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15.</w:t>
            </w:r>
          </w:p>
        </w:tc>
        <w:tc>
          <w:tcPr>
            <w:tcW w:w="8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Exhibits, Financial Statement Schedules</w:t>
            </w:r>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4"/>
          </w:tcPr>
          <w:p>
            <w:pPr>
              <w:spacing w:after="0" w:line="176" w:lineRule="exact"/>
              <w:rPr>
                <w:sz w:val="20"/>
                <w:szCs w:val="20"/>
                <w:color w:val="auto"/>
              </w:rPr>
            </w:pPr>
            <w:r>
              <w:rPr>
                <w:rFonts w:ascii="Arial" w:cs="Arial" w:eastAsia="Arial" w:hAnsi="Arial"/>
                <w:sz w:val="18"/>
                <w:szCs w:val="18"/>
                <w:color w:val="0000EE"/>
              </w:rPr>
              <w:t>Item 16.</w:t>
            </w:r>
          </w:p>
        </w:tc>
        <w:tc>
          <w:tcPr>
            <w:tcW w:w="8320" w:type="dxa"/>
            <w:vAlign w:val="bottom"/>
            <w:gridSpan w:val="29"/>
          </w:tcPr>
          <w:p>
            <w:pPr>
              <w:spacing w:after="0" w:line="176" w:lineRule="exact"/>
              <w:rPr>
                <w:sz w:val="20"/>
                <w:szCs w:val="20"/>
                <w:color w:val="auto"/>
              </w:rPr>
            </w:pPr>
            <w:r>
              <w:rPr>
                <w:rFonts w:ascii="Arial" w:cs="Arial" w:eastAsia="Arial" w:hAnsi="Arial"/>
                <w:sz w:val="18"/>
                <w:szCs w:val="18"/>
                <w:color w:val="0000EE"/>
              </w:rPr>
              <w:t>Form 10-K Summary</w:t>
            </w: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57" w:lineRule="exact"/>
        <w:rPr>
          <w:sz w:val="20"/>
          <w:szCs w:val="20"/>
          <w:color w:val="auto"/>
        </w:rPr>
      </w:pPr>
    </w:p>
    <w:p>
      <w:pPr>
        <w:ind w:left="680" w:hanging="321"/>
        <w:spacing w:after="0" w:line="258"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from AD Pharma or others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can renegotiate the date by which we are required to obtain FDA acceptance, currently November 30, 2023, for an NDA for LTX-03 by our agreement with AD Pharma on which we depend to finance operations;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licensing partners will develop any additional products and utilize Acura for such development;</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and timing of our development of our LIMITx Technology, including, but not limited to, the submission of a New Drug Application and/or FDA filing acceptance;</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our licensees’ ability to obtain necessary regulatory approvals and commercialize products utilizing our technologies;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enter into additional license agreements for our product candidates using our technologies;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product candidates will ultimately perform as intended in commercial settings.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some cases, you can identify forward-looking statements by terms such as “anticipate,” “believe,” “continue,” “could,” “estimate,” “expect,” “indicate,” “intend,” “look forward to,” “may,” “plan,” “potential,” “predict,” “project,” “should,” “suggest,” “target,” “will,” “would,” and other similar expressions intended to identify forward-looking statements. These statements reflect our current views with respect to future events and are based on assumptions and subject to known and unknown risks and uncertainties. Given these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are advancing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28, 2019 we entered into a License, Development and Commercialization Agreement to the Limitx patent LTX-03, as amended in October 2020, July 2021, February 2022, November 2022 and December 15, 2022 (the "AD Pharma Amended Agreement"), with Abuse Deterrent Pharma, LLC (“AD Pharma”). Under the Amended AD Pharma Amended Agreement, AD Pharma also has an option to license the Limitx patents for LTX-02 (oxycodone/acetaminophen) and LTX-09 (alprazolam) for exclusive commercialization rights in the United States, which are not subject to any development agreement or responsibilities by Acura.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 At December 31, 2021, AD Pharma was delinquent in remitting $50 thousand of the license fee for the month of July 2021 and approximately $78 thousand of reimbursable LTX-03 development expenses. In March 2022, Acura received the delinquent license fee and delinquent development expenses from AD Pharma.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an entity controlled by Mr. Schutte, of which Mr. Schutte is the managing partner and investor, with Acura’s consent, all of its right, title and interest in the MainPointe Agreement between MainPointe and Acura; which was subsequently rescinded by AD Pharma in October 2020.</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to focus on addressing the safe use of pharmaceuticals by developing a broad portfolio of technologies and products with enhanced safety features and benefits. Specifically, we intend to:</w:t>
      </w:r>
    </w:p>
    <w:p>
      <w:pPr>
        <w:spacing w:after="0" w:line="170" w:lineRule="exact"/>
        <w:rPr>
          <w:sz w:val="20"/>
          <w:szCs w:val="20"/>
          <w:color w:val="auto"/>
        </w:rPr>
      </w:pPr>
    </w:p>
    <w:p>
      <w:pPr>
        <w:jc w:val="both"/>
        <w:ind w:left="680" w:hanging="321"/>
        <w:spacing w:after="0" w:line="27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Capitalize on our experience and expertise in the research and development of innovative drug delivery technologies that address medication safety</w:t>
      </w:r>
      <w:r>
        <w:rPr>
          <w:rFonts w:ascii="Arial" w:cs="Arial" w:eastAsia="Arial" w:hAnsi="Arial"/>
          <w:sz w:val="17"/>
          <w:szCs w:val="17"/>
          <w:color w:val="auto"/>
        </w:rPr>
        <w:t>. We have one FDA approved product containing our Aversion Technology commercially launched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by our licensee, and two products commercially launched containing our Impede Technology. We are currently devoting our efforts to product candidates utilizing our LIMITx Technology, which we believe will offer a significant measure of safety to those who would intentionally or otherwise ingest excessive number of tablets.</w:t>
      </w:r>
    </w:p>
    <w:p>
      <w:pPr>
        <w:spacing w:after="0" w:line="176"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Leverage our technologies by developing a full line of pharmaceutical products which utilize our proprietary technologies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Medication abuse and misuse is not limited to single drugs but often pervades entire drug categories. We intend to develop or collaborate with strategically focused pharmaceutical companies to develop multiple products with our technologies, and are seeking licensing partners for products in development utilizing our LIMITx Technology.</w:t>
      </w:r>
    </w:p>
    <w:p>
      <w:pPr>
        <w:spacing w:after="0" w:line="171" w:lineRule="exact"/>
        <w:rPr>
          <w:rFonts w:ascii="Arial" w:cs="Arial" w:eastAsia="Arial" w:hAnsi="Arial"/>
          <w:sz w:val="17"/>
          <w:szCs w:val="17"/>
          <w:color w:val="auto"/>
        </w:rPr>
      </w:pPr>
    </w:p>
    <w:p>
      <w:pPr>
        <w:jc w:val="both"/>
        <w:ind w:left="680" w:hanging="321"/>
        <w:spacing w:after="0" w:line="25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Commercialize our products by licensing to strategically focused companies in the United States and other geographic territories</w:t>
      </w:r>
      <w:r>
        <w:rPr>
          <w:rFonts w:ascii="Arial" w:cs="Arial" w:eastAsia="Arial" w:hAnsi="Arial"/>
          <w:sz w:val="18"/>
          <w:szCs w:val="18"/>
          <w:color w:val="auto"/>
        </w:rPr>
        <w:t>. We have licensed our Oxaydo product to Assertio for commercialization, have licensed our Aversion Technology to</w:t>
      </w:r>
      <w:r>
        <w:rPr>
          <w:rFonts w:ascii="Arial" w:cs="Arial" w:eastAsia="Arial" w:hAnsi="Arial"/>
          <w:sz w:val="18"/>
          <w:szCs w:val="18"/>
          <w:i w:val="1"/>
          <w:iCs w:val="1"/>
          <w:color w:val="auto"/>
        </w:rPr>
        <w:t xml:space="preserve"> </w:t>
      </w:r>
      <w:r>
        <w:rPr>
          <w:rFonts w:ascii="Arial" w:cs="Arial" w:eastAsia="Arial" w:hAnsi="Arial"/>
          <w:sz w:val="18"/>
          <w:szCs w:val="18"/>
          <w:color w:val="auto"/>
        </w:rPr>
        <w:t>KemPharm for use in certain of its prodrug products, have licensed our Nexafed products utilizing our Impede Technology to MainPointe/AD Pharma for commercialization (and granted MainPointe and AD Pharma options to other Impede products), and we entered into an agreement with AD Pharma for the development and commercialization of LTX-03 and grants them exclusive commercialization rights in the United States to LTX-03 as well as to Limitx patents for LTX-02 (oxycodone/acetaminophen) and LTX-09 (alprazolam), which are not subject to any development agreement or responsibilities by Acura.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Our internal cost structure is focused on discovering new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 formulations using those technologies. We outsource many high cost elements of development and commercialization, such as clinical trials and commercial manufacturing that minimize required fixed overhead and capital investment and thereby reduces our business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Misuse or Abuse of Prescription Opioid Products and Development of Risk Mitigation Formulations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2018, there were 312,000 incidents of self-harm in the US. In 2019, suicides exceeded 47,000 with half the US states reporting a greater than 30% increase since 1999. For ages 15-24, suicide is the second leading cause of death and veterans die by suicide at a higher rate than the civilian population. Only 54% of suicide decedents had a prior diagnosis of a mental health issue and over 10% had chronic pain representing potential opioid patients. Suicide by poisoning, which would include overdose of prescription medications, make up over 10% of successful suicide attempts with those with prior diagnosed mental health issues twice as likely to die by poisoning.</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Overdose is not limited to intentional acts of self-harm. In 2018, over 67,000 citizens died from accidental licit and illicit drug overdose, with the most prevalent licit drug classes being opioids, psychostimulants, benzodiazepines and antidepressants. The misuse and abuse of opioid analgesics continues to constitute a dynamic and challenging threat to the United States and in 2017, the US Government declared opioid abuse as an epidemic and national health emergency. In 2018, an estimated 9.9 million persons aged 12 years and older, reported opioid misuse in the past year. Overdoses involving opioids killed nearly 47,000 people in 2018 and 32% of those deaths involved prescription opioids.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CDC also identified rising overdose deaths resulting from “polysubstance” drug use. Polysubstance drug use occurs with exposure to more than one drug, with or without the person’s knowledge. This growing issue also means that an opioid-involved overdose often occurs in combination with exposure to other opioids and/or other non-opioid substances. Some examples of polysubstance exposures found in combination in overdose deaths include illicitly manufactured fentanyl (IMF) and heroin; illicitly manufactured fentanyl and cocaine; heroin and methamphetamine; and prescription or illicit opioids and benzodiazepines. Recent data indicate that the involvement of opioids in stimulant-involved deaths is increasing. Nearly three-quarters (72.7%) of cocaine-involved overdose deaths also involved an opioid in 2017. Although increases in psychostimulant-involved deaths have occurred</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spacing w:after="0" w:line="176" w:lineRule="exact"/>
        <w:rPr>
          <w:sz w:val="20"/>
          <w:szCs w:val="20"/>
          <w:color w:val="auto"/>
        </w:rPr>
      </w:pPr>
    </w:p>
    <w:p>
      <w:pPr>
        <w:ind w:left="6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Poly-substance. Opioids are sometimes used in conjunction with alcohol, methamphetamine, or other drugs to accentuate the high.</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Overdose. Drug abusers may accidentally introduce excessive quantities of drugs in their systems or combine drugs that may heighten the chance of adverse effects of drugs. Some patients may over ingest drugs accidentally or with the express intent of suicide.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development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our products use known active ingredients in approved dosage strengths, the safety and efficacy of the active ingredient(s) will need to be established by a series of pharmacokinetic studies demonstrating: (a) bioequivalence to an approved reference drug, (b) food effect of our formulations, (c) dose proportionality of our formulation, and (d) other external impacts to our unique formulations. A product candidate that does not achieve satisfactory pharmacokinetic results may require a phase III clinical efficacy study.</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Risk Mitigation - Products and Development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Abusers as well as legitimate pain patients are at risk of overdose. In some cases, overdose is accidental but anecdotal reports indicate suicide rates among pain patients are increasing presumably due to their inability to access the pain medications they need to manage their condition.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2019, FDA issued a draft for public comment guidance on a Benefit-Risk Assessment Framework for Opioid Analgesic Drugs. The draft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of our LIMITx Technology products will likely also entail additional safety and/or efficacy assessment as may be identified by the FDA for each specific formulation during the Investigational New Drug application, or IND, or the NDA phase of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30" w:lineRule="exact"/>
        <w:rPr>
          <w:sz w:val="20"/>
          <w:szCs w:val="20"/>
          <w:color w:val="auto"/>
        </w:rPr>
      </w:pPr>
    </w:p>
    <w:p>
      <w:pPr>
        <w:jc w:val="right"/>
        <w:ind w:right="2240"/>
        <w:spacing w:after="0"/>
        <w:tabs>
          <w:tab w:leader="none" w:pos="360" w:val="left"/>
        </w:tabs>
        <w:rPr>
          <w:sz w:val="20"/>
          <w:szCs w:val="20"/>
          <w:color w:val="auto"/>
        </w:rPr>
      </w:pPr>
      <w:r>
        <w:rPr>
          <w:rFonts w:ascii="Arial" w:cs="Arial" w:eastAsia="Arial" w:hAnsi="Arial"/>
          <w:sz w:val="14"/>
          <w:szCs w:val="14"/>
          <w:b w:val="1"/>
          <w:bCs w:val="1"/>
          <w:color w:val="auto"/>
        </w:rPr>
        <w:t>LIMITx Technology Products</w:t>
      </w:r>
      <w:r>
        <w:rPr>
          <w:sz w:val="20"/>
          <w:szCs w:val="20"/>
          <w:color w:val="auto"/>
        </w:rPr>
        <w:tab/>
      </w:r>
      <w:r>
        <w:rPr>
          <w:rFonts w:ascii="Arial" w:cs="Arial" w:eastAsia="Arial" w:hAnsi="Arial"/>
          <w:sz w:val="12"/>
          <w:szCs w:val="12"/>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036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03695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line="25" w:lineRule="exact"/>
        <w:rPr>
          <w:sz w:val="20"/>
          <w:szCs w:val="20"/>
          <w:color w:val="auto"/>
        </w:rPr>
      </w:pPr>
    </w:p>
    <w:p>
      <w:pPr>
        <w:ind w:left="140" w:hanging="129"/>
        <w:spacing w:after="0" w:line="259" w:lineRule="auto"/>
        <w:rPr>
          <w:sz w:val="20"/>
          <w:szCs w:val="20"/>
          <w:color w:val="auto"/>
        </w:rPr>
      </w:pPr>
      <w:r>
        <w:rPr>
          <w:rFonts w:ascii="Arial" w:cs="Arial" w:eastAsia="Arial" w:hAnsi="Arial"/>
          <w:sz w:val="18"/>
          <w:szCs w:val="18"/>
          <w:color w:val="auto"/>
        </w:rPr>
        <w:t>Immediate-release hydrocodone bitartrate with acetaminophen (LTX-03)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non-opioid drug (LTX-09)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LTX-03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FDA registration/clinical batches complete.</w:t>
      </w:r>
    </w:p>
    <w:p>
      <w:pPr>
        <w:spacing w:after="0" w:line="1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Completed 18 months of an on-going shelf life study which passed quality assurance testing.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IND active as of April 2018.</w:t>
      </w:r>
    </w:p>
    <w:p>
      <w:pPr>
        <w:spacing w:after="0" w:line="107"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Dosing completed for Study 311. Topline results expect in late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quarter of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5715</wp:posOffset>
            </wp:positionV>
            <wp:extent cx="629221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Formulation development in process.</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Two Phase I exploratory pharmacokinetic studies completed. IND no longer active.</w:t>
      </w:r>
    </w:p>
    <w:p>
      <w:pPr>
        <w:spacing w:after="0" w:line="1024" w:lineRule="exact"/>
        <w:rPr>
          <w:sz w:val="20"/>
          <w:szCs w:val="20"/>
          <w:color w:val="auto"/>
        </w:rPr>
      </w:pPr>
    </w:p>
    <w:p>
      <w:pPr>
        <w:sectPr>
          <w:pgSz w:w="11900" w:h="16838" w:orient="portrait"/>
          <w:cols w:equalWidth="0" w:num="2">
            <w:col w:w="4520" w:space="540"/>
            <w:col w:w="4860"/>
          </w:cols>
          <w:pgMar w:left="980" w:top="517" w:right="99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with AD Pharma, commercial scale-up of the LTX-03 manufacturing process at a contract manufacturing organization. In February 2021, we completed manufacturing three NDA required registration/clinical batches of the to-be-marketed LTX-03 formulation on the commercial scale manufacturing equipment with quality assurance testing of the product pending before these batches can be deemed successful and ready for use. In February 2023 we reported 18 month results from an ongoing shelf-life stability study in which LTX-03 stored at controlled room temperature passed requisite quality control tests but noted the presence of a known hydrocodone derivative product and some unknown impurities that were within normally accepted FDA standards, although the unknown impurities were increasing in concentration compared to the 12 month testing.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 Update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submitted an Investigational New Drug Application, or IND with respect to LTX-03, to the FDA in the first quarter of 2018, which became effective in April 2018. In February 2021, we submitted to the FDA an update to the LTX-03 IND with our proposed clinical protocols for further development of LTX-03. We subsequently revised the proposed clinical study program based upon a review of the FDA Advice Letter received in October 2021. The revised clinical protocol includes:</w:t>
      </w:r>
    </w:p>
    <w:p>
      <w:pPr>
        <w:spacing w:after="0" w:line="187"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310 - A one tablet, single dose pharmacokinetic study in fasted, healthy adult subjects;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311 - A 2, 5 and 9 tablet single dose pharmacokinetic study in fasted, healthy adult subjects;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312 - A one tablet, single dose pharmacokinetic study in fed, healthy adult subjects;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Study 313 – A one tablet, single dose pharmacokinetic NDA bridging study for the active ingredients.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studies also contains design components to evaluate certain pharmacologic data with respect to, among other things, acidic beverages and drug interactions. The design of these studies was based on an Advice Letter received from the FDA but no guarantees can be made that these studies, even if successful, will be sufficient to warrant FDA approval. Final design elements of these studies and whether these studies will be run to collect the targeted information are subject to agreement by AD Pharma, who has ultimate decision making authority under the AD Pharma Amended Agreement. We may obtain the necessary information from these studies from alternate sources including, but not limited to, published literature or prior studies we have performed.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entered into various service agreements with vendors to enroll, dose and analyze Study 311, including with AD Pharma to serve as study manager and clinical monitor. Dosing in Study 311 completed in March 2023 and we are awaiting results of the blood sample analysis which is expected in late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quarter of 2023.</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0.5, 1.0, 2.0 and 4.0 hours post-dosing.</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90%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Non-clinical Study APT-RDR-301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Study APT-RDR-301 was a non-clinical study of respiratory depression in which five groups of 10 Sprague-Dawley rats were orally administered doses of hydrocodone ranging from 100mg of drug per kg of body weight (mg/kg) up to 300 mg/kg and one group receiving placebo. Subjects in each group were measured for OIRD assessing peripheral oxygen saturation (SpO2) of the blood at 30-minutes post-dose. After the 30-minute SpO2 reading, a blood sample was taken from each subject.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Study APT-RDR-301 all drug doses demonstrated with statistical significance (p&lt;.05) SpO2 measured OIRD at 30-minutes post-dosing. The mortality rate was correlated with higher doses with a lethal dose in 50% of the animals (LD50) consistent with study APT-RDR-300. A regression analysis of individual subjects demonstrated a statistically significant association between Cmax and SpO2 at the 30-minute timepoint.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non-clinical studies are to characterize the pharmacology of our tablet formulation and not the toxicologic safety of the active ingredients, these studies were not run in compliance with FDA’s current good laboratory practices.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Study AP-LTX-311</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2023 we started enrollment for our first clinical study for the investigational drug LTX-03 (hydrocodone bitartrate and acetaminophen) tablets using Acura’s LIMITx technology. The study, AP-LTX-311 or Study 311, is designed to evaluate the levels of hydrocodone and acetaminophen in the blood plasma when taken at doses in excess of normal therapeutic doses. Dosing for this study was completed in March, 2023 and the Company expects topline results from Study 311 to be available in the third quarter of 2023.</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Study 311 is a phase 1 pharmacokinetic study in fasted healthy adult subjects who will be taking 2, 5 and 9 tablet doses. Study 311 is targeted to have 20 subjects complete all doses which will be administered in crossover fashion over a 4 week dosing period, with one week washout between doses. All subjects will receive an intravenous naloxone blockade during drug administration to negate the pharmacologic effects of the opioid hydrocodone. The Company expects to compare the results from the LTX-03 doses to the known, well-characterized pharmacokinetic results for hydrocodone and acetaminophen from the published literature with the intent to demonstrate lower levels of hydrocodone exposure for LTX-03 compared to the currently marketed comparator product as increasing number of tablets are ingested. The acetaminophen active ingredient is not incorporated into the LIMITx technology in the LTX-03 tablet and is not expected to be substantially different from the comparator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Amended Agreement covering LTX-03</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2019 we entered into a License, Development and Commercialization Agreement to the Limitx patent LTX-03, as amended in October 2020, July 2021, February 2022, November 2022, December 15, 2022 and June 15, 2023 (the "AD Pharma Amended Agreement"), with Abuse Deterrent Pharma, LLC (“AD Pharma”), for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 Under the AD Pharma Amended Agreement, AD Pharma also has an option to license the Limitx patents for LTX-02 (oxycodone/acetaminophen) and LTX-09 (alprazolam) for exclusive commercialization rights in the United States, which are not subject to any development agreement or responsibilities by Acura.</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 grants AD Pharma exclusive commercialization rights in the United States to LTX-03.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 Upon commercialization of LTX-03, Acura receives stepped royalties on sales and is eligible for certain sales related milestones. At December 31, 2021, AD Pharma was delinquent in remitting $50 thousand of the license fee for the month of July 2021 and approximately $78 thousand of reimbursable LTX-03 development expenses. In March 2022, Acura received the delinquent license fee and delinquent development expenses from AD Pharma.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 Pharma may terminate the AD Pharma Amended Agreement at any time. Additionally, if the NDA for LTX-03 is not accepted by the FDA by November 30, 2023, AD Pharma has the option to terminate the AD Pharma Amended Agreement and take ownership of the LIMITx intellectual property. Should AD Pharma choose not to exercise this option to terminate and the NDA for LTX-03 is subsequently accepted by the FDA, such option expires.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period December, 2021 to October, 2022, John Schutte loaned the Company $1,925,000 as evidenced by a series of unsecured promissory notes bearing interest at 5.25% maturing at December 31, 2023. On October 31, 2022, Mr. Schutte assigned these notes to Abuse Deterrent Pharma, LLC (“AD Pharma), of which Mr. Schutte is the Managing Partner. On November 10, 2022, AD Pharma and Acura Pharmaceuticals, Inc. (“we” “Acura” or the “Company), entered into an Amended Consolidated and Restated Secured Promissory Note (the “Note”) that encompasses the entire principle and accrued interest of the notes assigned by Mr. Schutte as well as any additional loans from AD Pharma to the Company. This Note bears interest at 5.25% and matures on December 31, 2023, at which time all principal and interest is due. Events of default under the Note include, among other items, bankruptcy events, failure to pay interest and principal when due and such failure continues for 5 days, and if Acura is generally not, or is unable to, or admits in writing its inability to, pay its debts as they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 This Note totaled $2,569,279 at December 31, 2022. For the period January through May, 2023, AD Pharma has made additional loans to us totaling $900 thousand. Based upon discussions with AD Pharma, it is the Company’s expectation that AD Pharma will continue to provide such financing although no assurance can be made that such will be the case.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5" w:lineRule="exact"/>
        <w:rPr>
          <w:sz w:val="20"/>
          <w:szCs w:val="20"/>
          <w:color w:val="auto"/>
        </w:rPr>
      </w:pPr>
    </w:p>
    <w:p>
      <w:pPr>
        <w:ind w:left="680" w:hanging="321"/>
        <w:spacing w:after="0" w:line="25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subjects taking Oxaydo reported a higher incidence of nasopharyngeal and facial adverse events compared to immediate-release oxycodone;</w:t>
      </w:r>
    </w:p>
    <w:p>
      <w:pPr>
        <w:ind w:left="680" w:hanging="321"/>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680" w:hanging="321"/>
        <w:spacing w:after="0" w:line="26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and Assertio have a post-approval commitment with the FDA to perform an epidemiology study to assess the actual impact on abuse of Oxaydo tablets.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nasogastric, gastric or other feeding tubes as it may cause an obstruction. We believe that Assertio has shifted focus to marketing other products in their portfolio and deemphasized the marketing Oxaydo such that Oxaydo is no longer a promoted product.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Assertio Agreement Covering Oxaydo</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2015, we and Egalet US, Inc. and Egalet Ltd., each a subsidiary of Egalet Corporation, (now known as Assertio Holdings Inc. and formerly known as Zyla Life Sciences, or collectively Assertio),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Assertio paid us an upfront payment of $5.0 million upon signing of the Assertio Agreement and a $2.5 million milestone in October 2015 in connection with the launch of Oxaydo. In addition, we are entitled to receive from Assertio a stepped royalty at percentage rates ranging from mid-single digits to double-digits on net sales during a calendar year based on Oxaydo net sales during such year.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a 2020 restructuring by Assertio, it is our understanding that Assertio has decided to reduce selling efforts pertaining to Oxaydo and it is no longer being promoted by them and as such, we expect royalties to decline over the remainder of the Agreement. Assertio reported net sales of Oxaydo in 2021 of approximately $2.6 million resulting in approximately $130 thousand in royalties to us. The royalties payable to us under the agreement will expire in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As of April 30, 2023 we are unaware of KemPharm’s use of our Aversion technology under the KemPharm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KemPharm Agreement expires upon the expiration of KemPharm’s royalty payment obligations in all countries.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ongoing development activities with respect to our Aversion Technology.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2019 CDC Drug Surveillance Report reported two million Americans aged 12 or older having used methamphetamine in the past year. From 2015-2018, an estimated 1.6 million U.S. adults aged ≥18 years, on average, reported past-year methamphetamine use. A 2018 study by researchers at Washington University in St. Louis found that methamphetamine use has increased significantly among people with an existing opioid use disorder (OUD). People with OUD in their study reported substituting methamphetamine for opioids when the latter are hard to obtain or are perceived as unsafe, or that they sought a synergistic high by combining them. People who purposefully combine heroin and cocaine or methamphetamine report that the stimulant helps to balance out the sedative effect of opioids, enabling them to function “normally.” However, the combination can enhance the drugs’ toxicity and lethality, by exacerbating their individual cardiovascular and respiratory effects.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w:t>
      </w:r>
    </w:p>
    <w:p>
      <w:pPr>
        <w:spacing w:after="0" w:line="1" w:lineRule="exact"/>
        <w:rPr>
          <w:sz w:val="20"/>
          <w:szCs w:val="20"/>
          <w:color w:val="auto"/>
        </w:rPr>
      </w:pPr>
    </w:p>
    <w:p>
      <w:pPr>
        <w:jc w:val="both"/>
        <w:ind w:firstLine="8"/>
        <w:spacing w:after="0" w:line="253" w:lineRule="auto"/>
        <w:tabs>
          <w:tab w:leader="none" w:pos="301"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Product/Formulation</w:t>
            </w:r>
          </w:p>
        </w:tc>
        <w:tc>
          <w:tcPr>
            <w:tcW w:w="20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4"/>
                <w:szCs w:val="14"/>
                <w:b w:val="1"/>
                <w:bCs w:val="1"/>
                <w:color w:val="auto"/>
              </w:rPr>
              <w:t>Meth Resistant Technology</w:t>
            </w:r>
          </w:p>
        </w:tc>
        <w:tc>
          <w:tcPr>
            <w:tcW w:w="2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Meth Recovery</w:t>
            </w:r>
            <w:r>
              <w:rPr>
                <w:rFonts w:ascii="Arial" w:cs="Arial" w:eastAsia="Arial" w:hAnsi="Arial"/>
                <w:sz w:val="21"/>
                <w:szCs w:val="21"/>
                <w:b w:val="1"/>
                <w:bCs w:val="1"/>
                <w:color w:val="auto"/>
                <w:w w:val="91"/>
                <w:vertAlign w:val="superscript"/>
              </w:rPr>
              <w:t>1</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Purity</w:t>
            </w:r>
            <w:r>
              <w:rPr>
                <w:rFonts w:ascii="Arial" w:cs="Arial" w:eastAsia="Arial" w:hAnsi="Arial"/>
                <w:sz w:val="21"/>
                <w:szCs w:val="21"/>
                <w:b w:val="1"/>
                <w:bCs w:val="1"/>
                <w:color w:val="auto"/>
                <w:w w:val="92"/>
                <w:vertAlign w:val="superscript"/>
              </w:rPr>
              <w:t>2</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20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62%</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Nexafed 30mg Technology</w:t>
            </w: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Impede® 1.0</w:t>
            </w:r>
          </w:p>
        </w:tc>
        <w:tc>
          <w:tcPr>
            <w:tcW w:w="228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38%</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65%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Tarex®</w:t>
            </w:r>
          </w:p>
        </w:tc>
        <w:tc>
          <w:tcPr>
            <w:tcW w:w="2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28%</w:t>
            </w:r>
          </w:p>
        </w:tc>
        <w:tc>
          <w:tcPr>
            <w:tcW w:w="12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51%</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Nexafed 120mg Extended-release tablets</w:t>
            </w: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Impede® 2.0</w:t>
            </w:r>
          </w:p>
        </w:tc>
        <w:tc>
          <w:tcPr>
            <w:tcW w:w="228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17%</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34%</w:t>
            </w:r>
          </w:p>
        </w:tc>
      </w:tr>
    </w:tbl>
    <w:p>
      <w:pPr>
        <w:spacing w:after="0" w:line="119" w:lineRule="exact"/>
        <w:rPr>
          <w:sz w:val="20"/>
          <w:szCs w:val="20"/>
          <w:color w:val="auto"/>
        </w:rPr>
      </w:pPr>
    </w:p>
    <w:p>
      <w:pPr>
        <w:ind w:left="780" w:hanging="124"/>
        <w:spacing w:after="0"/>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Total methamphetamine HCl recovered from the equivalent of 100 PSE 30mg tablets divided by the maximum theoretical</w:t>
      </w:r>
    </w:p>
    <w:p>
      <w:pPr>
        <w:ind w:left="820"/>
        <w:spacing w:after="0" w:line="236" w:lineRule="auto"/>
        <w:rPr>
          <w:sz w:val="20"/>
          <w:szCs w:val="20"/>
          <w:color w:val="auto"/>
        </w:rPr>
      </w:pPr>
      <w:r>
        <w:rPr>
          <w:rFonts w:ascii="Arial" w:cs="Arial" w:eastAsia="Arial" w:hAnsi="Arial"/>
          <w:sz w:val="18"/>
          <w:szCs w:val="18"/>
          <w:color w:val="auto"/>
        </w:rPr>
        <w:t>yield of 2.7 grams.</w:t>
      </w:r>
    </w:p>
    <w:p>
      <w:pPr>
        <w:ind w:left="740" w:hanging="84"/>
        <w:spacing w:after="0" w:line="206" w:lineRule="auto"/>
        <w:tabs>
          <w:tab w:leader="none" w:pos="779"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Total methamphetamine HCl recovered from the equivalent of 100 PSE 30mg tablets divided by the total weight of powder recovered.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MainPointe Agreement and controls the marketing and sale of our Nexafed products.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MainPointe Agreement in such country.</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to the AD Pharma Amended Agreement, this option and right was rescinded.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Impede Technology Products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have developed additional products for our Nexafed franchise: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Impede Technology Products</w:t>
            </w:r>
          </w:p>
        </w:tc>
        <w:tc>
          <w:tcPr>
            <w:tcW w:w="200" w:type="dxa"/>
            <w:vAlign w:val="bottom"/>
          </w:tcPr>
          <w:p>
            <w:pPr>
              <w:spacing w:after="0"/>
              <w:rPr>
                <w:sz w:val="14"/>
                <w:szCs w:val="14"/>
                <w:color w:val="auto"/>
              </w:rPr>
            </w:pP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Status</w:t>
            </w:r>
          </w:p>
        </w:tc>
      </w:tr>
      <w:tr>
        <w:trPr>
          <w:trHeight w:val="195"/>
        </w:trPr>
        <w:tc>
          <w:tcPr>
            <w:tcW w:w="48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Extended-release formulation utilizing Impede 2.0 Technology</w:t>
            </w:r>
          </w:p>
        </w:tc>
        <w:tc>
          <w:tcPr>
            <w:tcW w:w="200" w:type="dxa"/>
            <w:vAlign w:val="bottom"/>
            <w:shd w:val="clear" w:color="auto" w:fill="CCEEFF"/>
          </w:tcPr>
          <w:p>
            <w:pPr>
              <w:spacing w:after="0"/>
              <w:rPr>
                <w:sz w:val="16"/>
                <w:szCs w:val="16"/>
                <w:color w:val="auto"/>
              </w:rPr>
            </w:pPr>
          </w:p>
        </w:tc>
        <w:tc>
          <w:tcPr>
            <w:tcW w:w="48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4"/>
              </w:rPr>
              <w:t>Pilot pharmacokinetic testing demonstrated bioequivalence to</w:t>
            </w:r>
          </w:p>
        </w:tc>
      </w:tr>
      <w:tr>
        <w:trPr>
          <w:trHeight w:val="216"/>
        </w:trPr>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Sudafed® 12-hour Tablets. Pre-IND meeting held with the FDA</w:t>
            </w:r>
          </w:p>
        </w:tc>
      </w:tr>
      <w:tr>
        <w:trPr>
          <w:trHeight w:val="230"/>
        </w:trPr>
        <w:tc>
          <w:tcPr>
            <w:tcW w:w="4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imminent development planned</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Extended-release combination products</w:t>
            </w:r>
          </w:p>
        </w:tc>
        <w:tc>
          <w:tcPr>
            <w:tcW w:w="20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No imminent development planned</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Loratadine with pseudoephedrine</w:t>
            </w:r>
          </w:p>
        </w:tc>
        <w:tc>
          <w:tcPr>
            <w:tcW w:w="200" w:type="dxa"/>
            <w:vAlign w:val="bottom"/>
            <w:shd w:val="clear" w:color="auto" w:fill="CCEEFF"/>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imminent development planned</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The top retail selling PSE OTC cold/allergy products are: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00" w:type="dxa"/>
            <w:vAlign w:val="bottom"/>
          </w:tcPr>
          <w:p>
            <w:pPr>
              <w:ind w:left="1000"/>
              <w:spacing w:after="0"/>
              <w:rPr>
                <w:sz w:val="20"/>
                <w:szCs w:val="20"/>
                <w:color w:val="auto"/>
              </w:rPr>
            </w:pPr>
            <w:r>
              <w:rPr>
                <w:rFonts w:ascii="Arial" w:cs="Arial" w:eastAsia="Arial" w:hAnsi="Arial"/>
                <w:sz w:val="14"/>
                <w:szCs w:val="14"/>
                <w:b w:val="1"/>
                <w:bCs w:val="1"/>
                <w:color w:val="auto"/>
              </w:rPr>
              <w:t>Reference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Brand Company</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0" w:type="dxa"/>
            <w:vAlign w:val="bottom"/>
          </w:tcPr>
          <w:p>
            <w:pPr>
              <w:spacing w:after="0"/>
              <w:rPr>
                <w:sz w:val="1"/>
                <w:szCs w:val="1"/>
                <w:color w:val="auto"/>
              </w:rPr>
            </w:pPr>
          </w:p>
        </w:tc>
      </w:tr>
      <w:tr>
        <w:trPr>
          <w:trHeight w:val="176"/>
        </w:trPr>
        <w:tc>
          <w:tcPr>
            <w:tcW w:w="2600" w:type="dxa"/>
            <w:vAlign w:val="bottom"/>
            <w:tcBorders>
              <w:bottom w:val="single" w:sz="8" w:color="auto"/>
            </w:tcBorders>
          </w:tcPr>
          <w:p>
            <w:pPr>
              <w:ind w:left="1080"/>
              <w:spacing w:after="0" w:line="176" w:lineRule="exact"/>
              <w:rPr>
                <w:sz w:val="20"/>
                <w:szCs w:val="20"/>
                <w:color w:val="auto"/>
              </w:rPr>
            </w:pPr>
            <w:r>
              <w:rPr>
                <w:rFonts w:ascii="Arial" w:cs="Arial" w:eastAsia="Arial" w:hAnsi="Arial"/>
                <w:sz w:val="14"/>
                <w:szCs w:val="14"/>
                <w:b w:val="1"/>
                <w:bCs w:val="1"/>
                <w:color w:val="auto"/>
              </w:rPr>
              <w:t>Brand</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Ingredient(s)</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Bayer</w:t>
            </w:r>
          </w:p>
        </w:tc>
        <w:tc>
          <w:tcPr>
            <w:tcW w:w="19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180"/>
              <w:spacing w:after="0" w:line="21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Allegra-D</w:t>
            </w:r>
          </w:p>
        </w:tc>
        <w:tc>
          <w:tcPr>
            <w:tcW w:w="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9"/>
              </w:rPr>
              <w:t>Chattem</w:t>
            </w:r>
          </w:p>
        </w:tc>
        <w:tc>
          <w:tcPr>
            <w:tcW w:w="1900" w:type="dxa"/>
            <w:vAlign w:val="bottom"/>
          </w:tcPr>
          <w:p>
            <w:pPr>
              <w:spacing w:after="0"/>
              <w:rPr>
                <w:sz w:val="18"/>
                <w:szCs w:val="18"/>
                <w:color w:val="auto"/>
              </w:rPr>
            </w:pPr>
          </w:p>
        </w:tc>
        <w:tc>
          <w:tcPr>
            <w:tcW w:w="2560" w:type="dxa"/>
            <w:vAlign w:val="bottom"/>
            <w:gridSpan w:val="2"/>
          </w:tcPr>
          <w:p>
            <w:pPr>
              <w:ind w:left="180"/>
              <w:spacing w:after="0" w:line="216" w:lineRule="exact"/>
              <w:rPr>
                <w:sz w:val="20"/>
                <w:szCs w:val="20"/>
                <w:color w:val="auto"/>
              </w:rPr>
            </w:pPr>
            <w:r>
              <w:rPr>
                <w:rFonts w:ascii="Arial" w:cs="Arial" w:eastAsia="Arial" w:hAnsi="Arial"/>
                <w:sz w:val="17"/>
                <w:szCs w:val="17"/>
                <w:color w:val="auto"/>
              </w:rPr>
              <w:t>PSE &amp; Fexofenadine</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9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PSE &amp; Ceterizine</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Advil Sinus</w:t>
            </w:r>
          </w:p>
        </w:tc>
        <w:tc>
          <w:tcPr>
            <w:tcW w:w="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Pfizer</w:t>
            </w:r>
          </w:p>
        </w:tc>
        <w:tc>
          <w:tcPr>
            <w:tcW w:w="190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Arial" w:cs="Arial" w:eastAsia="Arial" w:hAnsi="Arial"/>
                <w:sz w:val="18"/>
                <w:szCs w:val="18"/>
                <w:color w:val="auto"/>
              </w:rPr>
              <w:t>PSE &amp; Ibuprofen</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J&amp;J</w:t>
            </w:r>
          </w:p>
        </w:tc>
        <w:tc>
          <w:tcPr>
            <w:tcW w:w="19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PSE</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Sudafed 30mg</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J&amp;J</w:t>
            </w:r>
          </w:p>
        </w:tc>
        <w:tc>
          <w:tcPr>
            <w:tcW w:w="1900" w:type="dxa"/>
            <w:vAlign w:val="bottom"/>
          </w:tcPr>
          <w:p>
            <w:pPr>
              <w:spacing w:after="0"/>
              <w:rPr>
                <w:sz w:val="20"/>
                <w:szCs w:val="20"/>
                <w:color w:val="auto"/>
              </w:rPr>
            </w:pPr>
          </w:p>
        </w:tc>
        <w:tc>
          <w:tcPr>
            <w:tcW w:w="2560" w:type="dxa"/>
            <w:vAlign w:val="bottom"/>
            <w:gridSpan w:val="2"/>
          </w:tcPr>
          <w:p>
            <w:pPr>
              <w:ind w:left="180"/>
              <w:spacing w:after="0"/>
              <w:rPr>
                <w:sz w:val="20"/>
                <w:szCs w:val="20"/>
                <w:color w:val="auto"/>
              </w:rPr>
            </w:pPr>
            <w:r>
              <w:rPr>
                <w:rFonts w:ascii="Arial" w:cs="Arial" w:eastAsia="Arial" w:hAnsi="Arial"/>
                <w:sz w:val="18"/>
                <w:szCs w:val="18"/>
                <w:color w:val="auto"/>
              </w:rPr>
              <w:t>PSE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00" w:hanging="120"/>
        <w:spacing w:after="0"/>
        <w:tabs>
          <w:tab w:leader="none" w:pos="110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Branded product only. Does not include store brand sales.</w:t>
      </w:r>
    </w:p>
    <w:p>
      <w:pPr>
        <w:spacing w:after="0" w:line="1" w:lineRule="exact"/>
        <w:rPr>
          <w:rFonts w:ascii="Arial" w:cs="Arial" w:eastAsia="Arial" w:hAnsi="Arial"/>
          <w:sz w:val="27"/>
          <w:szCs w:val="27"/>
          <w:color w:val="auto"/>
          <w:vertAlign w:val="superscript"/>
        </w:rPr>
      </w:pPr>
    </w:p>
    <w:p>
      <w:pPr>
        <w:ind w:left="980"/>
        <w:spacing w:after="0"/>
        <w:rPr>
          <w:rFonts w:ascii="Arial" w:cs="Arial" w:eastAsia="Arial" w:hAnsi="Arial"/>
          <w:sz w:val="27"/>
          <w:szCs w:val="27"/>
          <w:color w:val="auto"/>
          <w:vertAlign w:val="superscript"/>
        </w:rPr>
      </w:pPr>
      <w:r>
        <w:rPr>
          <w:rFonts w:ascii="Arial" w:cs="Arial" w:eastAsia="Arial" w:hAnsi="Arial"/>
          <w:sz w:val="26"/>
          <w:szCs w:val="26"/>
          <w:color w:val="auto"/>
          <w:vertAlign w:val="superscript"/>
        </w:rPr>
        <w:t>2</w:t>
      </w:r>
      <w:r>
        <w:rPr>
          <w:rFonts w:ascii="Arial" w:cs="Arial" w:eastAsia="Arial" w:hAnsi="Arial"/>
          <w:sz w:val="18"/>
          <w:szCs w:val="18"/>
          <w:color w:val="auto"/>
        </w:rPr>
        <w:t xml:space="preserve"> Extended release PSE formulations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 to the Centers for Drug Control’s 2019 Drug Surveillance Report, opioid analgesics are one of the largest prescription drug markets in the United States with 153 million prescriptions dispensed in 2019 comprised of approximately 139 million and 14 million, immediate and extended release prescriptions, respectively. Further, it is estimated in 2018 that nationally, approximately 49.5 million people, across all age groups, received at least one opioid prescription. CDC data for 2016 identified hydrocodone and oxycodone as the most widely prescribed opioids with 6.2 billion hydrocodone pills/tablets and 5 billion oxycodone pills/tablets distributed in the US.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LIMITx Technology and Aversion opioid products, to compete primarily in the IR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Products Using Our Technologies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Patent No. (Jurisdiction)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Subject matter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9,101,636</w:t>
            </w:r>
          </w:p>
        </w:tc>
        <w:tc>
          <w:tcPr>
            <w:tcW w:w="1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6"/>
                <w:szCs w:val="16"/>
                <w:color w:val="auto"/>
              </w:rPr>
            </w:pPr>
          </w:p>
        </w:tc>
        <w:tc>
          <w:tcPr>
            <w:tcW w:w="5400" w:type="dxa"/>
            <w:vAlign w:val="bottom"/>
            <w:gridSpan w:val="3"/>
            <w:shd w:val="clear" w:color="auto" w:fill="CCEEFF"/>
          </w:tcPr>
          <w:p>
            <w:pPr>
              <w:ind w:left="200"/>
              <w:spacing w:after="0" w:line="195"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3 or more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89"/>
              </w:rPr>
              <w:t>9,320,796</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Apr. 2016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3 or more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9,662,393</w:t>
            </w: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May 2017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3 or more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10,441,657 (US)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9"/>
              </w:rPr>
              <w:t>Sept. 2019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3 or more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3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10,688,184 (US)</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Jun. 2020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3 or more doses are consumed</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11,083,794 (US)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Aug. 2021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2,892,908</w:t>
            </w: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(CAN)</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Apr. 2016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89"/>
              </w:rPr>
              <w:t>5,922,851</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(JAPAN)</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Apr. 2016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ZL201380062421.0 (CHN)</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Jul. 2018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201711090908.6 (CHN)</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Oct.2020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2,925,304</w:t>
            </w: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(EUR)</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Sept. 2018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2013352162 (AUS)</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Dec. 2018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202210206 (AUS)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7"/>
              </w:rPr>
              <w:t>Sep. 2022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366159 (MEX)</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Jul. 2019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238713 (ISR)</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Abuse deterrent products wherein the release of active ingredient is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Jul. 2019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retarded when excessive doses are consumed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7"/>
          </w:tcPr>
          <w:p>
            <w:pPr>
              <w:spacing w:after="0"/>
              <w:rPr>
                <w:sz w:val="20"/>
                <w:szCs w:val="20"/>
                <w:color w:val="auto"/>
              </w:rPr>
            </w:pPr>
            <w:r>
              <w:rPr>
                <w:rFonts w:ascii="Arial" w:cs="Arial" w:eastAsia="Arial" w:hAnsi="Arial"/>
                <w:sz w:val="18"/>
                <w:szCs w:val="18"/>
                <w:color w:val="auto"/>
                <w:w w:val="91"/>
              </w:rPr>
              <w:t>We have the following issued patents covering, among other things, Oxaydo and our Aversion Technology:</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3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Patent No. (Jurisdiction)</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Subject Matter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7,201,920</w:t>
            </w:r>
          </w:p>
        </w:tc>
        <w:tc>
          <w:tcPr>
            <w:tcW w:w="1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6"/>
                <w:szCs w:val="16"/>
                <w:color w:val="auto"/>
              </w:rPr>
            </w:pPr>
          </w:p>
        </w:tc>
        <w:tc>
          <w:tcPr>
            <w:tcW w:w="5400" w:type="dxa"/>
            <w:vAlign w:val="bottom"/>
            <w:gridSpan w:val="3"/>
            <w:shd w:val="clear" w:color="auto" w:fill="CCEEFF"/>
          </w:tcPr>
          <w:p>
            <w:pPr>
              <w:ind w:left="200"/>
              <w:spacing w:after="0" w:line="195" w:lineRule="exact"/>
              <w:rPr>
                <w:sz w:val="20"/>
                <w:szCs w:val="20"/>
                <w:color w:val="auto"/>
              </w:rPr>
            </w:pPr>
            <w:r>
              <w:rPr>
                <w:rFonts w:ascii="Arial" w:cs="Arial" w:eastAsia="Arial" w:hAnsi="Arial"/>
                <w:sz w:val="18"/>
                <w:szCs w:val="18"/>
                <w:color w:val="auto"/>
                <w:w w:val="92"/>
              </w:rPr>
              <w:t>Pharmaceutical compositions including a mixture of functional inactive</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ingredients and specific opioid analgesics</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89"/>
              </w:rPr>
              <w:t>7,510,726</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4"/>
              </w:rPr>
              <w:t>A wider range of compositions than those described in the 7,201,920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1"/>
              </w:rPr>
              <w:t>Mar. 2009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Patent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7,981,439</w:t>
            </w: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Pharmaceutical  compositions  including  any  water  soluble  drug</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Jul. 2011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Aug.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susceptible to abuse</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89"/>
              </w:rPr>
              <w:t>8,409,616</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Pharmaceutical compositions of immediate-release abuse deterrent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Apr. 2013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dosage forms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8,637,540</w:t>
            </w: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Pharmaceutical compositions of immediate-release abuse deterrent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Jan. 2014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Nov.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opioid products</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89"/>
              </w:rPr>
              <w:t>9,492,443</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40" w:type="dxa"/>
            <w:vAlign w:val="bottom"/>
          </w:tcPr>
          <w:p>
            <w:pPr>
              <w:spacing w:after="0"/>
              <w:rPr>
                <w:sz w:val="17"/>
                <w:szCs w:val="17"/>
                <w:color w:val="auto"/>
              </w:rPr>
            </w:pPr>
          </w:p>
        </w:tc>
        <w:tc>
          <w:tcPr>
            <w:tcW w:w="54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6"/>
              </w:rPr>
              <w:t>Pharmaceutical compositions of immediate-release abuse deterrent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2016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opioid products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Patent No. (Jurisdiction)</w:t>
            </w:r>
          </w:p>
        </w:tc>
        <w:tc>
          <w:tcPr>
            <w:tcW w:w="180" w:type="dxa"/>
            <w:vAlign w:val="bottom"/>
          </w:tcPr>
          <w:p>
            <w:pPr>
              <w:spacing w:after="0"/>
              <w:rPr>
                <w:sz w:val="14"/>
                <w:szCs w:val="14"/>
                <w:color w:val="auto"/>
              </w:rPr>
            </w:pPr>
          </w:p>
        </w:tc>
        <w:tc>
          <w:tcPr>
            <w:tcW w:w="50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Subject Matter</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Expires</w:t>
            </w:r>
          </w:p>
        </w:tc>
      </w:tr>
      <w:tr>
        <w:trPr>
          <w:trHeight w:val="209"/>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Abuse deterrent pharmaceuticals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 2010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2,010,200,979 (AUS)</w:t>
            </w:r>
          </w:p>
        </w:tc>
        <w:tc>
          <w:tcPr>
            <w:tcW w:w="1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Abuse deterrent pharmaceuticals</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Aug. 2010</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issued patents covering, among other things, our Nexafed product line and Impede 1.0 and 2.0 technologies: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Patent No. (Jurisdiction)</w:t>
            </w:r>
          </w:p>
        </w:tc>
        <w:tc>
          <w:tcPr>
            <w:tcW w:w="200" w:type="dxa"/>
            <w:vAlign w:val="bottom"/>
          </w:tcPr>
          <w:p>
            <w:pPr>
              <w:spacing w:after="0"/>
              <w:rPr>
                <w:sz w:val="14"/>
                <w:szCs w:val="14"/>
                <w:color w:val="auto"/>
              </w:rPr>
            </w:pPr>
          </w:p>
        </w:tc>
        <w:tc>
          <w:tcPr>
            <w:tcW w:w="50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Subject Matter</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Expires</w:t>
            </w:r>
          </w:p>
        </w:tc>
      </w:tr>
      <w:tr>
        <w:trPr>
          <w:trHeight w:val="195"/>
        </w:trPr>
        <w:tc>
          <w:tcPr>
            <w:tcW w:w="20" w:type="dxa"/>
            <w:vAlign w:val="bottom"/>
          </w:tcPr>
          <w:p>
            <w:pPr>
              <w:spacing w:after="0"/>
              <w:rPr>
                <w:sz w:val="16"/>
                <w:szCs w:val="16"/>
                <w:color w:val="auto"/>
              </w:rPr>
            </w:pPr>
          </w:p>
        </w:tc>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8,901,113 (US)</w:t>
            </w:r>
          </w:p>
        </w:tc>
        <w:tc>
          <w:tcPr>
            <w:tcW w:w="522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9,757,466 (US)</w:t>
            </w:r>
          </w:p>
        </w:tc>
        <w:tc>
          <w:tcPr>
            <w:tcW w:w="5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2017</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10,004,699 (US)</w:t>
            </w:r>
          </w:p>
        </w:tc>
        <w:tc>
          <w:tcPr>
            <w:tcW w:w="5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Methods and compositions for interfering with extraction or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Jun. 2018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Dec. 2035</w:t>
            </w: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a drug susceptible to abuse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10,155,044 (US)</w:t>
            </w:r>
          </w:p>
        </w:tc>
        <w:tc>
          <w:tcPr>
            <w:tcW w:w="5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0"/>
              </w:rPr>
              <w:t>Dec. 2018</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2010300641 (AUS)</w:t>
            </w:r>
          </w:p>
        </w:tc>
        <w:tc>
          <w:tcPr>
            <w:tcW w:w="5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Jun. 2016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2,775,890 (CAN)</w:t>
            </w:r>
          </w:p>
        </w:tc>
        <w:tc>
          <w:tcPr>
            <w:tcW w:w="5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8"/>
              </w:rPr>
              <w:t>Jun. 2016</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2,488,029 (EUR)</w:t>
            </w:r>
          </w:p>
        </w:tc>
        <w:tc>
          <w:tcPr>
            <w:tcW w:w="5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Mar. 2016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218533 (ISR)</w:t>
            </w:r>
          </w:p>
        </w:tc>
        <w:tc>
          <w:tcPr>
            <w:tcW w:w="5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5"/>
              </w:rPr>
              <w:t>Jan. 2016</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2015274936 (AUS)</w:t>
            </w:r>
          </w:p>
        </w:tc>
        <w:tc>
          <w:tcPr>
            <w:tcW w:w="5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Methods and compositions for interfering with extraction or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Sept. 2018</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Jun. 2035</w:t>
            </w: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a drug susceptible to abuse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13102020.5 (HK)</w:t>
            </w:r>
          </w:p>
        </w:tc>
        <w:tc>
          <w:tcPr>
            <w:tcW w:w="5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2"/>
              </w:rPr>
              <w:t>Oct. 2016</w:t>
            </w:r>
          </w:p>
        </w:tc>
        <w:tc>
          <w:tcPr>
            <w:tcW w:w="2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7"/>
              </w:rPr>
              <w:t>Sept. 2030</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conversion of precursor compounds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Amended Agreement and in the patent infringement settlement agreements described below, we have retained all intellectual property rights to our Aversion Technology, Impede Technology, LIMITx Technology and related product candidates.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None of such settlements impacted the validity or enforceability of our Patents.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20, 2016, we, Purdue Pharma L.P. and Assertio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Reference is made to the Risk Factors contained in this Report on Form 10-K for the year ended December 31, 2021 for a discussion, among other things, of patent applications and patents owned by third parties, including claims that may encompass our Aversion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Assertio is responsible for commercial manufacture of Oxaydo under the Assertio Agreement. We expect that future opioid product candidates developed and licensed by us will be commercially manufactured by our licensees or other qualified third party contract manufacturers.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our entering into the MainPointe Agreement, we relied on two contract manufacturers to manufacture, package and supply our commercial quantities of Nexafed and Nexafed Sinus Pressure + Pain products. We assigned our existing supply agreement to MainPointe in accordance with the terms of the MainPointe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Pfizer Inc., Purdue Pharma, Atlantic Pharmaceuticals, KemPharm, Shionogi, Pisgah Labs, Ensysce Biopharma, Inspirion Delivery Sciences and Collegium Pharmaceuticals.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brand Cold and Sinus, as well as generic/store brand formulations of such products manufactured by Perrigo Company and others. A competing product from Perrigo is being marketed with claims of methamphetamine-resistance.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license agreement with MainPointe and AD Pharma, we may consider licensing our Impede Technology or other products utilizing such technology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as well as the manufacturing suitability of the product. In addition to providing required safety and effectiveness data for FDA approval, a drug manufacturer’s practices and procedures must comply with current Good Manufacturing Practices (“cGMPs”), which apply to manufacturing, receiving, holding and shipping, and include, among other things, demonstration of product purity, consistent manufacturing and quality and at least six months of data supporting product expiration dating based on clinical registration batches.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20-50). 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Phase 2</w:t>
      </w:r>
      <w:r>
        <w:rPr>
          <w:rFonts w:ascii="Arial" w:cs="Arial" w:eastAsia="Arial" w:hAnsi="Arial"/>
          <w:sz w:val="18"/>
          <w:szCs w:val="18"/>
          <w:color w:val="auto"/>
        </w:rPr>
        <w:t>: Once the preliminary safety and tolerability of the drug in humans is confirmed during phase 1, phase 2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in a somewhat 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Phase 3</w:t>
      </w:r>
      <w:r>
        <w:rPr>
          <w:rFonts w:ascii="Arial" w:cs="Arial" w:eastAsia="Arial" w:hAnsi="Arial"/>
          <w:sz w:val="18"/>
          <w:szCs w:val="18"/>
          <w:color w:val="auto"/>
        </w:rPr>
        <w:t>: Phase 3 trials typically involve a large numbers of patients affected by the disease or condition for which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is being 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Phase 4 or Post-Marketing Requirements</w:t>
      </w:r>
      <w:r>
        <w:rPr>
          <w:rFonts w:ascii="Arial" w:cs="Arial" w:eastAsia="Arial" w:hAnsi="Arial"/>
          <w:sz w:val="18"/>
          <w:szCs w:val="18"/>
          <w:color w:val="auto"/>
        </w:rPr>
        <w:t>: Phase 4 trials may be required by FDA after the approval of the NDA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a condition of 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and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w:t>
      </w:r>
    </w:p>
    <w:p>
      <w:pPr>
        <w:spacing w:after="0" w:line="4" w:lineRule="exact"/>
        <w:rPr>
          <w:sz w:val="20"/>
          <w:szCs w:val="20"/>
          <w:color w:val="auto"/>
        </w:rPr>
      </w:pPr>
    </w:p>
    <w:p>
      <w:pPr>
        <w:jc w:val="both"/>
        <w:ind w:firstLine="8"/>
        <w:spacing w:after="0" w:line="252"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Under the Prescription Drug User Fee Amendments of 2017, PDUFA VI, the FDA collects two types of fees associated with NDAs –</w:t>
      </w:r>
    </w:p>
    <w:p>
      <w:pPr>
        <w:spacing w:after="0" w:line="35" w:lineRule="exact"/>
        <w:rPr>
          <w:sz w:val="20"/>
          <w:szCs w:val="20"/>
          <w:color w:val="auto"/>
        </w:rPr>
      </w:pPr>
    </w:p>
    <w:p>
      <w:pPr>
        <w:jc w:val="both"/>
        <w:ind w:firstLine="8"/>
        <w:spacing w:after="0" w:line="255"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fee collected at the time applications are submitted, and (ii) prescription drug program fees (accounting for 80% of the total), which are collected annually for certain prescription drugs. Exceptions to the application fee include previously filed applications and applications for drugs designated as orphan drugs for a rare disease.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FDA’s fee schedule, posted on August 3, 2020, for the 2021 fiscal year, the user fee for an application fee requiring clinical data, such as an NDA was $</w:t>
      </w:r>
      <w:r>
        <w:rPr>
          <w:rFonts w:ascii="Arial" w:cs="Arial" w:eastAsia="Arial" w:hAnsi="Arial"/>
          <w:sz w:val="18"/>
          <w:szCs w:val="18"/>
          <w:color w:val="333333"/>
        </w:rPr>
        <w:t>2,875,842</w:t>
      </w:r>
      <w:r>
        <w:rPr>
          <w:rFonts w:ascii="Arial" w:cs="Arial" w:eastAsia="Arial" w:hAnsi="Arial"/>
          <w:sz w:val="18"/>
          <w:szCs w:val="18"/>
          <w:color w:val="auto"/>
        </w:rPr>
        <w:t>. The FDA’s fee schedule, posted on August 16, 2021, for the 2022 fiscal year, the user fee for an application fee requiring clinical data was $3,117,218. The FDA’s fee schedule, posted on October 7, 2022, for the 2023 fiscal year, the user fee for an application fee requiring clinical data is $3,242,026. The FDA adjusts PDUFA user fees on an annual basis. A written request can be submitted for a waiver of the application fee for the first human drug application that is filed by a small business. Where we are subject to these fees, they are significant expenditures that may be incurred in the future and must be paid at the time of submission of each application to FDA.</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terms of program fees, subject to certain exceptions, each sponsor is required to pay the annual fee for each new prescription drug approved as of 1 October of each fiscal year (for 2021 such fee was $</w:t>
      </w:r>
      <w:r>
        <w:rPr>
          <w:rFonts w:ascii="Arial" w:cs="Arial" w:eastAsia="Arial" w:hAnsi="Arial"/>
          <w:sz w:val="17"/>
          <w:szCs w:val="17"/>
          <w:color w:val="333333"/>
        </w:rPr>
        <w:t>336,432</w:t>
      </w:r>
      <w:r>
        <w:rPr>
          <w:rFonts w:ascii="Arial" w:cs="Arial" w:eastAsia="Arial" w:hAnsi="Arial"/>
          <w:sz w:val="17"/>
          <w:szCs w:val="17"/>
          <w:color w:val="auto"/>
        </w:rPr>
        <w:t xml:space="preserve"> per product strength, for 2022 such fee was $369,413 and for 2023 such fee is $393,933), but applicants may not be assessed more than five prescription drug program fees for a fiscal year, for prescription drugs identified in a single application. For example, an applicant that has 10 drug products identified in an approved NDA for 10 different strengths of tablet dosage form products is eligible for an assessment for a maximum of 5 program fees. PDUFA VI also eliminated fees for drug application supplements and establishment fees.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requires substantial time, effort, and financial resources, and we cannot be sure that any approval will be granted on a timely basis, if at all.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The FDA has determined that a REMS is necessary for immediate release opioid analgesics and has begun the process of incorporating immediate-release opioids into this class-wide REMS program.</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Oxaydo product is,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Each entity distributing controlled substances is responsible for monitoring the use of such products to identify and control diversion and misuse.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61"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46" w:lineRule="exact"/>
        <w:rPr>
          <w:rFonts w:ascii="Arial" w:cs="Arial" w:eastAsia="Arial" w:hAnsi="Arial"/>
          <w:sz w:val="16"/>
          <w:szCs w:val="16"/>
          <w:color w:val="auto"/>
        </w:rPr>
      </w:pPr>
    </w:p>
    <w:p>
      <w:pPr>
        <w:ind w:left="680" w:hanging="321"/>
        <w:spacing w:after="0" w:line="28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Healthcare Reform Law, and we expect there will be additional challenges and amendments to the Healthcare Reform Law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or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adequate level of coverage or payment will be available so that the third-party payers’ reimbursement policies will not adversely affect our ability to sell our products profitably.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the U.S. Congress adopted legislation directed at allowing the Medicare Part D drug program to negotiate discounts from approved drug manufacturers which could impact the prices we or our licensees charge to Medicare, the largest healthcare insurer in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one business segment; the research, development and commercialization of technologies and products intended to address safe use of medications.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regulation under federal, state and local environmental laws and believe we are in material compliance with such laws.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incur the usual waste disposal cost associated with a pharmaceutical research, development and manufacturing operation.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9 full-time employees, 6 of whom are engaged in the research, development and manufacture of product candidates utilizing our proprietary Aversion, Impede, and LIMITx Technologies. The remaining employees are engaged in administrative, legal, accounting, finance, and business development activities. All of our senior management and most of our other employees have prior experience in pharmaceutical or biotechnology companies. We strive to maintain a safe, healthy and respectful workplace. We offer competitive compensation coupled with attractive health benefits. The average tenure of our employees is approximately 20 years. Since 2018, three employees have separated from the Company and none were replaced. We believe engaging experienced pharmaceutical scientists in our Culver, IN facility could be difficult given its less populated geography and lack of other pharmaceutical companies in the immediate area.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of the Board of Directors has the primary responsibility of overseeing our human capital management activities (including assessing the effectiveness of employee programs and advising management with regard to the quality of the workforce to carry out our strategic goals and overall human resource strategies). Within management, our Human Resources function has management responsibility for advising and assisting the business on human resource matters and executing our overall human capital management strategies. We have had no turnover in our Board since 2018.</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we quickly implemented safety and health standards and protocols, including social distancing, limiting density, reporting and documenting exposures and providing for working from home as appropriate, all as recommended by the Centers for Disease Control or mandated by local regulations.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ethics policy in place which is sent to all employees annually which encourages communication of any matter of concern to the Board of Directors through a process delineated in the ethics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Investing in our common stock involves a high degree of risk. Before purchasing our common stock, you should carefully consider the following risk factors as well as all other information contained in this Report, including our consolidated financial statements and the related notes. The risks and uncertainties described below are not the only ones facing us. Additional risks and uncertainties that we are unaware of,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u w:val="single" w:color="auto"/>
          <w:color w:val="auto"/>
        </w:rPr>
        <w:t>We have a history of operating losses and may not be able to generate a positive return on shareholders’ investment; there is substantial doubt as to our ability to continue as a going concern: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had a net loss of $0.9 million, $1.2 million, and $3.8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years ended December 31, 2021, 2020 and 2019, respectively. As of June, 30 2023 our cash on hand balance was approximately $165 thousand. Our future viability will depend on several factors, including:</w:t>
      </w:r>
    </w:p>
    <w:p>
      <w:pPr>
        <w:spacing w:after="0" w:line="171" w:lineRule="exact"/>
        <w:rPr>
          <w:sz w:val="20"/>
          <w:szCs w:val="20"/>
          <w:color w:val="auto"/>
        </w:rPr>
      </w:pPr>
    </w:p>
    <w:p>
      <w:pPr>
        <w:jc w:val="both"/>
        <w:ind w:left="680" w:hanging="321"/>
        <w:spacing w:after="0" w:line="25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of additional funding from AD Pharma to support operations thru the receipt of FDA approval of LTX-03 and its successful commercialization by AD Pharma; (ii) the receipt of FDA approval and the successful commercialization by future licensees, yet to be identified and obtained, of products utilizing our LIMITx Technology; and (iii) our ability to commercialize all our Impede and LIMITx Technology products without infringing the patents and other intellectual property rights of third parties, of which no assurance can be given.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currently focused primarily on the development of our lead LIMITx product candidate, LTX-03, as well as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self-supporting resulting in significant doubt as to our ability to sustain operations.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we and AD Pharma succeed in developing and commercializing one or more of our pipeline LIMITx Technology products, we expect to continue using cash reserves for the foreseeable future. Our expenses may increase in the foreseeable future as a result of continued research and development of these and other product candidates, maintaining and expanding the scope of our intellectual property, and hiring of additional research and development staff. We will need to generate revenues from royalties on sales to achieve and maintain liquidity. If we or AD Pharma cannot successfully develop, obtain regulatory approval and commercialize our LIMITx product candidates in development, specifically LTX-03,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u w:val="single" w:color="auto"/>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operations to date have consumed substantial amounts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Negative cash flows from our operations are expected to continue until such time as royalties from AD Pharma’s sale of LTX-03 occur which is not expected until 2023 at the earliest. Our cash utilization amount is highly dependent on the progress of our product development programs, particularly, the results of our and clinical studies and the cost, timing and outcomes of regulatory approval for our LIMITx product candidates. As of June 30, 2023 our cash on hand balance was approximately $165 thousand. The AD Pharma Amended Agreement provided us a monthly license payment of $350 thousand from AD Pharma for a period from inception up to April 2020 at which time the payment became $200 thousand per month and ended in July 2021. The AD Pharma Amended Agreement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required AD Pharma to reimburse us all our outside development costs we incurred for LTX-03. To fund further operations, we must raise additional financing or enter into license or collaboration agreements with third parties relating to our technologies.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u w:val="single" w:color="auto"/>
          <w:color w:val="auto"/>
        </w:rPr>
        <w:t>If we fail to comply with the covenants and other obligations under our loan with AD Pharma, LLC they may accelerate amounts owed and may foreclose upon the security interest in all of our assets securing our obligation: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10, 2022, we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wholly-owned subsidiary Acura Pharmaceutical Technologies, Inc. (“APT”)), entered into a Promissory Note and Security Agreement with Abuse Deterrent Pharma, LLC. This Note includes a security interest in all of our assets. Our failure to comply with the terms of the loan agreement, if we file bankruptcy, failure to pay interest and principal when due on December 31, 2023, or upon failure to meet certain timelines as defined in the License, Development and Commercialization Agreement could result in the acceleration of payment of our loan, foreclosure on our assets, and other adverse results. Any declaration of an event of default by AD Pharma could result in the transfer of our business to AD Pharma without additional consideration and the loss by our shareholders of their entire interest.</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u w:val="single" w:color="auto"/>
          <w:color w:val="auto"/>
        </w:rPr>
        <w:t>Our failure to meet the development timelines in the AD Pharma Amended Agreement, including FDA acceptance of NDA submission for LTX-03 by November 30, 2023, will allow AD Pharma the option to terminate the AD Pharma Amended Agreement and take ownership of the LIMITx intellectual property which will adversely impact our ability to develop, market and sell our LIMITx Technology products and our revenues and business will be materially adversely affected: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 Pharma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requires that the new drug application for LTX-03 be accepted by the FDA by November 30, 2023. Failure to do so gives AD Pharma the option to terminate the AD Pharma Amended Agreement and take ownership of the LIMITx intellectual property.</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u w:val="single" w:color="auto"/>
          <w:color w:val="auto"/>
        </w:rPr>
        <w:t>We are largely dependent on our successful development of LIMITx product candidates which are unproven and may not be approved by the FDA: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that a substantial portion of our efforts and expenditures over the next few years, if we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funding, will be devoted to our lead LIMITx product candidate, LTX-03, and other LIMITx product candidates in development. Accordingly, our business is currently substantially dependent on the successful development, clinical testing, regulatory approval and commercialization of our LIMITx product candidates, which may never occur. If our clinical studies for LTX-03 are not successful we may determine that further clinical development of LTX-03 or other LIMITx product candidates should be discontinued. Also, the failure of clinical studies for LTX-03 may cause AD Pharma to terminate the AD Pharma Amended Agreement. We expect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any revenues from our LIMITx product candidates, specifically LTX-03 will be derived from upfront payments, milestone payments and royalties under license agreements with AD Pharma, of which no assurance can be given.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u w:val="single" w:color="auto"/>
          <w:color w:val="auto"/>
        </w:rPr>
        <w:t>Our and our licensees’ ability to market and promote LIMITx Technology products by describing the beneficial features of such products will be determined by the FDA approved label for such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commercial success of our LIMITx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development will depend upon our and our licensees’ ability to obtain FDA approved labeling describing such products’ benefits. Our or our licensees’ failure to achieve FDA approval of product labeling containing such information will prevent or substantially limit our and our licensees’ advertising and promotion of such beneficial features in order to differentiate our products from other immediate release opioid products containing the same active ingredients, and would have a material adverse impact on our business and results of operations.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u w:val="single" w:color="auto"/>
          <w:color w:val="auto"/>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obtain FDA approval to commercially sell and distribute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 Even if our clinical trials and laboratory testing are completed as planned, their results may not support commercially viable product label claims or be interpreted by the FDA differently than our perspective.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u w:val="single" w:color="auto"/>
          <w:color w:val="auto"/>
        </w:rPr>
        <w:t>We have no commercial manufacturing capacity and rely on third-party contract manufacturers to produce commercial quantities of our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have the facilities, equipment or personnel to manufacture commercial quantities of our products and therefore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rely on our licensees or other qualified third-party contract manufactures with appropriate facilities and equipment to contract manufacture commercial quantities of products utilizing our technologies. These licensees and third- party contract manufacturers are also subject to cGMP regulations, which impose extensive procedural and documentation requirements. Any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failure on the part of our licensees or contract manufacturers could delay commercialization of any approved products, depriving us of potential product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drug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u w:val="single" w:color="auto"/>
          <w:color w:val="auto"/>
        </w:rPr>
        <w:t>We or our licensees may not obtain required FDA approval; the FDA approval process is time-consuming and expensive: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 In addition, we cannot predict the likelihood, nature or extent of government regulation that may arise from future legislation or administrative or executive action, either in the United States or abroad. If these executive actions impose constraints on the FDA’s ability to engage in oversight and implementation activities in the normal course, our business may be negatively impacted.</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Further, the terms of approval of any NDA, including the product labeling, may be more restrictive than we or our licensees desire and could affect the marketability of our products.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u w:val="single" w:color="auto"/>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equipment and procedures necessary to manufacture clinical trial supplies of our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tablet formulations at our Culver, Indiana facility. To be used in clinical trials, all of our product candidates must be manufactured, packaged, labeled and stored in conformity with cGMP regulations.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u w:val="single" w:color="auto"/>
          <w:color w:val="auto"/>
        </w:rPr>
        <w:t>We develop our products, and manufacture clinical and commercial supplies, at a single location. Any disruption at these facilities could adversely affect our business and results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rely on our Culver, Indiana facility for developing 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and the manufacture of clinical supplies of our product candidates. Our marketed products are manufactured at a single contract manufacturing organization. If any of these facilities are damaged or destroyed, or otherwise subject to disruption, it would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Any disruptions or delays to our clinical or commercial supplies could impair our ability to develop our product candidates, which could adversely affect our business and results of operations.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u w:val="single" w:color="auto"/>
          <w:color w:val="auto"/>
        </w:rPr>
        <w:t>Our operations are subject to environmental, health and safety, and other laws and regulations, with which compliance is costly and which exposes us to penalties for non-compliance: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properties and product candidates are subject to federal, state and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u w:val="single" w:color="auto"/>
          <w:color w:val="auto"/>
        </w:rPr>
        <w:t xml:space="preserve">Our failure to successfully establish new license agreements with pharmaceutical companies for the development and commercialization of our other products in development may adversely impair our ability to develop, market and sell such products: </w:t>
      </w:r>
      <w:r>
        <w:rPr>
          <w:rFonts w:ascii="Arial" w:cs="Arial" w:eastAsia="Arial" w:hAnsi="Arial"/>
          <w:sz w:val="17"/>
          <w:szCs w:val="17"/>
          <w:color w:val="auto"/>
        </w:rPr>
        <w:t>The AD Pharma Amended Agreement grants AD Pharma an exclusive license to develop and commercialize LTX-03 in the US. The Assertio Agreement grants Assertio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AD Pharma Amended Agreement, Assertio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u w:val="single" w:color="auto"/>
          <w:color w:val="auto"/>
        </w:rPr>
        <w:t>If our licensees do not satisfy their obligations, we will be unable to develop our licensed product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 licensee fails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licensees.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it may be necessary for us to license a significant portion of our product candidates for a single technology to a single company, thereby eliminating our opportunity to commercialize other product candidates with other licensees.</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u w:val="single" w:color="auto"/>
          <w:color w:val="auto"/>
        </w:rPr>
        <w:t>The market may not be receptive to products incorporating our LIMITx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commercial success of our products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acceptance by health care providers and others that such products are clinically useful, cost-effective and safe. There can be no assurance given that our products utilizing the LIMITx Technology will be accepted by health care providers and others. Factors that may materially affect market acceptance of our product candidates include but are not limited to:</w:t>
      </w:r>
    </w:p>
    <w:p>
      <w:pPr>
        <w:spacing w:after="0" w:line="171"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product’s ability to perform as tested under real world conditions;;</w:t>
      </w:r>
    </w:p>
    <w:p>
      <w:pPr>
        <w:spacing w:after="0" w:line="23"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perception of health care providers of unique benefits of our products and their willingness to prescribe our products and their willingness to undertake administrative processes that may be invoked by third party payers; the willingness of third party payers to reimburse for our prescription products;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pharmacy chains and wholesalers to stock our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consumers to utilize and pay for our products.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u w:val="single" w:color="auto"/>
          <w:color w:val="auto"/>
        </w:rPr>
        <w:t>If we, our licensees or others identify serious adverse events or deaths relating to any of our products once on the market, we may be required to withdraw our products from the market, which would hinder or preclude our ability to generate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licensees are required to report to relevant regulatory authorities all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u w:val="single" w:color="auto"/>
          <w:color w:val="auto"/>
        </w:rPr>
        <w:t>Our revenues may be adversely affected if we fail to obtain insurance coverage or adequate reimbursement for our products from third-party payers: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ability of our licensees to successfully commercialize our products may depend in part on the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technologies. Third party payers and administrators, including state Medicaid programs and Medicare, are challenging the prices charged for pharmaceutical products. Government and other third-party payers may limit coverage, reduce reimbursement, and/or impose administrative processes for our products. Third-party insurance coverage may not be available to patients for any of our product candidates. The continuing efforts of government and third-party payers to contain or reduce the costs of health care may limit our commercial opportunity. If government and other third party payers do not provide adequate coverage and reimbursement for any product utilizing our technologies or impose burdensome administrative processes,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u w:val="single" w:color="auto"/>
          <w:color w:val="auto"/>
        </w:rPr>
        <w:t>Federal and foreign legislation may be enacted that may seriously impact the commercial viability and acceptance of the products we have licensed and are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both the United States and certain foreign jurisdictions, there have been and we expect there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66"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46" w:lineRule="exact"/>
        <w:rPr>
          <w:rFonts w:ascii="Arial" w:cs="Arial" w:eastAsia="Arial" w:hAnsi="Arial"/>
          <w:sz w:val="16"/>
          <w:szCs w:val="16"/>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ind w:left="680" w:hanging="321"/>
        <w:spacing w:after="0" w:line="250"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w:t>
      </w: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 In addition, since its enactment, there have been judicial and Congressional challenges to certain aspects of the Healthcare Reform Law, and we expect there will be additional challenges and amendments to the Affordable Care Act in the future.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u w:val="single" w:color="auto"/>
          <w:color w:val="auto"/>
        </w:rPr>
        <w:t>Consolidation in the healthcare industry could lead to demands for price concessions or for the exclusion of some suppliers from certain of our markets, which could have an adverse effect on our business, financial condition or results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 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Assertio Agreement, the KemPharm Agreement, the MainPointe Agreement and AD Pharma Amended Agreement, our licensees control (or will control in the case of AD Pharma for LTLX-03)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u w:val="single" w:color="auto"/>
          <w:color w:val="auto"/>
        </w:rPr>
        <w:t>Our success depends on our ability to protect our intellectual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success depends on our ability to obtain and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u w:val="single" w:color="auto"/>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pharmaceutical industry has been characterized by significant litigation and other proceedings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patent applications and other intellectual property rights. The situations in which we may become parties to such litigation or proceedings may include:</w:t>
      </w:r>
    </w:p>
    <w:p>
      <w:pPr>
        <w:spacing w:after="0" w:line="188" w:lineRule="exact"/>
        <w:rPr>
          <w:sz w:val="20"/>
          <w:szCs w:val="20"/>
          <w:color w:val="auto"/>
        </w:rPr>
      </w:pPr>
    </w:p>
    <w:p>
      <w:pPr>
        <w:jc w:val="both"/>
        <w:ind w:left="680" w:hanging="321"/>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submission of drug applications to the FDA certifying a challenge to our patents (Paragraph IV Proceedings);</w:t>
      </w:r>
    </w:p>
    <w:p>
      <w:pPr>
        <w:spacing w:after="0" w:line="2" w:lineRule="exact"/>
        <w:rPr>
          <w:rFonts w:ascii="Arial" w:cs="Arial" w:eastAsia="Arial" w:hAnsi="Arial"/>
          <w:sz w:val="18"/>
          <w:szCs w:val="18"/>
          <w:color w:val="auto"/>
        </w:rPr>
      </w:pPr>
    </w:p>
    <w:p>
      <w:pPr>
        <w:ind w:left="680" w:hanging="321"/>
        <w:spacing w:after="0" w:line="265"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jc w:val="both"/>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spacing w:after="0" w:line="1"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proceedings,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We may not have sufficient resources to enforce our intellectual property rights or to defend our patent or other intellectual property rights against a challenge. If we are unsuccessful in enforcing and protecting our intellectual property rights and protecting our products, it would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we may require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 We cannot assure you that our technologies, products and/or actions in developing our products will not infringe third party patents. Our failure to avoid infringing third-party patents and intellectual property rights in the development and commercialization of our products would have a material adverse effect on our operations and financial condition.</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u w:val="single" w:color="auto"/>
          <w:color w:val="auto"/>
        </w:rPr>
        <w:t>We may be exposed to product liability claims and claims regarding marketing of products and may not be able to obtain or maintain adequate product liability insurance and some claims may not be covered by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business exposes us to potential product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liability risks, which are inherent in the testing, manufacturing, marketing and sale of pharmaceutical products, and in particular opioid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products. Manufacturers and distributors of prescription opioid medications, are the subject of lawsuits and have received subpoenas and other requests for information from various state and local government agencies regarding the sales and marketing of opioid medications. Product liability claims or marketing related claims might be made by patients, health care providers or others that sell or consume our products or insurance companies that insure those affected by our products. These claims may be made even with respect to those products that possess regulatory approval for commercial sale. We currently have clinical trial product liability insurance on a claims-made basis for our subject clinical trials and have product liability insurance for the Nexafed and Oxaydo products. Our product liability insurance may not cover claims against products sold by our predecessor company, Halsey Drug Co., which were discontinued over 20 years ago. This coverage may not be adequate to cover any product liability claims. Product liability coverage and other insurance is expensive. In the future, we may not be able to maintain such product liability insurance or other insurance at a reasonable cost or in sufficient amounts to protect us against losses due to product liability claims or other claims. In addition our insurance may not cover certain marketing related claims and excludes certain products from product liability coverage. Any claims that are not covered by product liability insurance or other insurance could have a material adverse effect on our business, financial condition and results of operations.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u w:val="single" w:color="auto"/>
          <w:color w:val="auto"/>
        </w:rPr>
        <w:t>We face significant competition, which may result in others developing or commercializing products before or more successfully than we 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and technologies compete to varying degrees against both brand and generic products offering similar therapeutic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concentrating a substantial majority of our efforts and resources on developing product candidates utilizing our LIMITx Technologies. The commercial success of products utilizing such technology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Technology. Alternative technologies and non-opioid products are being developed to improve or replace the use of opioid analgesics. In the event that such alternatives to opioid analgesics are widely adopted, then the market for products utilizing our LIMITx Technology may be substantially decreased, thus reducing our ability to generate future revenues and adversely affecting our ability to generate a profit.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u w:val="single" w:color="auto"/>
          <w:color w:val="auto"/>
        </w:rPr>
        <w:t>Key personnel are critical to our business and our success depends on our ability to retain them: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dependent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 scientific team, including Robert Jones, our President and Chief Executive Officer, Peter A. Clemens, our Chief Financial Officer, and Albert W. Brzeczko, Ph.D., our Vice President of Pharmaceutical Sciences. We may not be able to retain the services of key personnel or attract and retain personnel on acceptable terms given the competition for such personnel among biotechnology, pharmaceutical and healthcare companies, universities and non-profit research institutions. While we have employment agreements with our CEO and CFO, all of our other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u w:val="single" w:color="auto"/>
          <w:color w:val="auto"/>
        </w:rPr>
        <w:t>Our products are subject to regulation by the U.S. Drug Enforcement Administration, or DEA, and such regulation may affect the development and sale of our products</w:t>
      </w: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DEA regulates certain finished drug products and active pharmaceutical ingredients,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certain opioid active pharmaceutical ingredients and pseudoephedrine HCl that are contained in our products. Consequently,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 Further, many of our raw ingredients and manufacturing equipment comes from international sources. Trade agreements and/or disagreements or other unforeseen disruptions to international supply chains may have an adverse impact on our business.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u w:val="single" w:color="auto"/>
          <w:color w:val="auto"/>
        </w:rPr>
        <w:t>Social issues around the abuse of opioids, including law enforcement concerns over diversion of opioid and regulatory efforts to combat abuse, could decrease the potential market for our LIMITx product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Media stories regarding prescription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abuse and the diversion of opioids and other controlled substances are commonplace. Law enforcement and regulatory agencies may apply policies that seek to limit the availability of opioids. Aggressive enforcement and unfavorable publicity regarding, for example, the use or misuse of oxycodone or other opioid drugs, the limitations of abuse resistant formulations, public inquiries and investigations into prescription drug abuse, litigation or regulatory activity, sales, marketing, distribution or storage of our drug products could harm our reputation. Such negative publicity could reduce the potential size of the market for our product candidates and decrease the revenues and royalties we are able to generate from their sale.</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efforts by the FDA and other regulatory bodies to combat abuse of opioids may negatively impact the market for our product candidates. For example, in February 2016, as part of a broader initiative led by U.S. Department of Health and Human Services to address opioid-related overdose, death and dependence,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Many of these changes could require our licensing partner and us to expend additional resources in developing and commercializing Oxaydo and our product candidates to meet additional requirements. In October 2017, the acting director of HHS under the directive of the President, declared the opioid crisis a national health emergency and initiated a five point plan including (i) improving access to prevention, treatment, and recovery support services; (ii) targeting the availability and distribution of overdose-reversing drugs;</w:t>
      </w:r>
    </w:p>
    <w:p>
      <w:pPr>
        <w:spacing w:after="0" w:line="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strengthening public health data reporting and collection; (iv) supporting cutting-edge research on addiction and pain; and</w:t>
      </w:r>
    </w:p>
    <w:p>
      <w:pPr>
        <w:spacing w:after="0" w:line="20" w:lineRule="exact"/>
        <w:rPr>
          <w:rFonts w:ascii="Arial" w:cs="Arial" w:eastAsia="Arial" w:hAnsi="Arial"/>
          <w:sz w:val="17"/>
          <w:szCs w:val="17"/>
          <w:color w:val="auto"/>
        </w:rPr>
      </w:pPr>
    </w:p>
    <w:p>
      <w:pPr>
        <w:ind w:firstLine="8"/>
        <w:spacing w:after="0" w:line="260"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advancing the practice of pain management. The impact that this five point plan will have on us and our licensing partners is unclear at this time.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u w:val="single" w:color="auto"/>
          <w:color w:val="auto"/>
        </w:rPr>
        <w:t>We are increasingly dependent on information technology and our systems and infrastructure face certain risks, including cybersecurity and data storage risks: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disruptions to our information technology systems or breaches of information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u w:val="single" w:color="auto"/>
          <w:color w:val="auto"/>
        </w:rPr>
        <w:t>Prior ownership changes have limited our ability to use our tax net operating loss carryforwards as part of a corporate restructure or reorganization: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equity restructuring often results in an Internal Revenue Section 382 ownership change that limits the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of Net Operating Loss (“NOL”) carryforwards and other tax attributes. In addition, under the Tax Cuts and Jobs Act of 2017, NOL usage in any given year will be limited to 80% of taxable income, without regard to the NOL deduction, and losses incurred in 2018 and forward may not be carried back but can be carried forward indefinitely, but losses incurred prior to 2018 can only be carried forward for 20 years. We have determined that we have undergone ownership changes in both 2004 and 2017 and most likely had additional ownership change in 2021 (as defined by Section 382 of the Internal Revenue Code) and as a result, our use of NOL carryforwards on an annual basis will be most likely extremely limited. As such, an entity that may seek to acquire the Company would likely be limited in the amount of NOLs they may be able to utilize.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u w:val="single" w:color="auto"/>
          <w:color w:val="auto"/>
        </w:rPr>
        <w:t>Our results of operations will fluctuate, and these fluctuations could cause our stock price to decline: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quarterly and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periods, our clinical, financial or operating results may not meet the expectations of securities analysts and investors, which could result in a decline in the price of our stock.</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u w:val="single" w:color="auto"/>
          <w:color w:val="auto"/>
        </w:rPr>
        <w:t>Our stock price has been and may continue to be volatile, and the value of an investment in our common stock may decline: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our stock traded as high as $0.75 per share and as low as $0.15 per share. During 2022 our stock traded as high as $0.60 per share and as low as $0.01 per share. The trading price of our common stock is likely to continue to exhibit wide fluctuations in response to various factors, some of which are beyond our control. These factors could include:</w:t>
      </w:r>
    </w:p>
    <w:p>
      <w:pPr>
        <w:spacing w:after="0" w:line="171"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our LIMITx product candidates;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regarding the execution of license agreements with third parties for our products or product candidates;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u w:val="single" w:color="auto"/>
          <w:color w:val="auto"/>
        </w:rPr>
        <w:t>We do not have a history of paying dividends on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we have not declared and paid any cash dividends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u w:val="single" w:color="auto"/>
          <w:color w:val="auto"/>
        </w:rPr>
        <w:t>Any future sale of a substantial number of shares in a capital raising transaction could depress the trading price of 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 As of April 30, 2023, our two largest shareholders own an aggregate of 61,897,030 shares (including 10,000,000 shares underlying warrants) (representing approximately 83.7% of our outstanding shares, including shares issuable upon exercise of these warrants but not including any other warrants, options or convertible debt outstanding to other entities). If some or all of such shares are sold by such stockholders, it may have the effect of depressing the trading price of our common stock and could make it more difficult for us to raise capital if needed in the future.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u w:val="single" w:color="auto"/>
          <w:color w:val="auto"/>
        </w:rPr>
        <w:t>As of April 30, 2023, approximately 13.6% of our common stock, is owned by a single individual, who is also a principal of AD Pharma LLC and MainPointe Pharmaceuticals LLC, and that individual has right to designate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significant amount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is owned by a single individual, Mr. Schutte. On July 24, 2017, we completed a $4.0 million private placement with him for the sale of 8,912,655 shares. Mr. Schutte is a principal of MainPointe. In March 2017, we granted MainPointe an exclusive license to our Impede Technology to commercialize our Nexafed® and Nexafed® Sinus Pressure + Pain Products in the United States and Canada. MainPointe also has options to expand the territory and products covered for additional sums. Further, Mr. Schutte has the right to designate a director (he has not done so).</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period December, 2021 to October, 2022, John Schutte loaned the Company $1,925,000 as evidenced by a series of unsecured promissory notes bearing interest at 5.25% maturing at December 31, 2023. On October 31, 2022, Mr. Schutte assigned these notes to Abuse Deterrent Pharma, LLC (“AD Pharma), of which Mr. Schutte is the Managing Partner. On November 10, 2022, AD Pharma and Acura Pharmaceuticals, Inc. (“we” “Acura” or the “Company), entered into an Amended Consolidated and Restated Secured Promissory Note (the “Note”) that encompasses the entire principle and accrued interest of the notes assigned by Mr. Schutte as well as an additional loan of $350,000 from AD Pharma to the Company. AD Pharma made a loan of $250,000 to us in December 2022 and for the period January through May, 2023, made additional loans to us totaling $900 thousand. This Note totaling $3,469,279 bears interest at 5.25%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matures on December 31, 2023, at which time all principal and interest is due. Events of default under the Note include, among other items, bankruptcy events, failure to pay interest and principal when due and such failure continues for 5 days, and if Acura is generally not, or is unable to, or admits in writing its inability to, pay its debts as they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combination of Mr. Schutte’s direct share ownership, control of one of our key licensing partners, the right to designate a director to oversee the long-term affairs of our company, his ownership interest in AD Pharma LLC and the security interest AD Pharma has in all of our assets gives him considerable influence over our business and affairs. As a result, Mr. Schutte, as a practical matter, is able to control all matters requiring approval by our shareholders, including the approval or rejection of mergers, sales or licenses of all or substantially all of our assets, or other business combination transactions. The interests of Mr. Schutte as a shareholder and creditor may not always coincide with the interests of our other shareholders and as such he may and cause the Company to take action to advance his interests to the detriment of our other shareholders. Accordingly, you may not be able to influence any action we take or consider taking, even if it requires a shareholder vote.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u w:val="single" w:color="auto"/>
          <w:color w:val="auto"/>
        </w:rPr>
        <w:t>Our shares of common stock have been thinly traded, so you may be unable to sell at or near ask prices or even at all if you need to sell your shares to raise money or otherwise desire to liquidate your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May 17, 2022 the Company’s common stock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downgraded from the OTCQB to the OTC Markets Group OTC Pink tier because we did not file Annual Report on Form 10-K for 2021. On July 20, 2022 the Company was notified that, effective July 21, 2022, its common stock would be further downgraded from the OTC Markets Group OTC Pink tier to the OTC Expert Market of the OTC Markets Group because the Company was delinquent in making current information publicly available as required by SEC Rule 15c2-11. This occurred because the Company failed to file its Quarterly Report on Form 10-Q for the first quarter ended March 31, 2022 within the applicable grace periods provided by the OTC Markets Group. Both of these reports could not be filed within the prescribed time period because of delays in the completion of management’s evaluation of the Company’s liquidity including the ability to meet day-to-day operating obligations. Additionally, the Company has failed to file its Quarterly Report on Form 10-Q for each of the second quarter ended June 30, 2022 and the third quarter ended September 30, 2022 and its Annual Report on Form 10-K for 2022. The Company has failed to file its Quarterly Report on Form 10-Q for the first quarter ended March 31, 2023.</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restrictions imposed on securities quoted on the OTC Expert Market, most investors will not be able to publicly sell their shares. Additionally, they will not have access to bid and ask prices or other information, including trading volume. As such, OTC Expert Market shares are illiquid.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u w:val="single" w:color="auto"/>
          <w:color w:val="auto"/>
        </w:rPr>
        <w:t>We are a smaller reporting company, and we cannot be certain if the reduced disclosure requirements applicable to smaller reporting companies will make our common stock less attractive to investors: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currently a “smaller reporting company,” meaning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not an investment company, an asset- backed issuer, or a majority-owned subsidiary of a parent company that is not a smaller reporting company and have a public float of less than $250 million.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2021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rent from an unaffiliated Lessor, approximately 1,600 square feet of administrative office space at 616 N. North Court, Suite 120, Palatine, Illinois 60067 on a month-to-month basis. The lease agreement provides for rent, property taxes, common area maintenance,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janitorial services of approximately $2 thousand per month. We utilize this lease space for our administrative and business development functions.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research, development, laboratory, development scale manufacturing and other activities relating to developing product candidates using Aversion, Impede and LIMITx Technologies at the facility we own (through a wholly owned subsidiary) located at 16235 State Road 17, Culver, Indiana. At this location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fiscal year and through May 20, 2019 our common stock was quoted on the OTC Markets Group OTCQB under the symbol “ACUR”. However, commencing May 20, 2019 as a result of late filing of our 2018 Annual Report on Form 10-K our common stock was relegated to the OTC Markets Group OTC Pink tier. The Company regained compliance with the OTCQB in March, 2020 and effective March 23, 2020 it was quoted on the OTCQB.</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May 17, 2022 the Company’s common stock was downgraded from the OTCQB to the OTC Markets Group OTC Pink tier because we did not file Annual Report on Form 10-K for 2021. On July 20, 2022 the Company was notified that, effective July 21, 2022, its common stock would be further downgraded from the OTC Markets Group OTC Pink tier to the OTC Expert Market of the OTC Markets Group because the Company was delinquent in making current information publicly available as required by SEC Rule 15c2-11. This occurred because the Company failed to file its Quarterly Report on Form 10-Q for the first quarter ended March 31, 2022 within the applicable grace periods provided by the OTC Markets Group. Both of these reports could not be filed within the prescribed time period because of delays in the completion of management’s evaluation of the Company’s liquidity including the ability to meet day-to-day operating obligations. Additionally, the Company has failed to file its Quarterly Report on Form 10-Q for each of the second quarter ended June 30, 2022 and the third quarter ended September 30, 2022 and its Annual Report on Form 10-K for 2022. The Company has failed to file its Quarterly Report on Form 10-Q for the first quarter ended March 31, 2023.</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restrictions imposed on securities quoted on the OTC Expert Market, most investors will not be able to publicly sell their shares. Additionally, they will not have access to bid and ask prices or other information, including trading volume. As such, OTC Expert Market shares are illiquid.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for the period indicated are the high and low sales prices for our common stock in the OTC Market of OTCQB and OTC Pink tier.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Sales Prices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2020 Fiscal Year</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0.43</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0.35</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2021 Fiscal Year</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0.50</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0.75</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0.74</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0.60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2022 Fiscal Year</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0.60</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0.54</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Third Quarter thru July 20, 2022</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0.52</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 from July 21, 2022 thru September 30, 2022</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0.48</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0.05</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2023 Fiscal Year</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0.05</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Second Quarter thru April 30, 2023</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0.05</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54" w:lineRule="exact"/>
        <w:rPr>
          <w:sz w:val="20"/>
          <w:szCs w:val="20"/>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Common stock was listed on the OTC Expert Market effective July 21, 2022. Quotations in OTC Expert Market securities are restricted from public viewing. Only broker-dealers and professional or sophisticated investors are permitted to view quotations in Expert Market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approximately 240 holders of record of our common stock as of March 17, 2021 including approximately 80 holders who were nominees for an undetermined number of beneficial owners based upon a review of a securities position listing provided by our transfer agent in September 2017. There were approximately 4,400 beneficial holders of our common stock as of January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we had cash of $65 thousand compared to $413 thousand of cash at December 31, 2020. We had an accumulated deficit of approximately $390.1 million and $389.2 million at December 31, 2021 and December 31, 2020, respectively. We had a loss from operations of $1.2 million and a net loss of $876 thousand for the year ended December 31, 2021, compared to a loss from operations of $758 thousand and a net loss of $1.2 million for the year ended December 31, 2020.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28, 2019 we entered into a License, Development and Commercialization Agreement, as amended in October 2020, July 2021, February 2022, November 2022, December 15, 2022, and June 15, 2023 (the "AD Pharma Amended Agreement"), with Abuse Deterrent Pharma, LLC (“AD Pharma”) for the completion of development of LTX-03. The AD Pharma Amended grants AD Pharma exclusive commercialization rights in the United States to LTX-03. Under the AD Pharma Amended Agreement, AD Pharma also has an option to license the Limitx patents for LTX-02 (oxycodone/acetaminophen) and LTX-09 (alprazolam) for exclusive commercialization rights in the United States, which are not subject to any development agreement or responsibilities by Acura.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 Upon commercialization of LTX-03, Acura will be entitled to stepped royalties on sales and is eligible for certain sales related milestones. The AD Pharma Amended Agreement, requires the NDA for LTX-03 be accepted by the FDA by November 30, 2023 or AD Pharma has the option to terminate the AD Pharma Amended Agreement and take ownership of the LIMITx intellectual property. Should AD Pharma choose not to exercise this option to terminate and the NDA for LTX-03 is subsequently accepted by the FDA, such option to terminate AD Pharma Amended Agreement expires. The AD Pharma Amended Agreement allows AD Pharma to terminate the AD Pharma Amended Agreement anytime for “convenience on 30 days prior written notice”.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Assertio Agreement. Sales and marketing expenses include costs associated with the Nexafed product line advertising incurred prior to our entering into the MainPointe Agreement, salaries and other personnel-related costs include the stock-based compensation associated with stock options and restricted stock units granted to employees and non-employee directors.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2021 and 2020.</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40" w:type="dxa"/>
            <w:vAlign w:val="bottom"/>
            <w:gridSpan w:val="3"/>
            <w:vMerge w:val="restart"/>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140" w:type="dxa"/>
            <w:vAlign w:val="bottom"/>
            <w:vMerge w:val="restart"/>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w w:val="73"/>
              </w:rPr>
              <w:t>000’s</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$000’s</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Royalties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00"/>
              <w:spacing w:after="0"/>
              <w:rPr>
                <w:sz w:val="20"/>
                <w:szCs w:val="20"/>
                <w:color w:val="auto"/>
              </w:rPr>
            </w:pPr>
            <w:r>
              <w:rPr>
                <w:rFonts w:ascii="Arial" w:cs="Arial" w:eastAsia="Arial" w:hAnsi="Arial"/>
                <w:sz w:val="18"/>
                <w:szCs w:val="18"/>
                <w:color w:val="auto"/>
              </w:rPr>
              <w:t>License fees from related party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Collaboration from related party</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8"/>
                <w:szCs w:val="18"/>
                <w:color w:val="auto"/>
              </w:rPr>
            </w:pPr>
          </w:p>
        </w:tc>
        <w:tc>
          <w:tcPr>
            <w:tcW w:w="6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on forgiveness of loans under CARES Act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(1,208)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6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(1,208)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license agreement with Assertio for Oxaydo, we earn a royalty based on their net product sales, as defined in the license agreement. We recognized $130 thousand and $102 thousand of royalty revenue for Oxaydo during the years ended 2021 and 2020, respectively. We expect future lower royalties from lower net product sales of Oxaydo as Assertio has indicated Oxaydo is a non-promoted product.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license agreement with MainPointe for our Nexafed product line, we earn a royalty based on product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$2 thousand and $7 thousand of royalty revenue on Nexafed during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license fees under the AD Pharma Amended Agreement for LTX-03. The monthly license payments ended on July 31, 2021 under the AD Pharma Amended Agreement. We recognized $1.4 million and $3.0 million of license fees revenue during the years ended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Collaboration revenue is derived from reimbursement of development expenses under our collaboration agreement for LTX-03 with AD Pharma, and are recognized when costs are incurred pursuant to the AD Pharma Amended Agreement. During 2021 development activities by us were focused and directed towards, among other activities, submission in February 2021 to the FDA an update to the LTX-03 IND with our proposed clinical protocols for further development of LTX-03. We subsequently revised the proposed clinical study program based upon a review of the FDA Advice Letter received in October 2021. Final design elements of these studies and whether these studies will be run to collect the targeted information are subject to agreement by AD Pharma, who has ultimate decision making authority under the AD Pharma Amended Agreement. We may enter into various service agreements with vendors for Study 311, including with AD Pharma to serve as study manager and clinical monitor. We recognized $31 thousand and $238 thousand of collaboration revenue during the years ended 2021 and 2020,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believed sufficient time had passed where the Nexafed product was no longer subject to right of return and we estimated no additional product would be returned.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 (“R&amp;D”) for 2021 and 2020 was primarily with respect to our LIMITx Technology development activity under license with AD Pharma and can include, among other items, costs of preclinical and non-clinical internal and external activities, clinical study programs, clinical supplies and its related formulation and design costs, salaries and other personnel related expenses of our employees, consultants, our facility costs, and a percentage share of selected cost sharing expenses under the license agreement with Assertio. Our R&amp;D expenses decreased approximately $0.3 million between reporting periods, all related to the LTX-03 development activities. Final design elements of these clinical study programs and whether these studies will be run to collect the targeted information are subject to agreement by AD Pharma, who has ultimate decision making authority under the AD Pharma Amended Agreement. We may enter into various service agreements with vendors for Study 311, including with AD Pharma to serve as study manager and clinical monitor.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Included in each of the 2021 and 2020 results are share-based compensation expenses of approximately $109 thousand and $53 thousand, respectively. Excluding the share-based compensation expense our general and administrative expenses decreased by approximately $1.4 million between reporting periods, resulting primarily from lower fees in legal and accounting professional fees, lower wage expenses resulting from employee attrition, cessation of cost sharing expenses under product license agreement and the significant reduction of intangible asset amortization expense primarily resulting from the asset’s impairment charge recorded in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2021 and 2020, we incurred interest expense of $200 thousand and $450 thousand, respectively on our various related-party debt financings. Our interest expense decreased in 2021 because in June 2021 the $6.0 million promissory note and its $877 thousand of accrued interest held by AD Pharma was converted into 42,984,375 shares of the Company’s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2021 and 2020 include no federal or state income tax benefit provisions due to 100% allowances placed against our deferred tax assets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our cash on hand balance was $65 thousand, working capital deficit of $143 thousand and an accumulated deficit of $390.1 million. We had a loss from operations of $1.2 million and a net loss of $879 thousand for the year ended December 31, 2021. We have suffered recurring losses from operations and have not generated positive cash flows from operations. We anticipate operating losses to continue for the foreseeable future. As of June 30, 2023 our cash on hand balance was approximately $165 thousand.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License, Development and Commercialization Agreement, as amended in October 2020, July 2021, February 2022, November 2022, and December 15, 2022 (the "AD Pharma Amended Agreement"), with Abuse Deterrent Pharma, LLC (“AD Pharma”)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also required AD Pharma to reimburse us all our outside development costs we incurred for LTX-03. At December 31, 2021, AD Pharma was delinquent in remitting $50 thousand of the July 2021 license fee and approximately $78 thousand of reimbursable LTX-03 development expenses. In March 2022, Acura received the delinquent license fee and delinquent development expenses from AD Pharma.</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period December, 2021 to October, 2022, John Schutte loaned the Company $1,925,000 as evidenced by a series of unsecured promissory notes bearing interest at 5.25% maturing at December 31, 2023. On October 31, 2022, Mr. Schutte assigned these notes to Abuse Deterrent Pharma, LLC (“AD Pharma), of which Mr. Schutte is the Managing Partner. On November 10, 2022, AD Pharma and Acura Pharmaceuticals, Inc. (“we” “Acura” or the “Company), entered into an Amended Consolidated and Restated Secured Promissory Note (the “Note”) that encompasses the entire principle and accrued interest of the notes assigned by Mr. Schutte as well as any additional loans from AD Pharma to the Company. This Note bears interest at 5.25% and matures on December 31, 2023, at which time all principal and interest is due. Events of default under the Note include, among other items, bankruptcy events, failure to pay interest and principal when due and such failure continues for 5 days, and if Acura is generally not, or is unable to, or admits in writing its inability to, pay its debts as they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 This Note totaled $2,569,279 at December 31, 2022. For the period January through May, 2023, AD Pharma has made additional loans to us totaling $900 thousand. Based upon discussions with AD Pharma, it is the Company’s expectation that AD Pharma will continue to provide such financing although no assurance can be made that such will be the case.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can be no assurance that AD Pharma will agree to further make extensions to the NDA filing acceptance date or that they will not take ownership of the intellectual property.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2021 financial statements a “going concern” explanatory paragraph as to substantial doubt of our ability to continue as a going concern.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 (in thousands):</w:t>
      </w:r>
    </w:p>
    <w:p>
      <w:pPr>
        <w:spacing w:after="0" w:line="2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w:t>
      </w:r>
    </w:p>
    <w:p>
      <w:pPr>
        <w:jc w:val="center"/>
        <w:ind w:left="6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 ended December 31, 2021, the net cash used in operating activities was $742 thousand and consisted primarily of a net loss of $879 thousand. This net loss and the $535 thousand gains on forgiveness of loans under CARES Act was partially offset by non-cash items such as $58 thousand in share-based compensation expense, $47 thousand of depreciation expense, $17 thousand of amortization expense on right-of-use asset, $47 thousand impairment charge on an intangible asset, and $26 thousand of intangible asset amortization expense along with $477 thousand in net cash inflows from changes in operating assets and liabilities.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inflow from changes in operating assets and liabilities of $477 thousand for the year ended December 31, 2021 was due to decreases of $350 thousand in license fee receivable from related party, $119 thousand in collaboration revenue receivable from related party along with increases of $161 thousand in accounts payable, $199 thousand in accrued interest and $52 thousand in other current liabilities. These cash inflows were partially offset by increases of $10 thousand in prepaid expenses and other current assets and a decrease of $394 thousand in accrued expenses.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December 31, 2020, the net cash used in operating activities was $0.7 million for the year ended December 31, 2020 and consisted primarily of a net loss of $1.2 million. This net loss was partially offset by non-cash items such as $36 thousand in share-based compensation expense, $56 thousand of depreciation expense, $668 thousand impairment charge on an intangible asset, $69 thousand of intangible asset amortization expense and $223 write-down of product sales return allowance liability, with $117 thousand in net cash outflows from changes in operating assets and liabilities.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net cash outflow from changes in operating assets and liabilities of $117 thousand for the year ended December 31, 2020 was due to increases of $400 thousand in license fee receivable, $119 thousand in collaboration revenue receivable and $17 thousand in prepaid expenses and other current assets along with a decrease of $160 thousand in accounts payable and accrued expenses. These cash outflows were partially offset by decreases of $52 thousand in royalty receivable and $68 thousand in income tax receivable, along with increases of $449 thousand in accrued interest and $10 thousand in other current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investing activities for the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was $394 thousand for the year ended December 31, 2021 and consisted primarily of proceeds from a loan under the CARES Act of $266 thousand and a $150 thousand loan provided to the Company by Mr. Schutte. Net cash provided by financing activities was $270 thousand for the year ended December 31, 2020 and consisted of the proceeds from a loan under the CARES Act. The Company received approval for forgiveness on both of these loans in each of the third quarter and fourth quarter 2021 by the U.S. Small Business Administration.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 from Mr. Schutte and Abuse Deterrent Pharma, LLC</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28, 2019, we entered into a Promissory Note (the “Note”) with Mr. Schutte that consolidated existing promissory notes that were due to mature at January 2, 2020 issued to John Schutte into a single note for $6.0 million (after including accrued and unpaid interest). To secure our performance of our obligations under the Note, we granted Mr. Schutte a security interest in all of our assets. Terms of the consolidated Note provided for a July 1, 2023 maturity date,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AD Pharma is an entity controlled by Mr. Schutte, of which Mr. Schutte is the managing partner and investor.</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period December, 2021 to October, 2022, John Schutte loaned the Company $1,925,000 as evidenced by a series of unsecured promissory notes bearing interest at 5.25% maturing at December 31, 2023. On October 31, 2022, Mr. Schutte assigned these notes to Abuse Deterrent Pharma, LLC (“AD PHARMA), of which Mr. Schutte is the managing partner. On November 10, 2022, AD Pharma and the Company entered into an Amended Consolidated and Restated Secured Promissory Note (the “November 2022 Note”) that encompasses the entire principle and accrued interest of the notes assigned by Mr. Schutte as well as ay additional loans from AD Pharma to the Company. This Note bears interest at 5.25% and matures on December 31, 2023, at which time all principal and interest is due. Events of default under the Note include, among other items, bankruptcy events, failure to pay interest and principal when due and such failure continues for 5 days, and if Acura is generally not, or is unable to, or admits in writing its inability to, pay its debts as they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 This Note totaled $2,569,279 at December 31, 2022. For the period January through May, 2023, AD Pharma has made additional loans totaling $900 thousand. Based upon discussions with AD Pharma, it is the Company’s expectation that AD Pharma will continue to provide such financing although no assurance can be made that such will be the case.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April 30, 2023, John Schutte individually, and AD Pharma own approximately 13% and 64%, respectively of the outstanding common stock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royalties, and until March 2017 did previously include the Nexafed products’ net product sales.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enter into license and collaboration agreements which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 These license and collaboration agreements may contain customer options for the license of additional products and territories. The options in the agreement may need to be evaluated to determine the option’s standalone selling prices. Some of the license and collaboration agreements may contain a license to the technology as well as licenses to tradenames or trademarks. The licenses to the tradenames 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trademarks will need to be evaluated in context of the entire contract. The commercial sales-based milestones and sales royalties earned under the license and collaboration agreements are recorded in the period of the related sales by the licensee.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income taxes under the asset and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At December 31, 2021,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 Recent Accounting Pronouncements of the Notes to Financial Statements (Part II, Item 8 of this Form 10-K)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capital expenditures during 2021 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the investments to fluctuate. As of December 31, 2021, we had no investments in marketable securities or holdings of derivative financial or commodity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As of the end of the period covered by this Form 10-K, we carried out an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supervision and with the participation of our management, including our principal executive officer and principal financial officer, of the effectiveness of the design and operation of our disclosure controls and procedures (as such term is defined in Rules 13a-15(e) under the Exchange Act). Based on this evaluation, our principal executive officer and principal financial officer concluded that our disclosure controls and procedures are effective in alerting them in a timely manner to material information required to be disclosed in our periodic reports filed with the Securities and Exchange Commission.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adequate 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8" w:lineRule="exact"/>
        <w:rPr>
          <w:sz w:val="20"/>
          <w:szCs w:val="20"/>
          <w:color w:val="auto"/>
        </w:rPr>
      </w:pPr>
    </w:p>
    <w:p>
      <w:pPr>
        <w:ind w:left="680" w:hanging="321"/>
        <w:spacing w:after="0" w:line="258"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 of our assets;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2021, our internal control over financial reporting is effective based on those criteria.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Fourth Quarter 2021 that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and position of our directors, executive officers and key employees as of April 30, 2023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14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Peter A. Clemens</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70</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42"/>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 Ph.D.</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66</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Pharmaceutical Sciences</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Robert A. Seiser</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59</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Vice President, Treasurer, and Corporate Controller</w:t>
            </w:r>
          </w:p>
        </w:tc>
      </w:tr>
      <w:tr>
        <w:trPr>
          <w:trHeight w:val="243"/>
        </w:trPr>
        <w:tc>
          <w:tcPr>
            <w:tcW w:w="258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Bruce F. Wesson</w:t>
            </w:r>
            <w:r>
              <w:rPr>
                <w:rFonts w:ascii="Arial" w:cs="Arial" w:eastAsia="Arial" w:hAnsi="Arial"/>
                <w:sz w:val="26"/>
                <w:szCs w:val="26"/>
                <w:color w:val="auto"/>
                <w:vertAlign w:val="superscript"/>
              </w:rPr>
              <w:t>(1) (2)</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80</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29"/>
        </w:trPr>
        <w:tc>
          <w:tcPr>
            <w:tcW w:w="2580" w:type="dxa"/>
            <w:vAlign w:val="bottom"/>
          </w:tcPr>
          <w:p>
            <w:pPr>
              <w:spacing w:after="0" w:line="230" w:lineRule="exact"/>
              <w:rPr>
                <w:sz w:val="20"/>
                <w:szCs w:val="20"/>
                <w:color w:val="auto"/>
              </w:rPr>
            </w:pPr>
            <w:r>
              <w:rPr>
                <w:rFonts w:ascii="Arial" w:cs="Arial" w:eastAsia="Arial" w:hAnsi="Arial"/>
                <w:sz w:val="18"/>
                <w:szCs w:val="18"/>
                <w:color w:val="auto"/>
              </w:rPr>
              <w:t>William G. Skelly</w:t>
            </w:r>
            <w:r>
              <w:rPr>
                <w:rFonts w:ascii="Arial" w:cs="Arial" w:eastAsia="Arial" w:hAnsi="Arial"/>
                <w:sz w:val="26"/>
                <w:szCs w:val="26"/>
                <w:color w:val="auto"/>
                <w:vertAlign w:val="superscript"/>
              </w:rPr>
              <w:t>(1)(2)</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72</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25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Immanuel Thangaraj</w:t>
            </w:r>
            <w:r>
              <w:rPr>
                <w:rFonts w:ascii="Arial" w:cs="Arial" w:eastAsia="Arial" w:hAnsi="Arial"/>
                <w:sz w:val="26"/>
                <w:szCs w:val="26"/>
                <w:color w:val="auto"/>
                <w:vertAlign w:val="superscript"/>
              </w:rPr>
              <w:t>(2)</w:t>
            </w:r>
          </w:p>
        </w:tc>
        <w:tc>
          <w:tcPr>
            <w:tcW w:w="12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52</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353"/>
        </w:trPr>
        <w:tc>
          <w:tcPr>
            <w:tcW w:w="2580" w:type="dxa"/>
            <w:vAlign w:val="bottom"/>
          </w:tcPr>
          <w:p>
            <w:pPr>
              <w:spacing w:after="0"/>
              <w:rPr>
                <w:sz w:val="20"/>
                <w:szCs w:val="20"/>
                <w:color w:val="auto"/>
              </w:rPr>
            </w:pPr>
            <w:r>
              <w:rPr>
                <w:rFonts w:ascii="Arial" w:cs="Arial" w:eastAsia="Arial" w:hAnsi="Arial"/>
                <w:sz w:val="18"/>
                <w:szCs w:val="18"/>
                <w:color w:val="auto"/>
              </w:rPr>
              <w:t>George K. Ross</w:t>
            </w:r>
            <w:r>
              <w:rPr>
                <w:rFonts w:ascii="Arial" w:cs="Arial" w:eastAsia="Arial" w:hAnsi="Arial"/>
                <w:sz w:val="26"/>
                <w:szCs w:val="26"/>
                <w:color w:val="auto"/>
                <w:vertAlign w:val="superscript"/>
              </w:rPr>
              <w:t>(1)</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81</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15690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5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w:t>
      </w:r>
      <w:r>
        <w:rPr>
          <w:rFonts w:ascii="Arial" w:cs="Arial" w:eastAsia="Arial" w:hAnsi="Arial"/>
          <w:sz w:val="17"/>
          <w:szCs w:val="17"/>
          <w:b w:val="1"/>
          <w:bCs w:val="1"/>
          <w:color w:val="auto"/>
        </w:rPr>
        <w:t xml:space="preserve"> </w:t>
      </w:r>
      <w:r>
        <w:rPr>
          <w:rFonts w:ascii="Arial" w:cs="Arial" w:eastAsia="Arial" w:hAnsi="Arial"/>
          <w:sz w:val="17"/>
          <w:szCs w:val="17"/>
          <w:color w:val="auto"/>
        </w:rPr>
        <w:t>Mr. Jones was our 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Peter A. Clemens </w:t>
      </w:r>
      <w:r>
        <w:rPr>
          <w:rFonts w:ascii="Arial" w:cs="Arial" w:eastAsia="Arial" w:hAnsi="Arial"/>
          <w:sz w:val="16"/>
          <w:szCs w:val="16"/>
          <w:color w:val="auto"/>
        </w:rPr>
        <w:t>has been Senior Vice President, Chief Financial Officer and Secretary since April 2004. Mr. Clemens was our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Chief Financial Officer and Secretary from February 1998 to March 2004 and a member of our Board of Directors from June, 1998 to August, 2004. Mr. Clemens is Certified Public Accountant (Inactive) and earned a Bachelor of Business Administration degree from the University of Notre Dame and a Masters of Business Administration from Indiana University.</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Albert W. Brzeczko, Ph.D., </w:t>
      </w:r>
      <w:r>
        <w:rPr>
          <w:rFonts w:ascii="Arial" w:cs="Arial" w:eastAsia="Arial" w:hAnsi="Arial"/>
          <w:sz w:val="16"/>
          <w:szCs w:val="16"/>
          <w:color w:val="auto"/>
        </w:rPr>
        <w:t>has been Vice President, Pharmaceutical Sciences, of APT since January 2019 and has been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Technical Affairs of APT from February 2009 through 2018. From 1999 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w:t>
      </w:r>
      <w:r>
        <w:rPr>
          <w:rFonts w:ascii="Arial" w:cs="Arial" w:eastAsia="Arial" w:hAnsi="Arial"/>
          <w:sz w:val="18"/>
          <w:szCs w:val="18"/>
          <w:b w:val="1"/>
          <w:bCs w:val="1"/>
          <w:color w:val="auto"/>
        </w:rPr>
        <w:t xml:space="preserve"> </w:t>
      </w:r>
      <w:r>
        <w:rPr>
          <w:rFonts w:ascii="Arial" w:cs="Arial" w:eastAsia="Arial" w:hAnsi="Arial"/>
          <w:sz w:val="18"/>
          <w:szCs w:val="18"/>
          <w:color w:val="auto"/>
        </w:rPr>
        <w:t>March 1998 as our Treasurer and Corporate Controller. Mr. Seiser is a Certified Public Accountant (Inactive) and earned a Bachelor of Business Administration degree from Loyola University of Chicago.</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w:t>
      </w:r>
      <w:r>
        <w:rPr>
          <w:rFonts w:ascii="Arial" w:cs="Arial" w:eastAsia="Arial" w:hAnsi="Arial"/>
          <w:sz w:val="18"/>
          <w:szCs w:val="18"/>
          <w:b w:val="1"/>
          <w:bCs w:val="1"/>
          <w:color w:val="auto"/>
        </w:rPr>
        <w:t xml:space="preserve"> </w:t>
      </w:r>
      <w:r>
        <w:rPr>
          <w:rFonts w:ascii="Arial" w:cs="Arial" w:eastAsia="Arial" w:hAnsi="Arial"/>
          <w:sz w:val="18"/>
          <w:szCs w:val="18"/>
          <w:color w:val="auto"/>
        </w:rPr>
        <w:t>Mr. Wesson was a 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1996 through June 2000. 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Immanuel Thangaraj </w:t>
      </w:r>
      <w:r>
        <w:rPr>
          <w:rFonts w:ascii="Arial" w:cs="Arial" w:eastAsia="Arial" w:hAnsi="Arial"/>
          <w:sz w:val="17"/>
          <w:szCs w:val="17"/>
          <w:color w:val="auto"/>
        </w:rPr>
        <w:t>has been a member of our Board of Directors since December 2002. Mr. Thangaraj has been a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Essex 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to early stage 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(Inactive) and earned a Bachelor of Arts degree from Ohio Wesleyan University and a Masters of Business Administration from Ohio State University.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office of each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2016 we were subject to the Nasdaq Stock Market independence standards and we continue to follow those standards in determining whether a director is independent for Board or Committee purposes. Under the rules of The NASDAQ Stock Market independent directors must comprise a majority of our Board of Directors. In addition, the rules of The NASDAQ Stock Market require that, subject to specified exceptions, each member of the Audit and Compensation Committees of our Board of Directors be independent. Audit Committee members must also satisfy the independence criteria set forth in Rule 10A-3 under the Securities Exchange Act of 1934, as amended, or Exchange Act. Under the rules of The Nasdaq Stock Market, a director will only qualify as an “independent director” if, in the opinion of our Board of Directors, that person does have a relationship that would interfere with the exercise of independent judgment in carrying out the responsibilities of a director.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be considered to be independent for purposes of Rule 10A-3, a member of the Audit Committee of our Board of Directors may not, other than in his or her capacity as a member of the Audit Committee, the Board of Directors or any other committee of our Board of Directors:</w:t>
      </w:r>
    </w:p>
    <w:p>
      <w:pPr>
        <w:spacing w:after="0" w:line="184"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us or any of our subsidiaries; or</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an affiliated person of us or any of our subsidiaries.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In connection with this review, our Board of Directors determined that each of Messrs. Wesson, Skelly, Thangaraj and Ross, representing four of our five directors, satisfies the independence requirements of The NASDAQ Stock Market and Rule 10A-3 of the Exchange Act. 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 capital by each non-employee director and their affiliates. In addition, our Board of Directors considered information that was provided by each director concerning his or her background, employment and affiliations, including relationships with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Committee. Our Audit Committee and our Compensation Committee operate under written charters approved by our Board of Directors, copies of which are available on our website and will be made available in print to any shareholder who requests it. Currently, our entire Board serves as our Nominating Committee. A brief description of these committees is provided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is composed of Mr. Ross, Chairman, and Messrs. Wesson and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assessing the independence of the Audit Committee in 2021,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is composed of Mr. Skelly, Chairman, and Messrs. Wesson and Thangaraj. This committee is responsible for consulting with and making recommendations to the Board of Directors about executive and director compensation and compensation of employees. In 2019 the Compensation Committee did not retain a compensation consulting firm, to assist in evaluating stock option and other incentives for our directors, executive officers and other employees.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Mr. Thangaraj; (iii) their experience in overseeing management as principals of private equity firms in the case of Mr. Wesson and Mr. Thangaraj. In addition, pursuant to the Second and Amended and Restated Voting Agreement, described in “Certain Relationships and Related Transactions and Director Independence” the Board is required to nominate and recommend for election one designee of John Schutte and one designee of Essex Woodlands Health Ventures V, L.P. (“Essex”), as long as each holds 600,000 shares of our common stock (including warrants to purchase shares). Mr. Thangaraj serves as the designee of Essex. As of April 30, 2023, Mr. Schutte has not exercised his right to designate a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member of the Compensation Committee was or currently is, an officer or employee of the Company, and no member of the Compensation Committee had any relationship with us requiring disclosure under Item 404 of SEC Regulation S-K. None of our executive officers has served on the Board of Directors or Compensation Committee of any other entity that has or had one or more executive officers who served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this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w:t>
      </w:r>
      <w:r>
        <w:rPr>
          <w:rFonts w:ascii="Arial" w:cs="Arial" w:eastAsia="Arial" w:hAnsi="Arial"/>
          <w:sz w:val="16"/>
          <w:szCs w:val="16"/>
          <w:i w:val="1"/>
          <w:iCs w:val="1"/>
          <w:color w:val="auto"/>
        </w:rPr>
        <w:t>“Shareholder-Board Communication”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“Shareholder-Director Communication”</w:t>
      </w:r>
      <w:r>
        <w:rPr>
          <w:rFonts w:ascii="Arial" w:cs="Arial" w:eastAsia="Arial" w:hAnsi="Arial"/>
          <w:sz w:val="16"/>
          <w:szCs w:val="16"/>
          <w:color w:val="auto"/>
        </w:rPr>
        <w:t xml:space="preserve">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Code of Ethics applicable to our principal executive officer, principal financial officer, principal accounting officer and all of our other employees is available on our website, www.acurapharm.com, by clicking on “Corporate Governance” under the “Investors” tab.</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a summary of the compensation paid by us for services rendered in all capacities to us during each of the two fiscal years ended December 31, 2021, to our Chief Executive Officer, and the two most highly compensated executive officers other than the Chief Executive Officer who were serving as executive officers at the end of the last completed fiscal year (collectively, the “2021 named executive officers”) whose total annual compensation for 2021 exceeded $100,000: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RSU Stock</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Non-equity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14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Bonus</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incentive plan</w:t>
            </w:r>
          </w:p>
        </w:tc>
        <w:tc>
          <w:tcPr>
            <w:tcW w:w="140" w:type="dxa"/>
            <w:vAlign w:val="bottom"/>
          </w:tcPr>
          <w:p>
            <w:pPr>
              <w:spacing w:after="0"/>
              <w:rPr>
                <w:sz w:val="12"/>
                <w:szCs w:val="12"/>
                <w:color w:val="auto"/>
              </w:rPr>
            </w:pP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3"/>
                <w:szCs w:val="13"/>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(2)</w:t>
            </w:r>
          </w:p>
        </w:tc>
        <w:tc>
          <w:tcPr>
            <w:tcW w:w="120" w:type="dxa"/>
            <w:vAlign w:val="bottom"/>
          </w:tcPr>
          <w:p>
            <w:pPr>
              <w:spacing w:after="0"/>
              <w:rPr>
                <w:sz w:val="13"/>
                <w:szCs w:val="13"/>
                <w:color w:val="auto"/>
              </w:rPr>
            </w:pPr>
          </w:p>
        </w:tc>
        <w:tc>
          <w:tcPr>
            <w:tcW w:w="620" w:type="dxa"/>
            <w:vAlign w:val="bottom"/>
          </w:tcPr>
          <w:p>
            <w:pPr>
              <w:jc w:val="center"/>
              <w:spacing w:after="0" w:line="15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(2)</w:t>
            </w:r>
          </w:p>
        </w:tc>
        <w:tc>
          <w:tcPr>
            <w:tcW w:w="14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Robert B. Jones, President and CEO</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2021</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150,000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2020</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150,000</w:t>
            </w:r>
          </w:p>
        </w:tc>
        <w:tc>
          <w:tcPr>
            <w:tcW w:w="1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Peter A. Clemens SVP &amp; CFO</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2021</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2020</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200,000</w:t>
            </w:r>
          </w:p>
        </w:tc>
        <w:tc>
          <w:tcPr>
            <w:tcW w:w="1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Albert W. Brzeczko VP, Pharmaceutical Sciences of Acura</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Pharmaceutical Technologies, Inc.</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2021</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220,000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2020</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220,000</w:t>
            </w:r>
          </w:p>
        </w:tc>
        <w:tc>
          <w:tcPr>
            <w:tcW w:w="14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base salaries for Messrs. Jones, Clemens and Brzeczko reflects voluntary temporary salary reductions enacted in 2018.</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were no RSU or Stock Option awards in 2021 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Bonus/Non-Equity Incentive Plan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Messrs. Jones, Clemens and Brzeczko are eligible for annual bonuses. Mr. Jones’ and Mr. Clemens’ bonuses are weighted at 100% and 70%, respectively, to achievement of organizational goals, while the bonuses for other employees, including for Dr. Brzeczko are weighted 50% to the achievement of organizational goals and 50% to the achievement of individual goals. In 2021 and 2020 our cash position did not allowed us to award bonuses under our non-equity incentive compensation plan or otherwise increase salaries as reflected in the “Non-equity Incentive Compensation” column of the Summary Compensation Table.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organizational goals for 2022 include completing all clinical activities for LTX-03 and submission and acceptance by the FDA of the NDA for LTX-03 by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organizational goals for 2021 included advancing commercial manufacturing scale-up of LTX-03, execute clinical studies for LTX-03, maintain compliance with SOX and successfully manage our intellectual property.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annual salary for 2021 and 2022 is $150,000 (a voluntary temporary reduction from his salary under the Employment Agreement of $393,000 enacted in 2018 because of our need to preserve cash). The term of the Employment Agreement is currently scheduled to expire December 31, 2023, and provides for automatic one year renewals in the absence of written notice to the contrary from us (which would give Mr. Jones the right to terminate his employment for Good Reason) or Mr. Jones at least ninety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2021 and 2020, Mr. Jones did not receive a bonus.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months from the date of termination.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months following the termination of his employment by us without Cause or by him for Good Reason, prior to a Change of Control, (ii) for twelve months following the termination of his employment for Cause, prior to a Change of Control, or (iii) twenty-four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2023, and provides for automatic one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annual salary for 2021 and 2022 is $200,000 (a voluntary temporary reduction from his salary under the Employment Agreement of $286,000 enacted in 2018 because of our need to preserve cash). His maximum bonus under our bonus plan is 70% of base salary. Mr. Clemens’ bonus is based on the achievement of such targets, conditions, or parameters as may be set from time to time by the Board of Directors or the Compensation Committee of the Board of Directors. In 2021 and 2020, Mr. Clemens did not receive a bonus.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Mr. Jones and Mr. Clemens severance pay, a Change of Control is generally defined, with certain exceptions, as</w:t>
      </w:r>
    </w:p>
    <w:p>
      <w:pPr>
        <w:spacing w:after="0" w:line="237"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5"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Acura engages in a going private transaction (i.e. no longer files reports under the Exchange Act), unless the relevant employee (e.g., Jones, in the case of Jones’ severance and Clemens in the case of Clemens’ severance) “participates” in such transaction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Affecting Stock Option Vesting and Exercise (For Messrs. Jones and Clemens)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6350</wp:posOffset>
            </wp:positionV>
            <wp:extent cx="1663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5"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Termination due to Death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20" w:right="20" w:hanging="129"/>
        <w:spacing w:after="0" w:line="257" w:lineRule="auto"/>
        <w:rPr>
          <w:sz w:val="20"/>
          <w:szCs w:val="20"/>
          <w:color w:val="auto"/>
        </w:rPr>
      </w:pPr>
      <w:r>
        <w:rPr>
          <w:rFonts w:ascii="Arial" w:cs="Arial" w:eastAsia="Arial" w:hAnsi="Arial"/>
          <w:sz w:val="18"/>
          <w:szCs w:val="18"/>
          <w:color w:val="auto"/>
        </w:rPr>
        <w:t>Termination by Company Without Cause or by Employee for Good Reason or termination by Employee following Change of Control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Termination due to Disability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0" w:hanging="129"/>
        <w:spacing w:after="0" w:line="263" w:lineRule="auto"/>
        <w:rPr>
          <w:sz w:val="20"/>
          <w:szCs w:val="20"/>
          <w:color w:val="auto"/>
        </w:rPr>
      </w:pPr>
      <w:r>
        <w:rPr>
          <w:rFonts w:ascii="Arial" w:cs="Arial" w:eastAsia="Arial" w:hAnsi="Arial"/>
          <w:sz w:val="18"/>
          <w:szCs w:val="18"/>
          <w:color w:val="auto"/>
        </w:rPr>
        <w:t>Termination by the Company for Cause or by executive other than for Good Reason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of All</w:t>
            </w: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(Options</w:t>
            </w: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are exercisable</w:t>
            </w:r>
          </w:p>
        </w:tc>
        <w:tc>
          <w:tcPr>
            <w:tcW w:w="140" w:type="dxa"/>
            <w:vAlign w:val="bottom"/>
          </w:tcPr>
          <w:p>
            <w:pPr>
              <w:spacing w:after="0"/>
              <w:rPr>
                <w:sz w:val="12"/>
                <w:szCs w:val="12"/>
                <w:color w:val="auto"/>
              </w:rPr>
            </w:pPr>
          </w:p>
        </w:tc>
        <w:tc>
          <w:tcPr>
            <w:tcW w:w="24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Exercisability of Options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upon vesting)</w:t>
            </w:r>
          </w:p>
        </w:tc>
        <w:tc>
          <w:tcPr>
            <w:tcW w:w="14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Options vest for one month after</w:t>
            </w:r>
          </w:p>
        </w:tc>
        <w:tc>
          <w:tcPr>
            <w:tcW w:w="14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Vested options immediately</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death; after that no additional</w:t>
            </w: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exercisable for one year</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vesting</w:t>
            </w: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following termination</w:t>
            </w:r>
          </w:p>
        </w:tc>
        <w:tc>
          <w:tcPr>
            <w:tcW w:w="0" w:type="dxa"/>
            <w:vAlign w:val="bottom"/>
          </w:tcPr>
          <w:p>
            <w:pPr>
              <w:spacing w:after="0"/>
              <w:rPr>
                <w:sz w:val="1"/>
                <w:szCs w:val="1"/>
                <w:color w:val="auto"/>
              </w:rPr>
            </w:pP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color w:val="auto"/>
              </w:rPr>
              <w:t>All options fully vest.</w:t>
            </w:r>
          </w:p>
        </w:tc>
        <w:tc>
          <w:tcPr>
            <w:tcW w:w="1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Vested options immediately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exercisable for one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following termination Vested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options exercisable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2"/>
              </w:rPr>
              <w:t>12 months for Mr. Jones (twenty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four months in the case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Mr. Clemens)</w:t>
            </w:r>
          </w:p>
        </w:tc>
        <w:tc>
          <w:tcPr>
            <w:tcW w:w="0" w:type="dxa"/>
            <w:vAlign w:val="bottom"/>
          </w:tcPr>
          <w:p>
            <w:pPr>
              <w:spacing w:after="0"/>
              <w:rPr>
                <w:sz w:val="1"/>
                <w:szCs w:val="1"/>
                <w:color w:val="auto"/>
              </w:rPr>
            </w:pP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1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Vested options immediately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exercisable for one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following termination</w:t>
            </w:r>
          </w:p>
        </w:tc>
        <w:tc>
          <w:tcPr>
            <w:tcW w:w="0" w:type="dxa"/>
            <w:vAlign w:val="bottom"/>
          </w:tcPr>
          <w:p>
            <w:pPr>
              <w:spacing w:after="0"/>
              <w:rPr>
                <w:sz w:val="1"/>
                <w:szCs w:val="1"/>
                <w:color w:val="auto"/>
              </w:rPr>
            </w:pP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1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Vested options immediately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exercisable for 40 days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following termination</w:t>
            </w:r>
          </w:p>
        </w:tc>
        <w:tc>
          <w:tcPr>
            <w:tcW w:w="0" w:type="dxa"/>
            <w:vAlign w:val="bottom"/>
          </w:tcPr>
          <w:p>
            <w:pPr>
              <w:spacing w:after="0"/>
              <w:rPr>
                <w:sz w:val="1"/>
                <w:szCs w:val="1"/>
                <w:color w:val="auto"/>
              </w:rPr>
            </w:pPr>
          </w:p>
        </w:tc>
      </w:tr>
      <w:tr>
        <w:trPr>
          <w:trHeight w:val="418"/>
        </w:trPr>
        <w:tc>
          <w:tcPr>
            <w:tcW w:w="2620" w:type="dxa"/>
            <w:vAlign w:val="bottom"/>
            <w:gridSpan w:val="2"/>
          </w:tcPr>
          <w:p>
            <w:pPr>
              <w:spacing w:after="0"/>
              <w:rPr>
                <w:sz w:val="20"/>
                <w:szCs w:val="20"/>
                <w:color w:val="auto"/>
              </w:rPr>
            </w:pPr>
            <w:r>
              <w:rPr>
                <w:rFonts w:ascii="Arial" w:cs="Arial" w:eastAsia="Arial" w:hAnsi="Arial"/>
                <w:sz w:val="18"/>
                <w:szCs w:val="18"/>
                <w:color w:val="auto"/>
                <w:w w:val="92"/>
              </w:rPr>
              <w:t>Options fully vest for Mr. Jones and</w:t>
            </w:r>
          </w:p>
        </w:tc>
        <w:tc>
          <w:tcPr>
            <w:tcW w:w="1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Vested options immediately</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Mr. Clemens.</w:t>
            </w: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-3016885</wp:posOffset>
            </wp:positionV>
            <wp:extent cx="5040630"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40630" cy="54864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-1370965</wp:posOffset>
            </wp:positionV>
            <wp:extent cx="504063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40630" cy="54864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-273685</wp:posOffset>
            </wp:positionV>
            <wp:extent cx="5040630"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4063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280"/>
            <w:col w:w="6140"/>
          </w:cols>
          <w:pgMar w:left="980" w:top="517" w:right="9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Dr. Brzeczko is not party to an employment agreement. Dr. Brzeczko is eligible for annual bonuses of up to 50% of his base salary. Dr. Brzeczko’s bonus is based on the achievement of such targets, conditions, or parameters as may be set from time to time by the Board of Directors or the Compensation Committee of the Board of Directors. In 2021 and 2020 Dr. Brzeczko did not receive a bonus.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Brzeczko’s annual salary for 2021 and 2022 is $220,000 (a voluntary temporary reduction from his salary of $291,000 enacted in 2018 because of our need to preserve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two stock option plans adopted in 2008 and 2016, respectively. Our option plans are administered by the Compensation Committee. The Compensation Committee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although such Discounted Options have never been granted "Fair market value" is the closing price for a share of the Common Stock on the exchange or quotation system which reports or quotes the closing prices for a share of the Common Stock (or alternate methodologies if no such quote is available).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Our grants to directors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2008 Stock Option Plan was adopted by the Board of Directors on March 14, 2008 and approved by our shareholders on April 30, 2008. The 2008 Stock Option Plan permits the grant of ISO’s and non-qualified stock options to purchase up to 1,200,000 shares of our common stock. On June 25, 2009, the 2008 Stock Option Plan was amended to allow participants to require us to withhold common stock upon exercise of options for payment of exercise price and statutory minimum withholding taxes. In April 2018, the 2008 Stock Option Plan expired and the remaining 73,200 unissued shares allocated to the Plan were terminated. As of December 31, 2021, stock options to purchase 574,328 shares of common stock were outstanding under the 2008 Stock Option Plan where 24,000 options were non-qualified and 550,328 options were ISOs. The weighted average exercise price per share for all outstanding options under the 2008 Stock Option Plan as of December 31, 2021 was $4.49.</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2016 Stock Option Plan, as amended, was adopted by the Board of Directors and approved by our shareholders in April 2016. The 2016 Stock Option Plan permits the grant of ISO’s and non-qualified stock options to purchase in the aggregate up to 600,000 shares of our common stock. As of December 31, 2021, stock options to purchase 456,356 shares of common stock are outstanding under the 2016 Stock Option Plan and all are ISOs. Up to 60,000 shares underlying options may be granted to any participant in a calendar year under the 2016 Stock Option Plan. The weighted average exercise price per share for all outstanding options under the 2016 Stock Option Plan as of December 31, 2021 was $0.51.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2014 Restricted Stock Unit Award Plan (the “2014 RSU Plan”) was approved by the Company’s Board of Directors in February 2014 and by our shareholders in May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granted RSUs under the 2014 RSU Plan providing for our issuance of an aggregate of 400,000 shares of our common stock and there are no remaining shares available for grant. There are approximately 2,100 RSU issued and outstanding under the 2014 RSU Plan at December 31,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2017 Restricted Stock Unit Award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2017 Restricted Stock Unit Award Plan (the “2017 RSU Plan”) was approved by the Company’s Board of Directors on September 8, 2017 and approved by shareholders on November 8, 2017. Under the 2017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Number of RSUs that may be granted. </w:t>
      </w:r>
      <w:r>
        <w:rPr>
          <w:rFonts w:ascii="Arial" w:cs="Arial" w:eastAsia="Arial" w:hAnsi="Arial"/>
          <w:sz w:val="17"/>
          <w:szCs w:val="17"/>
          <w:color w:val="auto"/>
        </w:rPr>
        <w:t>The maximum aggregate number of shares which may be subject to RSUs granted under the 2017</w:t>
      </w:r>
      <w:r>
        <w:rPr>
          <w:rFonts w:ascii="Arial" w:cs="Arial" w:eastAsia="Arial" w:hAnsi="Arial"/>
          <w:sz w:val="17"/>
          <w:szCs w:val="17"/>
          <w:i w:val="1"/>
          <w:iCs w:val="1"/>
          <w:color w:val="auto"/>
        </w:rPr>
        <w:t xml:space="preserve"> </w:t>
      </w:r>
      <w:r>
        <w:rPr>
          <w:rFonts w:ascii="Arial" w:cs="Arial" w:eastAsia="Arial" w:hAnsi="Arial"/>
          <w:sz w:val="17"/>
          <w:szCs w:val="17"/>
          <w:color w:val="auto"/>
        </w:rPr>
        <w:t>RSU Plan is 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We had granted RSUs under the 2017 RSU Plan providing for our issuance of an aggregate of 1,500,000 shares of our common stock and there are no remaining shares available for grant. There are approximately 390,000 RSU issued and outstanding under the 2017 RSU Plan at December 31, 2021.</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there were no further shares available for issuance under the 2014 RSU and 2017 RSU Plans, our shareholders approved the 2021 Restricted Stock Unit Award Plan on May 25, 2021. The description of the 2021 Restricted Stock Unit Award Plan, under the captions, “Terms”, “Administration”, “Amendment and Termination”, and “Adjustment upon Capitalization and Merger”, below are similar to the provisions of the 2014 RSU and 2017 RSU Plans, with the significant differences noted under such captions.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2021Restricted Stock Unit Award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2021 Restricted Stock Unit Award Plan (the “2021 RSU Plan”) was approved by the Company’s Board of Directors on March 29, 2021 and approved by shareholders on May 25, 2021. Under the 2021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Number of RSUs that may be granted</w:t>
      </w:r>
      <w:r>
        <w:rPr>
          <w:rFonts w:ascii="Arial" w:cs="Arial" w:eastAsia="Arial" w:hAnsi="Arial"/>
          <w:sz w:val="18"/>
          <w:szCs w:val="18"/>
          <w:color w:val="auto"/>
        </w:rPr>
        <w:t>. The maximum aggregate number of shares which may be subject to RSUs granted under the 2021</w:t>
      </w:r>
      <w:r>
        <w:rPr>
          <w:rFonts w:ascii="Arial" w:cs="Arial" w:eastAsia="Arial" w:hAnsi="Arial"/>
          <w:sz w:val="18"/>
          <w:szCs w:val="18"/>
          <w:i w:val="1"/>
          <w:iCs w:val="1"/>
          <w:color w:val="auto"/>
        </w:rPr>
        <w:t xml:space="preserve"> </w:t>
      </w:r>
      <w:r>
        <w:rPr>
          <w:rFonts w:ascii="Arial" w:cs="Arial" w:eastAsia="Arial" w:hAnsi="Arial"/>
          <w:sz w:val="18"/>
          <w:szCs w:val="18"/>
          <w:color w:val="auto"/>
        </w:rPr>
        <w:t>RSU Plan is 2,500,000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2021 RSU Plan shall have been terminated, become available for further grant under the 2021 RSU Plan. The 2021 RSU Plan has no limit on the number of RSUs that may be granted to an individual employee, consultant or director in any calendar year. Unless terminated earlier by the Board of Directors, the RSUs may be distributed under the 2021 RSU Plan until December 31, 2031, however we expect that RSUs available under the Plan will have been distributed within the next five years. At December 31, 2021, we had granted RSUs under the 2021 RSU Plan providing for our issuance of an aggregate of 266,664 shares of our common stock and there are 2,233,336 remaining shares available for grant.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2021 RSU Plan is intended to assist the Company in securing and retaining employees, consultants and directors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them to participate in the ownership and growth of the Company through the RSUs. The granting of RSUs serves as partial consideration for and is intended to give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Powers of the Board/Committee. </w:t>
      </w:r>
      <w:r>
        <w:rPr>
          <w:rFonts w:ascii="Arial" w:cs="Arial" w:eastAsia="Arial" w:hAnsi="Arial"/>
          <w:sz w:val="17"/>
          <w:szCs w:val="17"/>
          <w:color w:val="auto"/>
        </w:rPr>
        <w:t>The Board/Committee has the authority, subject to the provisions of the 2021 RSU Plan, to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adopt and revise such rules, regulations and forms and agreements and to interpret the 2021 RSU Plan and make all determinations relating to the 2021 RSU Plan as it may deem necessary or advisable. The Board/Committee also has the authority, subject to the provisions of the 2021 RSU Plan, to delegate ministerial, day-to-day administrative details and non-discretionary duties and functions to officers and employees of the Company. In the administration of the 2021 RSU Plan with respect to Non-Employee Directors, the Board has all of the authority and discretion otherwise granted to the Committee with respect to the administration of the 2021 RSU Plan. All decisions, determinations and interpretations of the Board/Committee are binding and conclusive on participants in the 2021 RSU Plan and on their legal representatives and beneficiaries.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Director Participation in the RSU Plan. </w:t>
      </w:r>
      <w:r>
        <w:rPr>
          <w:rFonts w:ascii="Arial" w:cs="Arial" w:eastAsia="Arial" w:hAnsi="Arial"/>
          <w:sz w:val="18"/>
          <w:szCs w:val="18"/>
          <w:color w:val="auto"/>
        </w:rPr>
        <w:t>Non-Employee Directors are eligible to receive RSU grants under the 2021 RSU Plan, and it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that RSU awards under the 2021 RSU Plan will represent the annual equity compensation component of Non-Employee Directors’ compensation.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RSU Plan Eligibility. </w:t>
      </w:r>
      <w:r>
        <w:rPr>
          <w:rFonts w:ascii="Arial" w:cs="Arial" w:eastAsia="Arial" w:hAnsi="Arial"/>
          <w:sz w:val="16"/>
          <w:szCs w:val="16"/>
          <w:color w:val="auto"/>
        </w:rPr>
        <w:t>RSUs may be granted to any of the Company’s Non-Employee Directors, any of the Company’s employees or</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or any employees or consultants of any of the Company’s subsidiary corporations, including officers (collectively, “Eligible Participants”). For purposes of the 2021 RSU Plan, employees or consultants of the Company also mean employees or consultants of the Company’s subsidiary. As of April 30, 2023 all of the Company’s nine full-time employees and four Non-Employee Directors of the Company are eligible participants (“Participants”) in the 2021 RSU Plan. Any Eligible Participant who has been granted an RSU</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be granted additional RSUs. The RSU Plan does not confer any rights upon any Participant with respect to continuation of employment or service as an employee, consultant or a Non-Employee Director.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2021 RSU Plan is evidenced by a written award agreement (“RSU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contains the terms and conditions of the specific RSU granted.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Vesting of RSUs. </w:t>
      </w:r>
      <w:r>
        <w:rPr>
          <w:rFonts w:ascii="Arial" w:cs="Arial" w:eastAsia="Arial" w:hAnsi="Arial"/>
          <w:sz w:val="18"/>
          <w:szCs w:val="18"/>
          <w:color w:val="auto"/>
        </w:rPr>
        <w:t>RSUs generally vest as set forth in the RSU Award Agreement. In addition, unless expressly provided otherwise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RSU Award Agreement, each RSU immediately vests and is nonforfeitable to the Participant upon the occurrence of any of the following events:</w:t>
      </w:r>
    </w:p>
    <w:p>
      <w:pPr>
        <w:spacing w:after="0" w:line="184" w:lineRule="exact"/>
        <w:rPr>
          <w:sz w:val="20"/>
          <w:szCs w:val="20"/>
          <w:color w:val="auto"/>
        </w:rPr>
      </w:pPr>
    </w:p>
    <w:p>
      <w:pPr>
        <w:jc w:val="both"/>
        <w:ind w:left="680" w:hanging="321"/>
        <w:spacing w:after="0" w:line="259"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2021 RSU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2021 RSU Plan, (unless an award provides otherwise, vesting is accelerated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above under “Vesting of RSUs” or a Change of Control-Plan occurs as described below), stock underlying vested RSUs is generally distributed on the first business day of the year after they vest. Hence, if an award to a Non-Employee Director vests as scheduled in full over four quarters during 2021, it will be generally be distributed the first business day of January 2022. However, the Company may set other distribution dates, with respect to awards to Participants, including Non-Employee Directors. Under the 2014 RSU Plan Non-Employee Directors (but not other Participants) could designate the length of the deferrals. This is not the case with the 2017 RSU Plan or 2021 RSU Plan, where only the Company can set the distribution dates for all Participants.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(this differs from the 2014 RSU Plan where the Company could not mandate withholding stock to pay withholding taxes). The cash payment election or withholding election may be made at any time before distribution, but any such cash payment or withholding is subject to any limits on redemption under any preferred stock, loan or other financing agreement. The Company has the option of establishing a RSU award that defers distributions to a Participant, including in installments (e.g., 33% of RSUs to be paid in 2024, 2025 and 2026).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Non Transferability of RSUs. </w:t>
      </w:r>
      <w:r>
        <w:rPr>
          <w:rFonts w:ascii="Arial" w:cs="Arial" w:eastAsia="Arial" w:hAnsi="Arial"/>
          <w:sz w:val="17"/>
          <w:szCs w:val="17"/>
          <w:color w:val="auto"/>
        </w:rPr>
        <w:t>RSUs may not be sold, pledged, assigned, hypothecated, transferred, or disposed of in any manner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other 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or service as a Non-Employee Director.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with respect to the shares underlying RSUs until the RSUs settle in shares of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2021 RSU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2021 RSU Plan.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Outstanding Equity Awards at 2021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regarding outstanding RSU and stock option awards at December 31, 2021 for each of the 2021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center"/>
              <w:ind w:left="164"/>
              <w:spacing w:after="0"/>
              <w:rPr>
                <w:sz w:val="20"/>
                <w:szCs w:val="20"/>
                <w:color w:val="auto"/>
              </w:rPr>
            </w:pPr>
            <w:r>
              <w:rPr>
                <w:rFonts w:ascii="Arial" w:cs="Arial" w:eastAsia="Arial" w:hAnsi="Arial"/>
                <w:sz w:val="14"/>
                <w:szCs w:val="14"/>
                <w:b w:val="1"/>
                <w:bCs w:val="1"/>
                <w:color w:val="auto"/>
                <w:w w:val="92"/>
              </w:rPr>
              <w:t>Stock Awards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3"/>
              </w:rPr>
              <w:t>Stock Option Awards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tcPr>
          <w:p>
            <w:pPr>
              <w:jc w:val="center"/>
              <w:ind w:left="164"/>
              <w:spacing w:after="0" w:line="149" w:lineRule="exact"/>
              <w:rPr>
                <w:sz w:val="20"/>
                <w:szCs w:val="20"/>
                <w:color w:val="auto"/>
              </w:rPr>
            </w:pPr>
            <w:r>
              <w:rPr>
                <w:rFonts w:ascii="Arial" w:cs="Arial" w:eastAsia="Arial" w:hAnsi="Arial"/>
                <w:sz w:val="14"/>
                <w:szCs w:val="14"/>
                <w:b w:val="1"/>
                <w:bCs w:val="1"/>
                <w:color w:val="auto"/>
                <w:w w:val="94"/>
              </w:rPr>
              <w:t>(in Form of Restricted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144"/>
              <w:spacing w:after="0"/>
              <w:rPr>
                <w:sz w:val="20"/>
                <w:szCs w:val="20"/>
                <w:color w:val="auto"/>
              </w:rPr>
            </w:pPr>
            <w:r>
              <w:rPr>
                <w:rFonts w:ascii="Arial" w:cs="Arial" w:eastAsia="Arial" w:hAnsi="Arial"/>
                <w:sz w:val="14"/>
                <w:szCs w:val="14"/>
                <w:b w:val="1"/>
                <w:bCs w:val="1"/>
                <w:color w:val="auto"/>
                <w:w w:val="92"/>
              </w:rPr>
              <w:t>Stock Units)</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 Exercisable</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Unexercisable</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$ 0.450</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08/08/2022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$ 13.05</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12/13/2022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$ 0.151</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12/11/2023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12/10/2024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12/09/2025</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$ 0.915</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12/07/2026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1500" w:type="dxa"/>
            <w:vAlign w:val="bottom"/>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$ 0.450</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08/08/2022</w:t>
            </w: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$ 13.05</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12/13/2022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12/10/2024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12/09/2025</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$ 0.915</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12/07/2026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Albert W. Brzeczko</w:t>
            </w:r>
          </w:p>
        </w:tc>
        <w:tc>
          <w:tcPr>
            <w:tcW w:w="150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$ 0.450</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08/08/2022</w:t>
            </w: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$ 13.05</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12/13/2022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$ 0.151</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12/11/2023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28,800</w:t>
            </w:r>
          </w:p>
        </w:tc>
        <w:tc>
          <w:tcPr>
            <w:tcW w:w="16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12/10/2024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12/09/2025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0"/>
                <w:szCs w:val="20"/>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$ 0.915</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12/07/2026</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a summary of the compensation paid by us to our Directors (other than Robert Jones, whose compensation, is reflected in the Summary Compensation Table) for services rendered in all capacities to us during the fiscal year ended December 31,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DIRECTOR COMPENSATION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 Awards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 form of</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Fees Earned or Paid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Director</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5"/>
              </w:rPr>
              <w:t>Stock Units)</w:t>
            </w:r>
          </w:p>
        </w:tc>
        <w:tc>
          <w:tcPr>
            <w:tcW w:w="140" w:type="dxa"/>
            <w:vAlign w:val="bottom"/>
          </w:tcPr>
          <w:p>
            <w:pPr>
              <w:spacing w:after="0"/>
              <w:rPr>
                <w:sz w:val="12"/>
                <w:szCs w:val="12"/>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1"/>
              </w:rPr>
              <w:t xml:space="preserve">Option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21"/>
                <w:szCs w:val="21"/>
                <w:b w:val="1"/>
                <w:bCs w:val="1"/>
                <w:color w:val="auto"/>
                <w:w w:val="91"/>
                <w:vertAlign w:val="superscript"/>
              </w:rPr>
              <w:t>(2)</w:t>
            </w: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Cash ($)</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Bruce F. Wesson</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7"/>
                <w:szCs w:val="17"/>
                <w:color w:val="auto"/>
              </w:rPr>
              <w:t xml:space="preserve">15,000 </w:t>
            </w:r>
            <w:r>
              <w:rPr>
                <w:rFonts w:ascii="Arial" w:cs="Arial" w:eastAsia="Arial" w:hAnsi="Arial"/>
                <w:sz w:val="25"/>
                <w:szCs w:val="25"/>
                <w:color w:val="auto"/>
                <w:vertAlign w:val="superscript"/>
              </w:rPr>
              <w:t>(3)</w:t>
            </w: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George K. Ross</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$ 50,250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67" w:lineRule="exact"/>
        <w:rPr>
          <w:sz w:val="20"/>
          <w:szCs w:val="20"/>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grant date fair value of $0.36 for restricted stock units, or RSUs with respect to the 66,666 RSUs granted to Messrs. Skelly, Wesson, Thangaraj and Ross under our 2021 RSU Plan based on a closing common stock price of $0.37 on May 25, 2021 less $0.01 par value purchase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of December 31, 2021, Messrs. Skelly, Wesson, Thangaraj and Ross each held 66,666 fully vested RSUs and are distributable to them on January 3, 2022.</w:t>
      </w:r>
    </w:p>
    <w:p>
      <w:pPr>
        <w:spacing w:after="0" w:line="170"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Messrs. Skelly, Wesson, Thangaraj and Ross held vested options with respect to 6,000 underlying shares as of December 31, 2021.</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 fees for Mr. Thangaraj are remitted to Essex Woodlands.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receive the following compensation:</w:t>
      </w:r>
    </w:p>
    <w:p>
      <w:pPr>
        <w:spacing w:after="0" w:line="225"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$15,000;</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$10,000;</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Committee members receive a retainer of $3,750 per year (with no separate per meeting fee);</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$5,000 (in addition to the $3,750 retainer as an Audit Committee member);</w:t>
      </w: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$2,500 with no separate per meeting fee;</w:t>
      </w:r>
    </w:p>
    <w:p>
      <w:pPr>
        <w:spacing w:after="0" w:line="9"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Committee Chairperson receives a $2,500 annual retainer (in addition to the $2,500 retainer for Compensation Committee members); and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commencing in 2014, directors receive annual equity awards valued at $50,000 in the form of stock options or RSUs. For RSUs this is determined by dividing $50,000 by the greater of (i) the Company’s closing stock price on the date of grant, or (ii) the minimum stock price or floor (if any) imposed by the Board.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2021 award, the Board reevaluated the minimum stock price and it was changed to $0.75 resulting in each director being awarded 66,666 RSUs. The Company’s closing stock price on May 25, 2021 of $0.37 was not used.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meetings. Directors who are also our employees receive no additional or special remuneration for their services as directors.</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sets forth information regarding the beneficial ownership of the common stock, as of April 30, 2023, for individuals or entities in the following categories: (i) each of the Company’s Directors; (ii) the Company’s principal executive officer, and the next two highest paid executive officers of the Company whose total annual compensation for 2021 exceeded $100,000 (the “2021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April 30, 2023, there were 66,001,783 shares of our common stock outstanding. Shares of common stock issuable pursuant to stock options, warrants and restricted stock units exercisable or exchangeable within 60 days are deemed outstanding and held by the holder of such stock options, warrants or restricted stock units for computing the percentage of the person holding such stock options, warrants or restricted stock units, but are not deemed outstanding for computing the percentage of any other person. There were no stock options or restricted stock units exchangeable within 60 days of May 31, 2023.</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Amount Owned</w:t>
            </w:r>
          </w:p>
        </w:tc>
        <w:tc>
          <w:tcPr>
            <w:tcW w:w="24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360"/>
              <w:spacing w:after="0" w:line="176" w:lineRule="exact"/>
              <w:rPr>
                <w:sz w:val="20"/>
                <w:szCs w:val="20"/>
                <w:color w:val="auto"/>
              </w:rPr>
            </w:pPr>
            <w:r>
              <w:rPr>
                <w:rFonts w:ascii="Arial" w:cs="Arial" w:eastAsia="Arial" w:hAnsi="Arial"/>
                <w:sz w:val="14"/>
                <w:szCs w:val="14"/>
                <w:b w:val="1"/>
                <w:bCs w:val="1"/>
                <w:color w:val="auto"/>
              </w:rPr>
              <w:t xml:space="preserve">Class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Schutte</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 MainPointe Pharmaceuticals, LLC</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2604 River Green Circle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Louisville, KY 40206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8,912,655</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Abuse Deterrent Pharma, LLC</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2604 River Green Circle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Louisville, KY 40206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52,984,375</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Essex Woodlands Health Ventures Fund V, L.P.</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21 Waterway Avenue, Suite 225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Woodlands, TX 77380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1,956,396</w:t>
            </w:r>
          </w:p>
        </w:tc>
        <w:tc>
          <w:tcPr>
            <w:tcW w:w="240" w:type="dxa"/>
            <w:vAlign w:val="bottom"/>
          </w:tcPr>
          <w:p>
            <w:pPr>
              <w:spacing w:after="0"/>
              <w:rPr>
                <w:sz w:val="20"/>
                <w:szCs w:val="20"/>
                <w:color w:val="auto"/>
              </w:rPr>
            </w:pPr>
            <w:r>
              <w:rPr>
                <w:rFonts w:ascii="Arial" w:cs="Arial" w:eastAsia="Arial" w:hAnsi="Arial"/>
                <w:sz w:val="13"/>
                <w:szCs w:val="13"/>
                <w:color w:val="auto"/>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848,455</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William G. Skelly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525,989</w:t>
            </w:r>
          </w:p>
        </w:tc>
        <w:tc>
          <w:tcPr>
            <w:tcW w:w="240" w:type="dxa"/>
            <w:vAlign w:val="bottom"/>
          </w:tcPr>
          <w:p>
            <w:pPr>
              <w:spacing w:after="0"/>
              <w:rPr>
                <w:sz w:val="20"/>
                <w:szCs w:val="20"/>
                <w:color w:val="auto"/>
              </w:rPr>
            </w:pPr>
            <w:r>
              <w:rPr>
                <w:rFonts w:ascii="Arial" w:cs="Arial" w:eastAsia="Arial" w:hAnsi="Arial"/>
                <w:sz w:val="13"/>
                <w:szCs w:val="13"/>
                <w:color w:val="auto"/>
              </w:rPr>
              <w:t>(5)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Bruce F. Wesson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792,048</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Peter A. Clemens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640,430</w:t>
            </w:r>
          </w:p>
        </w:tc>
        <w:tc>
          <w:tcPr>
            <w:tcW w:w="240" w:type="dxa"/>
            <w:vAlign w:val="bottom"/>
          </w:tcPr>
          <w:p>
            <w:pPr>
              <w:spacing w:after="0"/>
              <w:rPr>
                <w:sz w:val="20"/>
                <w:szCs w:val="20"/>
                <w:color w:val="auto"/>
              </w:rPr>
            </w:pPr>
            <w:r>
              <w:rPr>
                <w:rFonts w:ascii="Arial" w:cs="Arial" w:eastAsia="Arial" w:hAnsi="Arial"/>
                <w:sz w:val="13"/>
                <w:szCs w:val="13"/>
                <w:color w:val="auto"/>
              </w:rPr>
              <w:t>(7)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397,647</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Albert W. Brzeczko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608,801</w:t>
            </w:r>
          </w:p>
        </w:tc>
        <w:tc>
          <w:tcPr>
            <w:tcW w:w="240" w:type="dxa"/>
            <w:vAlign w:val="bottom"/>
          </w:tcPr>
          <w:p>
            <w:pPr>
              <w:spacing w:after="0"/>
              <w:rPr>
                <w:sz w:val="20"/>
                <w:szCs w:val="20"/>
                <w:color w:val="auto"/>
              </w:rPr>
            </w:pPr>
            <w:r>
              <w:rPr>
                <w:rFonts w:ascii="Arial" w:cs="Arial" w:eastAsia="Arial" w:hAnsi="Arial"/>
                <w:sz w:val="13"/>
                <w:szCs w:val="13"/>
                <w:color w:val="auto"/>
              </w:rPr>
              <w:t>(9)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George K. Ross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445,503</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w w:val="94"/>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 Officers and Directors as a Group (8 persons)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4,708,261</w:t>
            </w:r>
          </w:p>
        </w:tc>
        <w:tc>
          <w:tcPr>
            <w:tcW w:w="240" w:type="dxa"/>
            <w:vAlign w:val="bottom"/>
          </w:tcPr>
          <w:p>
            <w:pPr>
              <w:spacing w:after="0"/>
              <w:rPr>
                <w:sz w:val="20"/>
                <w:szCs w:val="20"/>
                <w:color w:val="auto"/>
              </w:rPr>
            </w:pPr>
            <w:r>
              <w:rPr>
                <w:rFonts w:ascii="Arial" w:cs="Arial" w:eastAsia="Arial" w:hAnsi="Arial"/>
                <w:sz w:val="13"/>
                <w:szCs w:val="13"/>
                <w:color w:val="auto"/>
                <w:w w:val="94"/>
              </w:rPr>
              <w:t>(11)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196850</wp:posOffset>
            </wp:positionV>
            <wp:extent cx="15690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383" w:lineRule="exact"/>
        <w:rPr>
          <w:sz w:val="20"/>
          <w:szCs w:val="20"/>
          <w:color w:val="auto"/>
        </w:rPr>
      </w:pPr>
    </w:p>
    <w:p>
      <w:pPr>
        <w:jc w:val="both"/>
        <w:ind w:left="340" w:hanging="332"/>
        <w:spacing w:after="0" w:line="31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Shows percentage ownership assuming (i) such party converts all of its currently convertible securities or securities convertible within 60 days of May 31, 2023 into the Company’s common stock, and (ii) no other Company security holder converts any of its convertible securities. No shares held by any Director or 2021 named executive officer has been pledged as collateral security.</w:t>
      </w:r>
    </w:p>
    <w:p>
      <w:pPr>
        <w:spacing w:after="0" w:line="148"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 warrant to purchase 10,000,000 shares at $0.01 per share held by AD Pharma.</w:t>
      </w:r>
    </w:p>
    <w:p>
      <w:pPr>
        <w:spacing w:after="0" w:line="225"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Mr. Thangaraj is the Board designee of Essex Woodlands Health Ventures Fund V, L.P. (“Essex”). Essex Woodlands Health Ventures V, L.L.C., a Delaware limited liability company is the general partner of Essex. Immanuel Thangaraj may be deemed to have dispositive power and voting power with respect to the securities held by the Essex. Mr. Thangaraj disclaims beneficial ownership of such securities except to the extent of his respective pecuniary interests therein.</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244,900 shares subject to stock options exercisable within 60 days of May 31, 2023. Does not include RSUs.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RSUs.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RSUs.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135,000 shares subject to stock options exercisable within 60 days of May 31, 2023. Does not include RSUs.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Thangaraj’s holdings do not include securities held by Essex. Mr. Thangaraj disclaims beneficial ownership in securities held by Essex except to the extent of his pecuniary interest therein. Does not include RSUs.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162,800 shares subject to stock options exercisable within 60 days of May 31, 2023. Does not include RSUs.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RSUs.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748,284 shares which Directors and executive officers have the right to acquire within 60 days of May 31, 2023 through exercise of outstanding stock options. Does not include RSUs.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includes information as of December 31, 2021 relating to our 2008 Stock Option Plan, our 2016 Stock Option Plan, our 2014 Restricted Stock Unit Award Plan, our 2017 Restricted Stock Award Plan and our 2021 Restricted Stock Award Plan,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Be 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Future 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 Reflected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(Column b)</w:t>
            </w:r>
          </w:p>
        </w:tc>
        <w:tc>
          <w:tcPr>
            <w:tcW w:w="14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Stock Option Equity Compensation Plans Approved by Security</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Stock Option Equity Compensation Plans Not Approved by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Restricted Stock Unit Equity Compensation Plans Approved by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w w:val="92"/>
              </w:rPr>
              <w:t>Restricted Stock Unit Equity Compensation Plans Not Approved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by Security Holders</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1,689,342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and certain investors are party to a Voting Agreement. As amended in October 2012 (but prior to the 2017 amendment), the Voting Agreement provided our Board of Directors will be comprised of not more than seven (7) members one of whom shall be the CEO, three of whom would be independent under Nasdaq standards, and that Essex had the right to designate one director as a member of our Board of Directors as long as such shareholder held 600,000 shares of our common stock (including warrants to purchase shares), provided that once such shareholder no longer held such securities, the additional forfeited seat would become a seat for an independent director to thereafter be nominated and elected to the Board of Directors from time to time by the then current directors and, as applicable to be elected by the directors to fill the vacancy created by the forfeited seat or submitted to the Company’s shareholders at the next annual meeting. The Voting Agreement provided that if the majority of the Board of Directors were not independent under Nasdaq Marketplace Rules then, the Board would be expanded so that additional independent directors would be added. At the time of the October 2012 amendment, Mr. Thangaraj became the designee of Essex, as one of three remaining successors to GCE Holdings, LLC (an entity controlled by others including Essex). In addition, Essex has the right to designate a member to any committee of our Board of Directors, provided that in the case of the Audit and Compensation committees they are independent under applicable NASDAQ rules.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“MainPointe Agreement”) with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$1.0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24, 2017 we completed the sale of $4.0 million to Mr. Schutte consisting of 8,912,655 common shares and warrant to purchase 1,782,531 common shares exercisable at $0.528 per share expiring on July 23, 2022, and amended the Voting Agreement described above (as so amended the “Second Amended and Restated Voting Agreement”) in connection with that purchase. The Second Amended and Restated Voting Agreement provides that our Board of Directors will be comprised of not more than seven (7) members, one of whom shall be the CEO, three of whom would be independent under Nasdaq standards, and that each of Mr. Schutte and Essex had the right to designate one director as a member of our Board of Directors as long as such shareholder continues to hold 600,000 shares of our common stock (including warrants to purchase shares), provided that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The Second Amended and Restated Voting Agreement provides that in the event the majority of the Board of Directors were not independent under Nasdaq Marketplace Rules then, the Board would be expanded so that additional independent directors would be added. In addition, each of Essex and Mr. Schutte has the right to designate a member to any committee of our Board of Directors, provided that in the case of the Audit and Compensation committees they are independent under applicable NASDAQ rules.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borrowed an aggregate $6.0 million (including accrued interest) as of June 28, 2019 from Mr. Schutte, a related-party, and issued various promissory notes (the Schutte Notes). The Schutte Notes bear interest at prime plus 2.0%, and had a maturity date of January 2, 2020, at which time all principal and interest was due, and was unsecured until all obligations to Oxford were satisfied at which time we were required to grant a security interest to Mr. Schutte in all of our assets. On October 5, 2018 we borrowed $1.8 million from Mr. Schutte and used $1.5 million of the loan to fully pay-off the debt outstanding under the Oxford Loan Agreement and therefore, all our assets are pledged as collateral under the Schutte Notes, including our intellectual property.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28, 2019, we entered into a Promissory Note with Mr. Schutte that consolidated existing promissory notes into a single Note for $6.0 million (after including accrued and unpaid interest). To secure our performance of our obligations under the Note, we granted Mr. Schutte a security interest in all of our assets. Terms of the consolidated Promissory Note provide for a July 1, 2023 maturity date instead of January 2, 2020 in the previous notes, interest at fixed rate of 7.5% per annum with all payments of principle and interest deferred to maturity. The Promissory Note is convertible into Acura common stock at $0.16 per share. As additional consideration, Mr. Schutte received a warrant to purchase 10 million shares of the Company’s common stock at a price of $0.01 per shares.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AD Pharma is an entity controlled by Mr. Schutte, of which Mr. Schutte is the managing partner and investor.</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entered into a License, Development and Commercialization Agreement, as amended in October 2020, July 2021, February 2022, November 2022, and December 15, 2022 (the "AD Pharma Amended Agreement"), with Abuse Deterrent Pharma, LLC (“AD Pharma”) for the completion of development of LTX-03 (hydrocodone bitartrate with acetaminophen) immediate-release tablets utilizing Acura’s patented LIMITx™ technology. AD Pharma is an entity controlled by Mr. Schutte, of which Mr. Schutte is the managing partner and investor.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 Pharma Amended Agreement, grants AD Pharma exclusive commercialization rights in the United States to LTX-03.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 Acura is eligible to receive stepped royalties on sales and certain sales related milestones.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by November 30, 2023, AD Pharma has the option to terminate the Agreement and take ownership of the LIMITx intellectual property. Should AD Pharma choose not to exercise this option to terminate and the NDA for LTX-03 is subsequently accepted by the FDA, such option to terminate the AD Pharma Amended Agreement expires.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 Pharma Amended Agreement allows AD Pharma to terminate the AD Pharma Amended Agreement anytime for “convenience on 30 days prior written notice”.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Essex or other significant shareholder) will have a direct or indirect interest in a transaction in which we may be a party. Where the Board determines that such proposed transaction involves a related party, the Board may establish a committee comprised solely of independent directors to review and evaluate such proposed transaction. Currently, the Board is comprised of 4 independent directors and the CEO and as such, the entire Board, with the exception of the CEO, may perform the function of an Independent Committee. In this capacity, the 4 independent directors are authorized to review any and all information deemed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evaluating alternative transactions, if any. They are also empowered to negotiate the terms of such proposed related party transaction on our behalf. The proposed related party transaction may proceed only following the approval and recommendation of the 4 independent directors. Following such approval, the related party transaction is subject to final review and approval of the Board as a whole. As the transactions described above with Abuse Deterrent Pharma LLC and Mr. Schutte involved a related party (Mr. Schutte being a significant shareholder at the time such transactions were entered into), such transactions were reviewed and approved solely by the Board as a whole.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2021, each of Messrs. Bruce F. Wesson, Immanuel Thangaraj, William Skelly and George Ross met the standards for independence provided in the listing requirements of the NASDAQ Capital Market and SEC regulations.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has determined that during 2021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registered independent public accounting firm is BDO USA, LLP. The fees billed by this firm in 2021 and 2020 were as follows: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155,267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145,952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for BDO USA, LLP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155,862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185,652</w:t>
            </w:r>
          </w:p>
        </w:tc>
      </w:tr>
      <w:tr>
        <w:trPr>
          <w:trHeight w:val="20"/>
        </w:trPr>
        <w:tc>
          <w:tcPr>
            <w:tcW w:w="6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 Tax Fees include tax compliance, tax advice and tax planning services. These services related to the preparation of various state income tax returns, our federal income tax return, and reviews of IRC Section 382.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on page F-1.</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 See Exhibits Index on page E-1.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June 30, 2023</w:t>
      </w:r>
      <w:r>
        <w:rPr>
          <w:sz w:val="20"/>
          <w:szCs w:val="20"/>
          <w:color w:val="auto"/>
        </w:rPr>
        <w:tab/>
      </w:r>
      <w:r>
        <w:rPr>
          <w:rFonts w:ascii="Arial" w:cs="Arial" w:eastAsia="Arial" w:hAnsi="Arial"/>
          <w:sz w:val="17"/>
          <w:szCs w:val="17"/>
          <w:color w:val="auto"/>
        </w:rPr>
        <w:t>ACURA PHARMACEUTICALS, INC.</w:t>
      </w:r>
    </w:p>
    <w:p>
      <w:pPr>
        <w:spacing w:after="0" w:line="33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8803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20" w:type="dxa"/>
            <w:vAlign w:val="bottom"/>
          </w:tcPr>
          <w:p>
            <w:pPr>
              <w:spacing w:after="0"/>
              <w:rPr>
                <w:sz w:val="20"/>
                <w:szCs w:val="20"/>
                <w:color w:val="auto"/>
              </w:rPr>
            </w:pPr>
          </w:p>
        </w:tc>
        <w:tc>
          <w:tcPr>
            <w:tcW w:w="27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Date</w:t>
            </w:r>
          </w:p>
        </w:tc>
      </w:tr>
      <w:tr>
        <w:trPr>
          <w:trHeight w:val="426"/>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 Ross</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Skelly</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Immanuel Thangaraj</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F Wesson</w:t>
            </w:r>
          </w:p>
        </w:tc>
        <w:tc>
          <w:tcPr>
            <w:tcW w:w="22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60" w:type="dxa"/>
            <w:vAlign w:val="bottom"/>
          </w:tcPr>
          <w:p>
            <w:pPr>
              <w:ind w:left="1760"/>
              <w:spacing w:after="0"/>
              <w:rPr>
                <w:sz w:val="20"/>
                <w:szCs w:val="20"/>
                <w:color w:val="auto"/>
              </w:rPr>
            </w:pPr>
            <w:r>
              <w:rPr>
                <w:rFonts w:ascii="Arial" w:cs="Arial" w:eastAsia="Arial" w:hAnsi="Arial"/>
                <w:sz w:val="18"/>
                <w:szCs w:val="18"/>
                <w:color w:val="auto"/>
                <w:w w:val="85"/>
              </w:rPr>
              <w:t>June 30, 2023</w:t>
            </w:r>
          </w:p>
        </w:tc>
      </w:tr>
      <w:tr>
        <w:trPr>
          <w:trHeight w:val="224"/>
        </w:trPr>
        <w:tc>
          <w:tcPr>
            <w:tcW w:w="276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Description</w:t>
            </w:r>
          </w:p>
        </w:tc>
        <w:tc>
          <w:tcPr>
            <w:tcW w:w="3400" w:type="dxa"/>
            <w:vAlign w:val="bottom"/>
            <w:gridSpan w:val="5"/>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Restated Certificate of Incorporation of the Registrant (incorporated by reference to Exhibit 3.1 to the Registrant’s</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gridSpan w:val="14"/>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 8-K filed on June 25, 2009).</w:t>
              </w:r>
            </w:hyperlink>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rPr>
            </w:pPr>
            <w:hyperlink r:id="rId96">
              <w:r>
                <w:rPr>
                  <w:rFonts w:ascii="Arial" w:cs="Arial" w:eastAsia="Arial" w:hAnsi="Arial"/>
                  <w:sz w:val="18"/>
                  <w:szCs w:val="18"/>
                  <w:color w:val="0000EE"/>
                </w:rPr>
                <w:t>Certificate of Amendment Reverse Splitting Common Stock and restating but not changing text of part of</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Article III of Restated Certificate of Incorporation (incorporated by Reference to Exhibit 3.1 to the Form 8-K filed</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gridSpan w:val="1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December 4, 2007).</w:t>
              </w:r>
            </w:hyperlink>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rPr>
            </w:pPr>
            <w:hyperlink r:id="rId97">
              <w:r>
                <w:rPr>
                  <w:rFonts w:ascii="Arial" w:cs="Arial" w:eastAsia="Arial" w:hAnsi="Arial"/>
                  <w:sz w:val="18"/>
                  <w:szCs w:val="18"/>
                  <w:color w:val="0000EE"/>
                </w:rPr>
                <w:t>Certificate of Amendment Reverse Splitting Common Stock and restating but not changing text of part of</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Article III of Restated Certificate of Incorporation (incorporated by Reference to Exhibit 3.1 to the Form 8-K filed</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August 27, 2015).</w:t>
              </w:r>
            </w:hyperlink>
          </w:p>
        </w:tc>
        <w:tc>
          <w:tcPr>
            <w:tcW w:w="7020" w:type="dxa"/>
            <w:vAlign w:val="bottom"/>
            <w:gridSpan w:val="11"/>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Restated Bylaws of the Registrant (incorporated by reference to Exhibit 3.2 to the Form 8-K filed on May 14,</w:t>
              </w:r>
            </w:hyperlink>
          </w:p>
        </w:tc>
      </w:tr>
      <w:tr>
        <w:trPr>
          <w:trHeight w:val="196"/>
        </w:trPr>
        <w:tc>
          <w:tcPr>
            <w:tcW w:w="1260" w:type="dxa"/>
            <w:vAlign w:val="bottom"/>
          </w:tcPr>
          <w:p>
            <w:pPr>
              <w:spacing w:after="0"/>
              <w:rPr>
                <w:sz w:val="17"/>
                <w:szCs w:val="17"/>
                <w:color w:val="auto"/>
              </w:rPr>
            </w:pPr>
          </w:p>
        </w:tc>
        <w:tc>
          <w:tcPr>
            <w:tcW w:w="800" w:type="dxa"/>
            <w:vAlign w:val="bottom"/>
            <w:gridSpan w:val="2"/>
          </w:tcPr>
          <w:p>
            <w:pPr>
              <w:ind w:left="340"/>
              <w:spacing w:after="0" w:line="19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2018).</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Common Stock Certificate (incorporated by Reference to Exhibit 4.1 to the Form S-3 filed on March 9,</w:t>
              </w:r>
            </w:hyperlink>
          </w:p>
        </w:tc>
      </w:tr>
      <w:tr>
        <w:trPr>
          <w:trHeight w:val="196"/>
        </w:trPr>
        <w:tc>
          <w:tcPr>
            <w:tcW w:w="1260" w:type="dxa"/>
            <w:vAlign w:val="bottom"/>
          </w:tcPr>
          <w:p>
            <w:pPr>
              <w:spacing w:after="0"/>
              <w:rPr>
                <w:sz w:val="17"/>
                <w:szCs w:val="17"/>
                <w:color w:val="auto"/>
              </w:rPr>
            </w:pPr>
          </w:p>
        </w:tc>
        <w:tc>
          <w:tcPr>
            <w:tcW w:w="800" w:type="dxa"/>
            <w:vAlign w:val="bottom"/>
            <w:gridSpan w:val="2"/>
          </w:tcPr>
          <w:p>
            <w:pPr>
              <w:ind w:left="340"/>
              <w:spacing w:after="0" w:line="196" w:lineRule="exact"/>
              <w:rPr>
                <w:rFonts w:ascii="Arial" w:cs="Arial" w:eastAsia="Arial" w:hAnsi="Arial"/>
                <w:sz w:val="18"/>
                <w:szCs w:val="18"/>
                <w:color w:val="0000EE"/>
                <w:w w:val="86"/>
              </w:rPr>
            </w:pPr>
            <w:hyperlink r:id="rId99">
              <w:r>
                <w:rPr>
                  <w:rFonts w:ascii="Arial" w:cs="Arial" w:eastAsia="Arial" w:hAnsi="Arial"/>
                  <w:sz w:val="18"/>
                  <w:szCs w:val="18"/>
                  <w:color w:val="0000EE"/>
                  <w:w w:val="86"/>
                </w:rPr>
                <w:t>2016).</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Common Stock Warrant issued to John Schutte on July 24, 2017 (incorporated by reference Exhibit 4.1 to</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our Form 8-K filed July 28, 2017).</w:t>
              </w:r>
            </w:hyperlink>
          </w:p>
        </w:tc>
        <w:tc>
          <w:tcPr>
            <w:tcW w:w="5820" w:type="dxa"/>
            <w:vAlign w:val="bottom"/>
            <w:gridSpan w:val="8"/>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10.03</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Subscription Agreement dated as of July 24, 2017 between the Registrant and John Schutte (incorporated by</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reference to Exhibit 10.1 to our Form 8-K filed July 28, 2017)</w:t>
              </w:r>
            </w:hyperlink>
          </w:p>
        </w:tc>
        <w:tc>
          <w:tcPr>
            <w:tcW w:w="3840" w:type="dxa"/>
            <w:vAlign w:val="bottom"/>
            <w:gridSpan w:val="6"/>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10.07</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5"/>
              </w:rPr>
            </w:pPr>
            <w:hyperlink r:id="rId102">
              <w:r>
                <w:rPr>
                  <w:rFonts w:ascii="Arial" w:cs="Arial" w:eastAsia="Arial" w:hAnsi="Arial"/>
                  <w:sz w:val="18"/>
                  <w:szCs w:val="18"/>
                  <w:color w:val="0000EE"/>
                  <w:w w:val="95"/>
                </w:rPr>
                <w:t>Form of Mortgage dated December 27, 2013 (incorporated by reference to Exhibit 10.8 to the Form 10-K filed</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March 3, 2014).</w:t>
              </w:r>
            </w:hyperlink>
          </w:p>
        </w:tc>
        <w:tc>
          <w:tcPr>
            <w:tcW w:w="7160" w:type="dxa"/>
            <w:vAlign w:val="bottom"/>
            <w:gridSpan w:val="12"/>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10.08</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Collaboration and License Agreement entered into as of January 7, 2015 between the Registrant, Egalet US, Inc.,</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Egalet Limited and with respect to Section 17.21, Egalet Corporation (certain information has been omitted and</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filed separately with the Securities and Exchange Commission and confidential treatment has been granted with</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respect to the omitted portion) (incorporated by reference to Exhibit 10.13 to the Form 10-K filed March 2, 2015).</w:t>
              </w:r>
            </w:hyperlink>
          </w:p>
        </w:tc>
        <w:tc>
          <w:tcPr>
            <w:tcW w:w="8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Amended and Restated Voting Agreement dated as of February 6, 2004 among the Registrant, Care Capital</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Investments II, LP, Essex Woodlands Health Ventures V, L.P., Galen Partners III, L.P., and others (incorporated by</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gridSpan w:val="1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10.5 of the Form 8-K filed on February 10, 2004 (the “February 2004 Form 8-K”)).</w:t>
              </w:r>
            </w:hyperlink>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gridSpan w:val="10"/>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Joinder and Amendment to Amended and Restated Voting Agreement dated November 9, 2005 between the</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Registrant, GCE Holdings, Essex Woodlands Health Ventures V, L.P., Care Capital Investments II, LP, Galen</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Partners III, L.P. and others (incorporated by reference to Exhibit 10.1 to the Form 8-K filed November 10, 2005).</w:t>
              </w:r>
            </w:hyperlink>
          </w:p>
        </w:tc>
        <w:tc>
          <w:tcPr>
            <w:tcW w:w="100" w:type="dxa"/>
            <w:vAlign w:val="bottom"/>
            <w:gridSpan w:val="2"/>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Second Amendment to Amended and Restated Voting Agreement dated as of January 24, 2008 between the</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Registrant and GCE Holdings, LLC (incorporated by reference to Exhibit 10.1 to the Form 8-K filed January 28,</w:t>
              </w:r>
            </w:hyperlink>
          </w:p>
        </w:tc>
      </w:tr>
      <w:tr>
        <w:trPr>
          <w:trHeight w:val="196"/>
        </w:trPr>
        <w:tc>
          <w:tcPr>
            <w:tcW w:w="1260" w:type="dxa"/>
            <w:vAlign w:val="bottom"/>
          </w:tcPr>
          <w:p>
            <w:pPr>
              <w:spacing w:after="0"/>
              <w:rPr>
                <w:sz w:val="17"/>
                <w:szCs w:val="17"/>
                <w:color w:val="auto"/>
              </w:rPr>
            </w:pPr>
          </w:p>
        </w:tc>
        <w:tc>
          <w:tcPr>
            <w:tcW w:w="800" w:type="dxa"/>
            <w:vAlign w:val="bottom"/>
            <w:gridSpan w:val="2"/>
          </w:tcPr>
          <w:p>
            <w:pPr>
              <w:ind w:left="340"/>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2008).</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Third Amendment to Amended and Restated Voting Agreement dated as of October 1, 2012 between the</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Registrant, Care Capital Investments II, LP, Essex Woodlands Health Ventures V, L.P., Galen Partners III, L.P., and</w:t>
              </w:r>
            </w:hyperlink>
          </w:p>
        </w:tc>
      </w:tr>
      <w:tr>
        <w:trPr>
          <w:trHeight w:val="196"/>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20" w:type="dxa"/>
            <w:vAlign w:val="bottom"/>
            <w:gridSpan w:val="1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others (incorporated by reference to Exhibit 10.1 of the Form 8-K filed on October 3, 2012).</w:t>
              </w:r>
            </w:hyperlink>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49"/>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4"/>
              </w:rPr>
              <w:t>Exhibit Number</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17"/>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Second Amended and Restated Voting Agreement executed July 2017 and dated as of July 24, 2017 (incorporated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by reference to Exhibit 10.1 to the 8-K dated filed August 1, 2017).</w:t>
              </w:r>
            </w:hyperlink>
          </w:p>
        </w:tc>
        <w:tc>
          <w:tcPr>
            <w:tcW w:w="3480" w:type="dxa"/>
            <w:vAlign w:val="bottom"/>
            <w:gridSpan w:val="1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Registrant’s 2014 Restricted Stock Unit Award Plan, (incorporated by reference to Appendix A to the Registrant’s</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Proxy Statement filed on March 12, 2014).</w:t>
              </w:r>
            </w:hyperlink>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Registrant’s 2017 Restricted Stock Unit Award Plan, (incorporated by reference to Exhibit 10.1 to the 8-K filed on</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November 14, 2017).</w:t>
              </w:r>
            </w:hyperlink>
          </w:p>
        </w:tc>
        <w:tc>
          <w:tcPr>
            <w:tcW w:w="6780" w:type="dxa"/>
            <w:vAlign w:val="bottom"/>
            <w:gridSpan w:val="19"/>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Registrant’s 2008 Stock Option Plan, as amended on June 25, 2009 (incorporated by reference to Appendix B to</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our Proxy Statement filed on May 12, 2009).</w:t>
              </w:r>
            </w:hyperlink>
          </w:p>
        </w:tc>
        <w:tc>
          <w:tcPr>
            <w:tcW w:w="5080" w:type="dxa"/>
            <w:vAlign w:val="bottom"/>
            <w:gridSpan w:val="17"/>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Registrant’s 2016 Stock Option Plan (incorporated by reference to Exhibit 10.1 to our Form 8-K filed on April 28,</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ind w:left="320"/>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2016).</w:t>
              </w:r>
            </w:hyperlink>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Employment Agreement dated as of March 10, 1998 between the Registrant and Peter Clemens (incorporated by</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reference to Exhibit 10.44 to the Form 10-K filed on April 15, 1998).</w:t>
              </w:r>
            </w:hyperlink>
          </w:p>
        </w:tc>
        <w:tc>
          <w:tcPr>
            <w:tcW w:w="3340" w:type="dxa"/>
            <w:vAlign w:val="bottom"/>
            <w:gridSpan w:val="13"/>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First Amendment to Employment Agreement made as of June 28, 2000 between the Registrant and Clemens</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(incorporated by reference to Exhibit 10.44A to the Registrant’s Form 10-K filed on February 21, 2006).</w:t>
              </w:r>
            </w:hyperlink>
          </w:p>
        </w:tc>
        <w:tc>
          <w:tcPr>
            <w:tcW w:w="800" w:type="dxa"/>
            <w:vAlign w:val="bottom"/>
            <w:gridSpan w:val="6"/>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Second Amendment to Executive Employment Agreement between Registrant and Peter Clemens, dated as of</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1"/>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January 5, 2005 (incorporated by reference to Exhibit 99.1 to the Registrant’s Form 8-K filed January 31, 2005).</w:t>
              </w:r>
            </w:hyperlink>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gridSpan w:val="7"/>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Third Amendment to Executive Employment Agreement dated December 22, 2005 between Registrant and Peter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Clemens (incorporated by reference to Exhibit 10.3 to the Registrant’s Form 8-K filed December 23, 2005).</w:t>
              </w:r>
            </w:hyperlink>
          </w:p>
        </w:tc>
        <w:tc>
          <w:tcPr>
            <w:tcW w:w="560" w:type="dxa"/>
            <w:vAlign w:val="bottom"/>
            <w:gridSpan w:val="3"/>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Fourth Amendment to Executive Employment Agreement dated December 16, 2007 between Registrant and Peter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Clemens (incorporated by reference to Exhibit 10.28 to the Form 10-K filed on March 5, 2008).</w:t>
              </w:r>
            </w:hyperlink>
          </w:p>
        </w:tc>
        <w:tc>
          <w:tcPr>
            <w:tcW w:w="1420" w:type="dxa"/>
            <w:vAlign w:val="bottom"/>
            <w:gridSpan w:val="8"/>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Fifth Amendment to Executive Employment Agreement executed July 9, 2008 between Registrant and Clemens</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(incorporated by reference to Exhibit 10.4 to our Form 8-K filed on July 10, 2008).</w:t>
              </w:r>
            </w:hyperlink>
          </w:p>
        </w:tc>
        <w:tc>
          <w:tcPr>
            <w:tcW w:w="2340" w:type="dxa"/>
            <w:vAlign w:val="bottom"/>
            <w:gridSpan w:val="11"/>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Sixth Amendment to Executive Employment Agreement executed December 14, 2012 between the Registrant and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Peter Clemens (incorporated by reference to Exhibit 10.2 to our Form 8-K filed on December 17, 2012).</w:t>
              </w:r>
            </w:hyperlink>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gridSpan w:val="7"/>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Seventh Amendment to Executive Employment Agreement executed December 12, 2013 between the Registrant</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and Peter Clemens (incorporated by reference to Exhibit 10.24 to the Form 10-K filed on March 3, 2014).</w:t>
              </w:r>
            </w:hyperlink>
          </w:p>
        </w:tc>
        <w:tc>
          <w:tcPr>
            <w:tcW w:w="700" w:type="dxa"/>
            <w:vAlign w:val="bottom"/>
            <w:gridSpan w:val="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†10.29</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Employment Agreement dated as of March 18, 2008 between the Registrant and Robert B. Jones (incorporated by</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 to Exhibit 10.1 to our Form 8-K filed on March 24, 2008).</w:t>
              </w:r>
            </w:hyperlink>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gridSpan w:val="7"/>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Amendment to Executive Employment Agreement dated as of April 28, 2011 between the Registrant and Robert B.</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Jones (incorporated by reference to Exhibit 10.1 to our Form 10-Q filed July 28, 2011).</w:t>
              </w:r>
            </w:hyperlink>
          </w:p>
        </w:tc>
      </w:tr>
      <w:tr>
        <w:trPr>
          <w:trHeight w:val="20"/>
        </w:trPr>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4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†10.31</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Amendment to Executive Employment Agreement between Registrant and Robert B. Jones made as of July 7, 2011</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(incorporated by reference to Exhibit 10.2 to our Form 10-Q filed July 28, 2011).</w:t>
              </w:r>
            </w:hyperlink>
          </w:p>
        </w:tc>
        <w:tc>
          <w:tcPr>
            <w:tcW w:w="2480" w:type="dxa"/>
            <w:vAlign w:val="bottom"/>
            <w:gridSpan w:val="12"/>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24"/>
                <w:szCs w:val="24"/>
                <w:color w:val="auto"/>
              </w:rPr>
            </w:pPr>
          </w:p>
        </w:tc>
        <w:tc>
          <w:tcPr>
            <w:tcW w:w="8320" w:type="dxa"/>
            <w:vAlign w:val="bottom"/>
            <w:tcBorders>
              <w:bottom w:val="single" w:sz="8" w:color="0000EE"/>
            </w:tcBorders>
            <w:gridSpan w:val="21"/>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Second Amendment to Executive Employment Agreement between Registrant and Robert B. Jones executed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December 14, 2012 (incorporated by reference to Exhibit 10.1 to our Form 8-K filed December 17, 2012).</w:t>
              </w:r>
            </w:hyperlink>
          </w:p>
        </w:tc>
        <w:tc>
          <w:tcPr>
            <w:tcW w:w="660" w:type="dxa"/>
            <w:vAlign w:val="bottom"/>
            <w:gridSpan w:val="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40" w:type="dxa"/>
            <w:vAlign w:val="bottom"/>
            <w:tcBorders>
              <w:bottom w:val="single" w:sz="8" w:color="0000EE"/>
            </w:tcBorders>
            <w:gridSpan w:val="20"/>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Form of Securities Purchase Agreement entered into between the Registrant and institutional investors on June 30,</w:t>
              </w:r>
            </w:hyperlink>
          </w:p>
        </w:tc>
        <w:tc>
          <w:tcPr>
            <w:tcW w:w="8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2015 (incorporated by reference to Exhibit 10.1 of our Form 8-K filed July 1, 2015).</w:t>
              </w:r>
            </w:hyperlink>
          </w:p>
        </w:tc>
        <w:tc>
          <w:tcPr>
            <w:tcW w:w="224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49"/>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4"/>
              </w:rPr>
              <w:t>Exhibit Number</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19"/>
          </w:tcPr>
          <w:p>
            <w:pPr>
              <w:ind w:left="720"/>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gridSpan w:val="27"/>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License, Commercialization and Option Agreement is made and entered into as of March 16, 2017 by and between</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60" w:type="dxa"/>
            <w:vAlign w:val="bottom"/>
            <w:tcBorders>
              <w:top w:val="single" w:sz="8" w:color="0000EE"/>
            </w:tcBorders>
            <w:gridSpan w:val="26"/>
          </w:tcPr>
          <w:p>
            <w:pPr>
              <w:spacing w:after="0" w:line="196" w:lineRule="exact"/>
              <w:rPr>
                <w:rFonts w:ascii="Arial" w:cs="Arial" w:eastAsia="Arial" w:hAnsi="Arial"/>
                <w:sz w:val="18"/>
                <w:szCs w:val="18"/>
                <w:color w:val="0000EE"/>
                <w:w w:val="95"/>
              </w:rPr>
            </w:pPr>
            <w:hyperlink r:id="rId128">
              <w:r>
                <w:rPr>
                  <w:rFonts w:ascii="Arial" w:cs="Arial" w:eastAsia="Arial" w:hAnsi="Arial"/>
                  <w:sz w:val="18"/>
                  <w:szCs w:val="18"/>
                  <w:color w:val="0000EE"/>
                  <w:w w:val="95"/>
                </w:rPr>
                <w:t>MainPointe Pharmaceuticals, LLC (incorporated by reference to Exhibit 10.34 to our Form 10-K filed June 7,</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ind w:left="320"/>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2018).</w:t>
              </w:r>
            </w:hyperlink>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0" w:type="dxa"/>
            <w:vAlign w:val="bottom"/>
            <w:tcBorders>
              <w:bottom w:val="single" w:sz="8" w:color="0000EE"/>
            </w:tcBorders>
            <w:gridSpan w:val="20"/>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Promissory Note dated June 28, 2019 issued to John Schutte (incorporated by reference to Exhibit 10.49 to our</w:t>
              </w:r>
            </w:hyperlink>
          </w:p>
        </w:tc>
        <w:tc>
          <w:tcPr>
            <w:tcW w:w="30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Form 10-Q filed February 20, 2020).</w:t>
              </w:r>
            </w:hyperlink>
          </w:p>
        </w:tc>
        <w:tc>
          <w:tcPr>
            <w:tcW w:w="5620" w:type="dxa"/>
            <w:vAlign w:val="bottom"/>
            <w:gridSpan w:val="19"/>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tcBorders>
              <w:bottom w:val="single" w:sz="8" w:color="0000EE"/>
            </w:tcBorders>
            <w:gridSpan w:val="17"/>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License, Development and Commercialization Agreement is made and entered into as of June 28, 2019 by the</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Registrant and between Abuse Deterrent Pharmaceuticals, LLC (incorporated by reference to Exhibit 10.50 to our</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Form 10-K filed March 31, 2020).</w:t>
              </w:r>
            </w:hyperlink>
          </w:p>
        </w:tc>
        <w:tc>
          <w:tcPr>
            <w:tcW w:w="5820" w:type="dxa"/>
            <w:vAlign w:val="bottom"/>
            <w:gridSpan w:val="21"/>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Common Stock Warrant issued June 28, 2019 to John Schutte (incorporated by reference to Exhibit 10.51 to our</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Form 10-K filed March 31, 2020).</w:t>
              </w:r>
            </w:hyperlink>
          </w:p>
        </w:tc>
        <w:tc>
          <w:tcPr>
            <w:tcW w:w="5820" w:type="dxa"/>
            <w:vAlign w:val="bottom"/>
            <w:gridSpan w:val="21"/>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80" w:type="dxa"/>
            <w:vAlign w:val="bottom"/>
            <w:tcBorders>
              <w:bottom w:val="single" w:sz="8" w:color="0000EE"/>
            </w:tcBorders>
            <w:gridSpan w:val="23"/>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Assignment of Promissory Note, Warrant and Security Agreement issued June 28, 2019 by John Schutte to Abuse</w:t>
              </w:r>
            </w:hyperlink>
          </w:p>
        </w:tc>
        <w:tc>
          <w:tcPr>
            <w:tcW w:w="1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Deterrent Pharmaceuticals, LLC (incorporated by reference to Exhibit 10.52 to our Form 10-K filed March 31,</w:t>
              </w:r>
            </w:hyperlink>
          </w:p>
        </w:tc>
        <w:tc>
          <w:tcPr>
            <w:tcW w:w="32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ind w:left="320"/>
              <w:spacing w:after="0" w:line="196" w:lineRule="exact"/>
              <w:rPr>
                <w:rFonts w:ascii="Arial" w:cs="Arial" w:eastAsia="Arial" w:hAnsi="Arial"/>
                <w:sz w:val="18"/>
                <w:szCs w:val="18"/>
                <w:color w:val="0000EE"/>
                <w:w w:val="86"/>
              </w:rPr>
            </w:pPr>
            <w:hyperlink r:id="rId132">
              <w:r>
                <w:rPr>
                  <w:rFonts w:ascii="Arial" w:cs="Arial" w:eastAsia="Arial" w:hAnsi="Arial"/>
                  <w:sz w:val="18"/>
                  <w:szCs w:val="18"/>
                  <w:color w:val="0000EE"/>
                  <w:w w:val="86"/>
                </w:rPr>
                <w:t>2020).</w:t>
              </w:r>
            </w:hyperlink>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tcBorders>
              <w:bottom w:val="single" w:sz="8" w:color="0000EE"/>
            </w:tcBorders>
            <w:gridSpan w:val="21"/>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Amended License, Development and Commercialization Agreement is made and entered into as of October 16,</w:t>
              </w:r>
            </w:hyperlink>
          </w:p>
        </w:tc>
        <w:tc>
          <w:tcPr>
            <w:tcW w:w="28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gridSpan w:val="27"/>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2020 by the Registrant and between Abuse Deterrent Pharmaceuticals, LLC. (First Amendment). (incorporated by</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reference to Exhibit 10.53 to our Form 10-K filed March 31, 2021).</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10.54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Amendment #2 to the License, Development and Commercialization Agreement is made and entered into as of</w:t>
            </w:r>
          </w:p>
        </w:tc>
        <w:tc>
          <w:tcPr>
            <w:tcW w:w="30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June 17, 2021 by the Registrant and between Abuse Deterrent Pharma, LLC.</w:t>
            </w:r>
          </w:p>
        </w:tc>
        <w:tc>
          <w:tcPr>
            <w:tcW w:w="2780" w:type="dxa"/>
            <w:vAlign w:val="bottom"/>
            <w:gridSpan w:val="15"/>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10.55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Promissory Note dated December 21, 2021 issued to John Schutte.(incorporated by reference to Exhibit 99.1 to our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8-K filed December 28, 2021).</w:t>
              </w:r>
            </w:hyperlink>
          </w:p>
        </w:tc>
        <w:tc>
          <w:tcPr>
            <w:tcW w:w="5640" w:type="dxa"/>
            <w:vAlign w:val="bottom"/>
            <w:gridSpan w:val="20"/>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gridSpan w:val="27"/>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Promissory Note dated January 3, 2022 issued to John Schutte.(incorporated by reference to Exhibit 99.1 to our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Form 8-K filed January 4, 2022).</w:t>
              </w:r>
            </w:hyperlink>
          </w:p>
        </w:tc>
        <w:tc>
          <w:tcPr>
            <w:tcW w:w="28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gridSpan w:val="27"/>
          </w:tcPr>
          <w:p>
            <w:pPr>
              <w:spacing w:after="0"/>
              <w:rPr>
                <w:rFonts w:ascii="Arial" w:cs="Arial" w:eastAsia="Arial" w:hAnsi="Arial"/>
                <w:sz w:val="18"/>
                <w:szCs w:val="18"/>
                <w:color w:val="0000EE"/>
              </w:rPr>
            </w:pPr>
            <w:hyperlink r:id="rId136">
              <w:r>
                <w:rPr>
                  <w:rFonts w:ascii="Arial" w:cs="Arial" w:eastAsia="Arial" w:hAnsi="Arial"/>
                  <w:sz w:val="18"/>
                  <w:szCs w:val="18"/>
                  <w:color w:val="0000EE"/>
                </w:rPr>
                <w:t>Promissory Note dated January 31, 2022 issued to John Schutte.</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(incorporated by reference to Exhibit 99.1 to our Form 8K filed February 1, 2022).</w:t>
              </w:r>
            </w:hyperlink>
          </w:p>
        </w:tc>
        <w:tc>
          <w:tcPr>
            <w:tcW w:w="2340" w:type="dxa"/>
            <w:vAlign w:val="bottom"/>
            <w:gridSpan w:val="1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10.58 *</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0"/>
              </w:rPr>
              <w:t>Third Amendment to the Amended License, Development and Commercialization Agreement is made and entered</w:t>
            </w:r>
          </w:p>
        </w:tc>
        <w:tc>
          <w:tcPr>
            <w:tcW w:w="8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gridSpan w:val="27"/>
          </w:tcPr>
          <w:p>
            <w:pPr>
              <w:spacing w:after="0" w:line="196" w:lineRule="exact"/>
              <w:rPr>
                <w:sz w:val="20"/>
                <w:szCs w:val="20"/>
                <w:color w:val="auto"/>
              </w:rPr>
            </w:pPr>
            <w:r>
              <w:rPr>
                <w:rFonts w:ascii="Arial" w:cs="Arial" w:eastAsia="Arial" w:hAnsi="Arial"/>
                <w:sz w:val="18"/>
                <w:szCs w:val="18"/>
                <w:color w:val="0000EE"/>
              </w:rPr>
              <w:t>into as of February 28, 2022 by the Registrant and between Abuse Deterrent Pharma, LLC.</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300" w:type="dxa"/>
            <w:vAlign w:val="bottom"/>
            <w:gridSpan w:val="10"/>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Promissory Note dated March 31, 2022 issued to John Schutte. (incorporated by reference to Exhibit 99.1 to our</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Form 8-K filed April 4, 2022).</w:t>
              </w:r>
            </w:hyperlink>
          </w:p>
        </w:tc>
        <w:tc>
          <w:tcPr>
            <w:tcW w:w="6100" w:type="dxa"/>
            <w:vAlign w:val="bottom"/>
            <w:gridSpan w:val="2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Promissory Note dated April 29, 2022 issued to John Schutte. (incorporated by reference to Exhibit 99.1 to our</w:t>
              </w:r>
            </w:hyperlink>
          </w:p>
        </w:tc>
        <w:tc>
          <w:tcPr>
            <w:tcW w:w="32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Form 8-K filed May 2, 2022).</w:t>
              </w:r>
            </w:hyperlink>
          </w:p>
        </w:tc>
        <w:tc>
          <w:tcPr>
            <w:tcW w:w="6140" w:type="dxa"/>
            <w:vAlign w:val="bottom"/>
            <w:gridSpan w:val="25"/>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40" w:type="dxa"/>
            <w:vAlign w:val="bottom"/>
            <w:tcBorders>
              <w:bottom w:val="single" w:sz="8" w:color="0000EE"/>
            </w:tcBorders>
            <w:gridSpan w:val="18"/>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Promissory Note dated May 20, 2022 issued to John Schutte. (incorporated by reference to Exhibit 99.1 to our</w:t>
              </w:r>
            </w:hyperlink>
          </w:p>
        </w:tc>
        <w:tc>
          <w:tcPr>
            <w:tcW w:w="36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gridSpan w:val="2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Form 8-K filed May 23, 2022).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40" w:type="dxa"/>
            <w:vAlign w:val="bottom"/>
            <w:tcBorders>
              <w:bottom w:val="single" w:sz="8" w:color="0000EE"/>
            </w:tcBorders>
            <w:gridSpan w:val="18"/>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Promissory Note dated June 10, 2022 issued to John Schutte. (incorporated by reference to Exhibit 99.1 to our</w:t>
              </w:r>
            </w:hyperlink>
          </w:p>
        </w:tc>
        <w:tc>
          <w:tcPr>
            <w:tcW w:w="36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Form 8-K filed June 13, 2022).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tcBorders>
              <w:bottom w:val="single" w:sz="8" w:color="0000EE"/>
            </w:tcBorders>
            <w:gridSpan w:val="15"/>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Promissory Note dated July 6, 2022 issued to John Schutte. (incorporated by reference to Exhibit 99.1 to our</w:t>
              </w:r>
            </w:hyperlink>
          </w:p>
        </w:tc>
        <w:tc>
          <w:tcPr>
            <w:tcW w:w="4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gridSpan w:val="2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Form 8-K filed July 11, 2022).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gridSpan w:val="27"/>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Promissory Note dated July 18, 2022 issued to John Schutte. (incorporated by reference to Exhibit 99.1 to our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Form 8-K filed July 19, 2022).</w:t>
              </w:r>
            </w:hyperlink>
          </w:p>
        </w:tc>
        <w:tc>
          <w:tcPr>
            <w:tcW w:w="5660" w:type="dxa"/>
            <w:vAlign w:val="bottom"/>
            <w:tcBorders>
              <w:top w:val="single" w:sz="8" w:color="0000EE"/>
            </w:tcBorders>
            <w:gridSpan w:val="12"/>
          </w:tcPr>
          <w:p>
            <w:pPr>
              <w:spacing w:after="0"/>
              <w:rPr>
                <w:sz w:val="17"/>
                <w:szCs w:val="17"/>
                <w:color w:val="auto"/>
              </w:rPr>
            </w:pPr>
          </w:p>
        </w:tc>
        <w:tc>
          <w:tcPr>
            <w:tcW w:w="400" w:type="dxa"/>
            <w:vAlign w:val="bottom"/>
            <w:gridSpan w:val="1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00"/>
          </w:cols>
          <w:pgMar w:left="980" w:top="500" w:right="1019"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00" w:right="101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49"/>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4"/>
              </w:rPr>
              <w:t>Exhibit Number</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gridSpan w:val="20"/>
          </w:tcPr>
          <w:p>
            <w:pPr>
              <w:ind w:left="440"/>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tcBorders>
              <w:bottom w:val="single" w:sz="8" w:color="0000EE"/>
            </w:tcBorders>
            <w:gridSpan w:val="21"/>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Promissory Note dated August 23, 2022 issued to John Schutte. (incorporated by reference to Exhibit 99.1 to our</w:t>
              </w:r>
            </w:hyperlink>
          </w:p>
        </w:tc>
        <w:tc>
          <w:tcPr>
            <w:tcW w:w="20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Form 8-K filed August 26, 2022).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gridSpan w:val="26"/>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Promissory Note dated September 20, 2022 issued to John Schutte. (incorporated by reference to Exhibit 99.1 to</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our Form 8-K filed September 26, 2022).</w:t>
              </w:r>
            </w:hyperlink>
          </w:p>
        </w:tc>
        <w:tc>
          <w:tcPr>
            <w:tcW w:w="24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gridSpan w:val="26"/>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Promissory Note dated October 13, 2022 issued to John Schutte. (incorporated by reference to Exhibit 99.1 to our</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Form 8-K filed October 17, 2022).</w:t>
              </w:r>
            </w:hyperlink>
          </w:p>
        </w:tc>
        <w:tc>
          <w:tcPr>
            <w:tcW w:w="5680" w:type="dxa"/>
            <w:vAlign w:val="bottom"/>
            <w:tcBorders>
              <w:top w:val="single" w:sz="8" w:color="0000EE"/>
            </w:tcBorders>
            <w:gridSpan w:val="1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10.68 *</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8"/>
              </w:rPr>
              <w:t>Amended, Consolidated and Restated Secured Promissory Note dated November 10, 2022 issued to John Schutte.</w:t>
            </w:r>
          </w:p>
        </w:tc>
        <w:tc>
          <w:tcPr>
            <w:tcW w:w="120" w:type="dxa"/>
            <w:vAlign w:val="bottom"/>
            <w:gridSpan w:val="2"/>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Amended, Consolidated and Restated Secured Promissory Note dated November 10, 2022 issued to Abuse</w:t>
              </w:r>
            </w:hyperlink>
          </w:p>
        </w:tc>
        <w:tc>
          <w:tcPr>
            <w:tcW w:w="64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 xml:space="preserve">Deterrent Pharma, LLC for aggregating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2,569,279 reflecting a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250,000 loan received December 22, 2022.</w:t>
              </w:r>
            </w:hyperlink>
          </w:p>
        </w:tc>
        <w:tc>
          <w:tcPr>
            <w:tcW w:w="52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(incorporated by reference to Exhibit 99.2 to our Form 8-K filed December 27, 2022).</w:t>
              </w:r>
            </w:hyperlink>
          </w:p>
        </w:tc>
        <w:tc>
          <w:tcPr>
            <w:tcW w:w="2120" w:type="dxa"/>
            <w:vAlign w:val="bottom"/>
            <w:gridSpan w:val="1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10.70 *</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gridSpan w:val="26"/>
          </w:tcPr>
          <w:p>
            <w:pPr>
              <w:spacing w:after="0"/>
              <w:rPr>
                <w:sz w:val="20"/>
                <w:szCs w:val="20"/>
                <w:color w:val="auto"/>
              </w:rPr>
            </w:pPr>
            <w:r>
              <w:rPr>
                <w:rFonts w:ascii="Arial" w:cs="Arial" w:eastAsia="Arial" w:hAnsi="Arial"/>
                <w:sz w:val="18"/>
                <w:szCs w:val="18"/>
                <w:color w:val="0000EE"/>
              </w:rPr>
              <w:t>Amended Loan Schedule to the Amended, Consolidated and Restated Secured Promissory Note dated</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6"/>
          </w:tcPr>
          <w:p>
            <w:pPr>
              <w:spacing w:after="0" w:line="196" w:lineRule="exact"/>
              <w:rPr>
                <w:sz w:val="20"/>
                <w:szCs w:val="20"/>
                <w:color w:val="auto"/>
              </w:rPr>
            </w:pPr>
            <w:r>
              <w:rPr>
                <w:rFonts w:ascii="Arial" w:cs="Arial" w:eastAsia="Arial" w:hAnsi="Arial"/>
                <w:sz w:val="18"/>
                <w:szCs w:val="18"/>
                <w:color w:val="0000EE"/>
              </w:rPr>
              <w:t xml:space="preserve">November 10, 2022 issued to Abuse Deterrent Pharma, LLC on May 19, 2023 aggregating </w:t>
            </w:r>
            <w:r>
              <w:rPr>
                <w:rFonts w:ascii="Arial" w:cs="Arial" w:eastAsia="Arial" w:hAnsi="Arial"/>
                <w:sz w:val="18"/>
                <w:szCs w:val="18"/>
                <w:u w:val="single" w:color="auto"/>
                <w:color w:val="0000EE"/>
              </w:rPr>
              <w:t>$</w:t>
            </w:r>
            <w:r>
              <w:rPr>
                <w:rFonts w:ascii="Arial" w:cs="Arial" w:eastAsia="Arial" w:hAnsi="Arial"/>
                <w:sz w:val="18"/>
                <w:szCs w:val="18"/>
                <w:color w:val="0000EE"/>
              </w:rPr>
              <w:t>3,469,279.</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tcBorders>
              <w:bottom w:val="single" w:sz="8" w:color="0000EE"/>
            </w:tcBorders>
            <w:gridSpan w:val="25"/>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Fourth Amendment to the Amended License, Development and Commercialization Agreement is made and entered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into as of November 10, 2022 by the Registrant and between Abuse Deterrent Pharma, LLC. (incorporated by</w:t>
              </w:r>
            </w:hyperlink>
          </w:p>
        </w:tc>
        <w:tc>
          <w:tcPr>
            <w:tcW w:w="4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reference to Exhibit 99.1 to our Form 8-K filed December 27, 2022).</w:t>
              </w:r>
            </w:hyperlink>
          </w:p>
        </w:tc>
        <w:tc>
          <w:tcPr>
            <w:tcW w:w="3360" w:type="dxa"/>
            <w:vAlign w:val="bottom"/>
            <w:gridSpan w:val="15"/>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gridSpan w:val="26"/>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Fifth Amendment to the Amended License, Development and Commercialization Agreement is made and entered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into as of December 15, 2022 by the Registrant and between Abuse Deterrent Pharma, LLC. (incorporated by</w:t>
              </w:r>
            </w:hyperlink>
          </w:p>
        </w:tc>
        <w:tc>
          <w:tcPr>
            <w:tcW w:w="280" w:type="dxa"/>
            <w:vAlign w:val="bottom"/>
            <w:tcBorders>
              <w:top w:val="single" w:sz="8" w:color="0000EE"/>
            </w:tcBorders>
            <w:gridSpan w:val="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reference to Exhibit 99.3 to our Form 8-K filed December 27, 2022).</w:t>
              </w:r>
            </w:hyperlink>
          </w:p>
        </w:tc>
        <w:tc>
          <w:tcPr>
            <w:tcW w:w="3360" w:type="dxa"/>
            <w:vAlign w:val="bottom"/>
            <w:gridSpan w:val="1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4"/>
                <w:szCs w:val="24"/>
                <w:color w:val="auto"/>
              </w:rPr>
            </w:pPr>
          </w:p>
        </w:tc>
        <w:tc>
          <w:tcPr>
            <w:tcW w:w="8320" w:type="dxa"/>
            <w:vAlign w:val="bottom"/>
            <w:tcBorders>
              <w:bottom w:val="single" w:sz="8" w:color="0000EE"/>
            </w:tcBorders>
            <w:gridSpan w:val="26"/>
          </w:tcPr>
          <w:p>
            <w:pPr>
              <w:spacing w:after="0"/>
              <w:rPr>
                <w:rFonts w:ascii="Arial" w:cs="Arial" w:eastAsia="Arial" w:hAnsi="Arial"/>
                <w:sz w:val="18"/>
                <w:szCs w:val="18"/>
                <w:color w:val="0000EE"/>
                <w:w w:val="97"/>
              </w:rPr>
            </w:pPr>
            <w:hyperlink r:id="rId150">
              <w:r>
                <w:rPr>
                  <w:rFonts w:ascii="Arial" w:cs="Arial" w:eastAsia="Arial" w:hAnsi="Arial"/>
                  <w:sz w:val="18"/>
                  <w:szCs w:val="18"/>
                  <w:color w:val="0000EE"/>
                  <w:w w:val="97"/>
                </w:rPr>
                <w:t>Registrant’s 2021 Restricted Stock Unit Award Plan. (incorporated by reference to Appendix A to our Proxy</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Statement filed on April 12, 2021).</w:t>
              </w:r>
            </w:hyperlink>
          </w:p>
        </w:tc>
        <w:tc>
          <w:tcPr>
            <w:tcW w:w="5800" w:type="dxa"/>
            <w:vAlign w:val="bottom"/>
            <w:gridSpan w:val="21"/>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tcBorders>
              <w:bottom w:val="single" w:sz="8" w:color="0000EE"/>
            </w:tcBorders>
            <w:gridSpan w:val="26"/>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Sixth Amendment to the Amended License, Development and Commercialization Agreement is made and entered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into as of June 15, 2023 by the Registrant and between Abuse Deterrent Pharma, LLC. (incorporated by reference</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to Exhibit 99.1 to our Form 8-K filed June 28, 2023).</w:t>
              </w:r>
            </w:hyperlink>
          </w:p>
        </w:tc>
        <w:tc>
          <w:tcPr>
            <w:tcW w:w="4480" w:type="dxa"/>
            <w:vAlign w:val="bottom"/>
            <w:gridSpan w:val="18"/>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gridSpan w:val="26"/>
          </w:tcPr>
          <w:p>
            <w:pPr>
              <w:spacing w:after="0"/>
              <w:rPr>
                <w:rFonts w:ascii="Arial" w:cs="Arial" w:eastAsia="Arial" w:hAnsi="Arial"/>
                <w:sz w:val="18"/>
                <w:szCs w:val="18"/>
                <w:color w:val="0000EE"/>
              </w:rPr>
            </w:pPr>
            <w:hyperlink r:id="rId152">
              <w:r>
                <w:rPr>
                  <w:rFonts w:ascii="Arial" w:cs="Arial" w:eastAsia="Arial" w:hAnsi="Arial"/>
                  <w:sz w:val="18"/>
                  <w:szCs w:val="18"/>
                  <w:color w:val="0000EE"/>
                </w:rPr>
                <w:t>Code of Ethics. (incorporated by reference to Exhibit 14.1 of the Form 8-K filed on December 10, 2007).</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00" w:type="dxa"/>
            <w:vAlign w:val="bottom"/>
            <w:gridSpan w:val="7"/>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tcBorders>
              <w:bottom w:val="single" w:sz="8" w:color="0000EE"/>
            </w:tcBorders>
            <w:gridSpan w:val="25"/>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Subsidiaries of the Registrant. (incorporated by reference to Exhibit 21 to the Form 10-K filed on March 15, 2007).</w:t>
              </w:r>
            </w:hyperlink>
          </w:p>
        </w:tc>
        <w:tc>
          <w:tcPr>
            <w:tcW w:w="20" w:type="dxa"/>
            <w:vAlign w:val="bottom"/>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3960" w:type="dxa"/>
            <w:vAlign w:val="bottom"/>
            <w:gridSpan w:val="17"/>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3"/>
              </w:rPr>
              <w:t>Certification of Periodic Report by Chief Executive Officer pursuant to Rule 13a-14 and 15d-14 of the Securities</w:t>
            </w: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Exchange Act of 1934.</w:t>
            </w:r>
          </w:p>
        </w:tc>
        <w:tc>
          <w:tcPr>
            <w:tcW w:w="6660" w:type="dxa"/>
            <w:vAlign w:val="bottom"/>
            <w:gridSpan w:val="2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4"/>
              </w:rPr>
              <w:t>Certification of Periodic Report by Chief Financial Officer pursuant to Rule 13a-14 and 15d-14 of the Securities</w:t>
            </w: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gridSpan w:val="26"/>
          </w:tcPr>
          <w:p>
            <w:pPr>
              <w:spacing w:after="0" w:line="196" w:lineRule="exact"/>
              <w:rPr>
                <w:sz w:val="20"/>
                <w:szCs w:val="20"/>
                <w:color w:val="auto"/>
              </w:rPr>
            </w:pPr>
            <w:r>
              <w:rPr>
                <w:rFonts w:ascii="Arial" w:cs="Arial" w:eastAsia="Arial" w:hAnsi="Arial"/>
                <w:sz w:val="18"/>
                <w:szCs w:val="18"/>
                <w:color w:val="0000EE"/>
              </w:rPr>
              <w:t>Exchange Act of 1934.</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3380" w:type="dxa"/>
            <w:vAlign w:val="bottom"/>
            <w:gridSpan w:val="16"/>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Certification of Chief Executive Officer and Chief Financial Officer pursuant to 18 U.S.C. Section 1350, as</w:t>
            </w: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adopted pursuant to Section 906 of the Sarbanes-Oxley Act of 2002.</w:t>
            </w:r>
          </w:p>
        </w:tc>
        <w:tc>
          <w:tcPr>
            <w:tcW w:w="3380" w:type="dxa"/>
            <w:vAlign w:val="bottom"/>
            <w:gridSpan w:val="16"/>
          </w:tcPr>
          <w:p>
            <w:pPr>
              <w:spacing w:after="0"/>
              <w:rPr>
                <w:sz w:val="17"/>
                <w:szCs w:val="17"/>
                <w:color w:val="auto"/>
              </w:rPr>
            </w:pPr>
          </w:p>
        </w:tc>
      </w:tr>
      <w:tr>
        <w:trPr>
          <w:trHeight w:val="682"/>
        </w:trPr>
        <w:tc>
          <w:tcPr>
            <w:tcW w:w="128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320" w:type="dxa"/>
            <w:vAlign w:val="bottom"/>
          </w:tcPr>
          <w:p>
            <w:pPr>
              <w:spacing w:after="0"/>
              <w:rPr>
                <w:sz w:val="24"/>
                <w:szCs w:val="24"/>
                <w:color w:val="auto"/>
              </w:rPr>
            </w:pPr>
          </w:p>
        </w:tc>
        <w:tc>
          <w:tcPr>
            <w:tcW w:w="8320" w:type="dxa"/>
            <w:vAlign w:val="bottom"/>
            <w:gridSpan w:val="26"/>
          </w:tcPr>
          <w:p>
            <w:pPr>
              <w:spacing w:after="0"/>
              <w:rPr>
                <w:sz w:val="20"/>
                <w:szCs w:val="20"/>
                <w:color w:val="auto"/>
              </w:rPr>
            </w:pPr>
            <w:r>
              <w:rPr>
                <w:rFonts w:ascii="Arial" w:cs="Arial" w:eastAsia="Arial" w:hAnsi="Arial"/>
                <w:sz w:val="18"/>
                <w:szCs w:val="18"/>
                <w:color w:val="auto"/>
              </w:rPr>
              <w:t>XBRL Instance Document</w:t>
            </w:r>
          </w:p>
        </w:tc>
      </w:tr>
      <w:tr>
        <w:trPr>
          <w:trHeight w:val="972"/>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9"/>
          </w:tcPr>
          <w:p>
            <w:pPr>
              <w:jc w:val="right"/>
              <w:ind w:right="38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3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749"/>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4"/>
              </w:rPr>
              <w:t>Exhibit Number</w:t>
            </w:r>
          </w:p>
        </w:tc>
        <w:tc>
          <w:tcPr>
            <w:tcW w:w="7840" w:type="dxa"/>
            <w:vAlign w:val="bottom"/>
            <w:gridSpan w:val="3"/>
          </w:tcPr>
          <w:p>
            <w:pPr>
              <w:ind w:left="3720"/>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0"/>
                <w:szCs w:val="20"/>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XBRL Extension Calculation Linkbase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XBRL Extension Label Linkbase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XBRL Extension Presentation Linkbase</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7840" w:type="dxa"/>
            <w:vAlign w:val="bottom"/>
            <w:gridSpan w:val="3"/>
          </w:tcPr>
          <w:p>
            <w:pPr>
              <w:ind w:left="320"/>
              <w:spacing w:after="0"/>
              <w:rPr>
                <w:sz w:val="20"/>
                <w:szCs w:val="20"/>
                <w:color w:val="auto"/>
              </w:rPr>
            </w:pPr>
            <w:r>
              <w:rPr>
                <w:rFonts w:ascii="Arial" w:cs="Arial" w:eastAsia="Arial" w:hAnsi="Arial"/>
                <w:sz w:val="18"/>
                <w:szCs w:val="18"/>
                <w:color w:val="auto"/>
                <w:w w:val="92"/>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90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00"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84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1640" w:type="dxa"/>
            <w:vAlign w:val="bottom"/>
          </w:tcPr>
          <w:p>
            <w:pPr>
              <w:spacing w:after="0"/>
              <w:rPr>
                <w:sz w:val="17"/>
                <w:szCs w:val="17"/>
                <w:color w:val="auto"/>
              </w:rPr>
            </w:pPr>
          </w:p>
        </w:tc>
      </w:tr>
      <w:tr>
        <w:trPr>
          <w:trHeight w:val="758"/>
        </w:trPr>
        <w:tc>
          <w:tcPr>
            <w:tcW w:w="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464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rPr>
              <w:t>ACURA PHARMACEUTICALS, INC</w:t>
            </w:r>
          </w:p>
        </w:tc>
        <w:tc>
          <w:tcPr>
            <w:tcW w:w="16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6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rPr>
              <w:t>INDEX TO CONSOLIDATED FINANCIAL STATEMENTS</w:t>
            </w:r>
          </w:p>
        </w:tc>
        <w:tc>
          <w:tcPr>
            <w:tcW w:w="1640" w:type="dxa"/>
            <w:vAlign w:val="bottom"/>
          </w:tcPr>
          <w:p>
            <w:pPr>
              <w:spacing w:after="0"/>
              <w:rPr>
                <w:sz w:val="20"/>
                <w:szCs w:val="20"/>
                <w:color w:val="auto"/>
              </w:rPr>
            </w:pPr>
          </w:p>
        </w:tc>
      </w:tr>
      <w:tr>
        <w:trPr>
          <w:trHeight w:val="419"/>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5"/>
              </w:rPr>
              <w:t>Page</w:t>
            </w:r>
          </w:p>
        </w:tc>
      </w:tr>
      <w:tr>
        <w:trPr>
          <w:trHeight w:val="405"/>
        </w:trPr>
        <w:tc>
          <w:tcPr>
            <w:tcW w:w="60" w:type="dxa"/>
            <w:vAlign w:val="bottom"/>
          </w:tcPr>
          <w:p>
            <w:pPr>
              <w:spacing w:after="0"/>
              <w:rPr>
                <w:sz w:val="24"/>
                <w:szCs w:val="24"/>
                <w:color w:val="auto"/>
              </w:rPr>
            </w:pPr>
          </w:p>
        </w:tc>
        <w:tc>
          <w:tcPr>
            <w:tcW w:w="7780" w:type="dxa"/>
            <w:vAlign w:val="bottom"/>
            <w:gridSpan w:val="7"/>
          </w:tcPr>
          <w:p>
            <w:pPr>
              <w:spacing w:after="0"/>
              <w:rPr>
                <w:sz w:val="20"/>
                <w:szCs w:val="20"/>
                <w:color w:val="auto"/>
              </w:rPr>
            </w:pPr>
            <w:r>
              <w:rPr>
                <w:rFonts w:ascii="Arial" w:cs="Arial" w:eastAsia="Arial" w:hAnsi="Arial"/>
                <w:sz w:val="18"/>
                <w:szCs w:val="18"/>
                <w:color w:val="0000EE"/>
                <w:w w:val="93"/>
              </w:rPr>
              <w:t xml:space="preserve">Report of Independent Registered Public Accounting Firm </w:t>
            </w:r>
            <w:r>
              <w:rPr>
                <w:rFonts w:ascii="Arial" w:cs="Arial" w:eastAsia="Arial" w:hAnsi="Arial"/>
                <w:sz w:val="18"/>
                <w:szCs w:val="18"/>
                <w:color w:val="000000"/>
                <w:w w:val="93"/>
              </w:rPr>
              <w:t>(BDO USA LLP, Chicago, IL, PCAOB ID#243)</w:t>
            </w: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F-2</w:t>
            </w:r>
          </w:p>
        </w:tc>
      </w:tr>
      <w:tr>
        <w:trPr>
          <w:trHeight w:val="20"/>
        </w:trPr>
        <w:tc>
          <w:tcPr>
            <w:tcW w:w="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7780" w:type="dxa"/>
            <w:vAlign w:val="bottom"/>
            <w:gridSpan w:val="7"/>
          </w:tcPr>
          <w:p>
            <w:pPr>
              <w:spacing w:after="0"/>
              <w:rPr>
                <w:sz w:val="20"/>
                <w:szCs w:val="20"/>
                <w:color w:val="auto"/>
              </w:rPr>
            </w:pPr>
            <w:r>
              <w:rPr>
                <w:rFonts w:ascii="Arial" w:cs="Arial" w:eastAsia="Arial" w:hAnsi="Arial"/>
                <w:sz w:val="18"/>
                <w:szCs w:val="18"/>
                <w:color w:val="0000EE"/>
              </w:rPr>
              <w:t xml:space="preserve">Consolidated Balance Sheets </w:t>
            </w:r>
            <w:r>
              <w:rPr>
                <w:rFonts w:ascii="Arial" w:cs="Arial" w:eastAsia="Arial" w:hAnsi="Arial"/>
                <w:sz w:val="18"/>
                <w:szCs w:val="18"/>
                <w:i w:val="1"/>
                <w:iCs w:val="1"/>
                <w:color w:val="0000EE"/>
              </w:rPr>
              <w:t>as of December 31, 2021 and 2020</w:t>
            </w: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F-4</w:t>
            </w:r>
          </w:p>
        </w:tc>
      </w:tr>
      <w:tr>
        <w:trPr>
          <w:trHeight w:val="20"/>
        </w:trPr>
        <w:tc>
          <w:tcPr>
            <w:tcW w:w="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 xml:space="preserve">Consolidated Statements of Operations </w:t>
            </w:r>
            <w:r>
              <w:rPr>
                <w:rFonts w:ascii="Arial" w:cs="Arial" w:eastAsia="Arial" w:hAnsi="Arial"/>
                <w:sz w:val="18"/>
                <w:szCs w:val="18"/>
                <w:i w:val="1"/>
                <w:iCs w:val="1"/>
                <w:color w:val="0000EE"/>
                <w:w w:val="88"/>
              </w:rPr>
              <w:t>for the Years ended December 31, 2021 and 2020</w:t>
            </w:r>
          </w:p>
        </w:tc>
        <w:tc>
          <w:tcPr>
            <w:tcW w:w="1360" w:type="dxa"/>
            <w:vAlign w:val="bottom"/>
            <w:gridSpan w:val="2"/>
          </w:tcPr>
          <w:p>
            <w:pPr>
              <w:spacing w:after="0"/>
              <w:rPr>
                <w:sz w:val="24"/>
                <w:szCs w:val="24"/>
                <w:color w:val="auto"/>
              </w:rPr>
            </w:pP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F-5</w:t>
            </w:r>
          </w:p>
        </w:tc>
      </w:tr>
      <w:tr>
        <w:trPr>
          <w:trHeight w:val="371"/>
        </w:trPr>
        <w:tc>
          <w:tcPr>
            <w:tcW w:w="60" w:type="dxa"/>
            <w:vAlign w:val="bottom"/>
          </w:tcPr>
          <w:p>
            <w:pPr>
              <w:spacing w:after="0"/>
              <w:rPr>
                <w:sz w:val="24"/>
                <w:szCs w:val="24"/>
                <w:color w:val="auto"/>
              </w:rPr>
            </w:pPr>
          </w:p>
        </w:tc>
        <w:tc>
          <w:tcPr>
            <w:tcW w:w="7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 xml:space="preserve">Consolidated Statements of Stockholders' Equity (Deficit) </w:t>
            </w:r>
            <w:r>
              <w:rPr>
                <w:rFonts w:ascii="Arial" w:cs="Arial" w:eastAsia="Arial" w:hAnsi="Arial"/>
                <w:sz w:val="18"/>
                <w:szCs w:val="18"/>
                <w:i w:val="1"/>
                <w:iCs w:val="1"/>
                <w:color w:val="0000EE"/>
                <w:w w:val="90"/>
              </w:rPr>
              <w:t>for the Years ended December 31, 2021 and 2020</w:t>
            </w: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F-6</w:t>
            </w:r>
          </w:p>
        </w:tc>
      </w:tr>
      <w:tr>
        <w:trPr>
          <w:trHeight w:val="385"/>
        </w:trPr>
        <w:tc>
          <w:tcPr>
            <w:tcW w:w="60" w:type="dxa"/>
            <w:vAlign w:val="bottom"/>
          </w:tcPr>
          <w:p>
            <w:pPr>
              <w:spacing w:after="0"/>
              <w:rPr>
                <w:sz w:val="24"/>
                <w:szCs w:val="24"/>
                <w:color w:val="auto"/>
              </w:rPr>
            </w:pPr>
          </w:p>
        </w:tc>
        <w:tc>
          <w:tcPr>
            <w:tcW w:w="64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 xml:space="preserve">Consolidated Statements of Cash Flows </w:t>
            </w:r>
            <w:r>
              <w:rPr>
                <w:rFonts w:ascii="Arial" w:cs="Arial" w:eastAsia="Arial" w:hAnsi="Arial"/>
                <w:sz w:val="18"/>
                <w:szCs w:val="18"/>
                <w:i w:val="1"/>
                <w:iCs w:val="1"/>
                <w:color w:val="0000EE"/>
                <w:w w:val="88"/>
              </w:rPr>
              <w:t>for the Years ended December 31, 2021 and 2020</w:t>
            </w:r>
          </w:p>
        </w:tc>
        <w:tc>
          <w:tcPr>
            <w:tcW w:w="1300" w:type="dxa"/>
            <w:vAlign w:val="bottom"/>
          </w:tcPr>
          <w:p>
            <w:pPr>
              <w:spacing w:after="0"/>
              <w:rPr>
                <w:sz w:val="24"/>
                <w:szCs w:val="24"/>
                <w:color w:val="auto"/>
              </w:rPr>
            </w:pP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F-7</w:t>
            </w:r>
          </w:p>
        </w:tc>
      </w:tr>
      <w:tr>
        <w:trPr>
          <w:trHeight w:val="372"/>
        </w:trPr>
        <w:tc>
          <w:tcPr>
            <w:tcW w:w="60" w:type="dxa"/>
            <w:vAlign w:val="bottom"/>
          </w:tcPr>
          <w:p>
            <w:pPr>
              <w:spacing w:after="0"/>
              <w:rPr>
                <w:sz w:val="24"/>
                <w:szCs w:val="24"/>
                <w:color w:val="auto"/>
              </w:rPr>
            </w:pPr>
          </w:p>
        </w:tc>
        <w:tc>
          <w:tcPr>
            <w:tcW w:w="3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4640" w:type="dxa"/>
            <w:vAlign w:val="bottom"/>
            <w:gridSpan w:val="5"/>
          </w:tcPr>
          <w:p>
            <w:pPr>
              <w:spacing w:after="0"/>
              <w:rPr>
                <w:sz w:val="24"/>
                <w:szCs w:val="24"/>
                <w:color w:val="auto"/>
              </w:rPr>
            </w:pPr>
          </w:p>
        </w:tc>
        <w:tc>
          <w:tcPr>
            <w:tcW w:w="1640" w:type="dxa"/>
            <w:vAlign w:val="bottom"/>
          </w:tcPr>
          <w:p>
            <w:pPr>
              <w:jc w:val="center"/>
              <w:ind w:left="1190"/>
              <w:spacing w:after="0"/>
              <w:rPr>
                <w:sz w:val="20"/>
                <w:szCs w:val="20"/>
                <w:color w:val="auto"/>
              </w:rPr>
            </w:pPr>
            <w:r>
              <w:rPr>
                <w:rFonts w:ascii="Arial" w:cs="Arial" w:eastAsia="Arial" w:hAnsi="Arial"/>
                <w:sz w:val="18"/>
                <w:szCs w:val="18"/>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80"/>
          </w:cols>
          <w:pgMar w:left="980" w:top="499" w:right="1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Acura Pharmaceuticals, Inc. (the “Company”) as of December 31, 2021 and 2020, the related consolidated statements of operations, stockholders’ equity, and cash flows for each of the years then ended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accumulated stockholders’ deficit, and has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Going Concern Uncertainty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1 to the Company’s financial statements, the Company has had recurring losses and negative cash flows from operations since inception and expects to continue to incur net losses for the foreseeable future. This matter is also described in the “Going Concern Uncertainty” section of our report.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management’s evaluation of going concern uncertainty and the related financial statement disclosures as a critical audit matter. Management is required to make subjective judgments and assumptions in preparing a forecast of future cash flows and providing complete and accurate disclosures related to the Company’s going concern evaluation. Auditing these judgments and assumptions involved especially challenging auditor judgment due to the nature and extent of audit evidence and effort required to address these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68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Assessing the reasonableness of management’s key assumptions in forecasting future cash flows by comparing the key assumptions to historical results, the ongoing development pipeline, and contractual arrangements.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adequacy of management’s disclosure in the financial statements regarding the Company’s evaluation of going concern by comparing the disclosure to other audit evidence obtained to determine whether such evidence is consistent with or contradictory to the Company’s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Royalty receivable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Collaboration receivable from related party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License fees receivable from related party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Finance lease right-of-use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Finance lease liability - current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Loan under CARES Act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to related party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debt to related party, net of discounts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Finance lease liability - noncurrent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Loan under CARES Act - noncurrent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Promissory note to related party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5"/>
              </w:rPr>
              <w:t>Common stock - $0.01 par value per share; 100,000 shares authorized, 65,093 and 21,650 shares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issued and outstanding at December 31, 2021 and 2020, respectively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(390,083)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500" w:type="dxa"/>
            <w:vAlign w:val="bottom"/>
            <w:tcBorders>
              <w:top w:val="single" w:sz="8" w:color="CCEEFF"/>
            </w:tcBorders>
          </w:tcPr>
          <w:p>
            <w:pPr>
              <w:ind w:left="264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60" w:type="dxa"/>
            <w:vAlign w:val="bottom"/>
            <w:gridSpan w:val="2"/>
          </w:tcPr>
          <w:p>
            <w:pPr>
              <w:jc w:val="right"/>
              <w:ind w:right="2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Royalties</w:t>
            </w:r>
          </w:p>
        </w:tc>
        <w:tc>
          <w:tcPr>
            <w:tcW w:w="2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Collaboration from related party</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License fees from related party</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1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5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5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Gains on forgiveness of loans under CARES Act</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related party</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2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(879)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per share: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58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56,801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56,801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220" w:type="dxa"/>
            <w:vAlign w:val="bottom"/>
          </w:tcPr>
          <w:p>
            <w:pPr>
              <w:spacing w:after="0"/>
              <w:rPr>
                <w:sz w:val="10"/>
                <w:szCs w:val="10"/>
                <w:color w:val="auto"/>
              </w:rPr>
            </w:pPr>
          </w:p>
        </w:tc>
        <w:tc>
          <w:tcPr>
            <w:tcW w:w="660" w:type="dxa"/>
            <w:vAlign w:val="bottom"/>
          </w:tcPr>
          <w:p>
            <w:pPr>
              <w:jc w:val="center"/>
              <w:ind w:left="239"/>
              <w:spacing w:after="0" w:line="123" w:lineRule="exact"/>
              <w:rPr>
                <w:sz w:val="20"/>
                <w:szCs w:val="20"/>
                <w:color w:val="auto"/>
              </w:rPr>
            </w:pPr>
            <w:r>
              <w:rPr>
                <w:rFonts w:ascii="Arial" w:cs="Arial" w:eastAsia="Arial" w:hAnsi="Arial"/>
                <w:sz w:val="14"/>
                <w:szCs w:val="14"/>
                <w:color w:val="auto"/>
                <w:w w:val="82"/>
              </w:rPr>
              <w:t>Par</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60"/>
              <w:spacing w:after="0" w:line="123" w:lineRule="exact"/>
              <w:rPr>
                <w:sz w:val="20"/>
                <w:szCs w:val="20"/>
                <w:color w:val="auto"/>
              </w:rPr>
            </w:pPr>
            <w:r>
              <w:rPr>
                <w:rFonts w:ascii="Arial" w:cs="Arial" w:eastAsia="Arial" w:hAnsi="Arial"/>
                <w:sz w:val="14"/>
                <w:szCs w:val="14"/>
                <w:color w:val="auto"/>
                <w:w w:val="91"/>
              </w:rPr>
              <w:t>Paid-in</w:t>
            </w:r>
          </w:p>
        </w:tc>
        <w:tc>
          <w:tcPr>
            <w:tcW w:w="120" w:type="dxa"/>
            <w:vAlign w:val="bottom"/>
          </w:tcPr>
          <w:p>
            <w:pPr>
              <w:spacing w:after="0"/>
              <w:rPr>
                <w:sz w:val="10"/>
                <w:szCs w:val="10"/>
                <w:color w:val="auto"/>
              </w:rPr>
            </w:pPr>
          </w:p>
        </w:tc>
        <w:tc>
          <w:tcPr>
            <w:tcW w:w="118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color w:val="auto"/>
                <w:w w:val="94"/>
              </w:rPr>
              <w:t>Value</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1"/>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21,650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383,097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(389,204)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RSU</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Conversion of convertible debt principal</w:t>
            </w:r>
          </w:p>
        </w:tc>
        <w:tc>
          <w:tcPr>
            <w:tcW w:w="840" w:type="dxa"/>
            <w:vAlign w:val="bottom"/>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375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65,093</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651</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389,610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(390,083)</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color w:val="auto"/>
              </w:rPr>
              <w:t>Common Stock</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220" w:type="dxa"/>
            <w:vAlign w:val="bottom"/>
          </w:tcPr>
          <w:p>
            <w:pPr>
              <w:spacing w:after="0"/>
              <w:rPr>
                <w:sz w:val="10"/>
                <w:szCs w:val="10"/>
                <w:color w:val="auto"/>
              </w:rPr>
            </w:pPr>
          </w:p>
        </w:tc>
        <w:tc>
          <w:tcPr>
            <w:tcW w:w="660" w:type="dxa"/>
            <w:vAlign w:val="bottom"/>
          </w:tcPr>
          <w:p>
            <w:pPr>
              <w:jc w:val="center"/>
              <w:ind w:left="239"/>
              <w:spacing w:after="0" w:line="123" w:lineRule="exact"/>
              <w:rPr>
                <w:sz w:val="20"/>
                <w:szCs w:val="20"/>
                <w:color w:val="auto"/>
              </w:rPr>
            </w:pPr>
            <w:r>
              <w:rPr>
                <w:rFonts w:ascii="Arial" w:cs="Arial" w:eastAsia="Arial" w:hAnsi="Arial"/>
                <w:sz w:val="14"/>
                <w:szCs w:val="14"/>
                <w:color w:val="auto"/>
                <w:w w:val="82"/>
              </w:rPr>
              <w:t>Par</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6"/>
              </w:rPr>
              <w:t>Paid-in</w:t>
            </w:r>
          </w:p>
        </w:tc>
        <w:tc>
          <w:tcPr>
            <w:tcW w:w="120" w:type="dxa"/>
            <w:vAlign w:val="bottom"/>
          </w:tcPr>
          <w:p>
            <w:pPr>
              <w:spacing w:after="0"/>
              <w:rPr>
                <w:sz w:val="10"/>
                <w:szCs w:val="10"/>
                <w:color w:val="auto"/>
              </w:rPr>
            </w:pPr>
          </w:p>
        </w:tc>
        <w:tc>
          <w:tcPr>
            <w:tcW w:w="118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color w:val="auto"/>
                <w:w w:val="94"/>
              </w:rPr>
              <w:t>Value</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1"/>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383,042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(387,996)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RSU</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383,097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(389,204)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share-based compensation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Amortization of intangible asset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right-of-use asset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Impairment charge on intangible asset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returns liability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Gains on forgiveness of loans under CARES Act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Royalty receivable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Collaboration revenue receivable from related party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License fee receivable from related party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Income taxes refundable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on convertible debt to related party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distribution of RSU awards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ind w:left="200"/>
              <w:spacing w:after="0" w:line="201" w:lineRule="exact"/>
              <w:rPr>
                <w:sz w:val="20"/>
                <w:szCs w:val="20"/>
                <w:color w:val="auto"/>
              </w:rPr>
            </w:pPr>
            <w:r>
              <w:rPr>
                <w:rFonts w:ascii="Arial" w:cs="Arial" w:eastAsia="Arial" w:hAnsi="Arial"/>
                <w:sz w:val="18"/>
                <w:szCs w:val="18"/>
                <w:color w:val="auto"/>
                <w:w w:val="94"/>
              </w:rPr>
              <w:t>Statutory minimum payroll withholding taxes paid on the distribution of shares pursuant to RSU</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awards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loans received under CARES Act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Proceeds from issuance of promissory note to related party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finance lease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Cash interest payments on loans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8" w:lineRule="exact"/>
        <w:rPr>
          <w:sz w:val="20"/>
          <w:szCs w:val="20"/>
          <w:color w:val="auto"/>
        </w:rPr>
      </w:pPr>
    </w:p>
    <w:p>
      <w:pPr>
        <w:jc w:val="both"/>
        <w:ind w:left="680" w:hanging="321"/>
        <w:spacing w:after="0" w:line="263"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Limitx Technology is in development with immediate-release tablets containing hydrocodone bitartrate and acetaminophen (also known as LTX-03). US commercialization rights to LTX-03, LTX-02 and LTX-09 are licensed to Abuse Deterrent Pharma, LLC (See Note 3).</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Aversion Technology has been licensed to Assertio Holdings Inc. or Assertio (formerly known as Zyla Life Sciences and previously as Egalet Corporation) for use in Oxaydo® Tablets (oxycodone HCl, CII). Oxaydo is currently approved by the FDA for marketing in the United States in 5mg and 7.5mg strengths (See Note 3).</w:t>
      </w:r>
    </w:p>
    <w:p>
      <w:pPr>
        <w:spacing w:after="0" w:line="183" w:lineRule="exact"/>
        <w:rPr>
          <w:rFonts w:ascii="Arial" w:cs="Arial" w:eastAsia="Arial" w:hAnsi="Arial"/>
          <w:sz w:val="18"/>
          <w:szCs w:val="18"/>
          <w:color w:val="auto"/>
        </w:rPr>
      </w:pPr>
    </w:p>
    <w:p>
      <w:pPr>
        <w:jc w:val="both"/>
        <w:ind w:left="680" w:hanging="321"/>
        <w:spacing w:after="0" w:line="311"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December 31, 2021, we had cash on hand balance of $65 thousand, working capital deficit of $143 thousand and an accumulated deficit of $390.1 million. We had a loss from operations of $1.2 million and a net loss of $879 thousand for the year ended December 31, 2021. We have suffered recurring losses from operations and have not generated positive cash flows from operations. We anticipate operating losses to continue for the foreseeable future.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28, 2019 we entered into a License, Development and Commercialization Agreement to the Limitx patent LTX-03, as amended in October 2020, July 2021, February 2022, November 2022, December 15, 2022 and June 15, 2023 (the "AD Pharma Amended Agreement"), with Abuse Deterrent Pharma, LLC (“AD Pharma”). Under the AD Pharma Amended Agreement, AD Pharma also has a license to the Limitx patents for LTX-02 (oxycodone/acetaminophen) and LTX-09 (alprazolam) for exclusive commercialization rights in the United States, which are not subject to any development agreement or responsibilities by Acura.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 Whether or not AD Pharma exercises their right to terminate the AD Pharma Amended Agreement, we need to raise additional financing or enter into license or collaboration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COVID-19 pandemic. No assurance can be given that we will be successful in obtaining any such financing or in securing license or collaboration agreements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AD Pharma was delinquent in remitting $50 thousand of the July 2021 license fee and approximately $78 thousand of reimbursable LTX-03 development expenses. Failure to make any of these payments is an event of default under the AD Pharma Amended Agreement if Acura provides a default notification to AD Pharma. Acura did not provide such default notification and in March 2022, Acura received the delinquent license fee and delinquent development expenses from AD Pharma.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 Pharma Amended Agreement, requires the New Drug Application (“NDA”) for LTX-03 be accepted by the FDA by November 30, 2023 or AD Pharma has the option to terminate the AD Pharma Amended Agreement and take ownership of the LIMITx intellectual property (See Note 15). Should AD Pharma choose not to exercise this option to terminate and the NDA for LTX-03 is subsequently accepted by the FDA, such option to terminate AD Pharma Amended Agreement expires.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 Pharma Amended Agreement allows AD Pharma to terminate the AD Pharma Amended Agreement anytime for “convenience on 30 days prior written notice”.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include the accounts of our wholly-owned subsidiary, Acura Pharmaceutical Technologies Inc., after elimination of intercompany accounts and transactions. Amounts presented have been rounded to the nearest thousand, where indicated, except share and per share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instruments that potentially subject the Company to a significant concentration of credit risk consist primarily of cash, royalty receivable, collaboration revenue receivable and license fee receivable. The Company maintains deposits in federally insured financial institutions which deposits can be at times in excess of federally insured limits. However, management believes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680"/>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3"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financial instruments consist primarily of cash, royalty, collaboration revenue and license fee receivables, trade accounts payable and related party debt. The carrying amounts of these financial instruments, other than related party debt, are representative of their respective fair values due to their relatively short maturities. The carrying value of related party debt approximates fair value due to its recent issuance in December 2021. The estimated fair value of the related party debt is considered a Level 2 fair value measurement.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and manages its business as one operating segment which is the research, development and commercialization of technologies and products intended to address safe use of medications.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12.</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 We account for forfeitures as they occur.</w:t>
      </w:r>
    </w:p>
    <w:p>
      <w:pPr>
        <w:spacing w:after="0" w:line="19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total share-based compensation expense recognized in the Company’s annual results of operations for years ended December 31, 2021 and 2020 was $110 thousand and $53 thousand, respectively, for RSU awards issued to our non-employee directors. This expense was from both non-cash and cash-portioned RSUs and was recorded in general and administrative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Land improvements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Scientific equipment</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During the first quarter 2020 a triggering event occurred with the decline in royalty cash flows under our license and collaboration agreement with Assertio Holdings Inc. (See Note 3), and we performed an impairment test which indicated that the carrying value of the intangible asset was greater than the fair value. The fair value calculation of the intangible asset included significant estimates and assumptions related to the amount and timing of projected future cash flows and in the situation when the asset is determined to not be recoverable, the discount rate.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During the fourth quarter 2021 another triggering event occurred resulting in an additional $47 thousand impairment against the intangible asset.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Leases are recorded on the consolidated balance sheets as financed lease – “right-of-use” assets and financed lease liabilities. The related right-of-use assets are amortized on a straight-line basis over the lesser of the lease term or the estimated useful life of the asset. Leases are classified as either operating or finance leases and lease expense is recognized within “general and administrative expenses” or will be recognized within “research and development” expenses if it is associated with operations at our subsidiary. Finance leases are treated as the purchase of an asset on a financing basis. See Note 12 for additional information regarding leases.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achievement of milestones under the Company’s license and collaboration agreements will be recorded as revenue during the period the milestone’s achievement becomes probable.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Collaboration revenue is derived from reimbursement of development expenses, as under our collaboration agreement with AD Pharma, and are recognized when costs are incurred pursuant to the agreements. The ongoing research and development services being provided under the collaboration are priced at fair value based upon the reimbursement of expenses incurred pursuant to the collaboration agreement. We recognized $31 thousand and $238 thousand of collaboration revenue under the AD Pharma Amended Agreement during the years ended December 31,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revenue from royalties based on our licensees' sales of our products or products using our technologies. Royalties are sales-based royalties which are recognized as the related sales occur. These royalties were promised in exchange for a license of intellectual property.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license and collaboration agreement with Assertio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Assertio in accordance with the agreement. Assertio’s first commercial sale of Oxaydo occurred in October 2015. We have recorded royalties of $130 thousand and $102 thousand during the years ended December 31, 2021 and 2020, respectively. (See Note 3).</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MainPointe Agreement, which occurred in March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$2 thousand and $7 thousand during the years ended December 31, 2021 and 2020, respectively.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December 31, 2021 or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income taxes under the asset and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2021 and 2020,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AD Pharma Amended Agreement, AD Pharma also has a license to the Limitx patents for LTX-02 (oxycodone/acetaminophen) and LTX-09 (alprazolam) for exclusive commercialization rights in the United States, which are not subject to any development agreement or responsibilities by Acura.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AD Pharma Amended Agreement, requires the NDA for LTX-03 be accepted by the FDA by November 30, 2023 or AD Pharma has the option to terminate the AD Pharma Amended Agreement and take ownership of the LIMITx intellectual property. Should AD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Pharma choose not to exercise this option to terminate and the NDA for LTX-03 is subsequently accepted by the FDA, such option to terminate AD Pharma Amended Agreement expires.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 Pharma Amended Agreement allows AD Pharma to terminate the AD Pharma Amended Agreement anytime for “convenience on 30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our agreement with MainPointe, we earn royalties from MainPointe sale of the licensed product line Nexafed.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our license agreement with Assertio, we earn royalties from Assertio’s sale of the licensed product Oxaydo.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which have not yet been adopted on or before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(“ASU-2016-13”)</w:t>
      </w:r>
      <w:r>
        <w:rPr>
          <w:rFonts w:ascii="Arial" w:cs="Arial" w:eastAsia="Arial" w:hAnsi="Arial"/>
          <w:sz w:val="18"/>
          <w:szCs w:val="18"/>
          <w:color w:val="auto"/>
        </w:rPr>
        <w:t>. ASU 2016-13 affects loans, debt securities, trade receivables, and any other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the contractual right to receive cash. The ASU requires an entity to recognize expected credit losses rather than incurred losses for financial assets. ASU 2016-13 is effective for the fiscal year beginning after December 15, 2022, including interim periods within that fiscal year. The Company is currently evaluating the impact that the standard will have on the financial statements and related footnote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 – Contracts in Entity’s Own Equity (Subtopic 815-40): Accounting for Convertible Instruments and Contracts in an Entity’s Own Equity”. ASU 2020-06 simplifies the accounting for convertible debt instruments and convertible preferred stock. The ASU is effective for the fiscal year beginning after December 15, 2023, including interim periods within those fiscal years. Early adoption is permitted. The Company is currently evaluating the impact that the standard will have on the financial statements and related footnote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Amended Agreement covering LTX-03</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AD Pharma Amended Agreement, AD Pharma also has a license to the Limitx patents for LTX-02 (oxycodone/acetaminophen) and LTX-09 (alprazolam) for exclusive commercialization rights in the United States, which are not subject to any development agreement or responsibilities by Acura. The AD Pharma Amended Agreement required AD Pharma to pay us a monthly license payment for LTX-03 of $350 thousand for a period from inception up to April 2020 at which time the payment became $200 thousand per month. The monthly license payments ended on July 31, 2021 under the AD Pharma Amended Agreement. The AD Pharma Amended Agreement required AD Pharma to reimburse us all our outside development costs we incurred for LTX-03.</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 Pharma Amended Agreement, requires the NDA for LTX-03 be accepted by the FDA by November 30, 2023 or AD Pharma has the option to terminate the AD Pharma Amended Agreement and take ownership of the LIMITx intellectual property (See Note 15). Should AD Pharma choose not to exercise this option to terminate and the NDA for LTX-03 is subsequently accepted by the FDA, such option to terminate AD Pharma Amended Agreement expires.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 Pharma Amended Agreement allows AD Pharma to terminate the AD Pharma Amended Agreement anytime for “convenience on 30 days prior written notice”.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AD Pharma was delinquent in remitting $50 thousand of the license fee for the month of July 2021 and approximately $78 thousand of reimbursable LTX-03 development expenses. Failure to make any of these payments is an event of default under the AD Pharma Amended Agreement and if Acura provides a default notification to AD Pharma. Acura did not provide such default notification and in March 2022, Acura received the delinquent license fee and delinquent development expenses from AD Pharma.</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 Pharma retains commercialization rights to LTX-03 from which Acura will receive stepped royalties on sales and potential sales related milestones. Upon commercialization of LTX-02 and LTX-09 (alprazolam), which are not subject to any development agreement or responsibilities by Acura, Acura will receive stepped royalties on sales and is eligible for certain sales related milestones.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also previously granted authority to MainPointe to assign to AD Pharma the option and the right to add to the Nexafed® Agreement, an Option Product, and the Option Product exercise price of $500 thousand was waived if the exercise of the option occurred by June 28, 2024 (five years from the effective date). Effective with an amendment made in October 2020 to the AD Pharma Amended Agreement, this option and right was rescinded.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Assertio Agreement covering Oxaydo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was recorded in our financial statements as an intangible asset and was being amortized over the remaining useful life of the patent covering Aversion Oxycodone, which was 9.7 years as of the date the Pfizer agreement was terminated. The recoverability of the Aversion intangible asset is contingent upon future Assertio royalty revenues to us.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During the fourth quarter 2021, another triggering event occurred resulting in a $47 thousand impairment charge against the intangible asset. At December 31, 2021 the intangible asset was fully impaired and amortized. We have recorded amortization expense of $26 thousand and $69 thousand in each of the years ending December 31, 2021 and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Aversion intangible asset is summarized as follows (in thousands):</w:t>
      </w:r>
    </w:p>
    <w:p>
      <w:pPr>
        <w:spacing w:after="0" w:line="2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5"/>
              </w:rPr>
              <w:t>December 31,</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5"/>
              </w:rPr>
              <w:t>December 31,</w:t>
            </w:r>
          </w:p>
        </w:tc>
      </w:tr>
      <w:tr>
        <w:trPr>
          <w:trHeight w:val="167"/>
        </w:trPr>
        <w:tc>
          <w:tcPr>
            <w:tcW w:w="6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2020</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Aversion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16"/>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Less: impairment charges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2015, we and Assertio, entered into the Assertio Agreement to commercialize Aversion Oxycodone under our tradename Oxaydo.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(the “Territory”) in all strengths. Egalet launched Oxaydo in the United States late in the third quarter of 2015. Assertio will bear all of the expenses of development and regulatory approval of Oxaydo for sale outside the United States. Assertio may develop Oxaydo for other countries and in additional strengths, in its discretion.</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be entitled to a one-time $12.5 million sales-based milestone payment when worldwide Oxaydo net sales reach $150 million in a calendar year. We are entitled to receive from Assertio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that year (excluding net sales resulting from our co-promotion efforts).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which may occur as soon as January 2025, as well as for payments required to be made by Assertio to acquire intellectual property rights to commercialize Oxaydo, with an aggregate minimum floor.</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 and assignment thereof to AD Pharma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containing PSE and utilizing the Impede Technology (“Option Products”)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one of the Option Products, MainPointe must exercise its option for that product or its option rights for such product will terminate.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to the Nexafed® Agreement, an Option Product, and the Option Product exercise price of $500 thousand was waived if the exercise of the option occurred by June 28, 2024 (five years from the effective date). Effective with an amendment made in October 2020 to the AD Pharma Amended Agreement, this option and right was rescinded.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MainPointe assigned to AD Pharma, an entity controlled by Mr. Schutte, of which Mr. Schutte is the managing partner and investor, with Acura’s consent, all of its right, title and interest in the MainPointe Agreement between MainPointe and Acura; which was subsequently rescinded by AD Pharma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As of December 31, 2021, the option to extend the KemPharm Agreement to cover two additional prodrug candidates remains unexercised.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2021, we are unaware if our Aversion(R) Technology to KemPharm is being used in the development and commercialization of the three products.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December 31, 2021 or 2020.</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of sales-based milestones are generally due within 30 days after the end of a calendar year. Payments of royalties are generally due within 45 days after the end of a calendar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achievement of milestones under the Company’s license and collaboration agreements will be recorded as revenue during the period the milestone’s achievement becomes probable.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 of allowance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Nexafed was launched in 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with AD Pharma for three products containing our LIMITx™ technology, LTX-03, LTX-02 and LTX-09, for which only LTX-03 is under development. The monthly license fee payments to us under the AD Pharma Amended Agreement ended on July 31, 2021. We have recorded $1.4 million and $3.0 million of license fees for LTX-03 for the year ended December 31, 2021 and 2020,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royalty revenues are earned from these two license agreements by the licensee’s sale of products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revenues by licensee are summarized below:</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Year Ended</w:t>
      </w:r>
    </w:p>
    <w:p>
      <w:pPr>
        <w:ind w:left="7680"/>
        <w:spacing w:after="0" w:line="231" w:lineRule="auto"/>
        <w:rPr>
          <w:sz w:val="20"/>
          <w:szCs w:val="20"/>
          <w:color w:val="auto"/>
        </w:rPr>
      </w:pPr>
      <w:r>
        <w:rPr>
          <w:rFonts w:ascii="Arial" w:cs="Arial" w:eastAsia="Arial" w:hAnsi="Arial"/>
          <w:sz w:val="14"/>
          <w:szCs w:val="14"/>
          <w:color w:val="auto"/>
        </w:rPr>
        <w:t>December 31,</w:t>
      </w:r>
    </w:p>
    <w:tbl>
      <w:tblPr>
        <w:tblLayout w:type="fixed"/>
        <w:tblInd w:w="100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2020</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Assertio (Oxaydo)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MainPointe - related party (Nexafed)</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Royalty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contract assets and contract liability balances under the license and collaboration agreements at either December 31, 2021 or 2020.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summarized as follows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color w:val="auto"/>
              </w:rPr>
              <w:t>December 31,</w:t>
            </w:r>
          </w:p>
        </w:tc>
      </w:tr>
      <w:tr>
        <w:trPr>
          <w:trHeight w:val="142"/>
        </w:trPr>
        <w:tc>
          <w:tcPr>
            <w:tcW w:w="6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Scientific equipment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09"/>
        </w:trPr>
        <w:tc>
          <w:tcPr>
            <w:tcW w:w="6040" w:type="dxa"/>
            <w:vAlign w:val="bottom"/>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leasehold improvements. We have one finance lease. (See Note 12).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$47 thousand and $56 thousand for each of the years ended December 31, 2021 and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summarized as follows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color w:val="auto"/>
              </w:rPr>
              <w:t>December 31,</w:t>
            </w:r>
          </w:p>
        </w:tc>
      </w:tr>
      <w:tr>
        <w:trPr>
          <w:trHeight w:val="142"/>
        </w:trPr>
        <w:tc>
          <w:tcPr>
            <w:tcW w:w="6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Property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604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2018, we had borrowed an aggregate of $4.35 million from Mr. Schutte, a related-party. From January 1, 2019 and through June 27, 2019, we borrowed additional amounts from Mr. Schutte for an aggregate $650 thousand and issued various promissory notes to him with the same terms and conditions from the previous loans. These promissory notes aggregated to $5.0 million and on June 28, 2019 we restructured them to borrow an additional $725 thousand from Mr. Schutte, bringing the aggregate principal of the loans and accrued interest to $6.0 million, and consolidated them into a single promissory note with a fixed interest rate of 7.5%, maturity date of July 1, 2023, and granted principal and interest conversion rights into shares of our common stock at a price of $0.16 per share (“the 7.5% Note”). The principal amount of the loan is convertible into 37.5 million shares of our common stock. We also issued a warrant for 10.0 million common shares having an exercise price of $0.01 per share and granted a security interest in all of the Company’s assets, which includes our intellectual property. The 7.5% Note, the common stock purchase warrant and the security agreement were all assigned and transferred by Mr. Schutte to AD Pharma on June 28, 2019.</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9, 2021, we received notice of conversion from AD Pharma for the 7.5% Note and approximately $877 thousand of accrued but unpaid interest on the 7.5% Note. The principal and interest were converted into 42,984,375 shares of the Company’s common stock. Our interest expense for the year ended December 31, 2021 and 2020 was $200 thousand and $450 thousand,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AD Pharma owns 66% of our common stock at December 31, 2021. AD Pharma is an entity controlled by Mr. Schutte, of which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Schutte is the managing partner and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26"/>
          <w:szCs w:val="26"/>
          <w:b w:val="1"/>
          <w:bCs w:val="1"/>
          <w:i w:val="1"/>
          <w:iCs w:val="1"/>
          <w:color w:val="auto"/>
          <w:vertAlign w:val="superscript"/>
        </w:rPr>
        <w:t>st</w:t>
      </w:r>
      <w:r>
        <w:rPr>
          <w:rFonts w:ascii="Arial" w:cs="Arial" w:eastAsia="Arial" w:hAnsi="Arial"/>
          <w:sz w:val="18"/>
          <w:szCs w:val="18"/>
          <w:b w:val="1"/>
          <w:bCs w:val="1"/>
          <w:i w:val="1"/>
          <w:iCs w:val="1"/>
          <w:color w:val="auto"/>
        </w:rPr>
        <w:t xml:space="preserve"> PPP Loan</w:t>
      </w:r>
    </w:p>
    <w:p>
      <w:pPr>
        <w:spacing w:after="0" w:line="13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On April 13, 2020, the Company received a loan (the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Loan”) from JP Morgan Chase Bank in the aggregate amount of $269 thousand, pursuant to the Paycheck Protection Program (“PPP”) under Division A, Title I of the CARES Act, which was enacted March 27, 2020. Under the terms of the PPP, certain amounts of the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Loan may be forgiven if they are used for qualifying expenses as described in the CARES Act. The Company received approval for forgiveness under the PPP in July 2021 by the Small Business Administration and this amount was included as income in the third quarter of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26"/>
          <w:szCs w:val="26"/>
          <w:b w:val="1"/>
          <w:bCs w:val="1"/>
          <w:i w:val="1"/>
          <w:iCs w:val="1"/>
          <w:color w:val="auto"/>
          <w:vertAlign w:val="superscript"/>
        </w:rPr>
        <w:t>nd</w:t>
      </w:r>
      <w:r>
        <w:rPr>
          <w:rFonts w:ascii="Arial" w:cs="Arial" w:eastAsia="Arial" w:hAnsi="Arial"/>
          <w:sz w:val="18"/>
          <w:szCs w:val="18"/>
          <w:b w:val="1"/>
          <w:bCs w:val="1"/>
          <w:i w:val="1"/>
          <w:iCs w:val="1"/>
          <w:color w:val="auto"/>
        </w:rPr>
        <w:t xml:space="preserve"> PPP Loan</w:t>
      </w:r>
    </w:p>
    <w:p>
      <w:pPr>
        <w:spacing w:after="0" w:line="133"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On March 16, 2021, the Company received a loan (the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Loan”) from JP Morgan Chase Bank in the aggregate amount of $266 thousand, pursuant to the PPP under Division A, Title I of the CARES Act. The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Loan, in the form of a promissory note, matures after five years. Under the terms of the PPP, certain amounts of the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Loan may be forgiven if they are used for qualifying expenses as described in the CARES Act. The Company received approval for forgiveness under the PPP in October 2021 by the Small Business Administration and this amount has been included as income in the fourth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2017, we completed a $4.0 million private placement with Mr. Schutte,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were immediately exercisable for 1,782,532 common shares at a price of $0.528 per share (which equals the average last sale price of the Company’s common stock for the five trading days prior to completion of the Transaction) and expired five years after issuance (subject to earlier expiration in event of certain acquisitions). In July 2017 we assigned a relative fair value of $495 thousand to the warrants out of the total $4.0 million proceeds from the private placement transaction and had accounted these warrants as equity. These warrants expired unexercised in July 2022.</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the closing of the Transaction, the Company and Essex Woodlands Health Ventures V, L.P. (“Essex”) and Galen Partners III, L.P. (“Galen”) amended and restated the existing Voting Agreement including such parties to provide for Mr. Schutte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Mr. Schutte, and the parties to such agreement would vote for such persons. The right of each of Essex, Galen and Mr. Schutte to designate one director to our Board will continue as long as he or it and their affiliates collectively hold at least 600,000 shares of our common stock (including warrants exercisable for such shares). Immanuel Thangaraj is the designee of Essex. Mr. Schutte has yet to designate a director.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Schutte is the principal owner of MainPointe. In March 2017, we granted MainPointe an exclusive license to our Impede Technology to commercialize our Nexafed® and Nexafed® Sinus Pressure + Pain Products in the United States and Canada for an upfront licensing fee of $2.5 million. The Company is receiving a 7.5% royalty on sales of licensed products. MainPointe also has options to expand the territory and products covered for additional sums. Included in the reported royalty revenue for the year ended 2021 and 2020 is $2 thousand and $7 thousand, respectively of royalty revenue from MainPointe. (See Note 2). On January 1, 2020, MainPointe assigned to AD Pharma, an entity controlled by Mr. Schutte, of which Mr. Schutte is the managing partner and investor, with Acura’s consent, all of its right, title and interest in the MainPointe Agreement between MainPointe and Acura; which was subsequently rescinded by AD Pharma in October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with Mr. John Schutte and AD Pharma – Series 7.5%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borrowed an aggregate of $6.0 million from Mr. Schutte, a related-party. On June 28, 2019, the promissory note was assigned by Mr. Schutte to AD Pharma. On June 9, 2021, we received notice of conversion from AD Pharma for the $6.0 million promissory note and approximately $877 thousand of accrued but unpaid interest. The principal and interest were converted into 42,984,375 shares of the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with Mr. John Schutte – Series 5.25%</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2021, the Company received a $150 thousand loan from Mr. Schutte, a related-party. We have issued an unsecured promissory note to him. The promissory note bears interest at 5.25% (‘Schutte 5.25% Note”), and matures on December 31, 2023, at which time all principal and interest is due. Events of default under the Schutte 5.25% Note include, among other items, bankruptcy events, failure to pay interest and principal when due and such failure continues for 5 days, and if Acura is generally not, or is unable to, or admits in writing its inability to, pay its debts as they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our additional borrowings from Mr. Schutte were $1.775 million. On November 10, 2022, Mr. Schutte assigned the promissory notes to AD Pharma. In November and December 2022, our borrowings from AD Pharma were $600 thousand. During 2023 our additional borrowings from AD Pharma were $900 thousand. (See Subsequent Event Note 15.)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Amended Agreement covering LTX-03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2019 we entered into the AD Pharma Amended Agreement with AD Pharma for the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Under the AD Pharma Amended Agreement, AD Pharma also has a license to the Limitx patents for LTX-02 (oxycodone/acetaminophen) and LTX-09 (alprazolam) for exclusive commercialization rights in the United States, which are not subject to any development agreement or responsibilities by Acura.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 Pharma Amended Agreement, requires the NDA for LTX-03 be accepted by the FDA by November 30, 2023 or AD Pharma has the option to terminate the AD Pharma Amended Agreement and take ownership of the LIMITx intellectual property. Should AD Pharma choose not to exercise this option to terminate and the NDA for LTX-03 is subsequently accepted by the FDA, such option to terminate AD Pharma Amended Agreement expires.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 Pharma Amended Agreement allows AD Pharma to terminate the AD Pharma Amended Agreement anytime for “convenience on 30 days prior written notice”. (See Note 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Acura did not contribute a matching contribution nor a profit sharing contribution to the Plan during the year ended December 31 2021 or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2021 and 2020 is shown below (in thousands except price data):</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2021</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2020</w:t>
            </w:r>
          </w:p>
        </w:tc>
        <w:tc>
          <w:tcPr>
            <w:tcW w:w="640" w:type="dxa"/>
            <w:vAlign w:val="bottom"/>
            <w:tcBorders>
              <w:bottom w:val="single" w:sz="8" w:color="auto"/>
            </w:tcBorders>
          </w:tcPr>
          <w:p>
            <w:pPr>
              <w:spacing w:after="0"/>
              <w:rPr>
                <w:sz w:val="12"/>
                <w:szCs w:val="12"/>
                <w:color w:val="auto"/>
              </w:rPr>
            </w:pPr>
          </w:p>
        </w:tc>
      </w:tr>
      <w:tr>
        <w:trPr>
          <w:trHeight w:val="123"/>
        </w:trPr>
        <w:tc>
          <w:tcPr>
            <w:tcW w:w="4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7"/>
              <w:spacing w:after="0" w:line="123" w:lineRule="exact"/>
              <w:rPr>
                <w:sz w:val="20"/>
                <w:szCs w:val="20"/>
                <w:color w:val="auto"/>
              </w:rPr>
            </w:pPr>
            <w:r>
              <w:rPr>
                <w:rFonts w:ascii="Arial" w:cs="Arial" w:eastAsia="Arial" w:hAnsi="Arial"/>
                <w:sz w:val="14"/>
                <w:szCs w:val="14"/>
                <w:color w:val="auto"/>
                <w:w w:val="90"/>
              </w:rPr>
              <w:t>WAvg</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36"/>
              <w:spacing w:after="0" w:line="123" w:lineRule="exact"/>
              <w:rPr>
                <w:sz w:val="20"/>
                <w:szCs w:val="20"/>
                <w:color w:val="auto"/>
              </w:rPr>
            </w:pPr>
            <w:r>
              <w:rPr>
                <w:rFonts w:ascii="Arial" w:cs="Arial" w:eastAsia="Arial" w:hAnsi="Arial"/>
                <w:sz w:val="14"/>
                <w:szCs w:val="14"/>
                <w:color w:val="auto"/>
                <w:w w:val="96"/>
              </w:rPr>
              <w:t>WAvg</w:t>
            </w:r>
          </w:p>
        </w:tc>
      </w:tr>
      <w:tr>
        <w:trPr>
          <w:trHeight w:val="148"/>
        </w:trPr>
        <w:tc>
          <w:tcPr>
            <w:tcW w:w="4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3"/>
              </w:rPr>
              <w:t>Exercise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89"/>
              </w:rPr>
              <w:t>Exercise</w:t>
            </w:r>
          </w:p>
        </w:tc>
      </w:tr>
      <w:tr>
        <w:trPr>
          <w:trHeight w:val="167"/>
        </w:trPr>
        <w:tc>
          <w:tcPr>
            <w:tcW w:w="46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3"/>
              </w:rPr>
              <w:t>Price</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7"/>
              </w:rPr>
              <w:t>Price</w:t>
            </w: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0"/>
        </w:trPr>
        <w:tc>
          <w:tcPr>
            <w:tcW w:w="4660" w:type="dxa"/>
            <w:vAlign w:val="bottom"/>
          </w:tcPr>
          <w:p>
            <w:pPr>
              <w:ind w:left="100"/>
              <w:spacing w:after="0"/>
              <w:rPr>
                <w:sz w:val="20"/>
                <w:szCs w:val="20"/>
                <w:color w:val="auto"/>
              </w:rPr>
            </w:pPr>
            <w:r>
              <w:rPr>
                <w:rFonts w:ascii="Arial" w:cs="Arial" w:eastAsia="Arial" w:hAnsi="Arial"/>
                <w:sz w:val="18"/>
                <w:szCs w:val="18"/>
                <w:color w:val="auto"/>
              </w:rPr>
              <w:t>Issued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Expired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Modification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Outstanding, Dec. 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11,782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09</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09</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our July 2017 private placement transaction with Mr. Schutte, we issued warrants to purchase 1,782,531 shares of our common stock. The warrants are immediately exercisable at a price of $0.528 per share and expire five years after issuance in July 2022. (See Note 8). We have assigned a relative fair value of $495 thousand to the warrants out of the total $4.0 million proceeds from the private placement transaction and have accounted for these warrants as equity. These warrants expired unexercised in July 2022.</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in June 2024. We obtained a valuation of fair value on the warrant and $1.145 million was allocated to the warrant and accounted for as equity. (See Note 7 and Note 8). The warrant for 10.0 million shares was assigned and transferred by Mr. Schutte to AD Pharma on June 28, 2019.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2021 and 2020 and for the year then ended consisted of the following (in thousands except exercise price):</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7"/>
              </w:rPr>
              <w:t>Year Ended December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2021</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2020</w:t>
            </w:r>
          </w:p>
        </w:tc>
        <w:tc>
          <w:tcPr>
            <w:tcW w:w="740" w:type="dxa"/>
            <w:vAlign w:val="bottom"/>
            <w:tcBorders>
              <w:bottom w:val="single" w:sz="8" w:color="auto"/>
            </w:tcBorders>
          </w:tcPr>
          <w:p>
            <w:pPr>
              <w:spacing w:after="0"/>
              <w:rPr>
                <w:sz w:val="12"/>
                <w:szCs w:val="12"/>
                <w:color w:val="auto"/>
              </w:rPr>
            </w:pPr>
          </w:p>
        </w:tc>
      </w:tr>
      <w:tr>
        <w:trPr>
          <w:trHeight w:val="123"/>
        </w:trPr>
        <w:tc>
          <w:tcPr>
            <w:tcW w:w="4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8"/>
              <w:spacing w:after="0" w:line="123"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7"/>
              <w:spacing w:after="0" w:line="123" w:lineRule="exact"/>
              <w:rPr>
                <w:sz w:val="20"/>
                <w:szCs w:val="20"/>
                <w:color w:val="auto"/>
              </w:rPr>
            </w:pPr>
            <w:r>
              <w:rPr>
                <w:rFonts w:ascii="Arial" w:cs="Arial" w:eastAsia="Arial" w:hAnsi="Arial"/>
                <w:sz w:val="14"/>
                <w:szCs w:val="14"/>
                <w:color w:val="auto"/>
                <w:w w:val="94"/>
              </w:rPr>
              <w:t>Weighted</w:t>
            </w:r>
          </w:p>
        </w:tc>
      </w:tr>
      <w:tr>
        <w:trPr>
          <w:trHeight w:val="148"/>
        </w:trPr>
        <w:tc>
          <w:tcPr>
            <w:tcW w:w="41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Number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412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3"/>
              </w:rPr>
              <w:t>Exercise</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89"/>
              </w:rPr>
              <w:t>Exercise</w:t>
            </w:r>
          </w:p>
        </w:tc>
      </w:tr>
      <w:tr>
        <w:trPr>
          <w:trHeight w:val="181"/>
        </w:trPr>
        <w:tc>
          <w:tcPr>
            <w:tcW w:w="412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Options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color w:val="auto"/>
                <w:w w:val="93"/>
              </w:rPr>
              <w:t>Price</w:t>
            </w:r>
          </w:p>
        </w:tc>
        <w:tc>
          <w:tcPr>
            <w:tcW w:w="220" w:type="dxa"/>
            <w:vAlign w:val="bottom"/>
          </w:tcPr>
          <w:p>
            <w:pPr>
              <w:spacing w:after="0"/>
              <w:rPr>
                <w:sz w:val="15"/>
                <w:szCs w:val="15"/>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Options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Arial" w:cs="Arial" w:eastAsia="Arial" w:hAnsi="Arial"/>
                <w:sz w:val="14"/>
                <w:szCs w:val="14"/>
                <w:color w:val="auto"/>
                <w:w w:val="87"/>
              </w:rPr>
              <w:t>Price</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10"/>
        </w:trPr>
        <w:tc>
          <w:tcPr>
            <w:tcW w:w="4120" w:type="dxa"/>
            <w:vAlign w:val="bottom"/>
          </w:tcPr>
          <w:p>
            <w:pPr>
              <w:ind w:left="10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 31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 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all the approximately 1.03 million outstanding stock option awards are exercisable and the weighted average remaining contractual term of them is 2.76 years. There was approximately $58 thousand of intrinsic value contained in the stock option awards outstanding at December 31, 2021. The total intrinsic value of the 94 thousand stock option awards exercised during 2021 was $22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two Restricted Stock Unit Award Plans for our employees and non-employee directors, a 2021 Restricted Stock Unit Award Plan (the “2021 RSU Plan) and a 2017 Restricted Stock Unit Award Plan (the “2017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is recorded as a current liability in the Company’s consolidated balance sheet as they vest and are being marked to market each reporting period until they are distributed. The liability was $52 thousand and $18 thousand at December 31, 2021 and December 31, 2020, respectively.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grants under the RSU Plans as of December 31, 2021 and 2020, and for the year then ended consisted of the following (in thousands):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w w:val="98"/>
              </w:rPr>
              <w:t>Year Ended December 31,</w:t>
            </w:r>
          </w:p>
        </w:tc>
        <w:tc>
          <w:tcPr>
            <w:tcW w:w="660" w:type="dxa"/>
            <w:vAlign w:val="bottom"/>
            <w:tcBorders>
              <w:bottom w:val="single" w:sz="8" w:color="auto"/>
            </w:tcBorders>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1420" w:type="dxa"/>
            <w:vAlign w:val="bottom"/>
            <w:gridSpan w:val="3"/>
          </w:tcPr>
          <w:p>
            <w:pPr>
              <w:jc w:val="right"/>
              <w:ind w:right="498"/>
              <w:spacing w:after="0"/>
              <w:rPr>
                <w:sz w:val="20"/>
                <w:szCs w:val="20"/>
                <w:color w:val="auto"/>
              </w:rPr>
            </w:pPr>
            <w:r>
              <w:rPr>
                <w:rFonts w:ascii="Arial" w:cs="Arial" w:eastAsia="Arial" w:hAnsi="Arial"/>
                <w:sz w:val="14"/>
                <w:szCs w:val="14"/>
                <w:color w:val="auto"/>
              </w:rPr>
              <w:t>2021</w:t>
            </w:r>
          </w:p>
        </w:tc>
        <w:tc>
          <w:tcPr>
            <w:tcW w:w="1660" w:type="dxa"/>
            <w:vAlign w:val="bottom"/>
            <w:gridSpan w:val="4"/>
          </w:tcPr>
          <w:p>
            <w:pPr>
              <w:jc w:val="right"/>
              <w:ind w:right="516"/>
              <w:spacing w:after="0"/>
              <w:rPr>
                <w:sz w:val="20"/>
                <w:szCs w:val="20"/>
                <w:color w:val="auto"/>
              </w:rPr>
            </w:pPr>
            <w:r>
              <w:rPr>
                <w:rFonts w:ascii="Arial" w:cs="Arial" w:eastAsia="Arial" w:hAnsi="Arial"/>
                <w:sz w:val="14"/>
                <w:szCs w:val="14"/>
                <w:color w:val="auto"/>
              </w:rPr>
              <w:t>2020</w:t>
            </w:r>
          </w:p>
        </w:tc>
      </w:tr>
      <w:tr>
        <w:trPr>
          <w:trHeight w:val="123"/>
        </w:trPr>
        <w:tc>
          <w:tcPr>
            <w:tcW w:w="48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Number of</w:t>
            </w:r>
          </w:p>
        </w:tc>
      </w:tr>
      <w:tr>
        <w:trPr>
          <w:trHeight w:val="148"/>
        </w:trPr>
        <w:tc>
          <w:tcPr>
            <w:tcW w:w="48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Vested</w:t>
            </w:r>
          </w:p>
        </w:tc>
        <w:tc>
          <w:tcPr>
            <w:tcW w:w="1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Vested</w:t>
            </w:r>
          </w:p>
        </w:tc>
      </w:tr>
      <w:tr>
        <w:trPr>
          <w:trHeight w:val="167"/>
        </w:trPr>
        <w:tc>
          <w:tcPr>
            <w:tcW w:w="4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of RSUs</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RSUs</w:t>
            </w:r>
          </w:p>
        </w:tc>
        <w:tc>
          <w:tcPr>
            <w:tcW w:w="1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RSUs</w:t>
            </w:r>
          </w:p>
        </w:tc>
        <w:tc>
          <w:tcPr>
            <w:tcW w:w="660" w:type="dxa"/>
            <w:vAlign w:val="bottom"/>
          </w:tcPr>
          <w:p>
            <w:pPr>
              <w:jc w:val="center"/>
              <w:spacing w:after="0"/>
              <w:rPr>
                <w:sz w:val="20"/>
                <w:szCs w:val="20"/>
                <w:color w:val="auto"/>
              </w:rPr>
            </w:pPr>
            <w:r>
              <w:rPr>
                <w:rFonts w:ascii="Arial" w:cs="Arial" w:eastAsia="Arial" w:hAnsi="Arial"/>
                <w:sz w:val="14"/>
                <w:szCs w:val="14"/>
                <w:color w:val="auto"/>
                <w:w w:val="92"/>
              </w:rPr>
              <w:t>RSUs</w:t>
            </w: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09"/>
        </w:trPr>
        <w:tc>
          <w:tcPr>
            <w:tcW w:w="4860" w:type="dxa"/>
            <w:vAlign w:val="bottom"/>
          </w:tcPr>
          <w:p>
            <w:pPr>
              <w:ind w:left="10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Vested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Outstanding, Dec. 31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Restricted Stock Unit Award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2021 RSU Plan was approved by shareholders in May 2021 and permits the grant of up to 2.50 million shares of our common stock pursuant to awards under the 2021 RSU Plan. As of December 31, 2021 there were 2.23 million shares remaining available for award under the 2021 RSU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 activity under the 2021 RSU Plan is as follows:</w:t>
      </w:r>
    </w:p>
    <w:p>
      <w:pPr>
        <w:spacing w:after="0" w:line="225" w:lineRule="exact"/>
        <w:rPr>
          <w:sz w:val="20"/>
          <w:szCs w:val="20"/>
          <w:color w:val="auto"/>
        </w:rPr>
      </w:pPr>
    </w:p>
    <w:p>
      <w:pPr>
        <w:jc w:val="both"/>
        <w:ind w:left="680" w:hanging="321"/>
        <w:spacing w:after="0" w:line="271"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May 2021, we awarded approximately 66 thousand RSUs to each of our four non-employee directors which also allow for them to receive payment in cash, instead of stock, for up to 40% of each RSU award. The awards vested 50% at the end of calendar quarter June 30, 2021 and 25% at the end of each calendar quarter in 2021 thereafter. The grant date fair value of the RSU awards was $96 thousand and the aggregate intrinsic value of the common share of the RSU awards vested during the year was $131 thousand. Settlement of this RSU did occur on January 4, 2022. The portion of the RSU awards which was subject to cash settlement was also subject to marked to market accounting having a liability recorded on the Company’s consolidated balance sheet with quarterly adjustments having been recorded to stock compensation expense in the general and administration operating category of our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2017 RSU Plan was approved by shareholders in November 2017 and permits the grant of up to 1.5 million shares of our common stock pursuant to awards under the 2017 RSU Plan. There are no shares which remain available for award under the 2017 RSU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 activity under the 2017 RSU Plan is as follows:</w:t>
      </w:r>
    </w:p>
    <w:p>
      <w:pPr>
        <w:spacing w:after="0" w:line="225" w:lineRule="exact"/>
        <w:rPr>
          <w:sz w:val="20"/>
          <w:szCs w:val="20"/>
          <w:color w:val="auto"/>
        </w:rPr>
      </w:pPr>
    </w:p>
    <w:p>
      <w:pPr>
        <w:jc w:val="both"/>
        <w:ind w:left="680" w:hanging="321"/>
        <w:spacing w:after="0" w:line="255"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vested 100% after one full year of service. Distributions of the vested RSU awards to the employees were made in three equal installments on the first business day of each of January 2020, 2021, and 2022.</w:t>
      </w:r>
    </w:p>
    <w:p>
      <w:pPr>
        <w:spacing w:after="0" w:line="2"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December 2018, we awarded 488 thousand RSUs to our employees. Such RSU awards vested 100% after one full year of service. Distributions of the vested RSU awards to the employees were made in three equal installments on the first business day of each of January 2021, 2022, and 2023.</w:t>
      </w:r>
    </w:p>
    <w:p>
      <w:pPr>
        <w:spacing w:after="0" w:line="1" w:lineRule="exact"/>
        <w:rPr>
          <w:rFonts w:ascii="Arial" w:cs="Arial" w:eastAsia="Arial" w:hAnsi="Arial"/>
          <w:sz w:val="18"/>
          <w:szCs w:val="18"/>
          <w:color w:val="auto"/>
        </w:rPr>
      </w:pPr>
    </w:p>
    <w:p>
      <w:pPr>
        <w:jc w:val="both"/>
        <w:ind w:left="680" w:hanging="321"/>
        <w:spacing w:after="0" w:line="290" w:lineRule="auto"/>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January 2019, we awarded approximately 83 thousand RSUs to each of our four non-employee directors which also allow for them to receive payment in cash, instead of stock, for up to 40% of each RSU award. The awards vested 25% at the end of each calendar quarter in 2019. Settlement of this RSU award did occur on January 2, 2020, the first business day of the year after vesting. The portion of the RSU awards which were subject to cash settlement was also subject to marked to market accounting having a liability recorded on the Company’s consolidated balance sheet with quarterly adjustments which were recorded to stock compensation expense in the general and administration operating category of our consolidated statements of operations.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93"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January 2020, we awarded approximately 55 thousand RSUs to each of our four non-employee directors which also allow for them to receive payment in cash, instead of stock, for up to 40% of each RSU award. The awards vested 25% at the end of each calendar quarter in 2020. Settlement of this RSU award did occur on January 4, 2021, the first business day of the year after vesting. The portion of the RSU awards which are subject to cash settlement will also be subject to marked to market accounting having a liability recorded on the Company’s consolidated balance sheet with quarterly adjustments recorded to stock compensation expense in the general and administration operating category of our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 activity under the 2017 RSU Plan is as follows:</w:t>
      </w:r>
    </w:p>
    <w:p>
      <w:pPr>
        <w:spacing w:after="0" w:line="225" w:lineRule="exact"/>
        <w:rPr>
          <w:sz w:val="20"/>
          <w:szCs w:val="20"/>
          <w:color w:val="auto"/>
        </w:rPr>
      </w:pPr>
    </w:p>
    <w:p>
      <w:pPr>
        <w:jc w:val="both"/>
        <w:ind w:left="680" w:hanging="321"/>
        <w:spacing w:after="0" w:line="255"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January 2020, 333 thousand RSUs were distributed to non-employee directors from their January 2019 award with 296 thousand RSUs settled in common stock, 4 thousand RSUs used to settle the purchase price and 33 thousand RSUs settled in cash.</w:t>
      </w:r>
    </w:p>
    <w:p>
      <w:pPr>
        <w:spacing w:after="0" w:line="2"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January 2020, 64 thousand RSUs were distributed to current and former employees representing one third of their 2017 award with 54 thousand RSUs settled in common stock and 10 thousand RSUs used to settle the purchase price and employee withholding taxes.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January 2021, 219 thousand RSUs were distributed to non-employee directors from their January 2020 award and settled in common stock.</w:t>
      </w:r>
    </w:p>
    <w:p>
      <w:pPr>
        <w:jc w:val="both"/>
        <w:ind w:left="680" w:hanging="321"/>
        <w:spacing w:after="0" w:line="255"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January 2021, 228 thousand RSUs were distributed to current and former employees representing one third of their December 2017 award and one third of their December 2018 award, with 185 thousand RSUs settled in common stock and 43 thousand RSUs used to settle the purchase price and employee withholding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2021, the Company entered into a finance lease for a scientific piece of equipment for a term of 24 months with equal monthly payments of $3 thousand. The lease commenced on June 21, 2021 and ends on June 20, 2023. The Company uses the rate implicit in the lease as the discount rate for the finance lease. The weighted average remaining lease term for the Company’s finance lease is 1.5 years as of December 31, 2021. The present value of the lease is $50 thousand.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commitments under the Company’s non-cancelable finance lease as of December 31, 2021 is as follows (in thousands):</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Total undiscounted lease payments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ind w:left="100"/>
              <w:spacing w:after="0"/>
              <w:rPr>
                <w:sz w:val="20"/>
                <w:szCs w:val="20"/>
                <w:color w:val="auto"/>
              </w:rPr>
            </w:pPr>
            <w:r>
              <w:rPr>
                <w:rFonts w:ascii="Arial" w:cs="Arial" w:eastAsia="Arial" w:hAnsi="Arial"/>
                <w:sz w:val="18"/>
                <w:szCs w:val="18"/>
                <w:color w:val="auto"/>
              </w:rPr>
              <w:t>Present value of lease liability</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supplemental balance sheet information related to the lease as of December 31, 2021 and 2020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3"/>
              </w:rPr>
              <w:t>December 31,</w:t>
            </w:r>
          </w:p>
        </w:tc>
        <w:tc>
          <w:tcPr>
            <w:tcW w:w="2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Financial Statement Classification</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Finance lease right-of-use</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Other long-term assets</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Liabilities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liability - current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Other current liabilities</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liability - noncurrent</w:t>
            </w: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Other long-term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account for income taxes under the asset and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between our provision for income taxes and the amounts computed by multiplying our loss before taxes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statutory tax rate is as follows (in thousands):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color w:val="auto"/>
              </w:rPr>
              <w:t>December 31,</w:t>
            </w:r>
          </w:p>
        </w:tc>
      </w:tr>
      <w:tr>
        <w:trPr>
          <w:trHeight w:val="142"/>
        </w:trPr>
        <w:tc>
          <w:tcPr>
            <w:tcW w:w="6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2020</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Benefit at U.S. statutory tax rate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tax credits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Federal research and development tax credits</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PPP loan forgiveness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U.S. federal NOLs. We have approximately $126 million gross U.S. federal NOLs at December 31, 2021, which is prior to any limitation on its utilization. 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We have determined that we have undergone an ownership change in 2004 and 2017 and most likely had an additional ownership change in 2021. We believe the gross federal NOL benefit available to offset taxable income was less than $150 thousand annually prior to 2021. On June 9, 2021 we believe the conversion of the $6.0 million Promissory Note into 42,984,375 shares of the Company’s common stock created still another ownership change which most likely significantly limited our utilization of these NOLs.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while our Federal NOLs generated after 2017 can be carried forward indefinitely. Additionally, the NOL deduction for taxable years beginning after December 21, 2020, is limited to 80% of taxable income. Future common stock transactions, such as the exercise of common stock purchase warrants, may cause additional ownership changes under IRC Section 382 which will most likely continue to further limit and restrict the amount of our NOLs we can utilize to offset taxable income.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deferred tax assets are as follows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540" w:type="dxa"/>
            <w:vAlign w:val="bottom"/>
            <w:tcBorders>
              <w:bottom w:val="single" w:sz="8" w:color="auto"/>
            </w:tcBorders>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w w:val="89"/>
              </w:rPr>
              <w:t>2020</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Estimated future value of NOLs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Federal</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 State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tax credits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 Federal</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State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Finance lease liability</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6040" w:type="dxa"/>
            <w:vAlign w:val="bottom"/>
          </w:tcPr>
          <w:p>
            <w:pPr>
              <w:jc w:val="center"/>
              <w:ind w:right="3630"/>
              <w:spacing w:after="0"/>
              <w:rPr>
                <w:sz w:val="20"/>
                <w:szCs w:val="20"/>
                <w:color w:val="auto"/>
              </w:rPr>
            </w:pPr>
            <w:r>
              <w:rPr>
                <w:rFonts w:ascii="Arial" w:cs="Arial" w:eastAsia="Arial" w:hAnsi="Arial"/>
                <w:sz w:val="18"/>
                <w:szCs w:val="18"/>
                <w:color w:val="auto"/>
                <w:w w:val="88"/>
              </w:rPr>
              <w:t>Total deferred tax asset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5,527</w:t>
            </w:r>
          </w:p>
        </w:tc>
      </w:tr>
      <w:tr>
        <w:trPr>
          <w:trHeight w:val="216"/>
        </w:trPr>
        <w:tc>
          <w:tcPr>
            <w:tcW w:w="6040" w:type="dxa"/>
            <w:vAlign w:val="bottom"/>
            <w:tcBorders>
              <w:bottom w:val="single" w:sz="8" w:color="CCEEFF"/>
            </w:tcBorders>
            <w:shd w:val="clear" w:color="auto" w:fill="CCEEFF"/>
          </w:tcPr>
          <w:p>
            <w:pPr>
              <w:jc w:val="center"/>
              <w:ind w:right="3610"/>
              <w:spacing w:after="0"/>
              <w:rPr>
                <w:sz w:val="20"/>
                <w:szCs w:val="20"/>
                <w:color w:val="auto"/>
              </w:rPr>
            </w:pPr>
            <w:r>
              <w:rPr>
                <w:rFonts w:ascii="Arial" w:cs="Arial" w:eastAsia="Arial" w:hAnsi="Arial"/>
                <w:sz w:val="18"/>
                <w:szCs w:val="18"/>
                <w:color w:val="auto"/>
                <w:w w:val="91"/>
              </w:rPr>
              <w:t>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(5,527)</w:t>
            </w:r>
          </w:p>
        </w:tc>
      </w:tr>
      <w:tr>
        <w:trPr>
          <w:trHeight w:val="209"/>
        </w:trPr>
        <w:tc>
          <w:tcPr>
            <w:tcW w:w="6040" w:type="dxa"/>
            <w:vAlign w:val="bottom"/>
          </w:tcPr>
          <w:p>
            <w:pPr>
              <w:jc w:val="center"/>
              <w:ind w:right="3670"/>
              <w:spacing w:after="0"/>
              <w:rPr>
                <w:sz w:val="20"/>
                <w:szCs w:val="20"/>
                <w:color w:val="auto"/>
              </w:rPr>
            </w:pPr>
            <w:r>
              <w:rPr>
                <w:rFonts w:ascii="Arial" w:cs="Arial" w:eastAsia="Arial" w:hAnsi="Arial"/>
                <w:sz w:val="18"/>
                <w:szCs w:val="18"/>
                <w:color w:val="auto"/>
                <w:w w:val="88"/>
              </w:rPr>
              <w:t>Net deferred tax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right-of-use</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tcPr>
          <w:p>
            <w:pPr>
              <w:ind w:left="100"/>
              <w:spacing w:after="0"/>
              <w:rPr>
                <w:sz w:val="20"/>
                <w:szCs w:val="20"/>
                <w:color w:val="auto"/>
              </w:rPr>
            </w:pPr>
            <w:r>
              <w:rPr>
                <w:rFonts w:ascii="Arial" w:cs="Arial" w:eastAsia="Arial" w:hAnsi="Arial"/>
                <w:sz w:val="18"/>
                <w:szCs w:val="18"/>
                <w:color w:val="auto"/>
              </w:rPr>
              <w:t>Total deferred tax liabiliites</w:t>
            </w: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3"/>
        </w:trPr>
        <w:tc>
          <w:tcPr>
            <w:tcW w:w="6040" w:type="dxa"/>
            <w:vAlign w:val="bottom"/>
          </w:tcPr>
          <w:p>
            <w:pPr>
              <w:ind w:left="100"/>
              <w:spacing w:after="0"/>
              <w:rPr>
                <w:sz w:val="20"/>
                <w:szCs w:val="20"/>
                <w:color w:val="auto"/>
              </w:rPr>
            </w:pPr>
            <w:r>
              <w:rPr>
                <w:rFonts w:ascii="Arial" w:cs="Arial" w:eastAsia="Arial" w:hAnsi="Arial"/>
                <w:sz w:val="18"/>
                <w:szCs w:val="18"/>
                <w:color w:val="auto"/>
              </w:rPr>
              <w:t>Net deferred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December 31, 2021 and 2020,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follow FASB’s statement regarding accounting for uncertainty in income taxes which defined the threshold for recognizing the benefits of tax-return positions in the consolidated financial statements as "more-likely-than-not" to be sustained by the taxing authorities. At each of December 31, 2021 and 2020,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federal and state income tax returns and in the normal course of business the Company is subject to examination by these taxing authorities. As of December 31, 2021, the Company’s tax years of 2018, 2019 and 2020 are subject to examination by the taxing authorities. With few exceptions, we believe the Company is no longer subject to U.S. Federal, State and local examinations by taxing authorities for years before 2018.</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Beginning in 2022, the Tax Cuts and Jobs Act of 2017 eliminates the option to deduct research and development expenditures currently and requires taxpayers to amortize them over five years for domestically incurred expenditures and over fifteen years for foreign incurred expenditures, pursuant to IRC Section 174. During 2022 will be reviewing those activities and expenses associated with our research and development ready-facility in Culver, Indiana under the AD Pharma Amended Agreement as it relates to IRC Section 174.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BASIC AND DILUTED NET INCOME (LOSS) PER SHARE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Basic net income (loss) per share is computed by dividing net income or loss by the weighted average common shares outstanding during a period, including shares weighted related to both vested Restricted Stock Units (“RSUs”) which settle in shares (See Note 11) and a stock warrant exercisable for 10.0 million shares having an exercise price of $0.01 per share (See Note 7). Diluted net income (loss) per share is based on the treasury stock method and computed based on the same number of shares used in the basic share calculation and includes the effect from common stock equivalents, which are potential issuances of common stock, such as shares issuable pursuant to the exercise of stock options and stock warrants, assuming the exercise of all in-the-money stock options and warrants. Common stock equivalents are excluded from the computation where their inclusion would be anti-dilutive. Also, any RSU which could be settled in cash are excluded from both the basic and diluted computations. As the Company reported a net loss in 2021 and 2020 the effects of common stock equivalents were excluded as their inclusion in the diluted net loss per share calculation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numerators and denominators of basic and diluted earnings (loss) per share consisted of the following (in thousands except per share data):</w:t>
      </w:r>
    </w:p>
    <w:p>
      <w:pPr>
        <w:spacing w:after="0" w:line="179" w:lineRule="exact"/>
        <w:rPr>
          <w:sz w:val="20"/>
          <w:szCs w:val="20"/>
          <w:color w:val="auto"/>
        </w:rPr>
      </w:pPr>
    </w:p>
    <w:p>
      <w:pPr>
        <w:jc w:val="center"/>
        <w:ind w:left="7540"/>
        <w:spacing w:after="0"/>
        <w:rPr>
          <w:sz w:val="20"/>
          <w:szCs w:val="20"/>
          <w:color w:val="auto"/>
        </w:rPr>
      </w:pPr>
      <w:r>
        <w:rPr>
          <w:rFonts w:ascii="Arial" w:cs="Arial" w:eastAsia="Arial" w:hAnsi="Arial"/>
          <w:sz w:val="14"/>
          <w:szCs w:val="14"/>
          <w:color w:val="auto"/>
        </w:rPr>
        <w:t>Year Ended</w:t>
      </w:r>
    </w:p>
    <w:p>
      <w:pPr>
        <w:jc w:val="center"/>
        <w:ind w:left="754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Numerator: net loss</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18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 - share settled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Common stock purchase warrant</w:t>
            </w:r>
          </w:p>
        </w:tc>
        <w:tc>
          <w:tcPr>
            <w:tcW w:w="1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per share – basic and diluted</w:t>
            </w:r>
          </w:p>
        </w:tc>
        <w:tc>
          <w:tcPr>
            <w:tcW w:w="1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Excluded securities (non-weighted):</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issuable: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purchase warrants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Convertible loan</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excluded common shares</w:t>
            </w:r>
          </w:p>
        </w:tc>
        <w:tc>
          <w:tcPr>
            <w:tcW w:w="1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period December, 2021 to October, 2022, John Schutte loaned the Company $1.925 million as evidenced by a series of unsecured promissory notes bearing interest at 5.25% maturing at December 31, 2023. On October 31, 2022, Mr. Schutte assigned these notes to AD Pharma an entity controlled by Mr. Schutte, of which Mr. Schutte is the managing partner and investor.</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10, 2022, AD Pharma and the Company entered into an Amended Consolidated and Restated Secured Promissory Note (the “November 2022 Note”) that encompasses the entire principle and accrued interest of the notes assigned by Mr. Schutte as well as an additional loan of $350 thousand from AD Pharma to the Company. The November 2022 Note totaling approximately $2.319 million, bears interest at 5.25%, and matures at December 31, 2023. The Company received an additional $250 thousand loan from AD Pharma on each of December 22, 2022, January 19, 2023, February 22, 2023 and March 20, 2023, and a loan of $150 thousand on May 19, 2023, making the aggregate balance of the November 2022 Note to be $3.469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15, 2022, the AD Pharma Agreement was further amended to to extend the FDA’s acceptance date of a NDA for LTX-03 to June 30, 2023. On June 15, 2023, the AD Pharma Agreement was then again further amended to extend the FDA’s acceptance date of a NDA for LTX-03 to November 30, 2023 (“NDA Acceptance Date”) (“Amended Agreement”). AD Pharma may terminate the Amended Agreement at any time. Additionally, if the NDA for LTX-03 is not accepted by the FDA by the NDA Acceptance Date, AD Pharma may terminate the Amended Agreement and take ownership of the intellectual property rights of LTX-03 from the Company. Should AD Pharma choose not to exercise this option to terminate the Amended Agreement and the NDA for LTX-03 is subsequently accepted by the FDA, such option to terminate the Amended Agreement expires.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OTC Markets Group Stock Listing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17, 2022 our common stock was downgraded from the OTCQB Market to the OTC Pink Market of the OTC Markets Group because we did not file our annual report on Form 10-K for 2021 within the applicable grace periods provided by the OTC Markets Group. We have also not filed our quarterly report on Form 10-Q for the first quarter ended March 31, 2022. Effective July 21, 2022, our common stock was downgraded from the OTC Pink Market to the OTC Expert Market of the OTC Markets Group because the Company was delinquent in making current information publicly available as required by SEC Rule 15c2-11. The Company did not file its annual report on Form 10-K for 2021 and its quarterly report on Form 10-Q for the first quarter ended March 31, 2022 within the applicable grace periods provided by the OTC Markets Group. The Company has failed to file its quarterly reports on Form 10-Q for each of the quarterly periods ending June 30, 2022, September 30, 2022, and March 31, 2023 as well as its annual report on Form 10-K for 2022.</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restrictions imposed on securities quoted on the Expert Market, most investors will not be able to publicly sell their shares. Additionally, investors will not have access to bid and ask prices or other information, including trading volume. As such, Expert Market shares are illiquid.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ERC Refund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2023, the Company received refunds aggregating approximately $235 thousand under the employee retention credit (“ERC”) under the Coronavirus Aid, Relief, and Economic Security Act (“CARES Act”), as modified in December 2020 by the Taxpayer Certainty and Disaster Tax Relief Act of 2020 (“Relief Act”). The refunds were used to fund company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10.54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LICENSE, DEVELOPMENT AND COMMERCIALIZATION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b w:val="1"/>
          <w:bCs w:val="1"/>
          <w:color w:val="auto"/>
        </w:rPr>
        <w:t>Amendment #2</w:t>
      </w:r>
      <w:r>
        <w:rPr>
          <w:rFonts w:ascii="Arial" w:cs="Arial" w:eastAsia="Arial" w:hAnsi="Arial"/>
          <w:sz w:val="18"/>
          <w:szCs w:val="18"/>
          <w:color w:val="auto"/>
        </w:rPr>
        <w:t>”) to the LICENSE, DEVELOPMENT and COMMERCIALIZATION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June 28, 2019 between Acura Pharmaceuticals, Inc. (“</w:t>
      </w:r>
      <w:r>
        <w:rPr>
          <w:rFonts w:ascii="Arial" w:cs="Arial" w:eastAsia="Arial" w:hAnsi="Arial"/>
          <w:sz w:val="18"/>
          <w:szCs w:val="18"/>
          <w:b w:val="1"/>
          <w:bCs w:val="1"/>
          <w:color w:val="auto"/>
        </w:rPr>
        <w:t>Acura</w:t>
      </w:r>
      <w:r>
        <w:rPr>
          <w:rFonts w:ascii="Arial" w:cs="Arial" w:eastAsia="Arial" w:hAnsi="Arial"/>
          <w:sz w:val="18"/>
          <w:szCs w:val="18"/>
          <w:color w:val="auto"/>
        </w:rPr>
        <w:t>”), a New York corporation, having a place of business at 616 N. North Court, Suite 120, Palatine, IL 60067, and Abuse Deterrent Pharma, LLC (“</w:t>
      </w:r>
      <w:r>
        <w:rPr>
          <w:rFonts w:ascii="Arial" w:cs="Arial" w:eastAsia="Arial" w:hAnsi="Arial"/>
          <w:sz w:val="18"/>
          <w:szCs w:val="18"/>
          <w:b w:val="1"/>
          <w:bCs w:val="1"/>
          <w:color w:val="auto"/>
        </w:rPr>
        <w:t>AD Pharma</w:t>
      </w:r>
      <w:r>
        <w:rPr>
          <w:rFonts w:ascii="Arial" w:cs="Arial" w:eastAsia="Arial" w:hAnsi="Arial"/>
          <w:sz w:val="18"/>
          <w:szCs w:val="18"/>
          <w:color w:val="auto"/>
        </w:rPr>
        <w:t>”), a Kentucky partnership having a place of business at with offices at 333 E. Main Street, Suite 220, Louisville, Kentucky 40202, is made as of June 17,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Acura and AD Pharma are parties to the Agreement as amended on October 16, 2020 (“</w:t>
      </w:r>
      <w:r>
        <w:rPr>
          <w:rFonts w:ascii="Arial" w:cs="Arial" w:eastAsia="Arial" w:hAnsi="Arial"/>
          <w:sz w:val="16"/>
          <w:szCs w:val="16"/>
          <w:b w:val="1"/>
          <w:bCs w:val="1"/>
          <w:color w:val="auto"/>
        </w:rPr>
        <w:t>Amendment #1</w:t>
      </w:r>
      <w:r>
        <w:rPr>
          <w:rFonts w:ascii="Arial" w:cs="Arial" w:eastAsia="Arial" w:hAnsi="Arial"/>
          <w:sz w:val="16"/>
          <w:szCs w:val="16"/>
          <w:color w:val="auto"/>
        </w:rPr>
        <w:t>”); and;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desire to amend the Agreement to provide for an extension to the LIMITx™ Regulatory Submission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Timeline.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promises contained in the Agreement, as amended,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other good and valuable consideration, the receipt and sufficiency of which are hereby acknowledged, Acura and AD Pharma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AGREEMENT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Item 3 of Schedule 1 “LIMITx™ Regulatory Application Submission Timeline” is hereby amended and replaced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 By February 28, 2022, Acura must gain filing acceptance by the FDA of a Regulatory Approval Application for the Product.</w:t>
      </w:r>
    </w:p>
    <w:p>
      <w:pPr>
        <w:spacing w:after="0" w:line="24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avoidance of doubt, Section 3.1.1 of the Agreement as amended by Amendment #1, will not change and AD Pharma’s Maximum Pre-Regulatory Application Submission Payment will remain at Six Million Five Hundred Thousand Dollars ($6,500,000) by monthly payments as set forth therein through July 2021.</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Section 3.1.4 is hereby amended by deleting the last sentence of such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MISCELLANCEOUS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2.1 Governing Law</w:t>
      </w:r>
      <w:r>
        <w:rPr>
          <w:rFonts w:ascii="Arial" w:cs="Arial" w:eastAsia="Arial" w:hAnsi="Arial"/>
          <w:sz w:val="18"/>
          <w:szCs w:val="18"/>
          <w:color w:val="auto"/>
        </w:rPr>
        <w:t>. This Amendment shall be governed by the laws of the State of New York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rules or principles.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2.2 Amendments</w:t>
      </w:r>
      <w:r>
        <w:rPr>
          <w:rFonts w:ascii="Arial" w:cs="Arial" w:eastAsia="Arial" w:hAnsi="Arial"/>
          <w:sz w:val="18"/>
          <w:szCs w:val="18"/>
          <w:color w:val="auto"/>
        </w:rPr>
        <w:t>. Except as expressly amended by this Amendment #2, the Agreement and Amendment #1 shall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and in full force and effect.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jc w:val="both"/>
        <w:ind w:firstLine="648"/>
        <w:spacing w:after="0" w:line="266" w:lineRule="auto"/>
        <w:rPr>
          <w:sz w:val="20"/>
          <w:szCs w:val="20"/>
          <w:color w:val="auto"/>
        </w:rPr>
      </w:pPr>
      <w:r>
        <w:rPr>
          <w:rFonts w:ascii="Arial" w:cs="Arial" w:eastAsia="Arial" w:hAnsi="Arial"/>
          <w:sz w:val="18"/>
          <w:szCs w:val="18"/>
          <w:b w:val="1"/>
          <w:bCs w:val="1"/>
          <w:color w:val="auto"/>
        </w:rPr>
        <w:t>2.3 Entire Agreement</w:t>
      </w:r>
      <w:r>
        <w:rPr>
          <w:rFonts w:ascii="Arial" w:cs="Arial" w:eastAsia="Arial" w:hAnsi="Arial"/>
          <w:sz w:val="18"/>
          <w:szCs w:val="18"/>
          <w:color w:val="auto"/>
        </w:rPr>
        <w:t>. This Amendment #2, the Agreement, the Schedules attached to the Agreement and Amendment #1</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of the Parties with respect to the subject matter hereof and supersede all prior understandings and writings between the Parties relating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2.4 Interpretation</w:t>
      </w:r>
      <w:r>
        <w:rPr>
          <w:rFonts w:ascii="Arial" w:cs="Arial" w:eastAsia="Arial" w:hAnsi="Arial"/>
          <w:sz w:val="18"/>
          <w:szCs w:val="18"/>
          <w:color w:val="auto"/>
        </w:rPr>
        <w:t>. Any capitalized terms used in this Amendment and not otherwise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provided in the 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2.5 Counterparts</w:t>
      </w:r>
      <w:r>
        <w:rPr>
          <w:rFonts w:ascii="Arial" w:cs="Arial" w:eastAsia="Arial" w:hAnsi="Arial"/>
          <w:sz w:val="17"/>
          <w:szCs w:val="17"/>
          <w:color w:val="auto"/>
        </w:rPr>
        <w:t>. This Amendment may be executed manually, electronically in Adobe® PDF file format, or by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Parties, in any number of counterparts, each of which shall be considered one and the same amendment and shall become effective when a counterpart hereof shall have been signed by each of the Parties and delivered to the other Party.</w:t>
      </w:r>
    </w:p>
    <w:p>
      <w:pPr>
        <w:spacing w:after="0" w:line="162"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 6/12/2021</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CEO and President</w:t>
            </w:r>
          </w:p>
        </w:tc>
      </w:tr>
      <w:tr>
        <w:trPr>
          <w:trHeight w:val="648"/>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Abuse Deterrent Pharma,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L. Schutte, 7/22/2021</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John Schutte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10.58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LICENSE, DEVELOPMENT AND COMMERCIALIZATION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b w:val="1"/>
          <w:bCs w:val="1"/>
          <w:color w:val="auto"/>
        </w:rPr>
        <w:t>Amendment #3</w:t>
      </w:r>
      <w:r>
        <w:rPr>
          <w:rFonts w:ascii="Arial" w:cs="Arial" w:eastAsia="Arial" w:hAnsi="Arial"/>
          <w:sz w:val="18"/>
          <w:szCs w:val="18"/>
          <w:color w:val="auto"/>
        </w:rPr>
        <w:t>”) to the LICENSE, DEVELOPMENT and COMMERCIALIZATION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June 28, 2019 between Acura Pharmaceuticals, Inc. (“</w:t>
      </w:r>
      <w:r>
        <w:rPr>
          <w:rFonts w:ascii="Arial" w:cs="Arial" w:eastAsia="Arial" w:hAnsi="Arial"/>
          <w:sz w:val="18"/>
          <w:szCs w:val="18"/>
          <w:b w:val="1"/>
          <w:bCs w:val="1"/>
          <w:color w:val="auto"/>
        </w:rPr>
        <w:t>Acura</w:t>
      </w:r>
      <w:r>
        <w:rPr>
          <w:rFonts w:ascii="Arial" w:cs="Arial" w:eastAsia="Arial" w:hAnsi="Arial"/>
          <w:sz w:val="18"/>
          <w:szCs w:val="18"/>
          <w:color w:val="auto"/>
        </w:rPr>
        <w:t>”), a New York corporation, having a place of business at 616 N. North Court, Suite 120, Palatine, IL 60067, and Abuse Deterrent Pharma, LLC (“</w:t>
      </w:r>
      <w:r>
        <w:rPr>
          <w:rFonts w:ascii="Arial" w:cs="Arial" w:eastAsia="Arial" w:hAnsi="Arial"/>
          <w:sz w:val="18"/>
          <w:szCs w:val="18"/>
          <w:b w:val="1"/>
          <w:bCs w:val="1"/>
          <w:color w:val="auto"/>
        </w:rPr>
        <w:t>AD Pharma</w:t>
      </w:r>
      <w:r>
        <w:rPr>
          <w:rFonts w:ascii="Arial" w:cs="Arial" w:eastAsia="Arial" w:hAnsi="Arial"/>
          <w:sz w:val="18"/>
          <w:szCs w:val="18"/>
          <w:color w:val="auto"/>
        </w:rPr>
        <w:t>”), a Kentucky limited liability company, having a place of business at 333 E. Main Street, Suite 220, Louisville, Kentucky 40202, is made as of February 28,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Acura and AD Pharma are parties to the Agreement as amended on October 16, 2020 (“</w:t>
      </w:r>
      <w:r>
        <w:rPr>
          <w:rFonts w:ascii="Arial" w:cs="Arial" w:eastAsia="Arial" w:hAnsi="Arial"/>
          <w:sz w:val="18"/>
          <w:szCs w:val="18"/>
          <w:b w:val="1"/>
          <w:bCs w:val="1"/>
          <w:color w:val="auto"/>
        </w:rPr>
        <w:t>Amendment #1</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June 17, 2021 (“</w:t>
      </w:r>
      <w:r>
        <w:rPr>
          <w:rFonts w:ascii="Arial" w:cs="Arial" w:eastAsia="Arial" w:hAnsi="Arial"/>
          <w:sz w:val="18"/>
          <w:szCs w:val="18"/>
          <w:b w:val="1"/>
          <w:bCs w:val="1"/>
          <w:color w:val="auto"/>
        </w:rPr>
        <w:t>Amendment #2</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Agreement to provide for an extension to the LIMITx™ Regulatory Submission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Timeline.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promises contained in the Agreement, as amended,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other good and valuable consideration, the receipt and sufficiency of which are hereby acknowledged, Acura and AD Pharma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AGREEMENT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Item 3 of Schedule 1 “LIMITx™ Regulatory Submission Timeline” is hereby amended and replaced in its entirety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By December 31, 2022, Acura must gain filing acceptance by the FDA of a Regulatory Approval Application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2.1 Governing Law</w:t>
      </w:r>
      <w:r>
        <w:rPr>
          <w:rFonts w:ascii="Arial" w:cs="Arial" w:eastAsia="Arial" w:hAnsi="Arial"/>
          <w:sz w:val="18"/>
          <w:szCs w:val="18"/>
          <w:color w:val="auto"/>
        </w:rPr>
        <w:t>. This Amendment shall be governed by the laws of the State of New York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rules or principles.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2.2 Amendments</w:t>
      </w:r>
      <w:r>
        <w:rPr>
          <w:rFonts w:ascii="Arial" w:cs="Arial" w:eastAsia="Arial" w:hAnsi="Arial"/>
          <w:sz w:val="18"/>
          <w:szCs w:val="18"/>
          <w:color w:val="auto"/>
        </w:rPr>
        <w:t>. Except as expressly amended by this Amendment #3, the Agreement, Amendment #1 and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#2 shall remain unmodified and in full force and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2.3 Entire Agreement. </w:t>
      </w:r>
      <w:r>
        <w:rPr>
          <w:rFonts w:ascii="Arial" w:cs="Arial" w:eastAsia="Arial" w:hAnsi="Arial"/>
          <w:sz w:val="18"/>
          <w:szCs w:val="18"/>
          <w:color w:val="auto"/>
        </w:rPr>
        <w:t>This Amendment #3, the Agreement, the Schedules attached to the Agreement, Amendment #1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#2 constitute the entire agreement of the Parties with respect to the subject matter hereof and supersede all prior understandings and writings between the Parties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2.4 Interpretation. </w:t>
      </w:r>
      <w:r>
        <w:rPr>
          <w:rFonts w:ascii="Arial" w:cs="Arial" w:eastAsia="Arial" w:hAnsi="Arial"/>
          <w:sz w:val="18"/>
          <w:szCs w:val="18"/>
          <w:color w:val="auto"/>
        </w:rPr>
        <w:t>Any capitalized terms used in this Amendment and not otherwise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provided in the 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2.5 Counterparts. </w:t>
      </w:r>
      <w:r>
        <w:rPr>
          <w:rFonts w:ascii="Arial" w:cs="Arial" w:eastAsia="Arial" w:hAnsi="Arial"/>
          <w:sz w:val="17"/>
          <w:szCs w:val="17"/>
          <w:color w:val="auto"/>
        </w:rPr>
        <w:t>This Amendment may be executed manually, electronically in Adobe® PDF file format, or by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Parties, in any number of counterparts, each of which shall be considered one and the same amendment and shall become effective when a counterpart hereof shall have been signed by each of the Parties and delivered to the other Party.</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CEO &amp;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DETERRENT PHARMA,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9340" w:type="dxa"/>
            <w:vAlign w:val="bottom"/>
            <w:gridSpan w:val="2"/>
          </w:tcPr>
          <w:p>
            <w:pPr>
              <w:spacing w:after="0"/>
              <w:rPr>
                <w:sz w:val="20"/>
                <w:szCs w:val="20"/>
                <w:color w:val="auto"/>
              </w:rPr>
            </w:pPr>
            <w:r>
              <w:rPr>
                <w:rFonts w:ascii="Arial" w:cs="Arial" w:eastAsia="Arial" w:hAnsi="Arial"/>
                <w:sz w:val="18"/>
                <w:szCs w:val="18"/>
                <w:color w:val="auto"/>
              </w:rPr>
              <w:t>/s/ John Schutte</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Schutte</w:t>
            </w:r>
          </w:p>
        </w:tc>
        <w:tc>
          <w:tcPr>
            <w:tcW w:w="494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9340" w:type="dxa"/>
            <w:vAlign w:val="bottom"/>
            <w:gridSpan w:val="2"/>
          </w:tcPr>
          <w:p>
            <w:pPr>
              <w:spacing w:after="0"/>
              <w:rPr>
                <w:sz w:val="20"/>
                <w:szCs w:val="20"/>
                <w:color w:val="auto"/>
              </w:rPr>
            </w:pPr>
            <w:r>
              <w:rPr>
                <w:rFonts w:ascii="Arial" w:cs="Arial" w:eastAsia="Arial" w:hAnsi="Arial"/>
                <w:sz w:val="18"/>
                <w:szCs w:val="18"/>
                <w:color w:val="auto"/>
              </w:rPr>
              <w:t>Managing Partner</w:t>
            </w:r>
          </w:p>
        </w:tc>
      </w:tr>
      <w:tr>
        <w:trPr>
          <w:trHeight w:val="777"/>
        </w:trPr>
        <w:tc>
          <w:tcPr>
            <w:tcW w:w="5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10.68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CONSOLIDATED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10, 2022</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VALUE RECEIVED, ACURA PHARMACEUTICALS, INC., a New York corporation having its principal place of business at 616 N. North Court, Suite 120, Palatine, Illinois, as maker (the “</w:t>
      </w:r>
      <w:r>
        <w:rPr>
          <w:rFonts w:ascii="Arial" w:cs="Arial" w:eastAsia="Arial" w:hAnsi="Arial"/>
          <w:sz w:val="17"/>
          <w:szCs w:val="17"/>
          <w:b w:val="1"/>
          <w:bCs w:val="1"/>
          <w:color w:val="auto"/>
        </w:rPr>
        <w:t>Company</w:t>
      </w:r>
      <w:r>
        <w:rPr>
          <w:rFonts w:ascii="Arial" w:cs="Arial" w:eastAsia="Arial" w:hAnsi="Arial"/>
          <w:sz w:val="17"/>
          <w:szCs w:val="17"/>
          <w:color w:val="auto"/>
        </w:rPr>
        <w:t>”), hereby unconditionally promises to pay to the order of Abuse Deterrent Pharma, LLC, a Kentucky limited liability company having its principal place of business at 2604 River Green Circle, Louisville, Kentucky 40206, or its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aggregate principal sum of </w:t>
      </w:r>
      <w:r>
        <w:rPr>
          <w:rFonts w:ascii="Arial" w:cs="Arial" w:eastAsia="Arial" w:hAnsi="Arial"/>
          <w:sz w:val="17"/>
          <w:szCs w:val="17"/>
          <w:b w:val="1"/>
          <w:bCs w:val="1"/>
          <w:color w:val="auto"/>
        </w:rPr>
        <w:t>TWO MILLION THREE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NINETEEN THOUSAND TWO HUNDRED SEVENTY-NINE DOLLARS </w:t>
      </w:r>
      <w:r>
        <w:rPr>
          <w:rFonts w:ascii="Arial" w:cs="Arial" w:eastAsia="Arial" w:hAnsi="Arial"/>
          <w:sz w:val="17"/>
          <w:szCs w:val="17"/>
          <w:color w:val="auto"/>
        </w:rPr>
        <w:t>($</w:t>
      </w:r>
      <w:r>
        <w:rPr>
          <w:rFonts w:ascii="Arial" w:cs="Arial" w:eastAsia="Arial" w:hAnsi="Arial"/>
          <w:sz w:val="17"/>
          <w:szCs w:val="17"/>
          <w:b w:val="1"/>
          <w:bCs w:val="1"/>
          <w:color w:val="auto"/>
        </w:rPr>
        <w:t>2,319,279</w:t>
      </w:r>
      <w:r>
        <w:rPr>
          <w:rFonts w:ascii="Arial" w:cs="Arial" w:eastAsia="Arial" w:hAnsi="Arial"/>
          <w:sz w:val="17"/>
          <w:szCs w:val="17"/>
          <w:color w:val="auto"/>
        </w:rPr>
        <w:t>), in lawful money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of America, together with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This Note amends, consolidates, restates and replaces the promissory notes made by the Company in the aggregate original principal amount of One Million Nine Hundred Twenty-Five Thousand Dollars ($1,925,000),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assigned to the Noteholder (collectively, the “</w:t>
      </w:r>
      <w:r>
        <w:rPr>
          <w:rFonts w:ascii="Arial" w:cs="Arial" w:eastAsia="Arial" w:hAnsi="Arial"/>
          <w:sz w:val="18"/>
          <w:szCs w:val="18"/>
          <w:b w:val="1"/>
          <w:bCs w:val="1"/>
          <w:color w:val="auto"/>
        </w:rPr>
        <w:t>Prior Notes</w:t>
      </w:r>
      <w:r>
        <w:rPr>
          <w:rFonts w:ascii="Arial" w:cs="Arial" w:eastAsia="Arial" w:hAnsi="Arial"/>
          <w:sz w:val="18"/>
          <w:szCs w:val="18"/>
          <w:color w:val="auto"/>
        </w:rPr>
        <w:t xml:space="preserve">”). This Note is not intended to be, and shall not be construed as, a novation of the indebtedness evidenced by the Prior Notes. The principal amount of this Note includes the interest previously accrued on the Prior Notes as of the date of the issuance of this Note. This Note shall be entitled to the benefits (in the same priority) of, </w:t>
      </w:r>
      <w:r>
        <w:rPr>
          <w:rFonts w:ascii="Arial" w:cs="Arial" w:eastAsia="Arial" w:hAnsi="Arial"/>
          <w:sz w:val="18"/>
          <w:szCs w:val="18"/>
          <w:i w:val="1"/>
          <w:iCs w:val="1"/>
          <w:color w:val="auto"/>
        </w:rPr>
        <w:t>inter alia</w:t>
      </w:r>
      <w:r>
        <w:rPr>
          <w:rFonts w:ascii="Arial" w:cs="Arial" w:eastAsia="Arial" w:hAnsi="Arial"/>
          <w:sz w:val="18"/>
          <w:szCs w:val="18"/>
          <w:color w:val="auto"/>
        </w:rPr>
        <w:t>, any security at any time granted and pledged by the Company to the Noteholder in conjunction with the original execution and delivery of the Prior Notes or predecessor notes or by the Company or any other person at any time thereafter. This Note also evidences an additional loan from the Noteholder to the Company made on the date hereof in the original principal amount of Three Hundred Fifty Thousand Dollars ($350,000).</w:t>
      </w:r>
    </w:p>
    <w:p>
      <w:pPr>
        <w:spacing w:after="0" w:line="196" w:lineRule="exact"/>
        <w:rPr>
          <w:sz w:val="20"/>
          <w:szCs w:val="20"/>
          <w:color w:val="auto"/>
        </w:rPr>
      </w:pPr>
    </w:p>
    <w:p>
      <w:pPr>
        <w:ind w:right="560" w:firstLine="8"/>
        <w:spacing w:after="0" w:line="277"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166" w:lineRule="exact"/>
        <w:rPr>
          <w:sz w:val="20"/>
          <w:szCs w:val="20"/>
          <w:color w:val="auto"/>
        </w:rPr>
      </w:pPr>
    </w:p>
    <w:p>
      <w:pPr>
        <w:jc w:val="both"/>
        <w:ind w:firstLine="65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means any direct or indirect liability, contingent or not, of the Company for (a) any indebtedness, lease, dividend, letter of credit or other obligation of another such as an obligation directly or indirectly guaranteed, endorsed, co-made, discounted or sold with recourse by the Company, or for which the Company is directly or indirectly liable; (b) any obligations for undrawn letters of credit for the account of the Company; and (c) all obligations from any interest rate, currency or commodity swap agreement, interest rate cap or collar agreement, or other agreement or arrangement designated to protect the Company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Company in good faith; but the amount may not exceed the maximum of the obligations under any guarantee or other support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jc w:val="both"/>
        <w:ind w:firstLine="65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the Company’s Indebtedness to the Noteholder under this Note; (b) Subordinated Debt;</w:t>
      </w:r>
    </w:p>
    <w:p>
      <w:pPr>
        <w:spacing w:after="0" w:line="50" w:lineRule="exact"/>
        <w:rPr>
          <w:sz w:val="20"/>
          <w:szCs w:val="20"/>
          <w:color w:val="auto"/>
        </w:rPr>
      </w:pPr>
    </w:p>
    <w:p>
      <w:pPr>
        <w:jc w:val="both"/>
        <w:ind w:firstLine="8"/>
        <w:spacing w:after="0" w:line="281" w:lineRule="auto"/>
        <w:tabs>
          <w:tab w:leader="none" w:pos="2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Indebtedness existing on the date hereof and disclosed on the Perfection Certificate(s) delivered in accordance with the Security Agreement; (d) unsecured Indebtedness to trade creditors incurred in the ordinary course of business; (e) Indebtedness consisting of capitalized lease obligations and purchase money Indebtedness, in each case incurred by the Company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(f) Indebtedness incurred as a result of endorsing negotiable instruments received in the ordinary course of the Company’s business; and (g) extensions, refinancings, modifications, amendments and restatements of any items of Permitted Indebtedness</w:t>
      </w:r>
    </w:p>
    <w:p>
      <w:pPr>
        <w:spacing w:after="0" w:line="5" w:lineRule="exact"/>
        <w:rPr>
          <w:rFonts w:ascii="Arial" w:cs="Arial" w:eastAsia="Arial" w:hAnsi="Arial"/>
          <w:sz w:val="16"/>
          <w:szCs w:val="16"/>
          <w:color w:val="auto"/>
        </w:rPr>
      </w:pPr>
    </w:p>
    <w:p>
      <w:pPr>
        <w:ind w:firstLine="8"/>
        <w:spacing w:after="0" w:line="260"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(e) above, provided that the principal amount thereof is not increased or the terms thereof are not modified to impose materially more burdensome terms upon the Company.</w:t>
      </w:r>
    </w:p>
    <w:p>
      <w:pPr>
        <w:spacing w:after="0" w:line="181" w:lineRule="exact"/>
        <w:rPr>
          <w:sz w:val="20"/>
          <w:szCs w:val="20"/>
          <w:color w:val="auto"/>
        </w:rPr>
      </w:pPr>
    </w:p>
    <w:p>
      <w:pPr>
        <w:jc w:val="both"/>
        <w:ind w:firstLine="7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both"/>
        <w:ind w:firstLine="73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the Company subordinated to all Indebtedness of the Company to the Noteholder (pursuant to a subordination, intercreditor, or other similar agreement in form and substance satisfactory to the Noteholder, entered into between the Noteholder, the Company, and the other creditor), on terms acceptable to the Noteholder.</w:t>
      </w:r>
    </w:p>
    <w:p>
      <w:pPr>
        <w:spacing w:after="0" w:line="16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Maturity Date; Prepayment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Maturity Date</w:t>
      </w:r>
      <w:r>
        <w:rPr>
          <w:rFonts w:ascii="Arial" w:cs="Arial" w:eastAsia="Arial" w:hAnsi="Arial"/>
          <w:sz w:val="18"/>
          <w:szCs w:val="18"/>
          <w:color w:val="auto"/>
        </w:rPr>
        <w:t>. The Company agrees to pay the principal sum of this Note and interest on the unpaid principal sum of this Note on December 31, 2023 (the “</w:t>
      </w:r>
      <w:r>
        <w:rPr>
          <w:rFonts w:ascii="Arial" w:cs="Arial" w:eastAsia="Arial" w:hAnsi="Arial"/>
          <w:sz w:val="18"/>
          <w:szCs w:val="18"/>
          <w:b w:val="1"/>
          <w:bCs w:val="1"/>
          <w:color w:val="auto"/>
        </w:rPr>
        <w:t>Maturity Date</w:t>
      </w:r>
      <w:r>
        <w:rPr>
          <w:rFonts w:ascii="Arial" w:cs="Arial" w:eastAsia="Arial" w:hAnsi="Arial"/>
          <w:sz w:val="18"/>
          <w:szCs w:val="18"/>
          <w:color w:val="auto"/>
        </w:rPr>
        <w:t>”). Time shall be of the essence with respect to all of the Company’s obligations under this Note.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Prepayment</w:t>
      </w:r>
      <w:r>
        <w:rPr>
          <w:rFonts w:ascii="Arial" w:cs="Arial" w:eastAsia="Arial" w:hAnsi="Arial"/>
          <w:sz w:val="18"/>
          <w:szCs w:val="18"/>
          <w:color w:val="auto"/>
        </w:rPr>
        <w:t>. This Note may not be prepaid by the Company (either in whole or in part) without the prior written consent of the Noteholder in its sole discretion.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 All payments on this Note shall be applied first to the payment of any expenses or charges payable hereunder, and next to accrued interest, and then to the principal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balance hereof, or in such other order as the Noteholder may elect in its sole discretion.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Rescission</w:t>
      </w:r>
      <w:r>
        <w:rPr>
          <w:rFonts w:ascii="Arial" w:cs="Arial" w:eastAsia="Arial" w:hAnsi="Arial"/>
          <w:sz w:val="18"/>
          <w:szCs w:val="18"/>
          <w:color w:val="auto"/>
        </w:rPr>
        <w:t>. If at any time any payment made against this Note (whether payment is made by the Company, any guarantor, or any other Person) is rescinded or must otherwise be restored or returned upon the insolvency, bankruptcy, or reorganization of the Company or such other Person who made the payment, or otherwise, or if any check or other written order to pay any amount to the Noteholder is dishonored or returned as unpaid by the bank against whom it is drawn, the Company’s obligation to make such payment shall be reinstated as though such payment had not been made.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Election to Apply to Alprazolam Product and Oxycodone Product</w:t>
      </w:r>
      <w:r>
        <w:rPr>
          <w:rFonts w:ascii="Arial" w:cs="Arial" w:eastAsia="Arial" w:hAnsi="Arial"/>
          <w:sz w:val="17"/>
          <w:szCs w:val="17"/>
          <w:color w:val="auto"/>
        </w:rPr>
        <w:t>. In the event the Noteholder elects to add the Alprazolam Product or Oxycodone Product, or both, as an additional licensed product under the License, Development and Commercialization Agreement dated as of June 28, 2019, as amended, by and between the Company and the Noteholder (the “</w:t>
      </w:r>
      <w:r>
        <w:rPr>
          <w:rFonts w:ascii="Arial" w:cs="Arial" w:eastAsia="Arial" w:hAnsi="Arial"/>
          <w:sz w:val="17"/>
          <w:szCs w:val="17"/>
          <w:b w:val="1"/>
          <w:bCs w:val="1"/>
          <w:color w:val="auto"/>
        </w:rPr>
        <w:t>License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Noteholder shall have the right, in its sole discretion, upon written notice to the Company at any time, to have One</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Dollars ($1,000,000) of the amount payable hereunder be applied, in lieu of payment to the Noteholder, to amounts payable by the Noteholder in respect of each such license (i.e. a total of Two Million Dollars ($2,000,000) in the event the Noteholder elects to add both the Alprazolam Product and Oxycodone Product as additional licensed products).</w:t>
      </w:r>
    </w:p>
    <w:p>
      <w:pPr>
        <w:spacing w:after="0" w:line="177" w:lineRule="exact"/>
        <w:rPr>
          <w:sz w:val="20"/>
          <w:szCs w:val="20"/>
          <w:color w:val="auto"/>
        </w:rPr>
      </w:pPr>
    </w:p>
    <w:p>
      <w:pPr>
        <w:jc w:val="both"/>
        <w:ind w:firstLine="8"/>
        <w:spacing w:after="0" w:line="255"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outstanding principal amount of this Note shall bear interest at a fixed rate equal to five and one-quarter percent (5.25%) per annum and shall accrue and be payable at the Maturity Date. If any amount payable hereunder is not paid when due (without regard to any applicable grace periods), whether at stated maturity, by acceleration, or otherwise, including upon an Event of Default, such overdue amount shall bear interest at a rate equal to seven and one-half percent (7.5%) per annum from the date of such non-payment until such amount is paid in full. All computations of interest shall be made on the basis of 365 or 366 days, as the case may be, and the actual number of days elapsed.</w:t>
      </w:r>
    </w:p>
    <w:p>
      <w:pPr>
        <w:spacing w:after="0" w:line="192" w:lineRule="exact"/>
        <w:rPr>
          <w:rFonts w:ascii="Arial" w:cs="Arial" w:eastAsia="Arial" w:hAnsi="Arial"/>
          <w:sz w:val="18"/>
          <w:szCs w:val="18"/>
          <w:color w:val="auto"/>
        </w:rPr>
      </w:pPr>
    </w:p>
    <w:p>
      <w:pPr>
        <w:jc w:val="both"/>
        <w:ind w:firstLine="8"/>
        <w:spacing w:after="0" w:line="311" w:lineRule="auto"/>
        <w:tabs>
          <w:tab w:leader="none" w:pos="64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Limitation</w:t>
      </w:r>
      <w:r>
        <w:rPr>
          <w:rFonts w:ascii="Arial" w:cs="Arial" w:eastAsia="Arial" w:hAnsi="Arial"/>
          <w:sz w:val="16"/>
          <w:szCs w:val="16"/>
          <w:color w:val="auto"/>
        </w:rPr>
        <w:t>. Notwithstanding anything to the contrary contained herein, all agreements and communications between the Company and Noteholder are hereby and shall automatically be limited so that, after taking into account all amounts deemed interest, the interest contracted for, charged or received by Noteholder shall never exceed the maximum legal rate of interest permitted by law.</w:t>
      </w:r>
    </w:p>
    <w:p>
      <w:pPr>
        <w:spacing w:after="0" w:line="144" w:lineRule="exact"/>
        <w:rPr>
          <w:rFonts w:ascii="Arial" w:cs="Arial" w:eastAsia="Arial" w:hAnsi="Arial"/>
          <w:sz w:val="16"/>
          <w:szCs w:val="16"/>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rFonts w:ascii="Arial" w:cs="Arial" w:eastAsia="Arial" w:hAnsi="Arial"/>
          <w:sz w:val="18"/>
          <w:szCs w:val="18"/>
          <w:color w:val="auto"/>
        </w:rPr>
      </w:pPr>
    </w:p>
    <w:p>
      <w:pPr>
        <w:ind w:firstLine="656"/>
        <w:spacing w:after="0" w:line="277"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fails to pay any principal or interest or any other amount payable hereunder when due and such failure continues for 5 days;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Company fails to perform any other covenant or obligation set forth in this Note or the Security Agreement;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License Agreement is terminated by the Noteholder pursuant to Section 3.1.3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or 3.1.4 thereof;</w:t>
      </w:r>
    </w:p>
    <w:p>
      <w:pPr>
        <w:spacing w:after="0" w:line="225" w:lineRule="exact"/>
        <w:rPr>
          <w:sz w:val="20"/>
          <w:szCs w:val="20"/>
          <w:color w:val="auto"/>
        </w:rPr>
      </w:pPr>
    </w:p>
    <w:p>
      <w:pPr>
        <w:jc w:val="both"/>
        <w:ind w:firstLine="656"/>
        <w:spacing w:after="0" w:line="263"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fails to pay when due any of its indebtedness for borrowed money (other than indebtedness under this Note) in a principal amount exceeding $100,000, or any interest or premium thereon, when due and such failure continues after the applicable grace period, if any, specified in the agreement or instrument relating to such indebtedness;</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commences any voluntary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Company makes a general assignment for the benefit of its creditors;</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There is commenced against the Company any involuntary case, proceeding, or other action of a nature referred to in</w:t>
      </w:r>
    </w:p>
    <w:p>
      <w:pPr>
        <w:spacing w:after="0" w:line="46" w:lineRule="exact"/>
        <w:rPr>
          <w:rFonts w:ascii="Arial" w:cs="Arial" w:eastAsia="Arial" w:hAnsi="Arial"/>
          <w:sz w:val="16"/>
          <w:szCs w:val="16"/>
          <w:color w:val="auto"/>
        </w:rPr>
      </w:pPr>
    </w:p>
    <w:p>
      <w:pPr>
        <w:ind w:firstLine="8"/>
        <w:spacing w:after="0" w:line="260" w:lineRule="auto"/>
        <w:tabs>
          <w:tab w:leader="none" w:pos="2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above which (i) results in the entry of an order for relief or any such adjudication or appointment or (ii) remains undismissed, undischarged, or unbonded for a period of 30 days;</w:t>
      </w:r>
    </w:p>
    <w:p>
      <w:pPr>
        <w:spacing w:after="0" w:line="185" w:lineRule="exact"/>
        <w:rPr>
          <w:rFonts w:ascii="Arial" w:cs="Arial" w:eastAsia="Arial" w:hAnsi="Arial"/>
          <w:sz w:val="18"/>
          <w:szCs w:val="18"/>
          <w:color w:val="auto"/>
        </w:rPr>
      </w:pPr>
    </w:p>
    <w:p>
      <w:pPr>
        <w:jc w:val="both"/>
        <w:ind w:firstLine="656"/>
        <w:spacing w:after="0" w:line="286" w:lineRule="auto"/>
        <w:tabs>
          <w:tab w:leader="none" w:pos="1296"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There is commenced against the Company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30 days from the entry thereof;</w:t>
      </w:r>
    </w:p>
    <w:p>
      <w:pPr>
        <w:spacing w:after="0" w:line="165" w:lineRule="exact"/>
        <w:rPr>
          <w:rFonts w:ascii="Arial" w:cs="Arial" w:eastAsia="Arial" w:hAnsi="Arial"/>
          <w:sz w:val="17"/>
          <w:szCs w:val="17"/>
          <w:color w:val="auto"/>
        </w:rPr>
      </w:pPr>
    </w:p>
    <w:p>
      <w:pPr>
        <w:ind w:firstLine="656"/>
        <w:spacing w:after="0" w:line="277" w:lineRule="auto"/>
        <w:tabs>
          <w:tab w:leader="none" w:pos="12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takes any action in furtherance of, or indicating its consent to, approval of, or acquiescence in, any of the acts set forth in (e), (f) or (g) above;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is generally not, or is unable to, or admits in writing its inability to, pay its debts as they become due; or</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2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final non-appealable judgment or decree for money in excess of $100,000 (to the extent not paid or covered by insurance) is entered against the Company and such judgment or decree has not been vacated, discharged, or stayed or bonded pending appeal within 30 days from the entry thereof.</w:t>
      </w:r>
    </w:p>
    <w:p>
      <w:pPr>
        <w:spacing w:after="0" w:line="184" w:lineRule="exact"/>
        <w:rPr>
          <w:sz w:val="20"/>
          <w:szCs w:val="20"/>
          <w:color w:val="auto"/>
        </w:rPr>
      </w:pPr>
    </w:p>
    <w:p>
      <w:pPr>
        <w:jc w:val="both"/>
        <w:ind w:firstLine="8"/>
        <w:spacing w:after="0" w:line="286"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Upon the occurrence of an Event of Default and at any time thereafter during the continuance of such Event of Default, the Noteholder may at its option, by written notice to the Company (a) declare the entire principal amount of this Note, together with all accrued interest thereon and all other amounts payable under this Note, immediately due and payable and/or (b) exercise any or all of its rights, powers, or remedies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described in any of (e) through</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(i) above shall occur, the principal of and accrued interest on this Note shall become immediately due and payable without any notice, declaration, or other act on the part of the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2" w:name="page113"/>
    <w:bookmarkEnd w:id="112"/>
    <w:p>
      <w:pPr>
        <w:ind w:firstLine="8"/>
        <w:spacing w:after="0" w:line="277"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 The Company shall not do any of the following without the prior written consent of the Noteholder in its sole discretion:</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create, or authorize the creation of, or issue or obligate itself to issue any securities (other than the issuance of stock options, restricted stock units or other equity incentive grants of the Company pursuant to the terms of stock option plans, restricted stock unit plans or similar plans, provided such issuances do not exceed, in the aggregate, 1,250,000 shares during the period of eighteen (18) months commencing on the date of this Note);</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create, incur, assume, or be liable for any Indebtedness, other than Permitted Indebtedness; 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issue any press release or make any public statement other than as required to satisfy its statutory or regulatory filing and reporting obligations or to comply with any other legal or regulatory requirements to which the Company is subject, provided that the Company takes reasonable steps to minimize the extent of any such disclosure.</w:t>
      </w:r>
    </w:p>
    <w:p>
      <w:pPr>
        <w:spacing w:after="0" w:line="183" w:lineRule="exact"/>
        <w:rPr>
          <w:rFonts w:ascii="Arial" w:cs="Arial" w:eastAsia="Arial" w:hAnsi="Arial"/>
          <w:sz w:val="18"/>
          <w:szCs w:val="18"/>
          <w:color w:val="auto"/>
        </w:rPr>
      </w:pPr>
    </w:p>
    <w:p>
      <w:pPr>
        <w:jc w:val="both"/>
        <w:ind w:firstLine="8"/>
        <w:spacing w:after="0" w:line="257"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Note may be assigned, transferred, or negotiated by the Noteholder to any individual or entity, at any time, without notice to or the consent of the Company. The Company shall not have the right to assign, delegate or transfer its rights or obligations under this Note without the prior written consent of Noteholder, and any attempted assignment, delegation or transfer without such consent shall be null and void. This Note shall inure to the benefit of and be binding upon the parties hereto and their permitted assigns.</w:t>
      </w:r>
    </w:p>
    <w:p>
      <w:pPr>
        <w:spacing w:after="0" w:line="187"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Note, and any claim, controversy, dispute or cause of action (whether in contract or tort or otherwise) based upon, arising out of or relating to this Note and the transactions contemplated hereby and thereby shall be governed by the laws of the Commonwealth of Kentucky, without giving effect to conflict of law provisions. The Company hereby consents to the jurisdiction of any state or federal court located within the County of Jefferson, Commonwealth of Kentucky, and irrevocably agrees that, subject to the Noteholder’s sole and absolute election, any case or proceeding relating to Title 11 of the United States Code and any actions relating to the indebtedness evidenced hereby shall be litigated in such courts, and the Company waives any objection that it may have based on improper venue or forum non conveniens to the conduct of any proceeding in any such court. Nothing contained in this paragraph shall affect the right of the Noteholder to bring any action or proceeding against the Company or its property in the courts of any other jurisdiction.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THE COMPANY ACKNOWLEDGES THAT THE TIME AND EXPENSE REQUIRED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FOR TRIAL BY JURY EXCEED THE TIME AND EXPENSE REQUIRED FOR A BENCH TRIAL AND HEREBY KNOWINGLY, VOLUNTARILY AND IRREVOCABLY WAIVES, TO THE FULLEST EXTENT PERMITTED BY APPLICABLE LAW, AND AFTER HAVING CONSULTED (OR HAVING HAD AMPLE OPPORTUNITY TO CONSULT) ITS LEGAL COUNSEL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13" w:name="page114"/>
    <w:bookmarkEnd w:id="113"/>
    <w:p>
      <w:pPr>
        <w:jc w:val="both"/>
        <w:spacing w:after="0" w:line="266" w:lineRule="auto"/>
        <w:rPr>
          <w:sz w:val="20"/>
          <w:szCs w:val="20"/>
          <w:color w:val="auto"/>
        </w:rPr>
      </w:pPr>
      <w:r>
        <w:rPr>
          <w:rFonts w:ascii="Arial" w:cs="Arial" w:eastAsia="Arial" w:hAnsi="Arial"/>
          <w:sz w:val="18"/>
          <w:szCs w:val="18"/>
          <w:b w:val="1"/>
          <w:bCs w:val="1"/>
          <w:color w:val="auto"/>
        </w:rPr>
        <w:t>CONCERNING THE CONSEQUENCES OF SUCH WAIVER, ANY RIGHT IT MAY HAVE TO TRIAL BY JURY IN ANY ACTION OR OTHER PROCEEDING BROUGHT TO ENFORCE OR COLLECT OR OTHERWISE IN CONNECTION WITH THIS NOTE OR ANY RELATED DOCUMENTS.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Waiver of Notice</w:t>
      </w:r>
      <w:r>
        <w:rPr>
          <w:rFonts w:ascii="Arial" w:cs="Arial" w:eastAsia="Arial" w:hAnsi="Arial"/>
          <w:sz w:val="18"/>
          <w:szCs w:val="18"/>
          <w:color w:val="auto"/>
        </w:rPr>
        <w:t>. The Company hereby waives presentment, demand for payment, protest, notice of dishonor, notice of protest or nonpayment, notice of acceleration of maturity, and diligence in connection with the enforcement of this Note or the taking of any action to collect sums owing hereunder.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Note may not be modified, amended, waived, extended, changed, discharged or terminated orally or by any act or failure to act on the part of the Company or Noteholder, but only by an agreement in writing signed by both Noteholder and the Company. Any waiver of the terms hereof shall be effective only in the specific instance and for the specific purpose given.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by and entitled to the benefits of that certain Security Agreement dated as of the date hereof by and between the Company and the Noteholder, as the same may be amended or restated and including any successor agreement (the “</w:t>
      </w: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ind w:firstLine="648"/>
        <w:spacing w:after="0" w:line="277" w:lineRule="auto"/>
        <w:rPr>
          <w:sz w:val="20"/>
          <w:szCs w:val="20"/>
          <w:color w:val="auto"/>
        </w:rPr>
      </w:pPr>
      <w:r>
        <w:rPr>
          <w:rFonts w:ascii="Arial" w:cs="Arial" w:eastAsia="Arial" w:hAnsi="Arial"/>
          <w:sz w:val="18"/>
          <w:szCs w:val="18"/>
          <w:color w:val="auto"/>
        </w:rPr>
        <w:t>IN WITNESS WHEREOF, the Company has executed this Amended, Consolidated and Restated Secured Promissory Note as of November 10, 2022.</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Senior Vice President &amp;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5" w:name="page116"/>
    <w:bookmarkEnd w:id="115"/>
    <w:tbl>
      <w:tblPr>
        <w:tblLayout w:type="fixed"/>
        <w:tblInd w:w="5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Exhibit A</w:t>
            </w:r>
          </w:p>
        </w:tc>
      </w:tr>
      <w:tr>
        <w:trPr>
          <w:trHeight w:val="527"/>
        </w:trPr>
        <w:tc>
          <w:tcPr>
            <w:tcW w:w="296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24"/>
                <w:szCs w:val="24"/>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Loan #</w:t>
            </w:r>
          </w:p>
        </w:tc>
        <w:tc>
          <w:tcPr>
            <w:tcW w:w="260" w:type="dxa"/>
            <w:vAlign w:val="bottom"/>
          </w:tcPr>
          <w:p>
            <w:pPr>
              <w:spacing w:after="0"/>
              <w:rPr>
                <w:sz w:val="24"/>
                <w:szCs w:val="24"/>
                <w:color w:val="auto"/>
              </w:rPr>
            </w:pPr>
          </w:p>
        </w:tc>
      </w:tr>
      <w:tr>
        <w:trPr>
          <w:trHeight w:val="411"/>
        </w:trPr>
        <w:tc>
          <w:tcPr>
            <w:tcW w:w="2960" w:type="dxa"/>
            <w:vAlign w:val="bottom"/>
          </w:tcPr>
          <w:p>
            <w:pPr>
              <w:jc w:val="center"/>
              <w:spacing w:after="0"/>
              <w:rPr>
                <w:sz w:val="20"/>
                <w:szCs w:val="20"/>
                <w:color w:val="auto"/>
              </w:rPr>
            </w:pPr>
            <w:r>
              <w:rPr>
                <w:rFonts w:ascii="Arial" w:cs="Arial" w:eastAsia="Arial" w:hAnsi="Arial"/>
                <w:sz w:val="18"/>
                <w:szCs w:val="18"/>
                <w:color w:val="auto"/>
                <w:w w:val="90"/>
              </w:rPr>
              <w:t>12/21/2021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91"/>
              </w:rPr>
              <w:t>1/3/2022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1/31/2022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3/31/2022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4/29/2022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5/20/2022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6/10/2022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91"/>
              </w:rPr>
              <w:t>7/6/2022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7/18/2022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8/23/2022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9"/>
              </w:rPr>
              <w:t>9/20/2022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0"/>
              </w:rPr>
              <w:t>10/13/2022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61"/>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05"/>
        </w:trPr>
        <w:tc>
          <w:tcPr>
            <w:tcW w:w="2960" w:type="dxa"/>
            <w:vAlign w:val="bottom"/>
          </w:tcPr>
          <w:p>
            <w:pPr>
              <w:spacing w:after="0"/>
              <w:rPr>
                <w:sz w:val="24"/>
                <w:szCs w:val="24"/>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342900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ind w:right="513"/>
              <w:spacing w:after="0"/>
              <w:rPr>
                <w:sz w:val="20"/>
                <w:szCs w:val="20"/>
                <w:color w:val="auto"/>
              </w:rPr>
            </w:pPr>
            <w:r>
              <w:rPr>
                <w:rFonts w:ascii="Arial" w:cs="Arial" w:eastAsia="Arial" w:hAnsi="Arial"/>
                <w:sz w:val="14"/>
                <w:szCs w:val="14"/>
                <w:color w:val="auto"/>
              </w:rPr>
              <w:t>Aggregated</w:t>
            </w:r>
          </w:p>
        </w:tc>
      </w:tr>
      <w:tr>
        <w:trPr>
          <w:trHeight w:val="167"/>
        </w:trPr>
        <w:tc>
          <w:tcPr>
            <w:tcW w:w="1100" w:type="dxa"/>
            <w:vAlign w:val="bottom"/>
          </w:tcPr>
          <w:p>
            <w:pPr>
              <w:jc w:val="right"/>
              <w:ind w:right="491"/>
              <w:spacing w:after="0"/>
              <w:rPr>
                <w:sz w:val="20"/>
                <w:szCs w:val="20"/>
                <w:color w:val="auto"/>
              </w:rPr>
            </w:pPr>
            <w:r>
              <w:rPr>
                <w:rFonts w:ascii="Arial" w:cs="Arial" w:eastAsia="Arial" w:hAnsi="Arial"/>
                <w:sz w:val="14"/>
                <w:szCs w:val="14"/>
                <w:color w:val="auto"/>
                <w:w w:val="93"/>
              </w:rPr>
              <w:t>Principal</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Principal</w:t>
            </w:r>
          </w:p>
        </w:tc>
      </w:tr>
      <w:tr>
        <w:trPr>
          <w:trHeight w:val="411"/>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125,000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200,000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625,000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1,125,000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1,275,000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1,525,000</w:t>
            </w:r>
          </w:p>
        </w:tc>
      </w:tr>
      <w:tr>
        <w:trPr>
          <w:trHeight w:val="216"/>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1,675,000</w:t>
            </w:r>
          </w:p>
        </w:tc>
      </w:tr>
      <w:tr>
        <w:trPr>
          <w:trHeight w:val="230"/>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1,925,000</w:t>
            </w:r>
          </w:p>
        </w:tc>
      </w:tr>
      <w:tr>
        <w:trPr>
          <w:trHeight w:val="661"/>
        </w:trPr>
        <w:tc>
          <w:tcPr>
            <w:tcW w:w="1100" w:type="dxa"/>
            <w:vAlign w:val="bottom"/>
          </w:tcPr>
          <w:p>
            <w:pPr>
              <w:jc w:val="right"/>
              <w:ind w:right="31"/>
              <w:spacing w:after="0"/>
              <w:rPr>
                <w:sz w:val="20"/>
                <w:szCs w:val="20"/>
                <w:color w:val="auto"/>
              </w:rPr>
            </w:pPr>
            <w:r>
              <w:rPr>
                <w:rFonts w:ascii="Arial" w:cs="Arial" w:eastAsia="Arial" w:hAnsi="Arial"/>
                <w:sz w:val="18"/>
                <w:szCs w:val="18"/>
                <w:color w:val="auto"/>
              </w:rPr>
              <w:t>1,925,000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-2211070</wp:posOffset>
            </wp:positionV>
            <wp:extent cx="9944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-144780</wp:posOffset>
            </wp:positionV>
            <wp:extent cx="22885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0</wp:posOffset>
            </wp:positionV>
            <wp:extent cx="22885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17145</wp:posOffset>
            </wp:positionV>
            <wp:extent cx="22885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2">
            <w:col w:w="4920" w:space="440"/>
            <w:col w:w="3659"/>
          </w:cols>
          <w:pgMar w:left="1440" w:top="125"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10.70</w:t>
      </w:r>
    </w:p>
    <w:p>
      <w:pPr>
        <w:spacing w:after="0" w:line="243" w:lineRule="exact"/>
        <w:rPr>
          <w:sz w:val="20"/>
          <w:szCs w:val="20"/>
          <w:color w:val="auto"/>
        </w:rPr>
      </w:pPr>
    </w:p>
    <w:p>
      <w:pPr>
        <w:ind w:right="4420"/>
        <w:spacing w:after="0" w:line="334" w:lineRule="auto"/>
        <w:rPr>
          <w:sz w:val="20"/>
          <w:szCs w:val="20"/>
          <w:color w:val="auto"/>
        </w:rPr>
      </w:pPr>
      <w:r>
        <w:rPr>
          <w:rFonts w:ascii="Arial" w:cs="Arial" w:eastAsia="Arial" w:hAnsi="Arial"/>
          <w:sz w:val="15"/>
          <w:szCs w:val="15"/>
          <w:b w:val="1"/>
          <w:bCs w:val="1"/>
          <w:color w:val="auto"/>
        </w:rPr>
        <w:t>Amended Loan Schedule to Secured Promissory Note dated November 10, 2022 between Acura Pharmaceuticals, Inc and Abuse Deterrent Pharma, LLC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vMerge w:val="restart"/>
          </w:tcPr>
          <w:p>
            <w:pPr>
              <w:jc w:val="right"/>
              <w:ind w:right="673"/>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vMerge w:val="restart"/>
          </w:tcPr>
          <w:p>
            <w:pPr>
              <w:jc w:val="right"/>
              <w:ind w:right="593"/>
              <w:spacing w:after="0"/>
              <w:rPr>
                <w:sz w:val="20"/>
                <w:szCs w:val="20"/>
                <w:color w:val="auto"/>
              </w:rPr>
            </w:pPr>
            <w:r>
              <w:rPr>
                <w:rFonts w:ascii="Arial" w:cs="Arial" w:eastAsia="Arial" w:hAnsi="Arial"/>
                <w:sz w:val="14"/>
                <w:szCs w:val="14"/>
                <w:color w:val="auto"/>
              </w:rPr>
              <w:t>Principal</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color w:val="auto"/>
              </w:rPr>
              <w:t>Aggregated</w:t>
            </w:r>
          </w:p>
        </w:tc>
        <w:tc>
          <w:tcPr>
            <w:tcW w:w="0" w:type="dxa"/>
            <w:vAlign w:val="bottom"/>
          </w:tcPr>
          <w:p>
            <w:pPr>
              <w:spacing w:after="0"/>
              <w:rPr>
                <w:sz w:val="1"/>
                <w:szCs w:val="1"/>
                <w:color w:val="auto"/>
              </w:rPr>
            </w:pPr>
          </w:p>
        </w:tc>
      </w:tr>
      <w:tr>
        <w:trPr>
          <w:trHeight w:val="101"/>
        </w:trPr>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vMerge w:val="restart"/>
          </w:tcPr>
          <w:p>
            <w:pPr>
              <w:jc w:val="right"/>
              <w:ind w:right="555"/>
              <w:spacing w:after="0"/>
              <w:rPr>
                <w:sz w:val="20"/>
                <w:szCs w:val="20"/>
                <w:color w:val="auto"/>
              </w:rPr>
            </w:pPr>
            <w:r>
              <w:rPr>
                <w:rFonts w:ascii="Arial" w:cs="Arial" w:eastAsia="Arial" w:hAnsi="Arial"/>
                <w:sz w:val="14"/>
                <w:szCs w:val="14"/>
                <w:color w:val="auto"/>
              </w:rPr>
              <w:t>Principal</w:t>
            </w: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7"/>
        </w:trPr>
        <w:tc>
          <w:tcPr>
            <w:tcW w:w="4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Original Secured Promissory Note</w:t>
            </w:r>
          </w:p>
        </w:tc>
        <w:tc>
          <w:tcPr>
            <w:tcW w:w="1780" w:type="dxa"/>
            <w:vAlign w:val="bottom"/>
          </w:tcPr>
          <w:p>
            <w:pPr>
              <w:jc w:val="right"/>
              <w:spacing w:after="0"/>
              <w:rPr>
                <w:sz w:val="20"/>
                <w:szCs w:val="20"/>
                <w:color w:val="auto"/>
              </w:rPr>
            </w:pPr>
            <w:r>
              <w:rPr>
                <w:rFonts w:ascii="Arial" w:cs="Arial" w:eastAsia="Arial" w:hAnsi="Arial"/>
                <w:sz w:val="18"/>
                <w:szCs w:val="18"/>
                <w:color w:val="auto"/>
              </w:rPr>
              <w:t>11/10/2022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2,319,279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2,319,279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Additional loans to be included:</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12/22/2022</w:t>
            </w: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2,569,279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Loan #1</w:t>
            </w:r>
          </w:p>
        </w:tc>
        <w:tc>
          <w:tcPr>
            <w:tcW w:w="16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Loan #2</w:t>
            </w:r>
          </w:p>
        </w:tc>
        <w:tc>
          <w:tcPr>
            <w:tcW w:w="1780" w:type="dxa"/>
            <w:vAlign w:val="bottom"/>
          </w:tcPr>
          <w:p>
            <w:pPr>
              <w:jc w:val="right"/>
              <w:spacing w:after="0"/>
              <w:rPr>
                <w:sz w:val="20"/>
                <w:szCs w:val="20"/>
                <w:color w:val="auto"/>
              </w:rPr>
            </w:pPr>
            <w:r>
              <w:rPr>
                <w:rFonts w:ascii="Arial" w:cs="Arial" w:eastAsia="Arial" w:hAnsi="Arial"/>
                <w:sz w:val="18"/>
                <w:szCs w:val="18"/>
                <w:color w:val="auto"/>
              </w:rPr>
              <w:t>1/19/2023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2,819,279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Loan #3</w:t>
            </w:r>
          </w:p>
        </w:tc>
        <w:tc>
          <w:tcPr>
            <w:tcW w:w="1780" w:type="dxa"/>
            <w:vAlign w:val="bottom"/>
          </w:tcPr>
          <w:p>
            <w:pPr>
              <w:jc w:val="right"/>
              <w:spacing w:after="0"/>
              <w:rPr>
                <w:sz w:val="20"/>
                <w:szCs w:val="20"/>
                <w:color w:val="auto"/>
              </w:rPr>
            </w:pPr>
            <w:r>
              <w:rPr>
                <w:rFonts w:ascii="Arial" w:cs="Arial" w:eastAsia="Arial" w:hAnsi="Arial"/>
                <w:sz w:val="18"/>
                <w:szCs w:val="18"/>
                <w:color w:val="auto"/>
              </w:rPr>
              <w:t>2/22/2023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3,069,279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Loan #4</w:t>
            </w:r>
          </w:p>
        </w:tc>
        <w:tc>
          <w:tcPr>
            <w:tcW w:w="1780" w:type="dxa"/>
            <w:vAlign w:val="bottom"/>
          </w:tcPr>
          <w:p>
            <w:pPr>
              <w:jc w:val="right"/>
              <w:spacing w:after="0"/>
              <w:rPr>
                <w:sz w:val="20"/>
                <w:szCs w:val="20"/>
                <w:color w:val="auto"/>
              </w:rPr>
            </w:pPr>
            <w:r>
              <w:rPr>
                <w:rFonts w:ascii="Arial" w:cs="Arial" w:eastAsia="Arial" w:hAnsi="Arial"/>
                <w:sz w:val="18"/>
                <w:szCs w:val="18"/>
                <w:color w:val="auto"/>
              </w:rPr>
              <w:t>3/20/2023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3,319,279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Loan #5</w:t>
            </w:r>
          </w:p>
        </w:tc>
        <w:tc>
          <w:tcPr>
            <w:tcW w:w="1780" w:type="dxa"/>
            <w:vAlign w:val="bottom"/>
          </w:tcPr>
          <w:p>
            <w:pPr>
              <w:jc w:val="right"/>
              <w:spacing w:after="0"/>
              <w:rPr>
                <w:sz w:val="20"/>
                <w:szCs w:val="20"/>
                <w:color w:val="auto"/>
              </w:rPr>
            </w:pPr>
            <w:r>
              <w:rPr>
                <w:rFonts w:ascii="Arial" w:cs="Arial" w:eastAsia="Arial" w:hAnsi="Arial"/>
                <w:sz w:val="18"/>
                <w:szCs w:val="18"/>
                <w:color w:val="auto"/>
              </w:rPr>
              <w:t>5/19/2023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3,469,279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6"/>
        </w:trPr>
        <w:tc>
          <w:tcPr>
            <w:tcW w:w="3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333-256677, 333-221645, 333-213017, 333-195612, and 333-151620) of Acura Pharmaceuticals, Inc. of our report dated June 30, 2023, relating to the consolidated financial statements which appears in this Form 10-K. Our report contains an explanatory paragraph regarding the Company’s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2023</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5715</wp:posOffset>
            </wp:positionV>
            <wp:extent cx="30943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2023</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5715</wp:posOffset>
            </wp:positionV>
            <wp:extent cx="30943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ind w:left="8920"/>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 Robert B. Jones, certify, pursuant to 18 U.S.C. 1350, as adopted pursuant to Section 906 of the Sarbanes-Oxley Act of 2002, that the Annual Report on Form 10-K of Acura Pharmaceuticals, Inc. for the fiscal year ended December 31, 2021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June 30, 2023</w:t>
            </w:r>
          </w:p>
        </w:tc>
        <w:tc>
          <w:tcPr>
            <w:tcW w:w="6940" w:type="dxa"/>
            <w:vAlign w:val="bottom"/>
            <w:gridSpan w:val="2"/>
          </w:tcPr>
          <w:p>
            <w:pPr>
              <w:ind w:left="1980"/>
              <w:spacing w:after="0"/>
              <w:rPr>
                <w:sz w:val="20"/>
                <w:szCs w:val="20"/>
                <w:color w:val="auto"/>
              </w:rPr>
            </w:pPr>
            <w:r>
              <w:rPr>
                <w:rFonts w:ascii="Arial" w:cs="Arial" w:eastAsia="Arial" w:hAnsi="Arial"/>
                <w:sz w:val="18"/>
                <w:szCs w:val="18"/>
                <w:color w:val="auto"/>
              </w:rPr>
              <w:t>By: /s/Robert B. Jones</w:t>
            </w:r>
          </w:p>
        </w:tc>
      </w:tr>
      <w:tr>
        <w:trPr>
          <w:trHeight w:val="195"/>
        </w:trPr>
        <w:tc>
          <w:tcPr>
            <w:tcW w:w="2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2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 Peter A. Clemens, certify, pursuant to 18 U.S.C. 1350, as adopted pursuant to Section 906 of the Sarbanes-Oxley Act of 2002, that the Annual Report on Form 10-K of Acura Pharmaceuticals, Inc. for the fiscal year ended December 31, 2021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June 30, 2023</w:t>
            </w:r>
          </w:p>
        </w:tc>
        <w:tc>
          <w:tcPr>
            <w:tcW w:w="6940" w:type="dxa"/>
            <w:vAlign w:val="bottom"/>
            <w:gridSpan w:val="2"/>
          </w:tcPr>
          <w:p>
            <w:pPr>
              <w:ind w:left="1980"/>
              <w:spacing w:after="0"/>
              <w:rPr>
                <w:sz w:val="20"/>
                <w:szCs w:val="20"/>
                <w:color w:val="auto"/>
              </w:rPr>
            </w:pPr>
            <w:r>
              <w:rPr>
                <w:rFonts w:ascii="Arial" w:cs="Arial" w:eastAsia="Arial" w:hAnsi="Arial"/>
                <w:sz w:val="18"/>
                <w:szCs w:val="18"/>
                <w:color w:val="auto"/>
              </w:rPr>
              <w:t>By: /s/Peter A. Clemens</w:t>
            </w:r>
          </w:p>
        </w:tc>
      </w:tr>
      <w:tr>
        <w:trPr>
          <w:trHeight w:val="195"/>
        </w:trPr>
        <w:tc>
          <w:tcPr>
            <w:tcW w:w="2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2980" w:type="dxa"/>
            <w:vAlign w:val="bottom"/>
          </w:tcPr>
          <w:p>
            <w:pPr>
              <w:spacing w:after="0"/>
              <w:rPr>
                <w:sz w:val="20"/>
                <w:szCs w:val="20"/>
                <w:color w:val="auto"/>
              </w:rPr>
            </w:pPr>
          </w:p>
        </w:tc>
        <w:tc>
          <w:tcPr>
            <w:tcW w:w="6940" w:type="dxa"/>
            <w:vAlign w:val="bottom"/>
            <w:gridSpan w:val="2"/>
          </w:tcPr>
          <w:p>
            <w:pPr>
              <w:ind w:left="2320"/>
              <w:spacing w:after="0"/>
              <w:rPr>
                <w:sz w:val="20"/>
                <w:szCs w:val="20"/>
                <w:color w:val="auto"/>
              </w:rPr>
            </w:pPr>
            <w:r>
              <w:rPr>
                <w:rFonts w:ascii="Arial" w:cs="Arial" w:eastAsia="Arial" w:hAnsi="Arial"/>
                <w:sz w:val="18"/>
                <w:szCs w:val="18"/>
                <w:color w:val="auto"/>
              </w:rPr>
              <w:t>Senior Vice President and Chief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bullet"/>
      <w:start w:val="1"/>
    </w:lvl>
  </w:abstractNum>
  <w:abstractNum w:abstractNumId="10">
    <w:nsid w:val="419AC241"/>
    <w:multiLevelType w:val="hybridMultilevel"/>
    <w:lvl w:ilvl="0">
      <w:lvlJc w:val="left"/>
      <w:lvlText w:val="2"/>
      <w:numFmt w:val="bullet"/>
      <w:start w:val="1"/>
    </w:lvl>
  </w:abstractNum>
  <w:abstractNum w:abstractNumId="11">
    <w:nsid w:val="5577F8E1"/>
    <w:multiLevelType w:val="hybridMultilevel"/>
    <w:lvl w:ilvl="0">
      <w:lvlJc w:val="left"/>
      <w:lvlText w:val="1"/>
      <w:numFmt w:val="bullet"/>
      <w:start w:val="1"/>
    </w:lvl>
  </w:abstractNum>
  <w:abstractNum w:abstractNumId="12">
    <w:nsid w:val="440BADFC"/>
    <w:multiLevelType w:val="hybridMultilevel"/>
    <w:lvl w:ilvl="0">
      <w:lvlJc w:val="left"/>
      <w:lvlText w:val="(%1)"/>
      <w:numFmt w:val="decimal"/>
      <w:start w:val="2"/>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3"/>
    </w:lvl>
  </w:abstractNum>
  <w:abstractNum w:abstractNumId="23">
    <w:nsid w:val="153EA438"/>
    <w:multiLevelType w:val="hybridMultilevel"/>
    <w:lvl w:ilvl="0">
      <w:lvlJc w:val="left"/>
      <w:lvlText w:val="(%1)"/>
      <w:numFmt w:val="lowerRoman"/>
      <w:start w:val="5"/>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lowerLetter"/>
      <w:start w:val="1"/>
    </w:lvl>
    <w:lvl w:ilvl="1">
      <w:lvlJc w:val="left"/>
      <w:lvlText w:val="%2."/>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Letter"/>
      <w:start w:val="3"/>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decimal"/>
      <w:start w:val="3"/>
    </w:lvl>
    <w:lvl w:ilvl="1">
      <w:lvlJc w:val="left"/>
      <w:lvlText w:val="(%2)"/>
      <w:numFmt w:val="lowerLetter"/>
      <w:start w:val="1"/>
    </w:lvl>
  </w:abstractNum>
  <w:abstractNum w:abstractNumId="52">
    <w:nsid w:val="649BB77C"/>
    <w:multiLevelType w:val="hybridMultilevel"/>
    <w:lvl w:ilvl="0">
      <w:lvlJc w:val="left"/>
      <w:lvlText w:val="%1"/>
      <w:numFmt w:val="lowerLetter"/>
      <w:start w:val="1"/>
    </w:lvl>
    <w:lvl w:ilvl="1">
      <w:lvlJc w:val="left"/>
      <w:lvlText w:val="(%2)"/>
      <w:numFmt w:val="lowerLetter"/>
      <w:start w:val="4"/>
    </w:lvl>
  </w:abstractNum>
  <w:abstractNum w:abstractNumId="53">
    <w:nsid w:val="275AC794"/>
    <w:multiLevelType w:val="hybridMultilevel"/>
    <w:lvl w:ilvl="0">
      <w:lvlJc w:val="left"/>
      <w:lvlText w:val="(%1)"/>
      <w:numFmt w:val="lowerLetter"/>
      <w:start w:val="5"/>
    </w:lvl>
    <w:lvl w:ilvl="1">
      <w:lvlJc w:val="left"/>
      <w:lvlText w:val="(%2)"/>
      <w:numFmt w:val="lowerLetter"/>
      <w:start w:val="7"/>
    </w:lvl>
  </w:abstractNum>
  <w:abstractNum w:abstractNumId="54">
    <w:nsid w:val="39386575"/>
    <w:multiLevelType w:val="hybridMultilevel"/>
    <w:lvl w:ilvl="0">
      <w:lvlJc w:val="left"/>
      <w:lvlText w:val="%1."/>
      <w:numFmt w:val="decimal"/>
      <w:start w:val="6"/>
    </w:lvl>
  </w:abstractNum>
  <w:abstractNum w:abstractNumId="55">
    <w:nsid w:val="1CF10FD8"/>
    <w:multiLevelType w:val="hybridMultilevel"/>
    <w:lvl w:ilvl="0">
      <w:lvlJc w:val="left"/>
      <w:lvlText w:val="%1."/>
      <w:numFmt w:val="decimal"/>
      <w:start w:val="7"/>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8" Type="http://schemas.openxmlformats.org/officeDocument/2006/relationships/image" Target="media/image88.png"/><Relationship Id="rId127" Type="http://schemas.openxmlformats.org/officeDocument/2006/relationships/image" Target="media/image89.png"/><Relationship Id="rId143" Type="http://schemas.openxmlformats.org/officeDocument/2006/relationships/image" Target="media/image90.png"/><Relationship Id="rId154" Type="http://schemas.openxmlformats.org/officeDocument/2006/relationships/image" Target="media/image91.png"/><Relationship Id="rId155" Type="http://schemas.openxmlformats.org/officeDocument/2006/relationships/image" Target="media/image92.png"/><Relationship Id="rId156" Type="http://schemas.openxmlformats.org/officeDocument/2006/relationships/image" Target="media/image93.png"/><Relationship Id="rId157"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95" Type="http://schemas.openxmlformats.org/officeDocument/2006/relationships/hyperlink" Target="https://www.sec.gov/Archives/edgar/data/786947/000114420409034341/v153020_ex3-1.htm" TargetMode="External"/><Relationship Id="rId96" Type="http://schemas.openxmlformats.org/officeDocument/2006/relationships/hyperlink" Target="https://www.sec.gov/Archives/edgar/data/786947/000114420407065762/v096320_ex3-1.htm" TargetMode="External"/><Relationship Id="rId97" Type="http://schemas.openxmlformats.org/officeDocument/2006/relationships/hyperlink" Target="https://www.sec.gov/Archives/edgar/data/786947/000114420415052383/v419250_ex3-1.htm" TargetMode="External"/><Relationship Id="rId98" Type="http://schemas.openxmlformats.org/officeDocument/2006/relationships/hyperlink" Target="https://www.sec.gov/Archives/edgar/data/786947/000114420418028166/tv493947_ex3-2.htm" TargetMode="External"/><Relationship Id="rId99" Type="http://schemas.openxmlformats.org/officeDocument/2006/relationships/hyperlink" Target="https://www.sec.gov/Archives/edgar/data/786947/000114420416086913/v433718_ex4-1.htm" TargetMode="External"/><Relationship Id="rId100" Type="http://schemas.openxmlformats.org/officeDocument/2006/relationships/hyperlink" Target="https://www.sec.gov/Archives/edgar/data/786947/000114420417038822/v471679_ex4-1.htm" TargetMode="External"/><Relationship Id="rId101" Type="http://schemas.openxmlformats.org/officeDocument/2006/relationships/hyperlink" Target="https://www.sec.gov/Archives/edgar/data/786947/000114420417038822/v471679_ex10-1.htm" TargetMode="External"/><Relationship Id="rId102" Type="http://schemas.openxmlformats.org/officeDocument/2006/relationships/hyperlink" Target="https://www.sec.gov/Archives/edgar/data/786947/000114420414012919/v367838_ex10-8.htm" TargetMode="External"/><Relationship Id="rId103" Type="http://schemas.openxmlformats.org/officeDocument/2006/relationships/hyperlink" Target="https://www.sec.gov/Archives/edgar/data/786947/000114420415013292/v400005_ex10-13.htm" TargetMode="External"/><Relationship Id="rId104" Type="http://schemas.openxmlformats.org/officeDocument/2006/relationships/hyperlink" Target="https://www.sec.gov/Archives/edgar/data/786947/000095012304001491/y93872exv10w5.txt" TargetMode="External"/><Relationship Id="rId105" Type="http://schemas.openxmlformats.org/officeDocument/2006/relationships/hyperlink" Target="https://www.sec.gov/Archives/edgar/data/786947/000114420405034837/v028675_ex10-1.htm" TargetMode="External"/><Relationship Id="rId106" Type="http://schemas.openxmlformats.org/officeDocument/2006/relationships/hyperlink" Target="https://www.sec.gov/Archives/edgar/data/786947/000114420408004376/v100684_ex10-1.htm" TargetMode="External"/><Relationship Id="rId107" Type="http://schemas.openxmlformats.org/officeDocument/2006/relationships/hyperlink" Target="https://www.sec.gov/Archives/edgar/data/786947/000114420412054488/v324997_ex10-1.htm" TargetMode="External"/><Relationship Id="rId109" Type="http://schemas.openxmlformats.org/officeDocument/2006/relationships/hyperlink" Target="https://www.sec.gov/Archives/edgar/data/786947/000114420417039478/v471981_ex10-1.htm" TargetMode="External"/><Relationship Id="rId110" Type="http://schemas.openxmlformats.org/officeDocument/2006/relationships/hyperlink" Target="https://www.sec.gov/Archives/edgar/data/786947/000114420414015111/v370843_def14a.htm#tAPPA" TargetMode="External"/><Relationship Id="rId111" Type="http://schemas.openxmlformats.org/officeDocument/2006/relationships/hyperlink" Target="https://www.sec.gov/Archives/edgar/data/786947/000114420417058998/tv479450_ex10-1.htm" TargetMode="External"/><Relationship Id="rId112" Type="http://schemas.openxmlformats.org/officeDocument/2006/relationships/hyperlink" Target="https://www.sec.gov/Archives/edgar/data/786947/000114420409025736/v148764_def14a.htm" TargetMode="External"/><Relationship Id="rId113" Type="http://schemas.openxmlformats.org/officeDocument/2006/relationships/hyperlink" Target="https://www.sec.gov/Archives/edgar/data/786947/000114420416097159/v438308_ex10-1.htm" TargetMode="External"/><Relationship Id="rId114" Type="http://schemas.openxmlformats.org/officeDocument/2006/relationships/hyperlink" Target="https://www.sec.gov/Archives/edgar/data/786947/0000950123-98-003851-index.html" TargetMode="External"/><Relationship Id="rId115" Type="http://schemas.openxmlformats.org/officeDocument/2006/relationships/hyperlink" Target="https://www.sec.gov/Archives/edgar/data/786947/000114420406007151/ex10-44.htm" TargetMode="External"/><Relationship Id="rId116" Type="http://schemas.openxmlformats.org/officeDocument/2006/relationships/hyperlink" Target="https://www.sec.gov/Archives/edgar/data/786947/000114420405002824/v011996_ex99-1.htm" TargetMode="External"/><Relationship Id="rId117" Type="http://schemas.openxmlformats.org/officeDocument/2006/relationships/hyperlink" Target="https://www.sec.gov/Archives/edgar/data/786947/000114420405040948/v031958_ex99-2.htm" TargetMode="External"/><Relationship Id="rId118" Type="http://schemas.openxmlformats.org/officeDocument/2006/relationships/hyperlink" Target="https://www.sec.gov/Archives/edgar/data/786947/000114420408013490/v105388_ex10-28.htm" TargetMode="External"/><Relationship Id="rId119" Type="http://schemas.openxmlformats.org/officeDocument/2006/relationships/hyperlink" Target="https://www.sec.gov/Archives/edgar/data/786947/000114420408039398/v119471_ex10-4.htm" TargetMode="External"/><Relationship Id="rId120" Type="http://schemas.openxmlformats.org/officeDocument/2006/relationships/hyperlink" Target="https://www.sec.gov/Archives/edgar/data/786947/000114420412068117/v330396_ex10-2.htm" TargetMode="External"/><Relationship Id="rId121" Type="http://schemas.openxmlformats.org/officeDocument/2006/relationships/hyperlink" Target="https://www.sec.gov/Archives/edgar/data/786947/000114420414012919/v367838_ex10-24.htm" TargetMode="External"/><Relationship Id="rId122" Type="http://schemas.openxmlformats.org/officeDocument/2006/relationships/hyperlink" Target="https://www.sec.gov/Archives/edgar/data/786947/000114420408016872/v107633_ex10-1.htm" TargetMode="External"/><Relationship Id="rId123" Type="http://schemas.openxmlformats.org/officeDocument/2006/relationships/hyperlink" Target="https://www.sec.gov/Archives/edgar/data/786947/000114420411042613/v227897_ex10-1.htm" TargetMode="External"/><Relationship Id="rId124" Type="http://schemas.openxmlformats.org/officeDocument/2006/relationships/hyperlink" Target="https://www.sec.gov/Archives/edgar/data/786947/000114420411042613/v227897_ex10-2.htm" TargetMode="External"/><Relationship Id="rId125" Type="http://schemas.openxmlformats.org/officeDocument/2006/relationships/hyperlink" Target="https://www.sec.gov/Archives/edgar/data/786947/000114420412068117/v330396_ex10-1.htm" TargetMode="External"/><Relationship Id="rId126" Type="http://schemas.openxmlformats.org/officeDocument/2006/relationships/hyperlink" Target="https://www.sec.gov/Archives/edgar/data/786947/000114420415040397/v414486_ex10-1.htm" TargetMode="External"/><Relationship Id="rId128" Type="http://schemas.openxmlformats.org/officeDocument/2006/relationships/hyperlink" Target="https://www.sec.gov/Archives/edgar/data/786947/000114420418033269/tv490022_ex10-34.htm" TargetMode="External"/><Relationship Id="rId129" Type="http://schemas.openxmlformats.org/officeDocument/2006/relationships/hyperlink" Target="https://www.sec.gov/Archives/edgar/data/786947/000110465920026512/tm1919463d1_ex10-49.htm" TargetMode="External"/><Relationship Id="rId130" Type="http://schemas.openxmlformats.org/officeDocument/2006/relationships/hyperlink" Target="https://www.sec.gov/Archives/edgar/data/786947/000110465920040632/tm205365d1_ex10-50.htm" TargetMode="External"/><Relationship Id="rId131" Type="http://schemas.openxmlformats.org/officeDocument/2006/relationships/hyperlink" Target="https://www.sec.gov/Archives/edgar/data/786947/000110465920040632/tm205365d1_ex10-51.htm" TargetMode="External"/><Relationship Id="rId132" Type="http://schemas.openxmlformats.org/officeDocument/2006/relationships/hyperlink" Target="https://www.sec.gov/Archives/edgar/data/786947/000110465920040632/tm205365d1_ex10-52.htm" TargetMode="External"/><Relationship Id="rId133" Type="http://schemas.openxmlformats.org/officeDocument/2006/relationships/hyperlink" Target="https://www.sec.gov/Archives/edgar/data/786947/000110465921044760/tm211138d1_ex10-53.htm" TargetMode="External"/><Relationship Id="rId134" Type="http://schemas.openxmlformats.org/officeDocument/2006/relationships/hyperlink" Target="https://www.sec.gov/Archives/edgar/data/786947/000110465921153930/tm2136436d1_ex99-1.htm" TargetMode="External"/><Relationship Id="rId135" Type="http://schemas.openxmlformats.org/officeDocument/2006/relationships/hyperlink" Target="https://www.sec.gov/Archives/edgar/data/786947/000110465922000900/tm221467d1_ex99-1.htm" TargetMode="External"/><Relationship Id="rId136" Type="http://schemas.openxmlformats.org/officeDocument/2006/relationships/hyperlink" Target="https://www.sec.gov/Archives/edgar/data/786947/000110465922010302/tm221467d1_ex99-1.htm" TargetMode="External"/><Relationship Id="rId137" Type="http://schemas.openxmlformats.org/officeDocument/2006/relationships/hyperlink" Target="https://www.sec.gov/Archives/edgar/data/786947/000110465922042191/tm2211355s1_ex99-1.htm" TargetMode="External"/><Relationship Id="rId138" Type="http://schemas.openxmlformats.org/officeDocument/2006/relationships/hyperlink" Target="https://www.sec.gov/Archives/edgar/data/786947/000110465922054651/tm2214211d1_ex99-1.htm" TargetMode="External"/><Relationship Id="rId139" Type="http://schemas.openxmlformats.org/officeDocument/2006/relationships/hyperlink" Target="https://www.sec.gov/Archives/edgar/data/786947/000110465922063843/tm2216647d1_ex99-1.htm" TargetMode="External"/><Relationship Id="rId140" Type="http://schemas.openxmlformats.org/officeDocument/2006/relationships/hyperlink" Target="https://www.sec.gov/Archives/edgar/data/786947/000110465922070376/tm2218253d1_ex99-1.htm" TargetMode="External"/><Relationship Id="rId141" Type="http://schemas.openxmlformats.org/officeDocument/2006/relationships/hyperlink" Target="https://www.sec.gov/Archives/edgar/data/786947/000110465922078727/tm2220800d1_ex99-1.htm" TargetMode="External"/><Relationship Id="rId142" Type="http://schemas.openxmlformats.org/officeDocument/2006/relationships/hyperlink" Target="https://www.sec.gov/Archives/edgar/data/786947/000110465922080844/tm2221367d1_ex99-1.htm" TargetMode="External"/><Relationship Id="rId144" Type="http://schemas.openxmlformats.org/officeDocument/2006/relationships/hyperlink" Target="https://www.sec.gov/Archives/edgar/data/786947/000110465922094995/tm2224655d1_ex99-1.htm" TargetMode="External"/><Relationship Id="rId145" Type="http://schemas.openxmlformats.org/officeDocument/2006/relationships/hyperlink" Target="https://www.sec.gov/Archives/edgar/data/786947/000110465922103010/tm2226674d1_ex99-1.htm" TargetMode="External"/><Relationship Id="rId146" Type="http://schemas.openxmlformats.org/officeDocument/2006/relationships/hyperlink" Target="https://www.sec.gov/Archives/edgar/data/786947/000110465922109057/tm2228299d1_ex99-1.htm" TargetMode="External"/><Relationship Id="rId147" Type="http://schemas.openxmlformats.org/officeDocument/2006/relationships/hyperlink" Target="https://www.sec.gov/Archives/edgar/data/786947/000110465922130204/tm2233547d1_ex99-2.htm" TargetMode="External"/><Relationship Id="rId148" Type="http://schemas.openxmlformats.org/officeDocument/2006/relationships/hyperlink" Target="https://www.sec.gov/Archives/edgar/data/786947/000110465922130204/tm2233547d1_ex99-1.htm" TargetMode="External"/><Relationship Id="rId149" Type="http://schemas.openxmlformats.org/officeDocument/2006/relationships/hyperlink" Target="https://www.sec.gov/Archives/edgar/data/786947/000110465922130204/tm2233547d1_ex99-3.htm" TargetMode="External"/><Relationship Id="rId150" Type="http://schemas.openxmlformats.org/officeDocument/2006/relationships/hyperlink" Target="https://www.sec.gov/Archives/edgar/data/786947/000110465921049192/tm2112465d1_def14a.htm#a14_049" TargetMode="External"/><Relationship Id="rId151" Type="http://schemas.openxmlformats.org/officeDocument/2006/relationships/hyperlink" Target="https://www.sec.gov/Archives/edgar/data/786947/000110465923075567/tm2319783d1_ex99-1.htm" TargetMode="External"/><Relationship Id="rId152" Type="http://schemas.openxmlformats.org/officeDocument/2006/relationships/hyperlink" Target="https://www.sec.gov/Archives/edgar/data/786947/000114420407066585/v096766_ex14-1.htm" TargetMode="External"/><Relationship Id="rId153" Type="http://schemas.openxmlformats.org/officeDocument/2006/relationships/hyperlink" Target="https://www.sec.gov/Archives/edgar/data/786947/000114420407012867/v06837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2023-06-30T12:07:16Z</dcterms:created>
  <dcterms:modified xsi:type="dcterms:W3CDTF">2023-06-30T12:07:16Z</dcterms:modified>
</cp:coreProperties>
</file>