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07" w:lineRule="exact"/>
        <w:rPr>
          <w:sz w:val="24"/>
          <w:szCs w:val="24"/>
          <w:color w:val="auto"/>
        </w:rPr>
      </w:pPr>
    </w:p>
    <w:p>
      <w:pPr>
        <w:ind w:left="54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jc w:val="center"/>
        <w:ind w:left="4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126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-794385</wp:posOffset>
            </wp:positionH>
            <wp:positionV relativeFrom="paragraph">
              <wp:posOffset>-339725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-305435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260"/>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4"/>
          <w:szCs w:val="24"/>
          <w:color w:val="auto"/>
        </w:rPr>
      </w:pPr>
    </w:p>
    <w:p>
      <w:pPr>
        <w:spacing w:after="0" w:line="241" w:lineRule="exact"/>
        <w:rPr>
          <w:sz w:val="24"/>
          <w:szCs w:val="24"/>
          <w:color w:val="auto"/>
        </w:rPr>
      </w:pPr>
    </w:p>
    <w:p>
      <w:pPr>
        <w:ind w:right="2340"/>
        <w:spacing w:after="0" w:line="261"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jc w:val="center"/>
        <w:ind w:right="126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860"/>
        <w:spacing w:after="0" w:line="250"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Commission file number 1-10113</w:t>
      </w:r>
    </w:p>
    <w:p>
      <w:pPr>
        <w:spacing w:after="0" w:line="200" w:lineRule="exact"/>
        <w:rPr>
          <w:sz w:val="24"/>
          <w:szCs w:val="24"/>
          <w:color w:val="auto"/>
        </w:rPr>
      </w:pPr>
    </w:p>
    <w:p>
      <w:pPr>
        <w:sectPr>
          <w:pgSz w:w="11900" w:h="16895" w:orient="portrait"/>
          <w:cols w:equalWidth="0" w:num="2">
            <w:col w:w="860" w:space="400"/>
            <w:col w:w="10000"/>
          </w:cols>
          <w:pgMar w:left="320" w:top="774" w:right="319" w:bottom="0" w:gutter="0" w:footer="0" w:header="0"/>
        </w:sectPr>
      </w:pP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New York</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380" w:type="dxa"/>
            <w:vAlign w:val="bottom"/>
          </w:tcPr>
          <w:p>
            <w:pPr>
              <w:jc w:val="center"/>
              <w:ind w:right="9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380" w:type="dxa"/>
            <w:vAlign w:val="bottom"/>
          </w:tcPr>
          <w:p>
            <w:pPr>
              <w:jc w:val="center"/>
              <w:ind w:right="970"/>
              <w:spacing w:after="0"/>
              <w:rPr>
                <w:sz w:val="20"/>
                <w:szCs w:val="20"/>
                <w:color w:val="auto"/>
              </w:rPr>
            </w:pPr>
            <w:r>
              <w:rPr>
                <w:rFonts w:ascii="Arial" w:cs="Arial" w:eastAsia="Arial" w:hAnsi="Arial"/>
                <w:sz w:val="18"/>
                <w:szCs w:val="18"/>
                <w:color w:val="auto"/>
                <w:w w:val="93"/>
              </w:rPr>
              <w:t>(Address of principal administrative office)</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p>
      <w:pPr>
        <w:sectPr>
          <w:pgSz w:w="11900" w:h="16895" w:orient="portrait"/>
          <w:cols w:equalWidth="0" w:num="1">
            <w:col w:w="11260"/>
          </w:cols>
          <w:pgMar w:left="320" w:top="774" w:right="319" w:bottom="0" w:gutter="0" w:footer="0" w:header="0"/>
          <w:type w:val="continuous"/>
        </w:sectPr>
      </w:pPr>
    </w:p>
    <w:p>
      <w:pPr>
        <w:spacing w:after="0" w:line="225"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62"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N/A</w:t>
      </w:r>
    </w:p>
    <w:p>
      <w:pPr>
        <w:spacing w:after="0" w:line="200" w:lineRule="exact"/>
        <w:rPr>
          <w:sz w:val="24"/>
          <w:szCs w:val="24"/>
          <w:color w:val="auto"/>
        </w:rPr>
      </w:pPr>
    </w:p>
    <w:p>
      <w:pPr>
        <w:sectPr>
          <w:pgSz w:w="11900" w:h="16895" w:orient="portrait"/>
          <w:cols w:equalWidth="0" w:num="2">
            <w:col w:w="6020" w:space="720"/>
            <w:col w:w="4520"/>
          </w:cols>
          <w:pgMar w:left="320" w:top="774" w:right="319" w:bottom="0" w:gutter="0" w:footer="0" w:header="0"/>
          <w:type w:val="continuous"/>
        </w:sectPr>
      </w:pP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Common Stock, par value $0.01 per share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spacing w:after="0" w:line="207" w:lineRule="exact"/>
        <w:tabs>
          <w:tab w:leader="none" w:pos="5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51" w:lineRule="exact"/>
        <w:rPr>
          <w:sz w:val="24"/>
          <w:szCs w:val="24"/>
          <w:color w:val="auto"/>
        </w:rPr>
      </w:pPr>
    </w:p>
    <w:p>
      <w:pPr>
        <w:spacing w:after="0" w:line="207" w:lineRule="exact"/>
        <w:tabs>
          <w:tab w:leader="none" w:pos="5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9" w:lineRule="exact"/>
        <w:rPr>
          <w:sz w:val="24"/>
          <w:szCs w:val="24"/>
          <w:color w:val="auto"/>
        </w:rPr>
      </w:pPr>
    </w:p>
    <w:p>
      <w:pPr>
        <w:ind w:left="5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16"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Based on the last sale price on the OTCQB Market of the Common Stock of $0.1410 on June 28, 2019 (the last business day of the registrant’s most recently completed second fiscal quarter), the aggregate market value of the voting stock held by non-affiliates of the registrant was approximately $1.0 million.</w:t>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Ticker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OTCQB Market</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March 30, 2020, the registrant had 21,650,294 shares of Common Stock, par value $0.01, outstanding.</w:t>
      </w:r>
    </w:p>
    <w:p>
      <w:pPr>
        <w:sectPr>
          <w:pgSz w:w="11900" w:h="16895" w:orient="portrait"/>
          <w:cols w:equalWidth="0" w:num="1">
            <w:col w:w="11260"/>
          </w:cols>
          <w:pgMar w:left="320" w:top="774"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4"/>
          </w:tcPr>
          <w:p>
            <w:pPr>
              <w:jc w:val="center"/>
              <w:ind w:right="3340"/>
              <w:spacing w:after="0"/>
              <w:rPr>
                <w:sz w:val="20"/>
                <w:szCs w:val="20"/>
                <w:color w:val="auto"/>
              </w:rPr>
            </w:pPr>
            <w:r>
              <w:rPr>
                <w:rFonts w:ascii="Arial" w:cs="Arial" w:eastAsia="Arial" w:hAnsi="Arial"/>
                <w:sz w:val="18"/>
                <w:szCs w:val="18"/>
                <w:b w:val="1"/>
                <w:bCs w:val="1"/>
                <w:color w:val="auto"/>
                <w:w w:val="91"/>
              </w:rPr>
              <w:t>Acura Pharmaceuticals, Inc.</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60" w:type="dxa"/>
            <w:vAlign w:val="bottom"/>
            <w:gridSpan w:val="14"/>
          </w:tcPr>
          <w:p>
            <w:pPr>
              <w:jc w:val="center"/>
              <w:ind w:right="3320"/>
              <w:spacing w:after="0"/>
              <w:rPr>
                <w:sz w:val="20"/>
                <w:szCs w:val="20"/>
                <w:color w:val="auto"/>
              </w:rPr>
            </w:pPr>
            <w:r>
              <w:rPr>
                <w:rFonts w:ascii="Arial" w:cs="Arial" w:eastAsia="Arial" w:hAnsi="Arial"/>
                <w:sz w:val="18"/>
                <w:szCs w:val="18"/>
                <w:b w:val="1"/>
                <w:bCs w:val="1"/>
                <w:color w:val="auto"/>
                <w:w w:val="96"/>
              </w:rPr>
              <w:t>Form 10-K</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7"/>
          </w:tcPr>
          <w:p>
            <w:pPr>
              <w:jc w:val="center"/>
              <w:ind w:right="2040"/>
              <w:spacing w:after="0"/>
              <w:rPr>
                <w:sz w:val="20"/>
                <w:szCs w:val="20"/>
                <w:color w:val="auto"/>
              </w:rPr>
            </w:pPr>
            <w:r>
              <w:rPr>
                <w:rFonts w:ascii="Arial" w:cs="Arial" w:eastAsia="Arial" w:hAnsi="Arial"/>
                <w:sz w:val="18"/>
                <w:szCs w:val="18"/>
                <w:b w:val="1"/>
                <w:bCs w:val="1"/>
                <w:color w:val="auto"/>
                <w:w w:val="90"/>
              </w:rPr>
              <w:t>For the Fiscal Year Ended December 31, 2019</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60" w:type="dxa"/>
            <w:vAlign w:val="bottom"/>
            <w:gridSpan w:val="14"/>
          </w:tcPr>
          <w:p>
            <w:pPr>
              <w:jc w:val="center"/>
              <w:ind w:right="3340"/>
              <w:spacing w:after="0"/>
              <w:rPr>
                <w:sz w:val="20"/>
                <w:szCs w:val="20"/>
                <w:color w:val="auto"/>
              </w:rPr>
            </w:pPr>
            <w:r>
              <w:rPr>
                <w:rFonts w:ascii="Arial" w:cs="Arial" w:eastAsia="Arial" w:hAnsi="Arial"/>
                <w:sz w:val="18"/>
                <w:szCs w:val="18"/>
                <w:b w:val="1"/>
                <w:bCs w:val="1"/>
                <w:color w:val="auto"/>
                <w:w w:val="89"/>
              </w:rPr>
              <w:t>Table of Contents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7"/>
              </w:rPr>
              <w:t>PAGE</w:t>
            </w:r>
          </w:p>
        </w:tc>
      </w:tr>
      <w:tr>
        <w:trPr>
          <w:trHeight w:val="189"/>
        </w:trPr>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0000EE"/>
            </w:tcBorders>
            <w:gridSpan w:val="2"/>
            <w:shd w:val="clear" w:color="auto" w:fill="CCEEFF"/>
          </w:tcPr>
          <w:p>
            <w:pPr>
              <w:jc w:val="center"/>
              <w:spacing w:after="0" w:line="169"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4220" w:type="dxa"/>
            <w:vAlign w:val="bottom"/>
            <w:tcBorders>
              <w:bottom w:val="single" w:sz="8" w:color="CCEEFF"/>
            </w:tcBorders>
            <w:gridSpan w:val="8"/>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40" w:type="dxa"/>
            <w:vAlign w:val="bottom"/>
            <w:gridSpan w:val="4"/>
          </w:tcPr>
          <w:p>
            <w:pPr>
              <w:jc w:val="center"/>
              <w:ind w:left="39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48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c>
          <w:tcPr>
            <w:tcW w:w="480" w:type="dxa"/>
            <w:vAlign w:val="bottom"/>
            <w:shd w:val="clear" w:color="auto" w:fill="CCEEFF"/>
          </w:tcPr>
          <w:p>
            <w:pPr>
              <w:spacing w:after="0"/>
              <w:rPr>
                <w:sz w:val="15"/>
                <w:szCs w:val="15"/>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3"/>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1B.</w:t>
              </w:r>
            </w:hyperlink>
          </w:p>
        </w:tc>
        <w:tc>
          <w:tcPr>
            <w:tcW w:w="500" w:type="dxa"/>
            <w:vAlign w:val="bottom"/>
          </w:tcPr>
          <w:p>
            <w:pPr>
              <w:spacing w:after="0"/>
              <w:rPr>
                <w:sz w:val="15"/>
                <w:szCs w:val="15"/>
                <w:color w:val="auto"/>
              </w:rPr>
            </w:pPr>
          </w:p>
        </w:tc>
        <w:tc>
          <w:tcPr>
            <w:tcW w:w="8980" w:type="dxa"/>
            <w:vAlign w:val="bottom"/>
            <w:gridSpan w:val="27"/>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48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620" w:type="dxa"/>
            <w:vAlign w:val="bottom"/>
            <w:tcBorders>
              <w:bottom w:val="single" w:sz="8" w:color="CCEEFF"/>
            </w:tcBorders>
            <w:gridSpan w:val="3"/>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Properties</w:t>
              </w:r>
            </w:hyperlink>
          </w:p>
        </w:tc>
        <w:tc>
          <w:tcPr>
            <w:tcW w:w="8240" w:type="dxa"/>
            <w:vAlign w:val="bottom"/>
            <w:tcBorders>
              <w:bottom w:val="single" w:sz="8" w:color="CCEEFF"/>
            </w:tcBorders>
            <w:gridSpan w:val="25"/>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4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48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480" w:type="dxa"/>
            <w:vAlign w:val="bottom"/>
            <w:shd w:val="clear" w:color="auto" w:fill="CCEEFF"/>
          </w:tcPr>
          <w:p>
            <w:pPr>
              <w:spacing w:after="0"/>
              <w:rPr>
                <w:sz w:val="17"/>
                <w:szCs w:val="17"/>
                <w:color w:val="auto"/>
              </w:rPr>
            </w:pPr>
          </w:p>
        </w:tc>
      </w:tr>
      <w:tr>
        <w:trPr>
          <w:trHeight w:val="176"/>
        </w:trPr>
        <w:tc>
          <w:tcPr>
            <w:tcW w:w="52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820" w:type="dxa"/>
            <w:vAlign w:val="bottom"/>
            <w:tcBorders>
              <w:top w:val="single" w:sz="8" w:color="CCEEFF"/>
            </w:tcBorders>
            <w:gridSpan w:val="12"/>
          </w:tcPr>
          <w:p>
            <w:pPr>
              <w:jc w:val="center"/>
              <w:ind w:right="4160"/>
              <w:spacing w:after="0" w:line="17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PART II</w:t>
              </w:r>
            </w:hyperlink>
          </w:p>
        </w:tc>
        <w:tc>
          <w:tcPr>
            <w:tcW w:w="460" w:type="dxa"/>
            <w:vAlign w:val="bottom"/>
            <w:tcBorders>
              <w:top w:val="single" w:sz="8" w:color="CCEEFF"/>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620" w:type="dxa"/>
            <w:vAlign w:val="bottom"/>
            <w:tcBorders>
              <w:bottom w:val="single" w:sz="8" w:color="CCEEFF"/>
            </w:tcBorders>
            <w:gridSpan w:val="3"/>
            <w:shd w:val="clear" w:color="auto" w:fill="CCEEFF"/>
          </w:tcPr>
          <w:p>
            <w:pPr>
              <w:spacing w:after="0"/>
              <w:rPr>
                <w:sz w:val="17"/>
                <w:szCs w:val="17"/>
                <w:color w:val="auto"/>
              </w:rPr>
            </w:pPr>
          </w:p>
        </w:tc>
        <w:tc>
          <w:tcPr>
            <w:tcW w:w="80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Market for Registrant’s Common Equity, Related Stockholder Matters and Issuer Purchases of Equity Securities</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48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6.</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c>
          <w:tcPr>
            <w:tcW w:w="48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7.</w:t>
              </w:r>
            </w:hyperlink>
          </w:p>
        </w:tc>
        <w:tc>
          <w:tcPr>
            <w:tcW w:w="62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tcBorders>
              <w:bottom w:val="single" w:sz="8" w:color="CCEEFF"/>
            </w:tcBorders>
            <w:gridSpan w:val="3"/>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c>
          <w:tcPr>
            <w:tcW w:w="4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7A.</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c>
          <w:tcPr>
            <w:tcW w:w="48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8.</w:t>
              </w:r>
            </w:hyperlink>
          </w:p>
        </w:tc>
        <w:tc>
          <w:tcPr>
            <w:tcW w:w="620" w:type="dxa"/>
            <w:vAlign w:val="bottom"/>
            <w:gridSpan w:val="3"/>
            <w:shd w:val="clear" w:color="auto" w:fill="CCEEFF"/>
          </w:tcPr>
          <w:p>
            <w:pPr>
              <w:spacing w:after="0"/>
              <w:rPr>
                <w:sz w:val="15"/>
                <w:szCs w:val="15"/>
                <w:color w:val="auto"/>
              </w:rPr>
            </w:pPr>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480" w:type="dxa"/>
            <w:vAlign w:val="bottom"/>
            <w:shd w:val="clear" w:color="auto" w:fill="CCEEFF"/>
          </w:tcPr>
          <w:p>
            <w:pPr>
              <w:spacing w:after="0"/>
              <w:rPr>
                <w:sz w:val="15"/>
                <w:szCs w:val="15"/>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9.</w:t>
              </w:r>
            </w:hyperlink>
          </w:p>
        </w:tc>
        <w:tc>
          <w:tcPr>
            <w:tcW w:w="620" w:type="dxa"/>
            <w:vAlign w:val="bottom"/>
            <w:gridSpan w:val="3"/>
          </w:tcPr>
          <w:p>
            <w:pPr>
              <w:spacing w:after="0"/>
              <w:rPr>
                <w:sz w:val="15"/>
                <w:szCs w:val="15"/>
                <w:color w:val="auto"/>
              </w:rPr>
            </w:pPr>
          </w:p>
        </w:tc>
        <w:tc>
          <w:tcPr>
            <w:tcW w:w="8980" w:type="dxa"/>
            <w:vAlign w:val="bottom"/>
            <w:gridSpan w:val="27"/>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 with Accountants on Accounting and Financial Disclosure</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48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9A.</w:t>
              </w:r>
            </w:hyperlink>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480" w:type="dxa"/>
            <w:vAlign w:val="bottom"/>
            <w:shd w:val="clear" w:color="auto" w:fill="CCEEFF"/>
          </w:tcPr>
          <w:p>
            <w:pPr>
              <w:spacing w:after="0"/>
              <w:rPr>
                <w:sz w:val="17"/>
                <w:szCs w:val="17"/>
                <w:color w:val="auto"/>
              </w:rPr>
            </w:pPr>
          </w:p>
        </w:tc>
      </w:tr>
      <w:tr>
        <w:trPr>
          <w:trHeight w:val="176"/>
        </w:trPr>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9B.</w:t>
              </w:r>
            </w:hyperlink>
          </w:p>
        </w:tc>
        <w:tc>
          <w:tcPr>
            <w:tcW w:w="500" w:type="dxa"/>
            <w:vAlign w:val="bottom"/>
            <w:tcBorders>
              <w:top w:val="single" w:sz="8" w:color="CCEEFF"/>
            </w:tcBorders>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7200" w:type="dxa"/>
            <w:vAlign w:val="bottom"/>
            <w:tcBorders>
              <w:top w:val="single" w:sz="8" w:color="CCEEFF"/>
            </w:tcBorders>
            <w:gridSpan w:val="19"/>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c>
          <w:tcPr>
            <w:tcW w:w="480" w:type="dxa"/>
            <w:vAlign w:val="bottom"/>
            <w:tcBorders>
              <w:top w:val="single" w:sz="8" w:color="CCEEFF"/>
            </w:tcBorders>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PART III</w:t>
              </w:r>
            </w:hyperlink>
          </w:p>
        </w:tc>
        <w:tc>
          <w:tcPr>
            <w:tcW w:w="4160" w:type="dxa"/>
            <w:vAlign w:val="bottom"/>
            <w:tcBorders>
              <w:bottom w:val="single" w:sz="8" w:color="CCEEFF"/>
            </w:tcBorders>
            <w:gridSpan w:val="6"/>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10.</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c>
          <w:tcPr>
            <w:tcW w:w="48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11.</w:t>
              </w:r>
            </w:hyperlink>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c>
          <w:tcPr>
            <w:tcW w:w="480" w:type="dxa"/>
            <w:vAlign w:val="bottom"/>
            <w:shd w:val="clear" w:color="auto" w:fill="CCEEFF"/>
          </w:tcPr>
          <w:p>
            <w:pPr>
              <w:spacing w:after="0"/>
              <w:rPr>
                <w:sz w:val="15"/>
                <w:szCs w:val="15"/>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12.</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77</w:t>
              </w:r>
            </w:hyperlink>
          </w:p>
        </w:tc>
        <w:tc>
          <w:tcPr>
            <w:tcW w:w="48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13.</w:t>
              </w:r>
            </w:hyperlink>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79</w:t>
              </w:r>
            </w:hyperlink>
          </w:p>
        </w:tc>
        <w:tc>
          <w:tcPr>
            <w:tcW w:w="480" w:type="dxa"/>
            <w:vAlign w:val="bottom"/>
            <w:shd w:val="clear" w:color="auto" w:fill="CCEEFF"/>
          </w:tcPr>
          <w:p>
            <w:pPr>
              <w:spacing w:after="0"/>
              <w:rPr>
                <w:sz w:val="15"/>
                <w:szCs w:val="15"/>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14.</w:t>
              </w:r>
            </w:hyperlink>
          </w:p>
        </w:tc>
        <w:tc>
          <w:tcPr>
            <w:tcW w:w="8980" w:type="dxa"/>
            <w:vAlign w:val="bottom"/>
            <w:gridSpan w:val="27"/>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Accounting Fees and Services</w:t>
              </w:r>
            </w:hyperlink>
          </w:p>
        </w:tc>
        <w:tc>
          <w:tcPr>
            <w:tcW w:w="640" w:type="dxa"/>
            <w:vAlign w:val="bottom"/>
            <w:gridSpan w:val="4"/>
          </w:tcPr>
          <w:p>
            <w:pPr>
              <w:jc w:val="center"/>
              <w:ind w:left="370"/>
              <w:spacing w:after="0" w:line="17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81</w:t>
              </w:r>
            </w:hyperlink>
          </w:p>
        </w:tc>
        <w:tc>
          <w:tcPr>
            <w:tcW w:w="48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80" w:type="dxa"/>
            <w:vAlign w:val="bottom"/>
            <w:gridSpan w:val="13"/>
            <w:shd w:val="clear" w:color="auto" w:fill="CCEEFF"/>
          </w:tcPr>
          <w:p>
            <w:pPr>
              <w:jc w:val="center"/>
              <w:ind w:right="4100"/>
              <w:spacing w:after="0" w:line="17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PART IV</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75"/>
        </w:trPr>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15.</w:t>
              </w:r>
            </w:hyperlink>
          </w:p>
        </w:tc>
        <w:tc>
          <w:tcPr>
            <w:tcW w:w="4160" w:type="dxa"/>
            <w:vAlign w:val="bottom"/>
            <w:tcBorders>
              <w:top w:val="single" w:sz="8" w:color="CCEEFF"/>
            </w:tcBorders>
            <w:gridSpan w:val="1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6"/>
          </w:tcPr>
          <w:p>
            <w:pPr>
              <w:spacing w:after="0"/>
              <w:rPr>
                <w:sz w:val="15"/>
                <w:szCs w:val="15"/>
                <w:color w:val="auto"/>
              </w:rPr>
            </w:pPr>
          </w:p>
        </w:tc>
        <w:tc>
          <w:tcPr>
            <w:tcW w:w="416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gridSpan w:val="4"/>
          </w:tcPr>
          <w:p>
            <w:pPr>
              <w:jc w:val="center"/>
              <w:ind w:left="370"/>
              <w:spacing w:after="0" w:line="17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480" w:type="dxa"/>
            <w:vAlign w:val="bottom"/>
            <w:tcBorders>
              <w:top w:val="single" w:sz="8" w:color="CCEEFF"/>
            </w:tcBorders>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16.</w:t>
              </w:r>
            </w:hyperlink>
          </w:p>
        </w:tc>
        <w:tc>
          <w:tcPr>
            <w:tcW w:w="8980" w:type="dxa"/>
            <w:vAlign w:val="bottom"/>
            <w:gridSpan w:val="27"/>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640" w:type="dxa"/>
            <w:vAlign w:val="bottom"/>
            <w:gridSpan w:val="4"/>
            <w:shd w:val="clear" w:color="auto" w:fill="CCEEFF"/>
          </w:tcPr>
          <w:p>
            <w:pPr>
              <w:jc w:val="center"/>
              <w:ind w:left="370"/>
              <w:spacing w:after="0" w:line="17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480" w:type="dxa"/>
            <w:vAlign w:val="bottom"/>
            <w:shd w:val="clear" w:color="auto" w:fill="CCEEFF"/>
          </w:tcPr>
          <w:p>
            <w:pPr>
              <w:spacing w:after="0"/>
              <w:rPr>
                <w:sz w:val="15"/>
                <w:szCs w:val="15"/>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Zyla Life Sciences’ or Zyla (formerly known as Egalet Corporation) for Oxaydo;</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00" w:right="20" w:hanging="168"/>
        <w:spacing w:after="0" w:line="26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Oxaydo or our Aversion, Impede and LIMITx products will ultimately deter abuse in commercial settings and whether our Nexafed products and Impede Technology product candidates will disrupt the processing of pseudoephedrine into methamphetamine.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auto"/>
        </w:rPr>
        <w:t>In some cases, you can identify forward-looking statements by terms such as “anticipate,” “believe,” “continue,” “could,” “estimate,” “expect,” “indicate,” “intend,” “look forward to,” “may,” “plan,” “potential,” “predict,” “project,” “should,” “suggest,” “target,” “will,” “would,” and other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drug delivery company engaged in the research, development and commercialization of technologies and products intended to address safe use of medications. We have discovered or are developing three proprietary platform technologies which can be used to develop multiple products. Our LIMITx™ Technology is being developed to minimize the risks associated with drug overdose, our Aversion® Technology is intended to address methods of abuse associated with opioid analgesics while our Impede® Technology is directed at minimizing the extraction and conversion of pseudoephedrine, or PSE, into methamphetamine.</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LIMITx Technology is development stage technology designed to retard the release of active drug ingredients when too many tablets are accidentally or purposefully ingested by neutralizing stomach acid with buffer ingredients but deliver efficacious amounts of drug when taken as a single tablet with a nominal buffer dose. This is accomplished by binding the active ingredient in an acid soluble micro-particle and combining the micro-particles with a buffering (antacid) agent into a tablet. As more tablets are introduced into the GI tract, the stomach pH is increased and the dissolution of the micro-particles is compromised. FDA draft guidance on opioids specifically highlights the benefits of the risk mitigation of opioid overdose which we believe our LIMITx technology addresses. We have completed four clinical studies of various product formulations utilizing the LIMITx Technology which have demonstrated proof-of-concept for the LIMITx Technology and will allow us to advance a product to development for a New Drug Application, or NDA. Study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We intend to advance LTX-03, which combines the hydrocodone micro-particles, acetaminophen and buffer ingredients into a single tablet, as our lead LIMITx product candidate due to its larger market size and its known prevalence of oral excessive tablet abuse,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and completion of development of LTX-03. The Agreement grants AD Pharma exclusive commercialization rights in the United States to LTX-03.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All opioids are labeled for respiratory depression/death risk of overdose. According to the CDC, suicide deaths in the US increased 25% to 45,000 from 1999 to 2016 with over half having no prior mental health symptoms. Approximately 15% of suicides are due to poisoning, which includes opioid overdosing. The prevalence of chronic pain in suicide decedents topped 10% in 2014. Forensic data for hydrocodone deaths indicates the median blood level at the time of death is 16 fold the maximum blood level (Cmax) for a 10mg hydrocodone dose. The physiology of opioid induced respiratory depression has been described in animal models. The correlation between Cmax and respiratory depression and death has not been documented although Acura has completed a small animal study demonstrating an association between opioid Cmax and onset of acute respiratory depression which increases the probability of death.</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Oxaydo Tablets (oxycodone HCl, CII), which utilizes our Aversion Technology, is the first FDA approved immediate-release oxycodone product in the United States with abuse deterrent labeling. On January 7, 2015, we entered into a Collaboration and License Agreement with Egalet US, Inc. and Egalet Ltd., each a subsidiary of Egalet Corporation (now known as Zyla Life Sciences), or collectively Zyla, pursuant to which we exclusively licensed to Zyla worldwide rights to manufacture and commercialize Oxaydo. Oxaydo is currently approved by the U. S. Food and Drug Administration, or FDA, for marketing in the United States in 5mg and 7.5mg strengths. Zyla launched Oxaydo in the United States late in the third quarter of 2015 and we are receiving royalties on net sales. We are not actively developing product candidates utilizing our Aversion Technology.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According to IMS Health, in 2016, sales in the immediate-release opioid product segment, where our products are expected to compete, were approximately 194 million prescriptions, of which approximately 95% was attributable to generic products with no known safety features.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Nexafed, our first Impede Technology product, was launched into the United States market in December 2012 and Nexafed Sinus Pressure + Pain product was introduced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John Schutte (Mr. Schutte), who became our largest shareholder pursuant to a private placement completed in July 2017. On January 1, 2020, MainPointe assigned to AD Pharma, all of its right, title and interest in the Agreement between MainPointe and Acura dated March 16, 2017. We understand MainPointe continues to market the Nexafed products for AD Pharma. We are not actively developing product candidates utilizing our Impede Technology.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 research, development, laboratory, non-commercial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safe use of pharmaceuticals by developing a broad portfolio of technologies and products with enhanced safety features and benefits. Specifically, we intend to:</w:t>
      </w:r>
    </w:p>
    <w:p>
      <w:pPr>
        <w:spacing w:after="0" w:line="170" w:lineRule="exact"/>
        <w:rPr>
          <w:sz w:val="20"/>
          <w:szCs w:val="20"/>
          <w:color w:val="auto"/>
        </w:rPr>
      </w:pPr>
    </w:p>
    <w:p>
      <w:pPr>
        <w:jc w:val="both"/>
        <w:ind w:left="580" w:hanging="248"/>
        <w:spacing w:after="0" w:line="25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innovative drug delivery technologies that address medication safety</w:t>
      </w:r>
      <w:r>
        <w:rPr>
          <w:rFonts w:ascii="Arial" w:cs="Arial" w:eastAsia="Arial" w:hAnsi="Arial"/>
          <w:sz w:val="18"/>
          <w:szCs w:val="18"/>
          <w:color w:val="auto"/>
        </w:rPr>
        <w:t>. We have one FDA approved product containing our Aversion Technology commercially launched in the United States by our licensee, and</w:t>
      </w:r>
      <w:r>
        <w:rPr>
          <w:rFonts w:ascii="Arial" w:cs="Arial" w:eastAsia="Arial" w:hAnsi="Arial"/>
          <w:sz w:val="18"/>
          <w:szCs w:val="18"/>
          <w:i w:val="1"/>
          <w:iCs w:val="1"/>
          <w:color w:val="auto"/>
        </w:rPr>
        <w:t xml:space="preserve"> </w:t>
      </w:r>
      <w:r>
        <w:rPr>
          <w:rFonts w:ascii="Arial" w:cs="Arial" w:eastAsia="Arial" w:hAnsi="Arial"/>
          <w:sz w:val="18"/>
          <w:szCs w:val="18"/>
          <w:color w:val="auto"/>
        </w:rPr>
        <w:t>two products commercially launched containing our Impede Technology. We are currently devoting our efforts to product candidates utilizing our LIMITx Technology, which we believe will offer a significant measure of safety to those who would intentionally or otherwise ingest excessive number of tablets.</w:t>
      </w:r>
    </w:p>
    <w:p>
      <w:pPr>
        <w:spacing w:after="0" w:line="187" w:lineRule="exact"/>
        <w:rPr>
          <w:rFonts w:ascii="Arial" w:cs="Arial" w:eastAsia="Arial" w:hAnsi="Arial"/>
          <w:sz w:val="18"/>
          <w:szCs w:val="18"/>
          <w:color w:val="auto"/>
        </w:rPr>
      </w:pPr>
    </w:p>
    <w:p>
      <w:pPr>
        <w:jc w:val="both"/>
        <w:ind w:left="580" w:hanging="248"/>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Leverage our technologies by developing a full line of pharmaceutical products which utilize our proprietary technologies</w:t>
      </w:r>
      <w:r>
        <w:rPr>
          <w:rFonts w:ascii="Arial" w:cs="Arial" w:eastAsia="Arial" w:hAnsi="Arial"/>
          <w:sz w:val="18"/>
          <w:szCs w:val="18"/>
          <w:color w:val="auto"/>
        </w:rPr>
        <w:t>. Medication abuse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misuse is not limited to single drugs but often pervades entire drug categories. We intend to develop or collaborate with strategically focused pharmaceutical companies to develop multiple products with our technologies, and are seeking licensing partners for products in development utilizing our LIMITx Technology.</w:t>
      </w:r>
    </w:p>
    <w:p>
      <w:pPr>
        <w:spacing w:after="0" w:line="186" w:lineRule="exact"/>
        <w:rPr>
          <w:rFonts w:ascii="Arial" w:cs="Arial" w:eastAsia="Arial" w:hAnsi="Arial"/>
          <w:sz w:val="18"/>
          <w:szCs w:val="18"/>
          <w:color w:val="auto"/>
        </w:rPr>
      </w:pPr>
    </w:p>
    <w:p>
      <w:pPr>
        <w:jc w:val="both"/>
        <w:ind w:left="580" w:hanging="248"/>
        <w:spacing w:after="0" w:line="293"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Commercialize our products by licensing to strategically focused companies in the United States and other geographic territories</w:t>
      </w:r>
      <w:r>
        <w:rPr>
          <w:rFonts w:ascii="Arial" w:cs="Arial" w:eastAsia="Arial" w:hAnsi="Arial"/>
          <w:sz w:val="16"/>
          <w:szCs w:val="16"/>
          <w:color w:val="auto"/>
        </w:rPr>
        <w: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our Oxaydo product to Zyla for commercialization, have licensed our Aversion Technology to KemPharm for use in certain of its prodrug products, have licensed our Nexafed products utilizing our Impede Technology to MainPointe/AD Pharma for commercialization (and granted MainPointe and AD Pharma options to other Impede products), and we entered into an agreement with AD Pharma that will finance Acura’s operations, provide for the completion of development of LTX-03 and grants them exclusive commercialization rights in the United States to LTX-03. Additionally, we are seeking other licensing partners for other product candidates utilizing our LIMITx, Aversion and Impede technologies.</w:t>
      </w:r>
    </w:p>
    <w:p>
      <w:pPr>
        <w:spacing w:after="0" w:line="164" w:lineRule="exact"/>
        <w:rPr>
          <w:rFonts w:ascii="Arial" w:cs="Arial" w:eastAsia="Arial" w:hAnsi="Arial"/>
          <w:sz w:val="16"/>
          <w:szCs w:val="16"/>
          <w:color w:val="auto"/>
        </w:rPr>
      </w:pPr>
    </w:p>
    <w:p>
      <w:pPr>
        <w:jc w:val="both"/>
        <w:ind w:left="580" w:hanging="248"/>
        <w:spacing w:after="0" w:line="286"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Maintain an efficient internal cost structure</w:t>
      </w:r>
      <w:r>
        <w:rPr>
          <w:rFonts w:ascii="Arial" w:cs="Arial" w:eastAsia="Arial" w:hAnsi="Arial"/>
          <w:sz w:val="17"/>
          <w:szCs w:val="17"/>
          <w:color w:val="auto"/>
        </w:rPr>
        <w:t>. Our internal cost structure is focused on discovering new technologies and developing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formulations using those technologies. We outsource many high cost elements of development and commercialization, such as clinical trials and commercial manufacturing that minimize required fixed overhead and capital investment and thereby reduces our business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Misuse or Abuse of Prescription Opioid Products and Development of Risk Mitigation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Those who misuse or abuse drugs will often do so in one of the following manners:</w:t>
      </w:r>
    </w:p>
    <w:p>
      <w:pPr>
        <w:spacing w:after="0" w:line="188" w:lineRule="exact"/>
        <w:rPr>
          <w:sz w:val="20"/>
          <w:szCs w:val="20"/>
          <w:color w:val="auto"/>
        </w:rPr>
      </w:pPr>
    </w:p>
    <w:p>
      <w:pPr>
        <w:ind w:left="580" w:hanging="248"/>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97" w:lineRule="exact"/>
        <w:rPr>
          <w:rFonts w:ascii="Arial" w:cs="Arial" w:eastAsia="Arial" w:hAnsi="Arial"/>
          <w:sz w:val="18"/>
          <w:szCs w:val="18"/>
          <w:color w:val="auto"/>
        </w:rPr>
      </w:pPr>
    </w:p>
    <w:p>
      <w:pPr>
        <w:ind w:left="580" w:hanging="248"/>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3" w:lineRule="exact"/>
        <w:rPr>
          <w:rFonts w:ascii="Arial" w:cs="Arial" w:eastAsia="Arial" w:hAnsi="Arial"/>
          <w:sz w:val="17"/>
          <w:szCs w:val="17"/>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52" w:lineRule="exact"/>
        <w:rPr>
          <w:rFonts w:ascii="Arial" w:cs="Arial" w:eastAsia="Arial" w:hAnsi="Arial"/>
          <w:sz w:val="18"/>
          <w:szCs w:val="18"/>
          <w:color w:val="auto"/>
        </w:rPr>
      </w:pPr>
    </w:p>
    <w:p>
      <w:pPr>
        <w:ind w:left="580" w:hanging="248"/>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Overdose. Drug abusers may accidentally introduce excessive quantities of drugs in their systems or combine drugs that may heighten the chance of adverse effects of drugs, Some patients may over ingest drugs accidentally or with the express intent of suicide.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311" w:lineRule="auto"/>
        <w:rPr>
          <w:sz w:val="20"/>
          <w:szCs w:val="20"/>
          <w:color w:val="auto"/>
        </w:rPr>
      </w:pPr>
      <w:r>
        <w:rPr>
          <w:rFonts w:ascii="Arial" w:cs="Arial" w:eastAsia="Arial" w:hAnsi="Arial"/>
          <w:sz w:val="16"/>
          <w:szCs w:val="16"/>
          <w:color w:val="auto"/>
        </w:rPr>
        <w:t>Safe use technology formulations incorporate physical and/or chemical barriers or functionality in the products to prevent or discourage a user from inappropriately administering the product. The extent and manner in which any of the features of these formulations may be described in the FDA approved label for our pipeline products will be dependent on the results of and the acceptance by the FDA of our and our licensees’ studies for each product.</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of safe use products typically require one or more studies. These studies may include in vitro laboratory studies (which may include but not be limited to: syringeability of the formulation, extractability of the active ingredient, and particle size of the crushed product) animal studies (which may include but not be limited to: respiratory depression), and human clinical studies (which may include but not be limited to: human abuse liability, respiratory depression studies) comparing the benefits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(c) dose proportionality of our formulation, and (d) other external impacts to our unique formulations. A product candidate that does not achieve satisfactory pharmacokinetic results may require a phase III clinical efficacy study.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opioid products, if approved, to perform an epidemiology study to assess the in-market impact on abuse of our formulation and most approved opioid products are subject to an FDA approved risk evaluation and mitigations strategy (REMS).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Overdose Risk Mitigation - Products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LIMITx Technology Products</w:t>
            </w:r>
          </w:p>
        </w:tc>
        <w:tc>
          <w:tcPr>
            <w:tcW w:w="5600" w:type="dxa"/>
            <w:vAlign w:val="bottom"/>
            <w:tcBorders>
              <w:top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b w:val="1"/>
                <w:bCs w:val="1"/>
                <w:color w:val="auto"/>
              </w:rPr>
              <w:t>Status</w:t>
            </w:r>
          </w:p>
        </w:tc>
      </w:tr>
      <w:tr>
        <w:trPr>
          <w:trHeight w:val="224"/>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Immediate-release hydrocodone bitartrate with acetaminophen (LTX-03)</w:t>
            </w: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Initial buffer dose ranging study completed October 2017</w:t>
            </w:r>
          </w:p>
        </w:tc>
      </w:tr>
      <w:tr>
        <w:trPr>
          <w:trHeight w:val="418"/>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Follow on dose ranging study completed in January 2018</w:t>
            </w:r>
          </w:p>
        </w:tc>
      </w:tr>
      <w:tr>
        <w:trPr>
          <w:trHeight w:val="418"/>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Manufacturing scale-up initiated. Formulation and manufacturing process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optimized for commercial scale. Certain ancillary manufacturing equipment</w:t>
            </w:r>
          </w:p>
        </w:tc>
      </w:tr>
      <w:tr>
        <w:trPr>
          <w:trHeight w:val="230"/>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is on order.</w:t>
            </w:r>
          </w:p>
        </w:tc>
      </w:tr>
      <w:tr>
        <w:trPr>
          <w:trHeight w:val="209"/>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Immediate-release oxycodone HCl (LTX-01) &amp; (LTX-02)</w:t>
            </w:r>
          </w:p>
        </w:tc>
        <w:tc>
          <w:tcPr>
            <w:tcW w:w="5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Formulation development in process</w:t>
            </w:r>
          </w:p>
        </w:tc>
      </w:tr>
      <w:tr>
        <w:trPr>
          <w:trHeight w:val="210"/>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Immediate-release non-opioid drug (LTX-09)</w:t>
            </w:r>
          </w:p>
        </w:tc>
        <w:tc>
          <w:tcPr>
            <w:tcW w:w="5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Formulation development in process</w:t>
            </w:r>
          </w:p>
        </w:tc>
      </w:tr>
      <w:tr>
        <w:trPr>
          <w:trHeight w:val="195"/>
        </w:trPr>
        <w:tc>
          <w:tcPr>
            <w:tcW w:w="56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Immediate-release hydromorphone HCI (LTX-04)</w:t>
            </w:r>
          </w:p>
        </w:tc>
        <w:tc>
          <w:tcPr>
            <w:tcW w:w="5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1"/>
              </w:rPr>
              <w:t>Two Phase I exploratory pharmacokinetic studies completed. IND no longer</w:t>
            </w:r>
          </w:p>
        </w:tc>
      </w:tr>
      <w:tr>
        <w:trPr>
          <w:trHeight w:val="230"/>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active.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Study 400 was a two cohort, open label, crossover design pharmacokinetic study of LTX-04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Study APT-RDR-300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APT-RDR-300 was a non-clinical study of respiratory depression in which five groups of 11 Sprague-Dawley rats were orally administered doses of hydrocodone ranging from 100mg of drug per kg of body weight (mg/kg) up to 300 mg/kg.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50%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have completed a manufacturing formulation and manufacturing process optimization study for LTX-03. We are currently conducting the scale-up of the commercial manufacturing process as to-be-marketed formulations are required for all NDA development work. We are currently awaiting delivery of certain ancillary equipment for use in manufacturing the drug micro-particles before scale-up work can commence. Among other things, we believe we will have to demonstrate a scientific link between Cmax reductions and a reduction in the risk of respiratory depression.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the earlier of November 30, 2020 or FDA’s acceptance of a New Drug Application (“NDA”) for LTX-03 and reimbursement by AD Pharma of Acura’s LTX-03 outside development expenses. Upon commercialization of LTX-03, Acura receives stepped royalties on sales and is eligible for certain sales related milestones.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by November 30, 2020, AD Pharma has the option to terminate the Agreement and take ownership of the LIMITx intellectual property. Should AD Pharma choose not to exercise this option to terminate and the NDA for LTX-03 is subsequently accepted by the FDA, such option expires.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We understand that MainPointe continues to market the Nexafed products.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Schutte is our largest shareholder and directly owns approximately 47.5% of our common stock (after giving effect to the exercise of warrants he holds). Mr. Schutte also controls MainPointe and is an investor in AD Pharma.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Zyla pursuant to which we exclusively licensed to Zyla worldwide rights to manufacture and commercialize Oxaydo. Oxaydo is approved in 5mg and 7.5mg strengths. Zyla commenced shipping Oxaydo in the United States in October 2015.</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6" w:lineRule="exact"/>
        <w:rPr>
          <w:sz w:val="20"/>
          <w:szCs w:val="20"/>
          <w:color w:val="auto"/>
        </w:rPr>
      </w:pPr>
    </w:p>
    <w:p>
      <w:pPr>
        <w:ind w:left="580" w:hanging="248"/>
        <w:spacing w:after="0" w:line="25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subjects taking Oxaydo reported a higher incidence of nasopharyngeal and facial adverse events compared to immediate-release oxycodone;</w:t>
      </w:r>
    </w:p>
    <w:p>
      <w:pPr>
        <w:spacing w:after="0" w:line="20" w:lineRule="exact"/>
        <w:rPr>
          <w:rFonts w:ascii="Arial" w:cs="Arial" w:eastAsia="Arial" w:hAnsi="Arial"/>
          <w:sz w:val="17"/>
          <w:szCs w:val="17"/>
          <w:color w:val="auto"/>
        </w:rPr>
      </w:pPr>
    </w:p>
    <w:p>
      <w:pPr>
        <w:ind w:left="580" w:right="20" w:hanging="248"/>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580" w:hanging="24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Oxaydo than immediate-release oxycodone.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Zyla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Zyla Agreement Covering Oxaydo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7, 2015, we and Egalet US, Inc. and Egalet Ltd., each a subsidiary of Egalet Corporation, now known as Zyla Life Sciences or Zyla, entered into a Collaboration and License Agreement, or the Zyla Agreement, to commercialize Oxaydo tablets containing our Aversion® Technology. Oxaydo is approved by the FDA for marketing in the United States in 5 mg and 7.5 mg strengths. Under the terms of the Zyla Agreement, we transferred the approved NDA for Oxaydo to Zyla and Zyla is granted an exclusive license under our intellectual property rights for development and commercialization of Oxaydo worldwide, or the Territory, in all strengths, subject to our right to co-promote Oxaydo in the United States.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Zyla Agreement, we and Zyla formed a joint steering committee to oversee commercialization strategies and the development of product line extensions. Zyla pays a significant portion of the expenses relating to (i) annual NDA PDUFA program fees, (ii) expenses of the FDA required post-marketing study for Oxaydo and (iii) expenses of clinical studies for product line extensions (additional strengths) of Oxaydo for the United States and pays all of the expenses of development and regulatory approval of Oxaydo for sale outside the United States. Zyla is responsible for all manufacturing and commercialization activities in the Territory for Oxaydo. Subject to certain exceptions, Zyla has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Zyla paid us an upfront payment of $5.0 million upon signing of the Zyla Agreement and a $2.5 million milestone in October 2015 in connection with the launch of Oxaydo. In addition, we will be entitled to a one-time $12.5 million milestone payment when worldwide Oxaydo net sales reach $150.0 million in a calendar year. In addition, we are entitled to receive from Zyla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Zyla to acquire intellectual property rights to commercialize Oxaydo, with an aggregate minimum floor.</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December 31, 2019 we are unaware of KemPharm’s use of our Aversion technology under the KemPharm Agreement.</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Impede Technology Products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5"/>
              </w:rPr>
              <w:t>Meth Resistant</w:t>
            </w:r>
          </w:p>
        </w:tc>
        <w:tc>
          <w:tcPr>
            <w:tcW w:w="170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rPr>
              <w:t>Meth Recovery</w:t>
            </w:r>
            <w:r>
              <w:rPr>
                <w:rFonts w:ascii="Arial" w:cs="Arial" w:eastAsia="Arial" w:hAnsi="Arial"/>
                <w:sz w:val="29"/>
                <w:szCs w:val="29"/>
                <w:b w:val="1"/>
                <w:bCs w:val="1"/>
                <w:color w:val="auto"/>
                <w:vertAlign w:val="superscript"/>
              </w:rPr>
              <w:t>1</w:t>
            </w:r>
          </w:p>
        </w:tc>
        <w:tc>
          <w:tcPr>
            <w:tcW w:w="1300" w:type="dxa"/>
            <w:vAlign w:val="bottom"/>
            <w:gridSpan w:val="2"/>
            <w:vMerge w:val="restart"/>
          </w:tcPr>
          <w:p>
            <w:pPr>
              <w:jc w:val="right"/>
              <w:ind w:right="37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Product/Formulation</w:t>
            </w:r>
          </w:p>
        </w:tc>
        <w:tc>
          <w:tcPr>
            <w:tcW w:w="200" w:type="dxa"/>
            <w:vAlign w:val="bottom"/>
          </w:tcPr>
          <w:p>
            <w:pPr>
              <w:spacing w:after="0"/>
              <w:rPr>
                <w:sz w:val="20"/>
                <w:szCs w:val="20"/>
                <w:color w:val="auto"/>
              </w:rPr>
            </w:pP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Technology</w:t>
            </w:r>
          </w:p>
        </w:tc>
        <w:tc>
          <w:tcPr>
            <w:tcW w:w="1700" w:type="dxa"/>
            <w:vAlign w:val="bottom"/>
            <w:gridSpan w:val="3"/>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2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Nexafed 30mg Technology</w:t>
            </w: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Impede® 1.0</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Tarex®</w:t>
            </w:r>
          </w:p>
        </w:tc>
        <w:tc>
          <w:tcPr>
            <w:tcW w:w="17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Nexafed 120mg Extended-release tablets</w:t>
            </w: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Impede® 2.0</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97" w:lineRule="auto"/>
        <w:tabs>
          <w:tab w:leader="none" w:pos="76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dated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Impede Technology Products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Given the fragmented nature of the PSE market with products containing multiple active ingredients, we have developed additional products for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Nexafed franchise:</w:t>
      </w:r>
    </w:p>
    <w:p>
      <w:pPr>
        <w:spacing w:after="0" w:line="205" w:lineRule="exact"/>
        <w:rPr>
          <w:sz w:val="20"/>
          <w:szCs w:val="20"/>
          <w:color w:val="auto"/>
        </w:rPr>
      </w:pPr>
    </w:p>
    <w:tbl>
      <w:tblPr>
        <w:tblLayout w:type="fixed"/>
        <w:tblInd w:w="35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Impede Technology Products</w:t>
            </w:r>
          </w:p>
        </w:tc>
        <w:tc>
          <w:tcPr>
            <w:tcW w:w="4940" w:type="dxa"/>
            <w:vAlign w:val="bottom"/>
            <w:tcBorders>
              <w:top w:val="single" w:sz="8" w:color="auto"/>
              <w:bottom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95"/>
        </w:trPr>
        <w:tc>
          <w:tcPr>
            <w:tcW w:w="5620" w:type="dxa"/>
            <w:vAlign w:val="bottom"/>
            <w:tcBorders>
              <w:left w:val="single" w:sz="8" w:color="auto"/>
              <w:right w:val="single" w:sz="8" w:color="auto"/>
            </w:tcBorders>
          </w:tcPr>
          <w:p>
            <w:pPr>
              <w:spacing w:after="0"/>
              <w:rPr>
                <w:sz w:val="16"/>
                <w:szCs w:val="16"/>
                <w:color w:val="auto"/>
              </w:rPr>
            </w:pPr>
          </w:p>
        </w:tc>
        <w:tc>
          <w:tcPr>
            <w:tcW w:w="49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Pilot pharmacokinetic testing demonstrated bioequivalence to</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Extended-release formulation utilizing Impede 2.0 Technology</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Sudafed® 12-hour Tablets.</w:t>
            </w:r>
          </w:p>
        </w:tc>
        <w:tc>
          <w:tcPr>
            <w:tcW w:w="0" w:type="dxa"/>
            <w:vAlign w:val="bottom"/>
          </w:tcPr>
          <w:p>
            <w:pPr>
              <w:spacing w:after="0"/>
              <w:rPr>
                <w:sz w:val="1"/>
                <w:szCs w:val="1"/>
                <w:color w:val="auto"/>
              </w:rPr>
            </w:pPr>
          </w:p>
        </w:tc>
      </w:tr>
      <w:tr>
        <w:trPr>
          <w:trHeight w:val="122"/>
        </w:trPr>
        <w:tc>
          <w:tcPr>
            <w:tcW w:w="5620" w:type="dxa"/>
            <w:vAlign w:val="bottom"/>
            <w:tcBorders>
              <w:left w:val="single" w:sz="8" w:color="auto"/>
              <w:right w:val="single" w:sz="8" w:color="auto"/>
            </w:tcBorders>
            <w:vMerge w:val="continue"/>
          </w:tcPr>
          <w:p>
            <w:pPr>
              <w:spacing w:after="0"/>
              <w:rPr>
                <w:sz w:val="10"/>
                <w:szCs w:val="10"/>
                <w:color w:val="auto"/>
              </w:rPr>
            </w:pPr>
          </w:p>
        </w:tc>
        <w:tc>
          <w:tcPr>
            <w:tcW w:w="4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Pre-IND meeting held with the FDA</w:t>
            </w:r>
          </w:p>
        </w:tc>
        <w:tc>
          <w:tcPr>
            <w:tcW w:w="0" w:type="dxa"/>
            <w:vAlign w:val="bottom"/>
          </w:tcPr>
          <w:p>
            <w:pPr>
              <w:spacing w:after="0"/>
              <w:rPr>
                <w:sz w:val="1"/>
                <w:szCs w:val="1"/>
                <w:color w:val="auto"/>
              </w:rPr>
            </w:pPr>
          </w:p>
        </w:tc>
      </w:tr>
      <w:tr>
        <w:trPr>
          <w:trHeight w:val="94"/>
        </w:trPr>
        <w:tc>
          <w:tcPr>
            <w:tcW w:w="5620" w:type="dxa"/>
            <w:vAlign w:val="bottom"/>
            <w:tcBorders>
              <w:left w:val="single" w:sz="8" w:color="auto"/>
              <w:right w:val="single" w:sz="8" w:color="auto"/>
            </w:tcBorders>
          </w:tcPr>
          <w:p>
            <w:pPr>
              <w:spacing w:after="0"/>
              <w:rPr>
                <w:sz w:val="8"/>
                <w:szCs w:val="8"/>
                <w:color w:val="auto"/>
              </w:rPr>
            </w:pPr>
          </w:p>
        </w:tc>
        <w:tc>
          <w:tcPr>
            <w:tcW w:w="4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Extended-release combination products</w:t>
            </w: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Loratadine with pseudoephedrine</w:t>
            </w: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221"/>
        </w:trPr>
        <w:tc>
          <w:tcPr>
            <w:tcW w:w="2480" w:type="dxa"/>
            <w:vAlign w:val="bottom"/>
          </w:tcPr>
          <w:p>
            <w:pPr>
              <w:ind w:left="860"/>
              <w:spacing w:after="0"/>
              <w:rPr>
                <w:sz w:val="20"/>
                <w:szCs w:val="20"/>
                <w:color w:val="auto"/>
              </w:rPr>
            </w:pPr>
            <w:r>
              <w:rPr>
                <w:rFonts w:ascii="Arial" w:cs="Arial" w:eastAsia="Arial" w:hAnsi="Arial"/>
                <w:sz w:val="18"/>
                <w:szCs w:val="18"/>
                <w:b w:val="1"/>
                <w:bCs w:val="1"/>
                <w:color w:val="auto"/>
              </w:rPr>
              <w:t>Reference</w:t>
            </w: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Pr>
          <w:p>
            <w:pPr>
              <w:ind w:left="1140"/>
              <w:spacing w:after="0"/>
              <w:rPr>
                <w:sz w:val="20"/>
                <w:szCs w:val="20"/>
                <w:color w:val="auto"/>
              </w:rPr>
            </w:pPr>
            <w:r>
              <w:rPr>
                <w:rFonts w:ascii="Arial" w:cs="Arial" w:eastAsia="Arial" w:hAnsi="Arial"/>
                <w:sz w:val="18"/>
                <w:szCs w:val="18"/>
                <w:b w:val="1"/>
                <w:bCs w:val="1"/>
                <w:color w:val="auto"/>
              </w:rPr>
              <w:t>Active</w:t>
            </w:r>
          </w:p>
        </w:tc>
        <w:tc>
          <w:tcPr>
            <w:tcW w:w="180" w:type="dxa"/>
            <w:vAlign w:val="bottom"/>
          </w:tcPr>
          <w:p>
            <w:pPr>
              <w:spacing w:after="0"/>
              <w:rPr>
                <w:sz w:val="19"/>
                <w:szCs w:val="19"/>
                <w:color w:val="auto"/>
              </w:rPr>
            </w:pPr>
          </w:p>
        </w:tc>
        <w:tc>
          <w:tcPr>
            <w:tcW w:w="1660" w:type="dxa"/>
            <w:vAlign w:val="bottom"/>
            <w:gridSpan w:val="3"/>
          </w:tcPr>
          <w:p>
            <w:pPr>
              <w:ind w:left="140"/>
              <w:spacing w:after="0"/>
              <w:rPr>
                <w:sz w:val="20"/>
                <w:szCs w:val="20"/>
                <w:color w:val="auto"/>
              </w:rPr>
            </w:pPr>
            <w:r>
              <w:rPr>
                <w:rFonts w:ascii="Arial" w:cs="Arial" w:eastAsia="Arial" w:hAnsi="Arial"/>
                <w:sz w:val="18"/>
                <w:szCs w:val="18"/>
                <w:b w:val="1"/>
                <w:bCs w:val="1"/>
                <w:color w:val="auto"/>
              </w:rPr>
              <w:t>2014 Retail Sales</w:t>
            </w:r>
          </w:p>
        </w:tc>
      </w:tr>
      <w:tr>
        <w:trPr>
          <w:trHeight w:val="270"/>
        </w:trPr>
        <w:tc>
          <w:tcPr>
            <w:tcW w:w="2480" w:type="dxa"/>
            <w:vAlign w:val="bottom"/>
            <w:tcBorders>
              <w:bottom w:val="single" w:sz="8" w:color="auto"/>
            </w:tcBorders>
          </w:tcPr>
          <w:p>
            <w:pPr>
              <w:ind w:left="960"/>
              <w:spacing w:after="0" w:line="270" w:lineRule="exact"/>
              <w:rPr>
                <w:sz w:val="20"/>
                <w:szCs w:val="20"/>
                <w:color w:val="auto"/>
              </w:rPr>
            </w:pPr>
            <w:r>
              <w:rPr>
                <w:rFonts w:ascii="Arial" w:cs="Arial" w:eastAsia="Arial" w:hAnsi="Arial"/>
                <w:sz w:val="18"/>
                <w:szCs w:val="18"/>
                <w:b w:val="1"/>
                <w:bCs w:val="1"/>
                <w:color w:val="auto"/>
              </w:rPr>
              <w:t>Brand</w:t>
            </w:r>
            <w:r>
              <w:rPr>
                <w:rFonts w:ascii="Arial" w:cs="Arial" w:eastAsia="Arial" w:hAnsi="Arial"/>
                <w:sz w:val="29"/>
                <w:szCs w:val="29"/>
                <w:b w:val="1"/>
                <w:bCs w:val="1"/>
                <w:color w:val="auto"/>
                <w:vertAlign w:val="superscript"/>
              </w:rPr>
              <w:t>1</w:t>
            </w:r>
          </w:p>
        </w:tc>
        <w:tc>
          <w:tcPr>
            <w:tcW w:w="200" w:type="dxa"/>
            <w:vAlign w:val="bottom"/>
            <w:tcBorders>
              <w:bottom w:val="single" w:sz="8" w:color="CCEEFF"/>
            </w:tcBorders>
          </w:tcPr>
          <w:p>
            <w:pPr>
              <w:spacing w:after="0"/>
              <w:rPr>
                <w:sz w:val="23"/>
                <w:szCs w:val="23"/>
                <w:color w:val="auto"/>
              </w:rPr>
            </w:pPr>
          </w:p>
        </w:tc>
        <w:tc>
          <w:tcPr>
            <w:tcW w:w="23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Brand Company</w:t>
            </w:r>
          </w:p>
        </w:tc>
        <w:tc>
          <w:tcPr>
            <w:tcW w:w="200" w:type="dxa"/>
            <w:vAlign w:val="bottom"/>
            <w:tcBorders>
              <w:bottom w:val="single" w:sz="8" w:color="CCEEFF"/>
            </w:tcBorders>
          </w:tcPr>
          <w:p>
            <w:pPr>
              <w:spacing w:after="0"/>
              <w:rPr>
                <w:sz w:val="23"/>
                <w:szCs w:val="23"/>
                <w:color w:val="auto"/>
              </w:rPr>
            </w:pPr>
          </w:p>
        </w:tc>
        <w:tc>
          <w:tcPr>
            <w:tcW w:w="27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Ingredient(s)</w:t>
            </w:r>
          </w:p>
        </w:tc>
        <w:tc>
          <w:tcPr>
            <w:tcW w:w="1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Millions)</w:t>
            </w:r>
          </w:p>
        </w:tc>
        <w:tc>
          <w:tcPr>
            <w:tcW w:w="80" w:type="dxa"/>
            <w:vAlign w:val="bottom"/>
            <w:tcBorders>
              <w:bottom w:val="single" w:sz="8" w:color="CCEEFF"/>
            </w:tcBorders>
          </w:tcPr>
          <w:p>
            <w:pPr>
              <w:spacing w:after="0"/>
              <w:rPr>
                <w:sz w:val="23"/>
                <w:szCs w:val="23"/>
                <w:color w:val="auto"/>
              </w:rPr>
            </w:pPr>
          </w:p>
        </w:tc>
      </w:tr>
      <w:tr>
        <w:trPr>
          <w:trHeight w:val="25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Bayer</w:t>
            </w:r>
          </w:p>
        </w:tc>
        <w:tc>
          <w:tcPr>
            <w:tcW w:w="27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r>
      <w:tr>
        <w:trPr>
          <w:trHeight w:val="257"/>
        </w:trPr>
        <w:tc>
          <w:tcPr>
            <w:tcW w:w="2480" w:type="dxa"/>
            <w:vAlign w:val="bottom"/>
          </w:tcPr>
          <w:p>
            <w:pPr>
              <w:spacing w:after="0"/>
              <w:rPr>
                <w:sz w:val="20"/>
                <w:szCs w:val="20"/>
                <w:color w:val="auto"/>
              </w:rPr>
            </w:pPr>
            <w:r>
              <w:rPr>
                <w:rFonts w:ascii="Arial" w:cs="Arial" w:eastAsia="Arial" w:hAnsi="Arial"/>
                <w:sz w:val="18"/>
                <w:szCs w:val="18"/>
                <w:color w:val="auto"/>
              </w:rPr>
              <w:t>Allegra-D</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Chattem</w:t>
            </w:r>
          </w:p>
        </w:tc>
        <w:tc>
          <w:tcPr>
            <w:tcW w:w="2780" w:type="dxa"/>
            <w:vAlign w:val="bottom"/>
          </w:tcPr>
          <w:p>
            <w:pPr>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r>
      <w:tr>
        <w:trPr>
          <w:trHeight w:val="257"/>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Pfizer</w:t>
            </w:r>
          </w:p>
        </w:tc>
        <w:tc>
          <w:tcPr>
            <w:tcW w:w="2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Advil Sinus</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Pfizer</w:t>
            </w:r>
          </w:p>
        </w:tc>
        <w:tc>
          <w:tcPr>
            <w:tcW w:w="2780" w:type="dxa"/>
            <w:vAlign w:val="bottom"/>
          </w:tcPr>
          <w:p>
            <w:pPr>
              <w:spacing w:after="0"/>
              <w:rPr>
                <w:sz w:val="20"/>
                <w:szCs w:val="20"/>
                <w:color w:val="auto"/>
              </w:rPr>
            </w:pPr>
            <w:r>
              <w:rPr>
                <w:rFonts w:ascii="Arial" w:cs="Arial" w:eastAsia="Arial" w:hAnsi="Arial"/>
                <w:sz w:val="18"/>
                <w:szCs w:val="18"/>
                <w:color w:val="auto"/>
              </w:rPr>
              <w:t>PSE &amp; Ibuprofen</w:t>
            </w: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r>
      <w:tr>
        <w:trPr>
          <w:trHeight w:val="257"/>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J&amp;J</w:t>
            </w:r>
          </w:p>
        </w:tc>
        <w:tc>
          <w:tcPr>
            <w:tcW w:w="2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Sudafed 30mg</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J&amp;J</w:t>
            </w:r>
          </w:p>
        </w:tc>
        <w:tc>
          <w:tcPr>
            <w:tcW w:w="2780" w:type="dxa"/>
            <w:vAlign w:val="bottom"/>
          </w:tcPr>
          <w:p>
            <w:pPr>
              <w:spacing w:after="0"/>
              <w:rPr>
                <w:sz w:val="20"/>
                <w:szCs w:val="20"/>
                <w:color w:val="auto"/>
              </w:rPr>
            </w:pPr>
            <w:r>
              <w:rPr>
                <w:rFonts w:ascii="Arial" w:cs="Arial" w:eastAsia="Arial" w:hAnsi="Arial"/>
                <w:sz w:val="18"/>
                <w:szCs w:val="18"/>
                <w:color w:val="auto"/>
              </w:rPr>
              <w:t>PSE</w:t>
            </w: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r>
    </w:tbl>
    <w:p>
      <w:pPr>
        <w:ind w:left="780" w:hanging="124"/>
        <w:spacing w:after="0" w:line="183" w:lineRule="auto"/>
        <w:tabs>
          <w:tab w:leader="none" w:pos="78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Extended release PSE formulations</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2014 market for 30mg PSE tablets, including store brands was approximately 470 million tablets or 19 million boxes of 24 tablets. 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8"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2016 US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60" w:type="dxa"/>
            <w:vAlign w:val="bottom"/>
            <w:gridSpan w:val="2"/>
          </w:tcPr>
          <w:p>
            <w:pPr>
              <w:ind w:left="540"/>
              <w:spacing w:after="0"/>
              <w:rPr>
                <w:sz w:val="20"/>
                <w:szCs w:val="20"/>
                <w:color w:val="auto"/>
              </w:rPr>
            </w:pPr>
            <w:r>
              <w:rPr>
                <w:rFonts w:ascii="Arial" w:cs="Arial" w:eastAsia="Arial" w:hAnsi="Arial"/>
                <w:sz w:val="18"/>
                <w:szCs w:val="18"/>
                <w:b w:val="1"/>
                <w:bCs w:val="1"/>
                <w:color w:val="auto"/>
              </w:rPr>
              <w:t>IR Opioid</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Prescriptions</w:t>
            </w:r>
          </w:p>
        </w:tc>
        <w:tc>
          <w:tcPr>
            <w:tcW w:w="178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Borders>
              <w:bottom w:val="single" w:sz="8" w:color="auto"/>
            </w:tcBorders>
          </w:tcPr>
          <w:p>
            <w:pPr>
              <w:ind w:left="500"/>
              <w:spacing w:after="0" w:line="270" w:lineRule="exact"/>
              <w:rPr>
                <w:sz w:val="20"/>
                <w:szCs w:val="20"/>
                <w:color w:val="auto"/>
              </w:rPr>
            </w:pPr>
            <w:r>
              <w:rPr>
                <w:rFonts w:ascii="Arial" w:cs="Arial" w:eastAsia="Arial" w:hAnsi="Arial"/>
                <w:sz w:val="18"/>
                <w:szCs w:val="18"/>
                <w:b w:val="1"/>
                <w:bCs w:val="1"/>
                <w:color w:val="auto"/>
              </w:rPr>
              <w:t>Products</w:t>
            </w:r>
            <w:r>
              <w:rPr>
                <w:rFonts w:ascii="Arial" w:cs="Arial" w:eastAsia="Arial" w:hAnsi="Arial"/>
                <w:sz w:val="29"/>
                <w:szCs w:val="29"/>
                <w:b w:val="1"/>
                <w:bCs w:val="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9"/>
              </w:rPr>
              <w:t>(Millions)</w:t>
            </w:r>
            <w:r>
              <w:rPr>
                <w:rFonts w:ascii="Arial" w:cs="Arial" w:eastAsia="Arial" w:hAnsi="Arial"/>
                <w:sz w:val="29"/>
                <w:szCs w:val="29"/>
                <w:b w:val="1"/>
                <w:bCs w:val="1"/>
                <w:color w:val="auto"/>
                <w:w w:val="89"/>
                <w:vertAlign w:val="superscript"/>
              </w:rPr>
              <w:t>(2)</w:t>
            </w:r>
          </w:p>
        </w:tc>
        <w:tc>
          <w:tcPr>
            <w:tcW w:w="10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Total</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Others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3"/>
              </w:rPr>
              <w:t>208</w:t>
            </w:r>
          </w:p>
        </w:tc>
        <w:tc>
          <w:tcPr>
            <w:tcW w:w="10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60" w:type="dxa"/>
            <w:vAlign w:val="bottom"/>
            <w:gridSpan w:val="2"/>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-8255</wp:posOffset>
            </wp:positionV>
            <wp:extent cx="1122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5" w:lineRule="exact"/>
        <w:rPr>
          <w:sz w:val="20"/>
          <w:szCs w:val="20"/>
          <w:color w:val="auto"/>
        </w:rPr>
      </w:pPr>
    </w:p>
    <w:p>
      <w:pPr>
        <w:ind w:left="2760" w:right="3440" w:firstLine="2"/>
        <w:spacing w:after="0" w:line="202" w:lineRule="auto"/>
        <w:tabs>
          <w:tab w:leader="none" w:pos="2872"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1" w:lineRule="exact"/>
        <w:rPr>
          <w:rFonts w:ascii="Arial" w:cs="Arial" w:eastAsia="Arial" w:hAnsi="Arial"/>
          <w:sz w:val="29"/>
          <w:szCs w:val="29"/>
          <w:color w:val="auto"/>
          <w:vertAlign w:val="superscript"/>
        </w:rPr>
      </w:pPr>
    </w:p>
    <w:p>
      <w:pPr>
        <w:ind w:left="2760"/>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IMS Health, 2016</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Products Using Our Technologies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products in development. Zyla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800" w:type="dxa"/>
            <w:vAlign w:val="bottom"/>
            <w:gridSpan w:val="5"/>
          </w:tcPr>
          <w:p>
            <w:pPr>
              <w:spacing w:after="0"/>
              <w:rPr>
                <w:sz w:val="20"/>
                <w:szCs w:val="20"/>
                <w:color w:val="auto"/>
              </w:rPr>
            </w:pPr>
            <w:r>
              <w:rPr>
                <w:rFonts w:ascii="Arial" w:cs="Arial" w:eastAsia="Arial" w:hAnsi="Arial"/>
                <w:sz w:val="18"/>
                <w:szCs w:val="18"/>
                <w:b w:val="1"/>
                <w:bCs w:val="1"/>
                <w:color w:val="auto"/>
              </w:rPr>
              <w:t>Patents and Patent Applications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800" w:type="dxa"/>
            <w:vAlign w:val="bottom"/>
            <w:gridSpan w:val="5"/>
          </w:tcPr>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1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Patent No. (Jurisdiction)</w:t>
            </w:r>
          </w:p>
        </w:tc>
        <w:tc>
          <w:tcPr>
            <w:tcW w:w="6680" w:type="dxa"/>
            <w:vAlign w:val="bottom"/>
            <w:gridSpan w:val="2"/>
          </w:tcPr>
          <w:p>
            <w:pPr>
              <w:ind w:left="2660"/>
              <w:spacing w:after="0"/>
              <w:rPr>
                <w:sz w:val="20"/>
                <w:szCs w:val="20"/>
                <w:color w:val="auto"/>
              </w:rPr>
            </w:pPr>
            <w:r>
              <w:rPr>
                <w:rFonts w:ascii="Arial" w:cs="Arial" w:eastAsia="Arial" w:hAnsi="Arial"/>
                <w:sz w:val="18"/>
                <w:szCs w:val="18"/>
                <w:b w:val="1"/>
                <w:bCs w:val="1"/>
                <w:color w:val="auto"/>
              </w:rPr>
              <w:t>Subject matter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9,101,636</w:t>
            </w:r>
          </w:p>
        </w:tc>
        <w:tc>
          <w:tcPr>
            <w:tcW w:w="11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200" w:type="dxa"/>
            <w:vAlign w:val="bottom"/>
            <w:tcBorders>
              <w:top w:val="single" w:sz="8" w:color="CCEEFF"/>
            </w:tcBorders>
            <w:shd w:val="clear" w:color="auto" w:fill="CCEEFF"/>
          </w:tcPr>
          <w:p>
            <w:pPr>
              <w:spacing w:after="0"/>
              <w:rPr>
                <w:sz w:val="16"/>
                <w:szCs w:val="16"/>
                <w:color w:val="auto"/>
              </w:rPr>
            </w:pPr>
          </w:p>
        </w:tc>
        <w:tc>
          <w:tcPr>
            <w:tcW w:w="6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Abuse deterrent products wherein the release of active ingredient is retarded when 3 or</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Aug. 2015</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doses are consumed</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9,320,796</w:t>
            </w:r>
          </w:p>
        </w:tc>
        <w:tc>
          <w:tcPr>
            <w:tcW w:w="13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(US)</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w w:val="95"/>
              </w:rPr>
              <w:t>Abuse deterrent products wherein the release of active ingredient is retarded when 3 or</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Apr. 2016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9,662,393</w:t>
            </w:r>
          </w:p>
        </w:tc>
        <w:tc>
          <w:tcPr>
            <w:tcW w:w="13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Abuse deterrent products wherein the release of active ingredient is retarded when 3 or</w:t>
            </w:r>
          </w:p>
        </w:tc>
        <w:tc>
          <w:tcPr>
            <w:tcW w:w="1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3"/>
              </w:rPr>
              <w:t>May 2017</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doses are consumed</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2120" w:type="dxa"/>
            <w:vAlign w:val="bottom"/>
            <w:gridSpan w:val="3"/>
          </w:tcPr>
          <w:p>
            <w:pPr>
              <w:spacing w:after="0" w:line="201" w:lineRule="exact"/>
              <w:rPr>
                <w:sz w:val="20"/>
                <w:szCs w:val="20"/>
                <w:color w:val="auto"/>
              </w:rPr>
            </w:pPr>
            <w:r>
              <w:rPr>
                <w:rFonts w:ascii="Arial" w:cs="Arial" w:eastAsia="Arial" w:hAnsi="Arial"/>
                <w:sz w:val="18"/>
                <w:szCs w:val="18"/>
                <w:color w:val="auto"/>
              </w:rPr>
              <w:t>10,441,657 (US)</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w w:val="95"/>
              </w:rPr>
              <w:t>Abuse deterrent products wherein the release of active ingredient is retarded when 3 or</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Sept. 2019</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2,892,908</w:t>
            </w:r>
          </w:p>
        </w:tc>
        <w:tc>
          <w:tcPr>
            <w:tcW w:w="13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(CAN)</w:t>
            </w:r>
          </w:p>
        </w:tc>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Apr. 2016</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5,922,851</w:t>
            </w:r>
          </w:p>
        </w:tc>
        <w:tc>
          <w:tcPr>
            <w:tcW w:w="13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(JAPAN)</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Apr. 2016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2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ZL201380062421.0</w:t>
            </w:r>
          </w:p>
        </w:tc>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Jul. 2018</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(CHN)</w:t>
            </w: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2,925,304</w:t>
            </w:r>
          </w:p>
        </w:tc>
        <w:tc>
          <w:tcPr>
            <w:tcW w:w="13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(EUR)</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5"/>
              </w:rPr>
              <w:t>Sep. 2018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2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2015124694 (RUS)</w:t>
            </w:r>
          </w:p>
        </w:tc>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Nov. 2018</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2120" w:type="dxa"/>
            <w:vAlign w:val="bottom"/>
            <w:gridSpan w:val="3"/>
          </w:tcPr>
          <w:p>
            <w:pPr>
              <w:spacing w:after="0" w:line="201" w:lineRule="exact"/>
              <w:rPr>
                <w:sz w:val="20"/>
                <w:szCs w:val="20"/>
                <w:color w:val="auto"/>
              </w:rPr>
            </w:pPr>
            <w:r>
              <w:rPr>
                <w:rFonts w:ascii="Arial" w:cs="Arial" w:eastAsia="Arial" w:hAnsi="Arial"/>
                <w:sz w:val="18"/>
                <w:szCs w:val="18"/>
                <w:color w:val="auto"/>
              </w:rPr>
              <w:t>2013352162 (AUS)</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Dec. 2018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2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366159 (MEX)</w:t>
            </w:r>
          </w:p>
        </w:tc>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Jul. 2019</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2120" w:type="dxa"/>
            <w:vAlign w:val="bottom"/>
            <w:gridSpan w:val="3"/>
          </w:tcPr>
          <w:p>
            <w:pPr>
              <w:spacing w:after="0" w:line="201" w:lineRule="exact"/>
              <w:rPr>
                <w:sz w:val="20"/>
                <w:szCs w:val="20"/>
                <w:color w:val="auto"/>
              </w:rPr>
            </w:pPr>
            <w:r>
              <w:rPr>
                <w:rFonts w:ascii="Arial" w:cs="Arial" w:eastAsia="Arial" w:hAnsi="Arial"/>
                <w:sz w:val="18"/>
                <w:szCs w:val="18"/>
                <w:color w:val="auto"/>
              </w:rPr>
              <w:t>238713 (ISR)</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Jul. 2019</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Patent No. (Jurisdiction)</w:t>
            </w:r>
          </w:p>
        </w:tc>
        <w:tc>
          <w:tcPr>
            <w:tcW w:w="6680" w:type="dxa"/>
            <w:vAlign w:val="bottom"/>
            <w:gridSpan w:val="2"/>
          </w:tcPr>
          <w:p>
            <w:pPr>
              <w:ind w:left="2640"/>
              <w:spacing w:after="0"/>
              <w:rPr>
                <w:sz w:val="20"/>
                <w:szCs w:val="20"/>
                <w:color w:val="auto"/>
              </w:rPr>
            </w:pPr>
            <w:r>
              <w:rPr>
                <w:rFonts w:ascii="Arial" w:cs="Arial" w:eastAsia="Arial" w:hAnsi="Arial"/>
                <w:sz w:val="18"/>
                <w:szCs w:val="18"/>
                <w:b w:val="1"/>
                <w:bCs w:val="1"/>
                <w:color w:val="auto"/>
              </w:rPr>
              <w:t>Subject Matter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195"/>
        </w:trPr>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7,201,920 (US)</w:t>
            </w:r>
          </w:p>
        </w:tc>
        <w:tc>
          <w:tcPr>
            <w:tcW w:w="200" w:type="dxa"/>
            <w:vAlign w:val="bottom"/>
            <w:tcBorders>
              <w:top w:val="single" w:sz="8" w:color="CCEEFF"/>
            </w:tcBorders>
            <w:shd w:val="clear" w:color="auto" w:fill="CCEEFF"/>
          </w:tcPr>
          <w:p>
            <w:pPr>
              <w:spacing w:after="0"/>
              <w:rPr>
                <w:sz w:val="16"/>
                <w:szCs w:val="16"/>
                <w:color w:val="auto"/>
              </w:rPr>
            </w:pPr>
          </w:p>
        </w:tc>
        <w:tc>
          <w:tcPr>
            <w:tcW w:w="6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Pharmaceutical compositions including a mixture of functional inactive ingredients and</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Apr. 2007</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Mar. 2025</w:t>
            </w:r>
          </w:p>
        </w:tc>
      </w:tr>
      <w:tr>
        <w:trPr>
          <w:trHeight w:val="244"/>
        </w:trPr>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opioid analgesics</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7,510,726 (US)</w:t>
            </w:r>
          </w:p>
        </w:tc>
        <w:tc>
          <w:tcPr>
            <w:tcW w:w="6680" w:type="dxa"/>
            <w:vAlign w:val="bottom"/>
            <w:gridSpan w:val="2"/>
          </w:tcPr>
          <w:p>
            <w:pPr>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2009</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29"/>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7,981,439 (US)</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 compositions including any water soluble drug susceptible to abuse</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July 2011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2024</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8,409,616 (US)</w:t>
            </w:r>
          </w:p>
        </w:tc>
        <w:tc>
          <w:tcPr>
            <w:tcW w:w="6680" w:type="dxa"/>
            <w:vAlign w:val="bottom"/>
            <w:gridSpan w:val="2"/>
          </w:tcPr>
          <w:p>
            <w:pPr>
              <w:spacing w:after="0"/>
              <w:rPr>
                <w:sz w:val="20"/>
                <w:szCs w:val="20"/>
                <w:color w:val="auto"/>
              </w:rPr>
            </w:pPr>
            <w:r>
              <w:rPr>
                <w:rFonts w:ascii="Arial" w:cs="Arial" w:eastAsia="Arial" w:hAnsi="Arial"/>
                <w:sz w:val="18"/>
                <w:szCs w:val="18"/>
                <w:color w:val="auto"/>
              </w:rPr>
              <w:t>Pharmaceutical compositions of immediate-release abuse deterrent dosage forms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Apr. 2013</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8,637,540 (US)</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 compositions of immediate-release abuse deterrent opioid products</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Jan. 2014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9,492,443 (US)</w:t>
            </w:r>
          </w:p>
        </w:tc>
        <w:tc>
          <w:tcPr>
            <w:tcW w:w="6680" w:type="dxa"/>
            <w:vAlign w:val="bottom"/>
            <w:gridSpan w:val="2"/>
          </w:tcPr>
          <w:p>
            <w:pPr>
              <w:spacing w:after="0"/>
              <w:rPr>
                <w:sz w:val="20"/>
                <w:szCs w:val="20"/>
                <w:color w:val="auto"/>
              </w:rPr>
            </w:pPr>
            <w:r>
              <w:rPr>
                <w:rFonts w:ascii="Arial" w:cs="Arial" w:eastAsia="Arial" w:hAnsi="Arial"/>
                <w:sz w:val="18"/>
                <w:szCs w:val="18"/>
                <w:color w:val="auto"/>
              </w:rPr>
              <w:t>Pharmaceutical compositions of immediate-release abuse deterrent opioid products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2016</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Patent No. (Jurisdiction)</w:t>
            </w:r>
          </w:p>
        </w:tc>
        <w:tc>
          <w:tcPr>
            <w:tcW w:w="6680" w:type="dxa"/>
            <w:vAlign w:val="bottom"/>
            <w:gridSpan w:val="2"/>
          </w:tcPr>
          <w:p>
            <w:pPr>
              <w:ind w:left="2640"/>
              <w:spacing w:after="0"/>
              <w:rPr>
                <w:sz w:val="20"/>
                <w:szCs w:val="20"/>
                <w:color w:val="auto"/>
              </w:rPr>
            </w:pPr>
            <w:r>
              <w:rPr>
                <w:rFonts w:ascii="Arial" w:cs="Arial" w:eastAsia="Arial" w:hAnsi="Arial"/>
                <w:sz w:val="18"/>
                <w:szCs w:val="18"/>
                <w:b w:val="1"/>
                <w:bCs w:val="1"/>
                <w:color w:val="auto"/>
              </w:rPr>
              <w:t>Subject Matter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8,822,489</w:t>
            </w:r>
          </w:p>
        </w:tc>
        <w:tc>
          <w:tcPr>
            <w:tcW w:w="11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200" w:type="dxa"/>
            <w:vAlign w:val="bottom"/>
            <w:tcBorders>
              <w:top w:val="single" w:sz="8" w:color="CCEEFF"/>
            </w:tcBorders>
            <w:shd w:val="clear" w:color="auto" w:fill="CCEEFF"/>
          </w:tcPr>
          <w:p>
            <w:pPr>
              <w:spacing w:after="0"/>
              <w:rPr>
                <w:sz w:val="16"/>
                <w:szCs w:val="16"/>
                <w:color w:val="auto"/>
              </w:rPr>
            </w:pPr>
          </w:p>
        </w:tc>
        <w:tc>
          <w:tcPr>
            <w:tcW w:w="6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Pharmaceutical compositions of certain abuse deterrent products that contain polymers,</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July 2014</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surfactant and polysorb 80</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668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Apr. 2010</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2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2,010,200,979 (AUS)</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2010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2,547,334</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68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Aug. 2010</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2,647,360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2012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668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2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221,018 (ISR)</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Nov. 2004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30"/>
        </w:trPr>
        <w:tc>
          <w:tcPr>
            <w:tcW w:w="2120" w:type="dxa"/>
            <w:vAlign w:val="bottom"/>
            <w:gridSpan w:val="3"/>
          </w:tcPr>
          <w:p>
            <w:pPr>
              <w:spacing w:after="0"/>
              <w:rPr>
                <w:sz w:val="20"/>
                <w:szCs w:val="20"/>
                <w:color w:val="auto"/>
              </w:rPr>
            </w:pPr>
            <w:r>
              <w:rPr>
                <w:rFonts w:ascii="Arial" w:cs="Arial" w:eastAsia="Arial" w:hAnsi="Arial"/>
                <w:sz w:val="18"/>
                <w:szCs w:val="18"/>
                <w:color w:val="auto"/>
              </w:rPr>
              <w:t>1694260 (EUR)</w:t>
            </w:r>
          </w:p>
        </w:tc>
        <w:tc>
          <w:tcPr>
            <w:tcW w:w="668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634"/>
        </w:trPr>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ind w:left="342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Patent No. (Jurisdiction)</w:t>
            </w:r>
          </w:p>
        </w:tc>
        <w:tc>
          <w:tcPr>
            <w:tcW w:w="6680" w:type="dxa"/>
            <w:vAlign w:val="bottom"/>
            <w:gridSpan w:val="2"/>
          </w:tcPr>
          <w:p>
            <w:pPr>
              <w:ind w:left="2640"/>
              <w:spacing w:after="0"/>
              <w:rPr>
                <w:sz w:val="20"/>
                <w:szCs w:val="20"/>
                <w:color w:val="auto"/>
              </w:rPr>
            </w:pPr>
            <w:r>
              <w:rPr>
                <w:rFonts w:ascii="Arial" w:cs="Arial" w:eastAsia="Arial" w:hAnsi="Arial"/>
                <w:sz w:val="18"/>
                <w:szCs w:val="18"/>
                <w:b w:val="1"/>
                <w:bCs w:val="1"/>
                <w:color w:val="auto"/>
              </w:rPr>
              <w:t>Subject Matter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195"/>
        </w:trPr>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8,901,113 (US)</w:t>
            </w:r>
          </w:p>
        </w:tc>
        <w:tc>
          <w:tcPr>
            <w:tcW w:w="200" w:type="dxa"/>
            <w:vAlign w:val="bottom"/>
            <w:tcBorders>
              <w:top w:val="single" w:sz="8" w:color="CCEEFF"/>
            </w:tcBorders>
            <w:shd w:val="clear" w:color="auto" w:fill="CCEEFF"/>
          </w:tcPr>
          <w:p>
            <w:pPr>
              <w:spacing w:after="0"/>
              <w:rPr>
                <w:sz w:val="16"/>
                <w:szCs w:val="16"/>
                <w:color w:val="auto"/>
              </w:rPr>
            </w:pPr>
          </w:p>
        </w:tc>
        <w:tc>
          <w:tcPr>
            <w:tcW w:w="6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Pharmaceutical compositions suitable for reducing the chemical conversion of precursor</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44"/>
        </w:trPr>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compounds</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9,757,466 (US)</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w w:val="95"/>
              </w:rPr>
              <w:t>Pharmaceutical compositions suitable for reducing the chemical conversion of precursor</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Sept. 2017</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37"/>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10,004,699 (US)</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Methods and compositions for interfering with extraction or conversion of a drug</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June 2018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 2035</w:t>
            </w:r>
          </w:p>
        </w:tc>
      </w:tr>
      <w:tr>
        <w:trPr>
          <w:trHeight w:val="244"/>
        </w:trPr>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susceptible to abuse</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2010300641 (AUS)</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w w:val="95"/>
              </w:rPr>
              <w:t>Pharmaceutical compositions suitable for reducing the chemical conversion of precursor</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7"/>
              </w:rPr>
              <w:t>June 2016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7"/>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2,775,890 (CAN)</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 precursor</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June 2016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 2030</w:t>
            </w:r>
          </w:p>
        </w:tc>
      </w:tr>
      <w:tr>
        <w:trPr>
          <w:trHeight w:val="244"/>
        </w:trPr>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compounds</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2,488,029 (EUR)</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w w:val="95"/>
              </w:rPr>
              <w:t>Pharmaceutical compositions suitable for reducing the chemical conversion of precursor</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Mar. 2016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7"/>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218533 (ISR)</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 precursor</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Jan. 2016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 2030</w:t>
            </w:r>
          </w:p>
        </w:tc>
      </w:tr>
      <w:tr>
        <w:trPr>
          <w:trHeight w:val="244"/>
        </w:trPr>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compounds</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2015274936 (AUS)</w:t>
            </w: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Methods and compositions for interfering with extraction or conversion of a drug</w:t>
            </w:r>
          </w:p>
        </w:tc>
        <w:tc>
          <w:tcPr>
            <w:tcW w:w="1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Sept. 2018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5"/>
              </w:rPr>
              <w:t>June 2035</w:t>
            </w:r>
          </w:p>
        </w:tc>
      </w:tr>
      <w:tr>
        <w:trPr>
          <w:trHeight w:val="237"/>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susceptible to abuse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13102020.5 (HK)</w:t>
            </w: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Pharmaceutical compositions suitable for reducing the chemical conversion of precursor</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Oct. 2016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 2030</w:t>
            </w:r>
          </w:p>
        </w:tc>
      </w:tr>
      <w:tr>
        <w:trPr>
          <w:trHeight w:val="244"/>
        </w:trPr>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compounds</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Zyla Agreement, the KemPharm Agreement, the MainPointe Agreement, and the AD Pharma Agreement and in the patent infringement settlement agreements described below, we have retained all intellectual property rights to our Aversion Technology, Impede Technology, LIMITx Technology and related product candidates.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 Reference is made to the Risk Factors contained in this report under Item 1A.</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20, 2016, we, Purdue Pharma L.P. and Zyla settled patent infringement actions initiated by Purdue against Oxaydo and an Intes Parties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Zyla products, including, in some circumstances, Oxaydo® and other products using Acura’s Aversion® Technology if licensed to Zyla. Reference is made to the Risk Factors contained in this report under Item 1A.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Zyla is responsible for commercial manufacture of Oxaydo under the Zyla Agreement. We expect that future opioid product candidates developed and licensed by us will be commercially manufactured by our licensees or other qualified third party contract manufacturers.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Prior to our entering into the MainPointe Agreement, we relied on two contract manufacturers to manufacture, package and supply our commercial quantities of Nexafed and Nexafed Sinus Pressure + Pain products. We assigned our existing supply agreement to MainPointe in accordance with the terms of the MainPointe Agreement. Although we believe there are alternate sources of supply that can satisfy MainPointe’s anticipated commercial requirements, replacing or adding a contract manufacturer may cause an interruption in supply and could adversely impact our royalties from MainPointe on the net sales of the Nexafed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or our licensed products. Also, these competitors may have a substantial sales volume advantage over our products, which may result in our costs of manufacturing being higher than our competitors’ costs.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Pfizer Inc., Purdue Pharma, Atlantic Pharmaceuticals, KemPharm, Shionogi, Nektar Therapeutics, Signature Therapeutics, QRx Pharma, Tris Pharma, Pisgah Labs, Teva Pharmaceuticals, Sun Pharmaceuticals, Ensysce Biopharma, Inspirion Delivery Sciences and Collegium Pharmaceuticals.</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Cold and Sinus, as well as generic/store brand formulations of such products manufactured by Perrigo Company and others. A competing product from Perrigo is being marketed with claims of methamphetamine-resistance.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license agreement with MainPointe/AD Pharma, we may consider licensing our Impede Technology or other products utilizing such technology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as well as the manufacturing suitability of the product. In addition to providing required safety and effectiveness data for FDA approval, a drug manufacturer’s practices and procedures must comply with current Good Manufacturing Practices (“cGMPs”), which apply to manufacturing, receiving, holding and shipping, and include, among other things, demonstration of product purity, consistent manufacturing and quality and at least six months of data supporting product expiration dating based on clinical registration batches.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 (typically, 20-50).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Phase 2</w:t>
      </w:r>
      <w:r>
        <w:rPr>
          <w:rFonts w:ascii="Arial" w:cs="Arial" w:eastAsia="Arial" w:hAnsi="Arial"/>
          <w:sz w:val="17"/>
          <w:szCs w:val="17"/>
          <w:color w:val="auto"/>
        </w:rPr>
        <w:t>: Once the preliminary safety and tolerability of the drug in humans is confirmed during phase 1, phase 2 involves studies in a somewhat</w:t>
      </w:r>
      <w:r>
        <w:rPr>
          <w:rFonts w:ascii="Arial" w:cs="Arial" w:eastAsia="Arial" w:hAnsi="Arial"/>
          <w:sz w:val="17"/>
          <w:szCs w:val="17"/>
          <w:b w:val="1"/>
          <w:bCs w:val="1"/>
          <w:color w:val="auto"/>
        </w:rPr>
        <w:t xml:space="preserve"> </w:t>
      </w:r>
      <w:r>
        <w:rPr>
          <w:rFonts w:ascii="Arial" w:cs="Arial" w:eastAsia="Arial" w:hAnsi="Arial"/>
          <w:sz w:val="17"/>
          <w:szCs w:val="17"/>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3</w:t>
      </w:r>
      <w:r>
        <w:rPr>
          <w:rFonts w:ascii="Arial" w:cs="Arial" w:eastAsia="Arial" w:hAnsi="Arial"/>
          <w:sz w:val="16"/>
          <w:szCs w:val="16"/>
          <w:color w:val="auto"/>
        </w:rPr>
        <w:t>: 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4 or Post-Marketing Requirements</w:t>
      </w:r>
      <w:r>
        <w:rPr>
          <w:rFonts w:ascii="Arial" w:cs="Arial" w:eastAsia="Arial" w:hAnsi="Arial"/>
          <w:sz w:val="16"/>
          <w:szCs w:val="16"/>
          <w:color w:val="auto"/>
        </w:rPr>
        <w:t>: Phase 4 trials may be required by FDA after the approval of the NDA for the product, as a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Abbreviated New Drug Application, or ANDA, to the FDA including the results of the preclinical and clinical testing, together with, among other things, detailed information on the chemistry, manufacturing, quality controls, and proposed product labeling. There are two types of NDAs; a 505(b)(1) NDA and a 505(b)(2) NDA. A 505(b)(1) 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Prescription Drug User Fee Amendments of 2017, PDUFA VI, the FDA collects two types of fees associated with NDAs – (i) a fee collected at the time applications are submitted, and (ii) prescription drug program fees (accounting for 80% of the total), which are collected annually for certain prescription drugs. Exceptions to the application fee include previously filed applications and applications for drugs designated as orphan drugs for a rare disease.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According to FDA’s fee schedule, posted on August 2, 2019, for the 2020 fiscal year, the user fee for an application fee requiring clinical data, such as an NDA is $2,942,965. The FDA adjusts PDUFA user fees on an annual basis. A written request can be submitted for a waiver of the application fee for the first human drug application that is filed by a small business. Where we are subject to these fees, they are significant expenditures that may be incurred in the future and must be paid at the time of submission of each application to FDA.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program fees, subject to certain exceptions, each sponsor is required to pay the annual fee for each new prescription drug approved as of 1 October of each fiscal year (for 2020 such fee is $325,424 per product strength), but applicants may not be assessed more than five prescription drug program fees for a fiscal year, for prescription drugs identified in a single application. For example, an applicant that has 10 drug products identified in an approved NDA for 10 different strengths of tablet dosage form products is eligible for an assessment for a maximum of 5 program fees. PDUFA VI also eliminated fees for drug application supplements and establishment fees.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Currently, all extended-release or long-acting (ERLA) opioid products approved by the FDA are subject to a class-wide REMS program. The FDA has determined that a REMS is necessary for immediate release opioid analgesics and has begun the process of incorporating immediate-release opioids into this class-wide REMS program.</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market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Oxaydo product is,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34" w:lineRule="exact"/>
        <w:rPr>
          <w:rFonts w:ascii="Arial" w:cs="Arial" w:eastAsia="Arial" w:hAnsi="Arial"/>
          <w:sz w:val="17"/>
          <w:szCs w:val="17"/>
          <w:color w:val="auto"/>
        </w:rPr>
      </w:pPr>
    </w:p>
    <w:p>
      <w:pPr>
        <w:ind w:left="1300" w:hanging="320"/>
        <w:spacing w:after="0" w:line="26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84"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Healthcare Reform Law, and we expect there will be additional challenges and amendments to the Healthcare Reform Law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or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12 full-time employees and 1 part-time employee, 9 of whom are engaged in the research, development and manufacture of product candidates utilizing our proprietary Aversion, Impede, and LIMITx Technologies. The remaining employees are engaged in administrative, legal, accounting, finance, market research, and business development activities. All of our senior management and most of our other employees have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may not be able to generate a positive return on shareholders’ investment; there is substantial doubt as to our ability to continue as a going concern.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a net loss of $3.8 million, $3.8 million, and $5.7 million for the years ended December 31, 2019, 2018 and 2017, respectively. As of March 30, 2020 we had approximately $1.2 million of cash. The Agreement with AD Pharma provides us monthly license payments of $350,000 from July 2019 through November 2020 as well as reimbursement for all outside development costs for LTX-03. However, AD Pharma has the right to terminate the Agreement at any time for convenience and such action would substantially and adversely affect our ability to fund continuing operations. Our future viability will depend on several factors, including:</w:t>
      </w:r>
    </w:p>
    <w:p>
      <w:pPr>
        <w:spacing w:after="0" w:line="18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receipt of monthly license payments from AD Pharma for the entire18 month period ending November 30, 2020;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receipt of royalties relating to Zyla’s sale of Oxaydo, of which no assurance can be given;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MainPointe’s successful marketing and sale of our Nexafed products and other products utilizing our Impede Technology, and market acceptance, increased demand for and sales of our Nexafed products, of which no assurance can be given;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LIMITx Technology products in development from future licensees, of which no assurance can be given;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receipt of FDA approval and the successful commercialization by future licensees, yet to be identified and obtained, of products utilizing our LIMITx Technology and our ability to commercialize our Impede Technology without infringing the patents and other intellectual property rights of third parties, of which no assurance can be given.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focused primarily on the development of our lead LIMITx product candidate, LTX-03, as well as our other LIMITx programs, which we believe will result in our continued incurrence of significant research, development and other expenses related to those programs. If preclinical studies or the clinical trials for any of our LIMITx drug candidates fail or produce unsuccessful results and those drug candidates do not gain regulatory approval, or if any of our LIMITx drug candidates, if approved, fail to achieve market acceptance, we may never become self-supporting resulting in significant doubt as to our ability to sustain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assure you that Oxaydo or our Nexafed products will be successfully commercialized or our LIMITx Technology or Impede Technology products in development will be successfully developed or be approved for commercialization by the FDA.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301" w:lineRule="auto"/>
        <w:rPr>
          <w:sz w:val="20"/>
          <w:szCs w:val="20"/>
          <w:color w:val="auto"/>
        </w:rPr>
      </w:pPr>
      <w:r>
        <w:rPr>
          <w:rFonts w:ascii="Arial" w:cs="Arial" w:eastAsia="Arial" w:hAnsi="Arial"/>
          <w:sz w:val="16"/>
          <w:szCs w:val="16"/>
          <w:color w:val="auto"/>
        </w:rPr>
        <w:t>Even if Zyla succeeds in commercializing Oxaydo, if MainPointe is successful in commercializing our Nexafed products, or if we and AD Pharma succeed in developing and commercializing one or more of our pipeline LIMITx or Impede Technology products, we expect to continue using cash reserves for the foreseeable future. Our expenses may increase in the foreseeable future as a result of continued research and development of these and other product candidates, maintaining and expanding the scope of our intellectual property, and hiring of additional research and development staff.</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generate revenues from royalties on sales to achieve and maintain liquidity. If Zyla does not successfully commercialize Oxaydo, if MainPointe does not successfully commercialize the Nexafed products, or if we or AD Pharma cannot successfully develop, obtain regulatory approval and commercialize our LIMITx product candidates in development, specifically LTX-03,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188"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to date have consumed substantial amounts of cash. Negative cash flows from our operations currently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March 30, 2020 our cash balance was approximately $1.2 million. Additionally, the Agreement with AD Pharma calls for monthly license payments of $350,000 from July 2019 through November 2020 and as well as their payment of all outside development costs for LTX-03. To fund further operations, we must raise additional financing or enter into license or collaboration agreements with third parties relating to our technologies.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or have other provisions, including possibly security interests in our assets that could be onerous.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would materially harm our business, financial condition, results of operations and prospects.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ongoing capital requirements will depend on numerous factors, which likely will require that we continue to obtain capital infusions in the future. Our capital requirements, which cannot be predicted with certainty, include: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recent COVID-19 pandemic, in regions where third parties for which we rely, as in CROs or CMOs, have significant research, development or manufacturing facilities, concentrations of clinical trial sites or other business operations, causing disruption in supplies and services.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business could be adversely affected by health epidemics in regions </w:t>
      </w:r>
      <w:r>
        <w:rPr>
          <w:rFonts w:ascii="Arial" w:cs="Arial" w:eastAsia="Arial" w:hAnsi="Arial"/>
          <w:sz w:val="17"/>
          <w:szCs w:val="17"/>
          <w:i w:val="1"/>
          <w:iCs w:val="1"/>
          <w:color w:val="auto"/>
        </w:rPr>
        <w:t>where third parties for which we rely, as in CROs or CMOs,</w:t>
      </w:r>
      <w:r>
        <w:rPr>
          <w:rFonts w:ascii="Arial" w:cs="Arial" w:eastAsia="Arial" w:hAnsi="Arial"/>
          <w:sz w:val="17"/>
          <w:szCs w:val="17"/>
          <w:color w:val="auto"/>
        </w:rPr>
        <w:t xml:space="preserve"> have concentrations of clinical trial sites or other business operations, and could cause significant disruption in the operations of third-party manufacturers and CROs upon whom we rely. On January 30, 202 0, the World Health Organization (“WHO”) announced a global health emergency because of a new strain of novel coronavirus originating in Wuhan, China (the “COVID-19 outbreak”)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our business and delay our clinical programs and timelines.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Any manufacturing supply interruption of materials could adversely affect our ability to conduct ongoing and future research and manufacturing activities of LTX-03.</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clinical trials may be affected by the COVID-19 pandemic.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the ability to recruit and retain patients and principal investigators and site staff who, as healthcare providers, may have heightened exposure to COVID-19 and adversely impact our clinical trial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pandemic of COVID-19 continues to rapidly evolve. The ultimate impact of the COVID-19 pandemic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18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loan with AD Pharma, LLC they may accelerate amounts owed and may foreclose upon the security interest in all of our assets securing our obligation.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28, 2019, we (including our wholly-owned subsidiary Acura Pharmaceutical Technologies, Inc. (“APT”)), entered into a Promissory Note and Security Agreement with John Schutte (Mr. Schutte) that consolidated existing promissory notes into a single Note for $6.0 million (after including accrued interest). To secure our performance of our obligations under the Note, we granted Mr. Schutte a security interest in all of our assets. Our failure to comply with the terms of the loan agreement, if we file bankruptcy, failure to pay interest and principal when due on July 1, 2023, or upon failure to meet certain timelines as defined in the License, Development and Commercialization Agreement could result in the acceleration of payment of our loan, foreclosure on our assets, and other adverse results. With our consent, Mr. Schutte assigned and transferred to Abuse Deterrent Pharma, LLC (“AD Pharma”) (an entity controlled by him, all of his right, title and interest in this Note and associated Security Agreement effective June 28, 2019. Any declaration of an event of default by AD Pharma could result in the transfer of our business to AD Pharma without additional consideration and the loss by our shareholders of their entire interest.</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largely dependent on our successful development of our LIMITx product candidates.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generate revenues and become profitable will depend in large part on our successful development of our LTX-03 as licensed to AD Pharma and potentially other LIMITx product candidates and on the commercial success of our only FDA approved product, Oxaydo, of which no assurance can be given We expect that a substantial portion of our efforts and expenditures over the next few years, if we obtain additional funding, will be devoted to our lead LIMITx product candidate, LTX-03, and other LIMITx product candidates in development. We completed our first two Phase I clinical studies for LTX-04, an opioid hydromorphone HCI, in mid-2016. We have changed our primary development focus from immediate-release hydromorphone products (i.e., LTX-04, described above) to immediate-release hydrocodone products (</w:t>
      </w:r>
      <w:r>
        <w:rPr>
          <w:rFonts w:ascii="Arial" w:cs="Arial" w:eastAsia="Arial" w:hAnsi="Arial"/>
          <w:sz w:val="17"/>
          <w:szCs w:val="17"/>
          <w:i w:val="1"/>
          <w:iCs w:val="1"/>
          <w:color w:val="auto"/>
        </w:rPr>
        <w:t>i.e.</w:t>
      </w:r>
      <w:r>
        <w:rPr>
          <w:rFonts w:ascii="Arial" w:cs="Arial" w:eastAsia="Arial" w:hAnsi="Arial"/>
          <w:sz w:val="17"/>
          <w:szCs w:val="17"/>
          <w:color w:val="auto"/>
        </w:rPr>
        <w:t>, LTX-03) because hydrocodone bitartrate is more likely to be abused in oral excessive tablet abuse, or ETA, and completed two pharmokinetic studies for LTX-03 during 2017 and the first week of 2018. We are also engaged in formulation development or early preclinical development for other LIMITx product candidates. Accordingly, our business is currently substantially dependent on the successful development, clinical testing, regulatory approval and commercialization of our LIMITx product candidates, which may never occur. If our clinical studies for LTX-03 are not successful we may determine that further clinical development of LTX-03 or other LIMITx product candidates should be discontinued. Also, the failure of clinical studies for LTX-03 may cause AD Pharma to terminate the Agreement. We expect that any revenues from our LIMITx product candidates, specifically LTX-03 will be derived from upfront payments, milestone payments and royalties under license agreements with AD Pharma, of which no assurance can be given.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MainPointe/AD Pharma is not successful in commercializing our Nexafed Products, our revenues and business will suffer.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Nexafed products compete in the highly competitive market for cold, sinus and allergy products generally available to the consumer without a prescription. Many of our competitors have substantially greater financial and other resources and are able to expend more funds and effort than MainPointe in marketing their competing products. Category leading brands are often supported by regional and national advertising and promotional efforts. Our Nexafed products compete with national brands as well as pharmacy store brands that are offered at a lower price. There can be no assurance that MainPointe will succeed in commercializing our Nexafed products, or that the pricing of our Nexafed products will allow us to generate significant royalty revenues. Regulations have been enacted in several state or local jurisdictions requiring a doctor’s prescription to obtain pseudoephedrine products. An expansion of such restrictions to other jurisdictions or even nationally will adversely impact MainPointe’s ability to market our Nexafed products as over-the-counter, or OTC, products and negatively impact royalty payments to us from Nexafed products sales. There can be no assurance that MainPointe will devote sufficient resources to marketing and commercialization of our Nexafed products. MainPointe’s failure to successfully commercialize our Nexafed® products may have an adverse effect on our business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180"/>
        <w:spacing w:after="0"/>
        <w:rPr>
          <w:sz w:val="20"/>
          <w:szCs w:val="20"/>
          <w:color w:val="auto"/>
        </w:rPr>
      </w:pPr>
      <w:r>
        <w:rPr>
          <w:rFonts w:ascii="Arial" w:cs="Arial" w:eastAsia="Arial" w:hAnsi="Arial"/>
          <w:sz w:val="18"/>
          <w:szCs w:val="18"/>
          <w:b w:val="1"/>
          <w:bCs w:val="1"/>
          <w:i w:val="1"/>
          <w:iCs w:val="1"/>
          <w:color w:val="auto"/>
        </w:rPr>
        <w:t>If Zyla is not successful in commercializing Oxaydo, our revenues and our business will suffer.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Collaboration and License Agreement with Zyla, or the Zyla Agreement, Zyla is responsible for manufacturing, marketing, pricing, promotion, selling and distribution of Oxaydo. If the Zyla Agreement is terminated in accordance with its terms, including due to a party’s failure to perform its obligations or responsibilities under the Agreement, then we would need to commercialize Oxaydo ourselves, for which we currently have no infrastructure, or alternatively enter into a new agreement with another pharmaceutical company, of which no assurance can be given. If we are unable to build the necessary infrastructure to commercialize Oxaydo ourselves, which would substantially increase our expenses and capital requirements, which we are currently unable to fund, or are unable to find a suitable replacement commercialization partner, we would be unable to generate any revenue from Oxaydo. Even if we are successful at replacing the commercialization capabilities of Zyla, our revenues and/or royalties from Oxaydo could be adversely impacted.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Zyla’s third party manufacturing facility currently is the sole commercial source of supply of Oxaydo. If Zyla’s manufacturing facility fails to obtain sufficient DEA quotas for oxycodone, fails to source adequate quantities of active and inactive ingredients, fails to comply with regulatory requirements, or otherwise experiences disruptions in commercial supply of Oxaydo, product revenue and our royalties could be adversely impacted.</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Zyla has various products in development and also markets other products, for which Oxaydo will vie for such licensee’s development, promotional, marketing, and selling resources. If Zyla fails to commit sufficient promotional, marketing and selling resources to Oxaydo, our expected royalties could be adversely impacted. Additionally, there can be no assurance that Zyla will commit the resources required for the successful commercialization of Oxaydo.</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Zyla prices Oxaydo inappropriately, fails to position Oxaydo properly, targets inappropriate physician specialties, or otherwise does not provide sufficient promotional support, product revenue and our royalties could be materially adversely impacted.</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Zyla’s promotional, marketing and sales activities in connection with Oxaydo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Zyla’s activities are found to be in violation of these laws or any other federal and state fraud and abuse laws, Zyla may be subject to penalties, including civil and criminal penalties, damages, fines and the curtailment or restructuring of its activities with regard to the commercialization of Oxaydo, which could harm the commercial success of Oxaydo and have a material adverse effect on our business, financial condition and results of operations.</w:t>
      </w:r>
    </w:p>
    <w:p>
      <w:pPr>
        <w:spacing w:after="0" w:line="165"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Our failure to meet the development timelines in the License Agreement with AD Pharma, including FDA acceptance of NDA submission for LTX-03 by November 30, 2020, will allow AD Pharma the option to terminate the Agreement and take ownership of the LIMITx intellectual property which will adversely impact our ability to develop, market and sell our LIMITx Technology products and our revenues and business will be materially adversely affected.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in the development of product candidates utilizing our LIMITx Technology, including planning studies for LTX-03, our hydrocodone/acetaminophen lead product candidate which has been licensed to AD Pharma. This License requires that the IND application for LTX-03 be accepted by the FDA within 18 months from June 28, 2019. Failure to do so gives AD Pharma the option to terminate this Agreement and take ownership of the LIMITx intellectual property. AD Pharma’s seizure of the LIMITx IP would have a material adverse impact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Oxaydo and LIMITx Technology products by describing the abuse deterrent or other beneficial features of such products will be determined by the FDA approved label for such products.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commercial success of Oxaydo and our LIMITx Technology products in development will depend upon our and our licensees’ ability to obtain FDA approved labeling describing such products’ abuse deterrent features or other benefits. Our or our licensees’ failure to achieve FDA approval of product labeling containing such information will prevent or substantially limit our and our licensees’ advertising and promotion of such beneficial features in order to differentiate our products from other immediate release opioid products containing the same active ingredients, and would have a material adverse impact on our business and results of operations. 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or safety features in the label for our Aversion and LIMITx Technology products in development. We have committed to the FDA to undertake epidemiological studies to assess the actual consequences of abuse of Oxaydo in the market. However, the extent to which a description of the abuse deterrent properties or results of epidemiological or other studies will be added to or included in the FDA approved product label for our products in development will be the subject of our and our licensees’ discussions with, and agreement by, the FDA as part of the new drug application, or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Oxaydo includes the results from a clinical study which evaluated the effects of nasally snorting crushed Oxaydo and commercially available oxycodone tablets and limitations on wetting or dissolving Oxaydo, it does not, however, include the results of our laboratory studies intended to evaluate Oxaydo’s potential to limit extraction of oxycodone HCl from dissolved Oxaydo Tablets and resist conversion into an injectable, or IV solution. According to filings made by Zyla, a supplemental new drug application (“sNDA”) was submitted by Zyla in December 2016 for Oxaydo to support an abuse-deterrent label claim for the intravenous route of abuse, and in February 2017, Zyla filed a prior approval supplement (“PAS”) with data on new dosage strengths of 10 mg and 15 mg of Oxaydo. Zyla reported they received a complete response letter from the FDA in June of 2017 where the FDA requested more information regarding the effect of food on Oxaydo 15 mg and the intranasal abuse deterrent properties of Oxaydo 10 and 15 mg. Zyla reported that based on discussions with the FDA regarding the sNDA, Zyla believed a contemporary intranasal human abuse potential study would be needed to complete the sNDA, and given that the issues involved in the sNDA and PAS are intertwined, Zyla disclosed that they are evaluating their options and the costs associated to proceed on the abuse deterrent label and/or the additional dosage strengths. The absence of the results of these extraction and syringe studies in the FDA approved label for Oxaydo may substantially limit our licensee’s ability to differentiate Oxaydo from other immediate release oxycodone products, which would have a material adverse effect on market acceptance of Oxaydo and on our business and results of operations.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FDA approved labeling for Oxaydo, there can be no assurance that our LIMITx Technology products in development will receive FDA approved labeling that describes the beneficial safety features of such products. If the FDA does not approve labeling containing such information, we or our licensees will not be able to promote such products based on their safety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Further, because the FDA closely regulates promotional materials and other promotional activities, even if the FDA initially approves product labeling that includes a description of the abuse deterrent characteristics of our product, as in the case of Oxaydo, the FDA’s Office of Prescription Drug Promotion, or OPDP, will continue to review the acceptability of promotional claims and product advertising campaigns for our marketed products. This could lead to the issuance of warning letters or untitled letters, suspension or withdrawal of Oxaydo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committing a majority of our resources to the development of product candidates utilizing our LIMITx and Impede Technologies. Notwithstanding the receipt of FDA approval of Oxaydo and our marketing of our Nexafed products, there can be no assurance that any product candidate utilizing our Impede or LIMITx Technologies will meet FDA’s standards for commercial distribution. Further, there can be no assurance that other product candidates that may be developed using LIMITx, Impede or Aversion Technologies will achieve the targeted end points in the required clinical studies, demonstration of acceptable manufacturing, quality and product expiration standards, or perform as intended in other pre-clinical and clinical studies or lead to an NDA submission or filing acceptance. Our failure to successfully develop and achieve final FDA approval of our product candidates in development will have a material adverse effect on our financial condition.</w:t>
      </w:r>
    </w:p>
    <w:p>
      <w:pPr>
        <w:spacing w:after="0" w:line="195"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If the FDA disagrees with our determination that certain of our products meet the over-the-counter, or OTC, Monograph requirements, once those products are commercialized, they may be removed from the market; the FDA or the U.S. Federal Trade Commission, or FTC, may object to our advertisement and promotion of the extraction characteristics and benefits of our Nexafed products.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current Good Manufacturing Practices, or cGMP and establishment registration. Any product which fails to conform to each of the general conditions in a monograph is subject to regulatory action. Further, although the FDA regulates OTC drug product labeling, the FTC regulates the advertising and marketing of OTC drug products. We believe that our Nexafed products licensed to MainPointe are classified for OTC sale under an FDA OTC monograph, which will allow for their commercialization without submitting an NDA or abbreviated new drug application, or ANDA to the FDA. We have also determined that, provided MainPointe adheres to the FDA’s requirements for OTC monograph products, including product labeling, we can advertise and promote the extraction characteristics and benefits of our Nexafed products which are supported by our research studies. No assurance can be given, however, that the FDA will agree that our Nexafed products may be sold under the FDA’s OTC monograph product regulations or that the FDA or FTC will not object to MainPointe’s advertisement and promotion of our Nexafed products’ extraction characteristics and benefits. If the FDA determines that our Nexafed products do not conform to the OTC monograph or if MainPointe fails to meet the general conditions, once commercialized, the products may be removed from the market and we and MainPointe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announced that it is considering material changes to how it regulates OTC drug products and held a hearing in late March 2014 for public comment. Changes to the existing OTC regulations could result in a requirement that an NDA or ANDA be filed for our Nexafed products or other Impede Technology products in order to commercialize such products. If the FDA requires the submission of a NDA or ANDA to obtain marketing approval for our Nexafed® products or other Impede Technology products, this would result in substantial additional costs, suspend the commercialization of our Nexafed products and require FDA approval prior to sale, of which no assurance can be provided. In such case, the label for our Nexafed products or other Impede Technology products would be subject to FDA review and approval and there can be no assurance that we or our licensees will be able to market Nexafed or other Impede Technology products with labeling sufficient to differentiate it from products that have comparable therapeutic profiles. If we or our licensees are unable to advertise and promote the extraction characteristics of Nexafed or other Impede Technology products, we or our licensees may be unable to compete with national brands and pharmacy chain store brands.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180"/>
        <w:spacing w:after="0" w:line="277" w:lineRule="auto"/>
        <w:rPr>
          <w:sz w:val="20"/>
          <w:szCs w:val="20"/>
          <w:color w:val="auto"/>
        </w:rPr>
      </w:pPr>
      <w:r>
        <w:rPr>
          <w:rFonts w:ascii="Arial" w:cs="Arial" w:eastAsia="Arial" w:hAnsi="Arial"/>
          <w:sz w:val="18"/>
          <w:szCs w:val="18"/>
          <w:b w:val="1"/>
          <w:bCs w:val="1"/>
          <w:i w:val="1"/>
          <w:iCs w:val="1"/>
          <w:color w:val="auto"/>
        </w:rPr>
        <w:t>Our LIMITx, Impede and Aversion Technology products may not be successful in limiting or impeding abuse or misuse or provide additional safety upon commercialization.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committing a majority of our resources to the development of products utilizing our LIMITx and Impede Technologies. Notwithstanding the receipt of FDA approval of Oxaydo and the results of our numerous clinical and laboratory studies for Oxaydo, our Nexafed products, and our LIMITx and Impede Technology products in development, there can be no assurance that Oxaydo, our Nexafed products or any other product utilizing our LIMITx, Impede or Aversion Technologies will perform as tested and limit or impede the actual abuse or misuse of such products or provide other benefits in commercial settings. Moreover, there can be no assurance that the post-approval epidemiological study required by the FDA as a condition of approval of Oxaydo will show a reduction in the consequences of abuse and misuse by patients for whom Oxaydo is prescribed. To date, Zyla has not achieved sufficient market share for Oxaydo to support a full epidemiological study. The failure of Oxaydo, our Nexafed products or other products utilizing our LIMITx and Impede Technologies to limit or impede actual abuse or misuse or provide other safety benefits in practice will have a material adverse impact on market acceptance for such products and on our financial condition and results of operations.</w:t>
      </w:r>
    </w:p>
    <w:p>
      <w:pPr>
        <w:spacing w:after="0" w:line="181"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Relying on third party contract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or our licensee’s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no commercial manufacturing capacity and rely on third-party contract manufacturers to produce commercial quantities of our products.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LIMITx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drug products, including our licensed Nexafed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If these executive actions impose constraints on the FDA’s ability to engage in oversight and implementation activities in the normal course, our business may be negatively impacted.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Oxaydo is conditioned on us or Zyla conducting a post-approval epidemiological study to assess the actual abuse levels and consequences of Oxaydo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Oxaydo and LIMITx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57"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installed the equipment necessary to manufacture clinical trial supplies of our LIMITx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Impede or LIMITx Technologies, which could adversely affect our business and results of operations.</w:t>
      </w:r>
    </w:p>
    <w:p>
      <w:pPr>
        <w:spacing w:after="0" w:line="17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95"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 Pharma Agreement grants AD Pharma an exclusive license to develop and commercialize LTX-03 in the US. The Zyla Agreement grants Zyla an exclusive worldwide license to develop and commercialize Oxaydo. Our license agreement with KemPharm Inc., or the KemPharm Agreement, grants exclusive worldwide rights to KemPharm to utilize our Aversion technology in certain of KemPharm’s prodrug products. Our license agreement with MainPointe grants exclusive rights in the U.S. and Canada (with option rights to expand the licensed territory) to our Nexafed products with option rights to certain other pseudoephedrine-containing products utilizing our Impede technology. We believe that opportunities exist to enter into license agreements similar to the AD Pharma Agreement, Zyla Agreement, the KemPharm Agreement and the MainPointe Agreement with other pharmaceutical company partners for the development and commercialization of our LIMITx, Impede and Aversion Technologies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AD Pharma Agreement, the Zyla Agreement, the KemPharm Agreement, the MainPointe Agreement, or any license agreement we may enter into relating to any of our LIMITx or Impede Technology products in development or our Aversion Technology, we do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licensees.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Oxaydo and our LIMITx and Impede product candidates, it may be necessary for us to license a significant portion of our product candidates to a single company, thereby eliminating our opportunity to commercialize other product candidates with other licensees.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140" w:right="20"/>
        <w:spacing w:after="0" w:line="277" w:lineRule="auto"/>
        <w:rPr>
          <w:sz w:val="20"/>
          <w:szCs w:val="20"/>
          <w:color w:val="auto"/>
        </w:rPr>
      </w:pPr>
      <w:r>
        <w:rPr>
          <w:rFonts w:ascii="Arial" w:cs="Arial" w:eastAsia="Arial" w:hAnsi="Arial"/>
          <w:sz w:val="18"/>
          <w:szCs w:val="18"/>
          <w:b w:val="1"/>
          <w:bCs w:val="1"/>
          <w:i w:val="1"/>
          <w:iCs w:val="1"/>
          <w:color w:val="auto"/>
        </w:rPr>
        <w:t>If we fail to maintain our license agreement with Zyla, we may have to commercialize Oxaydo on our own and if we fail to maintain the license agreement with AD Pharma we may have to commercialize Nexafed Products on our own.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plan for manufacturing and commercializing Oxaydo currently requires us to maintain our license agreement with Zyla. In addition to other customary termination provisions, the Zyla Agreement provides that Zyla may terminate the Zyla Agreement upon certain notice periods. If Zyla elects to terminate the Zyla Agreement, or if we are otherwise unable to maintain our existing relationship with Zyla, we would have to commercialize Oxaydo ourselves for which we currently have no infrastructure, or alternatively enter into a new agreement with another pharmaceutical company, of which no assurance can be given. Our ability to commercialize Oxaydo on our own may require additional financing, which may not be available on acceptable terms, or at all. While, there is no provision for MainPointe to elect to terminate its license agreement without cause, if it should fail to perform thereunder and we terminated the agreement, then we would have to commercialize the Nexafed Products on our own. Although prior to entering into the MainPointe agreement we had been commercializing certain Nexafed Products on our own, we would have to reestablish our capabilities, which will require additional financing which may not be available on acceptable terms, if at all.</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Impede or LIMITx Technologies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Impede or LIMITx Technologies will be accepted by health care providers and others. Factors that may materially affect market acceptance of our product candidates include but are not limited to:</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pharmacy chains to stock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Oxaydo and our Nexafed Products compete, and our other product candidates, such as LTX-03, if successfully developed and commercially launched will compete, with both currently marketed and new products launched in the future by other companies. Physicians and other prescribers may not be inclined to prescribe our prescription products unless our products demonstrate commercially viable advantages over other products currently marketed for the same indications. Pharmacy chains may not be willing to stock any of our products and pharmacists may not recommend Nexafed products to consumers. Further, consumers may not be willing to purchase our products. If our products do not achieve market acceptance, we may not be able to generate significant revenues or become profitable.</w:t>
      </w:r>
    </w:p>
    <w:p>
      <w:pPr>
        <w:spacing w:after="0" w:line="19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296"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Impede or LIMITx Technologies.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 candidates. The continuing efforts of government and third-party payers to contain or reduce the costs of health care may limit our commercial opportunity. If government and other third-party payers do not provide adequate coverage and reimbursement for any product utilizing our technologies,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7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Federal and foreign legislation may be enacted that may seriously impact the commercial viability and acceptance of the products we have licensed and are developing.</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61" w:lineRule="exact"/>
        <w:rPr>
          <w:sz w:val="20"/>
          <w:szCs w:val="20"/>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500" w:right="20" w:hanging="330"/>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18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500" w:hanging="330"/>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since its enactment, there have been judicial and Congressional challenges to certain aspects of the Healthcare Reform Law, and we expect there will be additional challenges and amendments to the Affordable Care Act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spacing w:after="0" w:line="17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each of the Zyla Agreement, the KemPharm Agreement, the MainPointe Agreement and AD Pharma Agreement, our licensees control (or will control in the case of AD Pharma for LTLX-03) the price of the licensed products,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right="20"/>
        <w:spacing w:after="0" w:line="301" w:lineRule="auto"/>
        <w:rPr>
          <w:sz w:val="20"/>
          <w:szCs w:val="20"/>
          <w:color w:val="auto"/>
        </w:rPr>
      </w:pPr>
      <w:r>
        <w:rPr>
          <w:rFonts w:ascii="Arial" w:cs="Arial" w:eastAsia="Arial" w:hAnsi="Arial"/>
          <w:sz w:val="16"/>
          <w:szCs w:val="16"/>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178" w:lineRule="exact"/>
        <w:rPr>
          <w:sz w:val="20"/>
          <w:szCs w:val="20"/>
          <w:color w:val="auto"/>
        </w:rPr>
      </w:pPr>
    </w:p>
    <w:p>
      <w:pPr>
        <w:ind w:left="140"/>
        <w:spacing w:after="0" w:line="342" w:lineRule="auto"/>
        <w:rPr>
          <w:sz w:val="20"/>
          <w:szCs w:val="20"/>
          <w:color w:val="auto"/>
        </w:rPr>
      </w:pPr>
      <w:r>
        <w:rPr>
          <w:rFonts w:ascii="Arial" w:cs="Arial" w:eastAsia="Arial" w:hAnsi="Arial"/>
          <w:sz w:val="16"/>
          <w:szCs w:val="16"/>
          <w:b w:val="1"/>
          <w:bCs w:val="1"/>
          <w:i w:val="1"/>
          <w:iCs w:val="1"/>
          <w:color w:val="auto"/>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 in the next risk factor;</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hanging="324"/>
        <w:spacing w:after="0" w:line="28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p>
      <w:pPr>
        <w:spacing w:after="0" w:line="1"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We may not have sufficient resources to enforce our intellectual property rights or to defend our patent or other intellectual property rights against a challenge. If we are unsuccessful in enforcing and protecting our intellectual property rights and protecting our products, it would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we may require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aware of certain United States and international pending patent applications owned by third parties with claims potentially encompassing Oxaydo and our other products.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aware of certain issued United States patents owned by a third party having claims encompassing a process used to manufacture oxycodone HCl of high purity and pharmaceutical products resulting therefrom. As required by the FDA, Oxaydo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Oxaydo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Oxaydo from the market.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more than the amounts used in our technology. While we believe our technology does not infringe this patent, we cannot provide assurance that we will not be sued under such patent or if sued, that we will prevail in any such suit.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effect on our operations and financial condition.</w:t>
      </w:r>
    </w:p>
    <w:p>
      <w:pPr>
        <w:spacing w:after="0" w:line="18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Oxaydo, which could cause Zyla’s sales to suffer and adversely impact our royalty revenue.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Hatch-Waxman Act, the FDA can approve an Abbreviated New Drug Application (“ANDA”) for a generic version of a branded drug and what is referred to as a Section 505(b)(2) NDA, for a branded variation of an existing branded drug, without requiring such applicant to undertake the full clinical testing necessary to obtain approval to market a new drug. In November 2017 the FDA issued guidance for the industry on obtaining approval for generic versions of opioids that reference products whose labeling describes abuse-deterrent properties.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 Under the 2017 FDA guidance when a potential ANDA applicant develops a generic solid oral opioid drug product, the potential ANDA applicant should evaluate its proposed generic drug to show that it is no less abuse deterrent than the reference drug with respect to all of the potential routes of abuse.</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or our licensee will have 45 days to bring a patent infringement suit known as a Paragraph IV Proceeding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 applicant’s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2012 and 2013, we received Paragraph IV Certification Notices under 21 U.S.C. 355(j) (a Paragraph IV Notice) from 5 different generic sponsors of an ANDA for a generic drug listing Oxaydo as the reference listed drug. We initiated patent infringement proceedings against all 5. In 2013 and 2014, Watson Laboratories, Inc. – Florida (Watson) withdrew their Paragraph IV certification and we settled our litigation with Par Pharmaceutical, Inc., Impax Laboratories, Inc. Sandoz Inc., and Ranbaxy, Inc. Par is the first filer of an ANDA for a generic Oxaydo product and is entitled to the 180-day first filer exclusivity under applicable law and FDA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possible that other generic manufacturers may also seek to launch a generic version of Oxaydo and challenge our patents. Any determination in any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49"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may be exposed to product liability claims and claims regarding marketing of products and may not be able to obtain or maintain adequate product liability insurance and some claims may not be covered by insurance.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and in particular opioid products. Manufacturers and distributors of prescription opioid medications, are the subject of lawsuits and have received subpoenas and other requests for information from various state and local government agencies regarding the sales and marketing of opioid medications. While we would not expect to be implicated in any such action or investigations, since our business is focused on abuse deterrence, there can be no assurance that we will not be so implicated. Product liability claims or marketing related claims might be made by patients, health care providers or others that sell or consume our products or insurance companies that insure those affected by our products. These claims may be made even with respect to those products that possess regulatory approval for commercial sale. We currently have clinical trial product liability insurance on a claims-made basis for our subject clinical trials and have product liability insurance for the Nexafed and Oxaydo products. This coverage may not be adequate to cover any product liability claims. Product liability coverage and other insurance is expensive. In the future, we may not be able to maintain such product liability insurance or other insurance at a reasonable cost or in sufficient amounts to protect us against losses due to product liability claims or other claims. In addition our insurance may not cover certain marketing related claims and excludes certain products from product liability coverage. See litigation discussed below under “Item 3. Legal Proceedings” of this Report. Any claims that are not covered by product liability insurance or other insurance could have a material adverse effect on our business, financial condition and results of operations.</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and DES (diethylstilbestrol) litigation discussed below under “Item 3. Legal Proceedings” of this Report, including litigation relating to products we manufactured or distributed several years and decades ago when we manufactured and sold a broad range of prescription and over the counter products. Such litigation may have material adverse consequences to our financial condition and results of operations.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licensee’s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Pfizer Inc., Purdue Pharma, Atlantic Pharmaceuticals, KemPharm, Shionogi, Nektar Therapeutics, Signature Therapeutics, QRx Pharma, Tris Pharma, Pisgah Labs, Teva Pharmaceuticals, Sun Pharmaceuticals, Inspirion Delivery Sciences, and Collegium Pharmaceuticals, Inc. These companies appear to be focusing their development efforts on ER Opioid Products, except for Atlantic Pharmaceuticals, Pisgah Labs, Inspirion and KemPharm.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Our Impede Technology products containing PSE, including our licensed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LIMITx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and Impede Technologies. Alternative technologies and non-opioid products are being developed to improve or replace the use of opioid analgesics. In the event that such alternatives to opioid analgesics are widely adopted, then the market for products utilizing our LIMITx and Impede Technologies may be substantially decreased, thus reducing our ability to generate future revenues and adversely affecting our ability to generate a profit</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dependent on our management and scientific team, including Robert Jones, our President and Chief Executive Officer, Peter A. Clemens, our Chief Financial Officer, and Albert W. Brzeczko, Ph.D., our Vice President of Pharmaceutical Sciences. We may not be able to retain the services of key personnel or attract and retain personnel on acceptable terms given the competition for such personnel among biotechnology, pharmaceutical and healthcare companies, universities and non-profit research institutions. While we have employment agreements with our CEO and CFO, all of our other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6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8"/>
          <w:szCs w:val="18"/>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many of our raw ingredients and manufacturing equipment comes from international sources. Trade agreements and/or disagreements or other unforeseen disruptions to international supply chains may have an adverse impact on our business.</w:t>
      </w:r>
    </w:p>
    <w:p>
      <w:pPr>
        <w:spacing w:after="0" w:line="17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Social issues around the abuse of opioids, including law enforcement concerns over diversion of opioid and regulatory efforts to combat abuse, could decrease the potential market for Oxaydo, and, if approved, our LIMITx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Media stories regarding prescription drug abuse and the diversion of opioids and other controlled substances are commonplace. Law enforcement and regulatory agencies may apply policies that seek to limit the availability of opioids. Such efforts may inhibit Zyla’s ability to commercialize Oxaydo and, if approved, our LIMITx product candidate. Aggressive enforcement and unfavorable publicity regarding, for example, the use or misuse of oxycodone or other opioid drugs, the limitations of abuse resistant formulations, public inquiries and investigations into prescription drug abuse, litigation or regulatory activity, sales, marketing, distribution or storage of our drug products could harm our reputation. Such negative publicity could reduce the potential size of the market for our product candidates and Oxaydo and decrease the revenues and royalties we are able to generate from their sale. Similarly, to the extent opioid abuse becomes less prevalent or a less urgent public health issue, regulators and third-party payers may not be willing to pay a premium for abuse deterrent formulations of opioids.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efforts by the FDA and other regulatory bodies to combat abuse of opioids may negatively impact the market for our product candidates. For example, in February 2016, as part of a broader initiative led by U.S. Department of Health and Human Services to address opioid-related overdose, death and dependence,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 abuse-deterrent opioid formulations, and seeking input from the FDA’s Scientific Board to broaden the understanding of the public risks of opioid abuse. Many of these changes could require our licensing partner and us to expend additional resources in developing and commercializing Oxaydo and our product candidates to meet additional requirements. In October 2017, the acting director of HHS under the directive of President Trump, declared the opioid crisis a national health emergency and initiated a five point plan including (i) improving access to prevention, treatment, and recovery support services; (ii) targeting the availability and distribution of overdose-reversing drugs; (iii) strengthening public health data reporting and collection; (iv) supporting cutting-edge research on addiction and pain; and (v) advancing the practice of pain management. The impact that this five point plan will have on us and our licensing partners is unclear at this time.</w:t>
      </w:r>
    </w:p>
    <w:p>
      <w:pPr>
        <w:spacing w:after="0" w:line="18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6"/>
          <w:szCs w:val="16"/>
          <w:b w:val="1"/>
          <w:bCs w:val="1"/>
          <w:i w:val="1"/>
          <w:iCs w:val="1"/>
          <w:color w:val="auto"/>
        </w:rPr>
        <w:t>Prior ownership changes may limit our ability to use our tax net operating loss carryforwards as part of an corporate restructure or reorganization.</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Significant equity restructuring often results in an Internal Revenue Section 382 ownership change that limits the future use of Net Operating Loss (“NOL”), carryforwards and other tax attributes. In addition, under the Tax Cuts and Jobs Act of 2017, NOL usage in any given year will be limited to 80% of taxable income, without regard to the NOL deduction, and losses incurred in 2018 and forward may not be carried back but can be carried forward indefinitely, but losses incurred prior to 2018 can only be carried forward for 20 years. We have determined that we have undergone ownership changes in both 2004 and 2017 (as defined by Section 382 of the Internal Revenue Code) and as a result, our use of NOL carryforwards on an annual basis will be very limited. As such, an entity that may seek to acquire the Company would likely be limited in the amount of NOLs they may be able to utilize.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results of operations will fluctuate, and these fluctuations could cause our stock price to decline.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periods, our clinical, financial or operating results may not meet the expectations of securities analysts and investors, which could result in a decline in the price of our stock.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our stock traded as high as $0.63 per share and as low as $0.11 per share. The trading price of our common stock is likely to continue to exhibit wide fluctuations in response to various factors, some of which are beyond our control. These factors could include: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from our pre-clinical and clinical development programs, including our LIMITx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the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and 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licensee’s success in the commercialization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the execution of license agreements with third parties for our products or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Any future sale of a substantial number of shares in a capital raising transaction could depress the trading price of our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February 15, 2020, our two largest shareholders own an aggregate of 12,651,582 shares (including 1,782,531 shares underlying warrants) (representing approximately 54.6% of our outstanding shares, including shares issuable upon exercise of these warrants but not including any other warrants, options or convertible debt outstanding to other entities). If some or all of such shares are sold by such stockholders, it may have the effect of depressing the trading price of our common stock. In addition, such sales could make it more difficult for us to raise capital if needed in the future.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140"/>
        <w:spacing w:after="0" w:line="342" w:lineRule="auto"/>
        <w:rPr>
          <w:sz w:val="20"/>
          <w:szCs w:val="20"/>
          <w:color w:val="auto"/>
        </w:rPr>
      </w:pPr>
      <w:r>
        <w:rPr>
          <w:rFonts w:ascii="Arial" w:cs="Arial" w:eastAsia="Arial" w:hAnsi="Arial"/>
          <w:sz w:val="16"/>
          <w:szCs w:val="16"/>
          <w:b w:val="1"/>
          <w:bCs w:val="1"/>
          <w:i w:val="1"/>
          <w:iCs w:val="1"/>
          <w:color w:val="auto"/>
        </w:rPr>
        <w:t>Approximately 45.6% of our common stock, after giving effect to exercise of a warrant, is owned by a single individual, who is also a principal of AD Pharma LLC and MainPointe Pharmaceuticals LLC, and that individual is also party to our Second Amended and Restated Voting Agreement</w:t>
      </w:r>
      <w:r>
        <w:rPr>
          <w:rFonts w:ascii="Arial" w:cs="Arial" w:eastAsia="Arial" w:hAnsi="Arial"/>
          <w:sz w:val="16"/>
          <w:szCs w:val="16"/>
          <w:color w:val="auto"/>
        </w:rPr>
        <w:t>.</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significant amount of our common stock is owned by a single individual, Mr. Schutte. On July 24, 2017, we completed a $4.0 million private placement with him for the sale of 8,912,655 shares and warrants to purchase 1,782,531 shares at an exercise price of $0.528 and expiring on July 24, 2022. Mr. Schutte is a principal of MainPointe. In March 2017, we granted MainPointe an exclusive license to our Impede Technology to commercialize our Nexafed® and Nexafed® Sinus Pressure + Pain Products in the United States and Canada. MainPointe also has options to expand the territory and products covered for additional sums. Further, as part of the closing of the Transaction, we, Galen Partners III, L.P., and Essex Woodlands Health Ventures V, L.P. (“Essex”) amended and restated the existing Voting Agreement between the parties to provide for Mr. Schutte to join as a party so that he can designate a director (he has not done so). During 2018 and through June 28, 2019, Mr. Schutte had lent us an aggregate of $6.0 million (including accrued interest) on a secured basis with a security interest in all of our assets, including our intellectual property.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28, 2019, we entered into a Promissory Note with Mr. Schutte that consolidated existing promissory notes into a single Note with a principal amount of $6.0 million (after including accrued and unpaid interest through that date). To secure our performance of our obligations under the Note, we granted Mr. Schutte a security interest in all of our assets. Terms of the consolidated Note provide for a July 1, 2023 maturity date rather than the previous maturity date of January 2, 2020, interest at fixed rate of 7.5% per annum with all payments of principal and interest deferred to maturity. The Note is convertible into Acura common stock at $0.16 per share. As additional consideration, Mr. Schutte received a warrant to purchase 10 million shares of the Company’s common stock at a price of $0.01 per share.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consent, Mr. Schutte assigned and transferred to Abuse Deterrent Pharma, LLC (“AD Pharma”), effective June 28, 2019, all of his right, title and interest in this Note, its associated Security Agreement and the Warrant to purchase 10 million common shares of our stock. Mr. Schutte is an investor in AD Pharma.</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combination of Mr. Schutte’s direct share ownership, control of one of our key licensing partners, the right to designate a director to oversee the long-term affairs of our company, his ownership interest in AD Pharma LLC and the security interest AD Pharma has in all of our assets gives him considerable influence over our business and affairs. As a result, Mr. Schutte, as a practical matter, is able to control all matters requiring approval by our shareholders, including the approval or rejection of mergers, sales or licenses of all or substantially all of our assets, or other business combination transactions. The interests of Mr. Schutte as a shareholder and creditor may not always coincide with the interests of our other shareholders and as such he may and cause the Company to take action to advance his interests to the detriment of our other shareholders. Accordingly, you may not be able to influence any action we take or consider taking, even if it requires a shareholder vote.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common stock is deemed a “penny stock,” which would make it more difficult for our investors to sell their shares.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common stock is subject to the “penny stock” rules adopted under the Exchange Act. The penny stock rules generally apply to companies whose common stock is not listed on the NASDAQ Stock Market or other national securities exchange and trades at less than $5.00 per share, other than companies that have had average revenue of at least $6,000,000 for the last three years or that have net tangible assets of at least $5,000,000 ($2,000,000 if the company (such as Acura)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140" w:right="20"/>
        <w:spacing w:after="0" w:line="277" w:lineRule="auto"/>
        <w:rPr>
          <w:sz w:val="20"/>
          <w:szCs w:val="20"/>
          <w:color w:val="auto"/>
        </w:rPr>
      </w:pPr>
      <w:r>
        <w:rPr>
          <w:rFonts w:ascii="Arial" w:cs="Arial" w:eastAsia="Arial" w:hAnsi="Arial"/>
          <w:sz w:val="18"/>
          <w:szCs w:val="18"/>
          <w:b w:val="1"/>
          <w:bCs w:val="1"/>
          <w:i w:val="1"/>
          <w:iCs w:val="1"/>
          <w:color w:val="auto"/>
        </w:rPr>
        <w:t>Our shares of common stock have been thinly traded, so you may be unable to sell at or near ask prices or even at all if you need to sell your shares to raise money or otherwise desire to liquidate your shares.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common stock is quoted on the OTCQB Market. Our common stock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In addition, certain institutions are prohibited or limited from trading in shares priced at less than specified levels, including the prices at which our shares currently trade.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66"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currently a “smaller reporting company,” meaning that we are not an investment company, an asset- backed issuer, or a majority-owned subsidiary of a parent company that is not a smaller reporting company and have a public float of less than $250 million.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and in certain registration statements. Decreased disclosures in our SEC filings due to our status as a “smaller reporting company” may make it harder for investors to analyze our results of operations and financial prospects.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2019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from an unaffiliated Lessor, approximately 1,600 square feet of administrative office space at 616 N. North Court, Suite 120, Palatine, Illinois 60067 on a month-to-month basis. The lease agreement provides for rent, property taxes, common area maintenance, and janitorial services on a monthly basis of approximately $2 thousand per month. We utilize this lease space for our administrative and business development functions.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Impede and LIMITx Technologies at the facility we own (through a wholly owned subsidiary) located at 16235 State Road 17, Culver, Indiana. At this location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first quarter of 2020. Legal fees related to this matter have been covered by our insurance carrier. Based upon the current status and evaluation, we have not accrued for any potential loss related to these matters as of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fiscal year and through February 22, 2017, our common stock was traded on the Nasdaq Capital Market under the symbol “ACUR”. On February 23, 2017, our common stock was delisted from the Nasdaq Capital Market due to our failure to comply with Nasdaq’s Listing Rule 5550(b)(1), which requires that we maintain $2.5 million in stockholders’ equity for continued listing (or meet the alternatives of market value of listed securities of $35 million or net income from continuing operations). NASDAQ had granted us a grace period through February 10, 2017, to regain compliance with Listing Rule 5550(b)(1), but we were unable to regain compliance within such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Commencing on February 23, 2017, our common stock was quoted on the OTCQB under the symbol “ACUR”, however commencing June 4, 2018 and lasting until July 2, 2018 it was quoted on the OTC Markets OTC Pink tier. The downgrade was a result of the late filing of our 2017 Annual Report on Form 10-K beyond any applicable grace periods. The Company regained compliance with the OTCQB and effective July 3, 2018 it was quoted on the OTCQB. However, commencing May 20, 2019 as a result of late filing of our 2018 Annual Report on Form 10-K our common stock was again relegated to the OTC Markets OTC Pink tier. The Company regained compliance with the OTCQB in March, 2020 and effective March 23, 2020 it was quoted on the OTCQB.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for the period indicated are the high and low sales prices for our common stock in the OTC Market of OTCQB and Pink tier.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0"/>
              </w:rPr>
              <w:t>Sales Prices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8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Borders>
              <w:bottom w:val="single" w:sz="8" w:color="CCEEFF"/>
            </w:tcBorders>
          </w:tcPr>
          <w:p>
            <w:pPr>
              <w:spacing w:after="0"/>
              <w:rPr>
                <w:sz w:val="19"/>
                <w:szCs w:val="19"/>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2019 Fiscal Year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0.29</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30"/>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2020 Fiscal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First Quarter thru March 27, 2020</w:t>
            </w:r>
          </w:p>
        </w:tc>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0.47</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27, 2020 the closing sales price of our common stock was $0.22.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approximately 275 holders of record of our common stock as of March 18, 2020 including approximately 80 holders who were nominees for an undetermined number of beneficial owners based upon a review of a securities position listing provided by our transfer agent in September 2017. There were approximately 4,600 beneficial holders of our common stock as of March 16,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we had cash of $862 thousand compared to $91 thousand of cash at December 31, 2018. We had an accumulated deficit of approximately $388 million and $384.2 million at December 31, 2019 and December 31, 2018, respectively. We had a loss from operations of $725 thousand and a net loss of $3.8 million for the year ended December 31, 2019, compared to a loss from operations of $3.9 million and a net loss of $3.8 million for the year ended December 31, 2018.</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28, 2019, we entered into License, Development and Commercialization Agreement (the "Agreement") with Abuse Deterrent Pharma, LLC. The Agreement grants AD Pharma exclusive commercialization rights in the United States to LTX-03. Financial arrangements include monthly license payments by AD Pharma of $350,000 up to the earlier of November 30, 2020 or FDA’s acceptance of a New Drug Application (“NDA”) for LTX-03 and reimbursement by AD Pharma of Acura’s LTX-03 outside development expenses. Upon commercialization of LTX-03, Acura will be entitled to stepped royalties on sales and is eligible for certain sales related milestones. However, if the NDA application for LTX-03 is not accepted by the FDA by November 30, 2020, AD Pharma has the option of terminating the Agreement and taking ownership of the intellectual property.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Zyla Agreement. Sales and marketing expenses include costs associated with the Nexafed product line advertising incurred prior to our entering into the MainPointe Agreement on March 16, 2017, salaries and other personnel-related costs include the stock-based compensation associated with stock options and restricted stock units granted to employees and non-employee directors.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ultimate impact of the COVID-19 pandemic is highly uncertain and we do not yet know the full extent of potential delays or impacts on our business, our clinical trials, healthcare systems or the global economy as a whole. As such, it is uncertain as to the full magnitude that the pandemic will have on the Company’s financial condition, liquidity, and future results of operations. (See Note 15 to the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9"/>
              </w:rPr>
              <w:t>Change</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ind w:right="227"/>
              <w:spacing w:after="0"/>
              <w:rPr>
                <w:sz w:val="20"/>
                <w:szCs w:val="20"/>
                <w:color w:val="auto"/>
              </w:rPr>
            </w:pPr>
            <w:r>
              <w:rPr>
                <w:rFonts w:ascii="Arial" w:cs="Arial" w:eastAsia="Arial" w:hAnsi="Arial"/>
                <w:sz w:val="18"/>
                <w:szCs w:val="18"/>
                <w:b w:val="1"/>
                <w:bCs w:val="1"/>
                <w:color w:val="auto"/>
              </w:rPr>
              <w:t>$000’s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b w:val="1"/>
                <w:bCs w:val="1"/>
                <w:color w:val="auto"/>
              </w:rPr>
              <w:t>$000’s</w:t>
            </w: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9"/>
                <w:szCs w:val="19"/>
                <w:color w:val="auto"/>
              </w:rPr>
            </w:pPr>
          </w:p>
        </w:tc>
      </w:tr>
      <w:tr>
        <w:trPr>
          <w:trHeight w:val="223"/>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License fee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2,100</w:t>
            </w: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Royalty revenue</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41"/>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9"/>
                <w:szCs w:val="19"/>
                <w:color w:val="auto"/>
              </w:rPr>
            </w:pPr>
          </w:p>
        </w:tc>
        <w:tc>
          <w:tcPr>
            <w:tcW w:w="1320" w:type="dxa"/>
            <w:vAlign w:val="bottom"/>
            <w:gridSpan w:val="2"/>
          </w:tcPr>
          <w:p>
            <w:pPr>
              <w:jc w:val="right"/>
              <w:ind w:right="221"/>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23"/>
        </w:trPr>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r>
      <w:tr>
        <w:trPr>
          <w:trHeight w:val="223"/>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41"/>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9"/>
                <w:szCs w:val="19"/>
                <w:color w:val="auto"/>
              </w:rPr>
            </w:pPr>
          </w:p>
        </w:tc>
        <w:tc>
          <w:tcPr>
            <w:tcW w:w="1320" w:type="dxa"/>
            <w:vAlign w:val="bottom"/>
            <w:gridSpan w:val="2"/>
          </w:tcPr>
          <w:p>
            <w:pPr>
              <w:jc w:val="right"/>
              <w:ind w:right="221"/>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2,566</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23"/>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300" w:type="dxa"/>
            <w:vAlign w:val="bottom"/>
            <w:tcBorders>
              <w:bottom w:val="single" w:sz="8" w:color="CCEEFF"/>
            </w:tcBorders>
          </w:tcPr>
          <w:p>
            <w:pPr>
              <w:jc w:val="right"/>
              <w:ind w:right="221"/>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2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300" w:type="dxa"/>
            <w:vAlign w:val="bottom"/>
            <w:shd w:val="clear" w:color="auto" w:fill="CCEEFF"/>
          </w:tcPr>
          <w:p>
            <w:pPr>
              <w:jc w:val="right"/>
              <w:ind w:right="221"/>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r>
      <w:tr>
        <w:trPr>
          <w:trHeight w:val="230"/>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debt extinguishment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r>
      <w:tr>
        <w:trPr>
          <w:trHeight w:val="223"/>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4,277</w:t>
            </w:r>
          </w:p>
        </w:tc>
      </w:tr>
      <w:tr>
        <w:trPr>
          <w:trHeight w:val="223"/>
        </w:trPr>
        <w:tc>
          <w:tcPr>
            <w:tcW w:w="5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140" w:type="dxa"/>
            <w:vAlign w:val="bottom"/>
          </w:tcPr>
          <w:p>
            <w:pPr>
              <w:ind w:left="34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(3,774)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19"/>
                <w:szCs w:val="19"/>
                <w:color w:val="auto"/>
              </w:rPr>
            </w:pPr>
          </w:p>
        </w:tc>
        <w:tc>
          <w:tcPr>
            <w:tcW w:w="1320" w:type="dxa"/>
            <w:vAlign w:val="bottom"/>
            <w:gridSpan w:val="2"/>
          </w:tcPr>
          <w:p>
            <w:pPr>
              <w:jc w:val="right"/>
              <w:ind w:right="221"/>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jc w:val="right"/>
              <w:ind w:right="22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the period, June 28, 2019 to December 31, 2019, we received license fees under the license and development agreement from AD Pharma totaling $2.1 million for LTX-03. No license fees were received in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is derived from research and development services we perform under the license and development agreement with AD Pharma for LTX-03. We recognized $185 thousand of collaboration revenue during 2019. We were not providing research and development services under any of our license agreements during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license agreement with Zyla for Oxaydo Tablets, we earn a royalty based on product net sales. We recognized $351 thousand and $386 thousand of royalty revenue from Oxaydo during the years ended 2019 and 2018,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license agreement with MainPointe for our Nexafed product line, we earn a royalty based on product net sales. We recognized $21 thousand and $24 thousand of royalty revenue from Nexafed during 2019 and 2018,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expense (“R&amp;D”) for 2019 and 2018 was with respect to our LIMITx Technology and Impede Technology development activity and included, among other items, costs of preclinical and non-clinical internal and external activities, clinical study trials, clinical supplies and its related formulation and design costs, salaries and other personnel related expenses of our employees, our facility costs, and a percentage share of selected cost sharing expenses under the license agreement with Zyla. Also included in each of 2019 and 2018 year end results are share-based compensation expenses of approximately $21 thousand and $65 thousand, respectively. Excluding share-based compensation expense, our R&amp;D expenses decreased approximately $0.2 million between reporting periods, resulting primarily from the salary reductions enacted in 2018 and unpaid leave of absences during 2019. During 2018 we completed Study AP-LTX-301 but performed no additional clinical studies. We commenced the scale-up of the commercial manufacturing process on our LIMITx Technology in the second quarter of 2018 as to-be-marketed formulations are required for all NDA development work but was suspended during the fourth quarter of 2018. We resumed the scale-up activities effective with the licensing of LTX-03 to AD Pharma on June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Included in each of the 2019 and 2018 results are share-based compensation expenses of approximately $117 thousand and $165 thousand, respectively. Excluding the share-based compensation expense our general and administrative expenses decreased by approximately $0.6 million between reporting periods, resulting primarily from the decrease legal activities, corporate insurance and from salary reductions enacted in 2018 and unpaid leave of absences during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28, 2019, we modified the $5.0 million related party loan with Mr. Schutte and the accounting method used for the changes to the loan resulted in the recognition of a $2.6 million loss on debt extinguishment. In October 2018 we borrowed $1.8 million from Mr. Schutte and used $1.5 million from the loan proceeds to settle and pay-off in full the Oxford Loan for $1.5 million. We recognized a net gain of $296 thousand on the debt settlement.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2019 and 2018, we incurred net interest expense of $449 thousand and $223 thousand, respectively, on our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for 2019 and 2018 include no federal or state income tax benefit provisions due to 100% allowances placed against our deferred tax assets for the uncertainty of their future utilization. As a result of the Tax Cuts and Jobs Act of 2017, the $135 thousand Federal alternative minimum taxes we paid in a prior year is refundable to the Company in prescribed percentages and time periods beginning with our tax year ended December 31, 2018. In July 2019 we received a $67 thousand tax refund.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cash of $862 thousand, working capital of $104 thousand and an accumulated deficit of $388 million. We had a loss from operations of $725 thousand and a net loss of $3.8 million for the year ended December 31, 2019. We have suffered recurring losses from operations and have not generated positive cash flows from operations. We anticipate operating losses to continue for the foreseeable future. As of March 30, 2020 our cash balance was approximately $1.2 million.</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the License, Development and Commercialization Agreement dated June 28, 2019 (the “Agreement”) requires AD Pharma to pay us monthly license payments of $350,000 from July 2019 through November 2020 and pay all outside development costs for LTX-03. 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Our independent auditors have included in their report relating to our 2019 financial statements a “going concern” explanatory paragraph as to substantial doubt of our ability to continue as a going concern.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2019 financial statements a “going concern” explanatory paragraph as to substantial doubt of our ability to continue as a going concern.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2019 and 2018 (in thousands):</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3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Borders>
              <w:bottom w:val="single" w:sz="8" w:color="CCEEFF"/>
            </w:tcBorders>
          </w:tcPr>
          <w:p>
            <w:pPr>
              <w:spacing w:after="0"/>
              <w:rPr>
                <w:sz w:val="19"/>
                <w:szCs w:val="19"/>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(3,908)</w:t>
            </w: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1,779</w:t>
            </w:r>
          </w:p>
        </w:tc>
      </w:tr>
      <w:tr>
        <w:trPr>
          <w:trHeight w:val="230"/>
        </w:trPr>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operating activities was $0.6 million for the year ended December 31, 2019 and consisted primarily of a net loss of $3.8 million, capitalized debt discount of $13 thousand and a loss on debt extinguishment of $2.6 million. This net loss was partially offset by non-cash items such as $108 thousand in share-based compensation expense, $66 thousand of debt discount and debt issue cost amortization expense, $66 thousand of depreciation expense, and $207 thousand of intangible asset amortization expense with $154 thousand in net cash outflows from changes in operating assets and liabilities. Cash outflows from changes in operating assets and liabilities of $154 thousand were primarily due to $78 thousand increase in collaboration revenue receivable and $379 thousand decrease in accounts payable and accrued expenses. These cash outflows were partially offset by a decreases of $55 thousand in royalty receivables, $67 thousand in income tax receivable, $394 thousand in accrued interest and $44 thousand in prepaid expenses and other current assets and increases of $18 thousand in other current liabilities.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7"/>
          <w:szCs w:val="17"/>
          <w:color w:val="auto"/>
        </w:rPr>
        <w:t>Net cash used in operating activities was $3.9 million for the year ended December 31, 2018 and consisted primarily of a net loss of $3.8 million, capitalized debt discount of $172 thousand and a gain on the debt extinguishment of $296 thousand. This net loss was partially offset by non-cash items such as $218 thousand in share-based compensation expense, $87 thousand of debt discount and debt issue cost amortization expense, $73 thousand of depreciation expense, and $207 thousand of intangible asset amortization expense with $183 thousand in net cash outflows from changes in operating assets and liabilities. Cash outflows from changes in operating assets and liabilities of $896 thousand were primarily due to $66 thousand increase in royalty receivable and $830 thousand decreases in both accrued interest and accrued expenses. These cash outflows were partially offset by a $109 thousand decrease in prepaid expenses and other current assets and increase of $604 in accounts payable.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investing activities for the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was $1.4 million for the year ended December 31, 2019 and consisted of the net proceeds from loans provided by Mr. Schutte.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cash provided by financing activities was $1.8 million for the year ended December 31, 2018 and consisted of the $4.350 million net proceeds from loans provided by Mr. Schutte partially offset by $2.6 million principal repayments and debt retirement on the loan with Oxford Finance.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 from Mr. Schutte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28, 2019, we entered into a Promissory Note (the “Note”) with Mr. Schutte that consolidated existing promissory notes that were due to mature at January 2, 2020 issued to John Schutte into a single note for $6.0 million (after including accrued and unpaid interest). To secure our performance of our obligations under the Note, we granted Mr. Schutte a security interest in all of our assets. Terms of the consolidated Note provide for a July 1, 2023 maturity date, interest at fixed rate of 7.5% per annum with all payments of principle and interest deferred to maturity. The Note is convertible into Acura common stock at $0.16 per share. As additional consideration, Mr. Schutte received a warrant to purchase 10 million shares of the Company’s common stock at a price of $0.01 per share.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the consolidated financial statements for the years ended December 31, 2019 and December 31, 2018,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noting that there did appear to be evidence of substantial doubt of the entity’s ability to continue as a going concern as further discussed in Note 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revenues are comprised of amounts earned under its license and collaboration agreements, royalties, and until March 2017 did previously include the Nexafed products’ net product sales. The Company adopted Accounting Standards Codification Topic 606—Revenue from Contracts with Customers, or Topic 606, on January 1, 2018, resulting in a change to its accounting policy for revenue recognition.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enter into license and collaboration agreements which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 These license and collaboration agreements may contain customer options for the license of additional products and territories. The options in the agreement may need to be evaluated to determine the option’s standalone selling prices. Some of the license and collaboration agreements may contain a license to the technology as well as licenses to tradenames or trademarks. The licenses to the tradenames or trademarks will need to be evaluated in context of the entire contract. The commercial sales-based milestones and sales royalties earned under the license and collaboration agreements are recorded in the period of the related sales by the licensee.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At December 31, 2018,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 In May 2017, the FASB issued ASU No. 2017-09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adopted this new standard on January 1, 2018 which did not have a material impact on the Company’s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Summary of Significant Accounting Policies - Recent Accounting Pronouncements of the Notes to Financial Statements (Part II, Item 8 of this Form 10-K)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capital expenditures during 2019 or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the securities that we may invest in may be subject to market risk. Our primary objective in our cash management activities is to preserve principal while at the same time maximizing income we receive from our investments. A change in the prevailing interest rates may cause the principal amount of the investments to fluctuate. As of December 31, 2019, we had no investments in marketable securities or holdings of derivative financial or commodity instruments.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management is responsible for establishing and maintaining adequate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1620" w:hanging="316"/>
        <w:spacing w:after="0" w:line="258"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 of our assets;</w:t>
      </w:r>
    </w:p>
    <w:p>
      <w:pPr>
        <w:spacing w:after="0" w:line="1" w:lineRule="exact"/>
        <w:rPr>
          <w:rFonts w:ascii="Arial" w:cs="Arial" w:eastAsia="Arial" w:hAnsi="Arial"/>
          <w:sz w:val="18"/>
          <w:szCs w:val="18"/>
          <w:color w:val="auto"/>
        </w:rPr>
      </w:pPr>
    </w:p>
    <w:p>
      <w:pPr>
        <w:jc w:val="both"/>
        <w:ind w:left="1620" w:right="20" w:hanging="316"/>
        <w:spacing w:after="0" w:line="250"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620" w:hanging="316"/>
        <w:spacing w:after="0" w:line="260"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2019. In making this assessment, management used the criteria set forth by the Committee of Sponsoring Organizations of the Treadway Commission (COSO) in Internal Control – Integrated Framework (2013 Framework). Based on our assessment, our Chief Executive Officer and our Chief Financial Officer both believe that, as of December 31, 2019, our internal control over financial reporting is effective based on those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2019 that materially affected, or is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and position of our directors, executive officers and key employees as of March 30,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7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3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6"/>
                <w:szCs w:val="16"/>
                <w:color w:val="auto"/>
              </w:rPr>
            </w:pPr>
          </w:p>
        </w:tc>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Peter A. Clemens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Senior Vice President, Chief Financial Officer and Secretary</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Albert W. Brzeczko, Ph.D.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Vice President, Pharmaceutical Sciences</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Robert A. Seiser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Vice President, Treasurer, and Corporate Controller</w:t>
            </w:r>
          </w:p>
        </w:tc>
      </w:tr>
      <w:tr>
        <w:trPr>
          <w:trHeight w:val="220"/>
        </w:trPr>
        <w:tc>
          <w:tcPr>
            <w:tcW w:w="3380" w:type="dxa"/>
            <w:vAlign w:val="bottom"/>
            <w:gridSpan w:val="2"/>
          </w:tcPr>
          <w:p>
            <w:pPr>
              <w:spacing w:after="0"/>
              <w:rPr>
                <w:sz w:val="20"/>
                <w:szCs w:val="20"/>
                <w:color w:val="auto"/>
              </w:rPr>
            </w:pPr>
            <w:r>
              <w:rPr>
                <w:rFonts w:ascii="Arial" w:cs="Arial" w:eastAsia="Arial" w:hAnsi="Arial"/>
                <w:sz w:val="18"/>
                <w:szCs w:val="18"/>
                <w:color w:val="auto"/>
              </w:rPr>
              <w:t>James F. Emigh</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Vice President of Corporate Development</w:t>
            </w:r>
          </w:p>
        </w:tc>
      </w:tr>
      <w:tr>
        <w:trPr>
          <w:trHeight w:val="256"/>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Bruce F. Wesson</w:t>
            </w:r>
            <w:r>
              <w:rPr>
                <w:rFonts w:ascii="Arial" w:cs="Arial" w:eastAsia="Arial" w:hAnsi="Arial"/>
                <w:sz w:val="29"/>
                <w:szCs w:val="29"/>
                <w:color w:val="auto"/>
                <w:vertAlign w:val="superscript"/>
              </w:rPr>
              <w:t>(1) (2)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William G. Skelly</w:t>
            </w:r>
            <w:r>
              <w:rPr>
                <w:rFonts w:ascii="Arial" w:cs="Arial" w:eastAsia="Arial" w:hAnsi="Arial"/>
                <w:sz w:val="29"/>
                <w:szCs w:val="29"/>
                <w:color w:val="auto"/>
                <w:vertAlign w:val="superscript"/>
              </w:rPr>
              <w:t>(1)(2)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Immanuel Thangaraj</w:t>
            </w:r>
            <w:r>
              <w:rPr>
                <w:rFonts w:ascii="Arial" w:cs="Arial" w:eastAsia="Arial" w:hAnsi="Arial"/>
                <w:sz w:val="29"/>
                <w:szCs w:val="29"/>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390"/>
        </w:trPr>
        <w:tc>
          <w:tcPr>
            <w:tcW w:w="3380" w:type="dxa"/>
            <w:vAlign w:val="bottom"/>
            <w:gridSpan w:val="2"/>
          </w:tcPr>
          <w:p>
            <w:pPr>
              <w:spacing w:after="0"/>
              <w:rPr>
                <w:sz w:val="20"/>
                <w:szCs w:val="20"/>
                <w:color w:val="auto"/>
              </w:rPr>
            </w:pPr>
            <w:r>
              <w:rPr>
                <w:rFonts w:ascii="Arial" w:cs="Arial" w:eastAsia="Arial" w:hAnsi="Arial"/>
                <w:sz w:val="18"/>
                <w:szCs w:val="18"/>
                <w:color w:val="auto"/>
              </w:rPr>
              <w:t>George K. Ross</w:t>
            </w:r>
            <w:r>
              <w:rPr>
                <w:rFonts w:ascii="Arial" w:cs="Arial" w:eastAsia="Arial" w:hAnsi="Arial"/>
                <w:sz w:val="29"/>
                <w:szCs w:val="29"/>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2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 Mr. Jones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Peter A. Clemens </w:t>
      </w:r>
      <w:r>
        <w:rPr>
          <w:rFonts w:ascii="Arial" w:cs="Arial" w:eastAsia="Arial" w:hAnsi="Arial"/>
          <w:sz w:val="18"/>
          <w:szCs w:val="18"/>
          <w:color w:val="auto"/>
        </w:rPr>
        <w:t>has been Senior Vice President, Chief Financial Officer and Secretary since April 2004. Mr. Clemens was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Secretary from February 1998 to March 2004 and a member of our Board of Directors from June, 1998 to August, 2004. Mr. Clemens is Certified Public Accountant (Inactive) and earned a Bachelor of Business Administration degree from the University of Notre Dame and a Masters of Business Administration from Indiana University.</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Albert W. Brzeczko, Ph.D., </w:t>
      </w:r>
      <w:r>
        <w:rPr>
          <w:rFonts w:ascii="Arial" w:cs="Arial" w:eastAsia="Arial" w:hAnsi="Arial"/>
          <w:sz w:val="17"/>
          <w:szCs w:val="17"/>
          <w:color w:val="auto"/>
        </w:rPr>
        <w:t>has been Vice President, Pharmaceutical Sciences, of APT since January 2019 and has been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Affairs of APT from February 2009 through 2018. From 1999 through 2009, Dr. Brzeczko was Vice President, Global Pharma New Product Development and Pharma Technologies for International Specialty Products, Inc., a contract services group specializing in the development of technologies for the bioenhancement of poorly soluble drugs. Prior to 1999, Dr. Brzeczko held 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w:t>
      </w:r>
    </w:p>
    <w:p>
      <w:pPr>
        <w:spacing w:after="0" w:line="1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 March 1998 as our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Corporate Controller. Mr. Seiser is a Certified Public Accountant (Inactive) and earned a Bachelor of Business Administration degree from Loyola University of Chicago.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James F. Emigh </w:t>
      </w:r>
      <w:r>
        <w:rPr>
          <w:rFonts w:ascii="Arial" w:cs="Arial" w:eastAsia="Arial" w:hAnsi="Arial"/>
          <w:sz w:val="17"/>
          <w:szCs w:val="17"/>
          <w:color w:val="auto"/>
        </w:rPr>
        <w:t>has been Vice President of Corporate Development since October 2011. From April 2004 to October 2011, Mr. Emigh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of Marketing and Administration. Prior to such time, Mr. Emigh was our Vice President of Sales and Marketing. Mr. Emigh joined us in May, 1998, serving first as Executive Director of Customer Relations and then as Vice President of Operations. Mr. Emigh holds a Bachelor of Pharmacy degree from Washington State University and a Masters of Business Administration from George Mason University.</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 Mr. Wesson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as director of the Board of MedAssets, Inc. and for over eight years until January 2016 served as Vice Chairman of MedAssets, Inc. Mr. Wesson earned a Bachelor of Arts degree from Colgate University and a Masters of Business Administration from Columbia University.</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William G. Skelly </w:t>
      </w:r>
      <w:r>
        <w:rPr>
          <w:rFonts w:ascii="Arial" w:cs="Arial" w:eastAsia="Arial" w:hAnsi="Arial"/>
          <w:sz w:val="18"/>
          <w:szCs w:val="18"/>
          <w:color w:val="auto"/>
        </w:rPr>
        <w:t>has been a member of our Board of Directors since May 1996 and served as our Chairman from October 1996 through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2000. Since 1990, Mr. Skelly has served as Chairman, President and Chief Executive Officer of Central Biomedia, Inc. and its subsidiary SERA, Inc. From 1985 to 1990, Mr. Skelly served as President of Martec Pharmaceutical, Inc. Mr. Skelly earned a Bachelor of Arts degree from Michigan State University and a Masters of Business Administration from the University of Missouri-Kansas City.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Immanuel Thangaraj </w:t>
      </w:r>
      <w:r>
        <w:rPr>
          <w:rFonts w:ascii="Arial" w:cs="Arial" w:eastAsia="Arial" w:hAnsi="Arial"/>
          <w:sz w:val="18"/>
          <w:szCs w:val="18"/>
          <w:color w:val="auto"/>
        </w:rPr>
        <w:t>has been a member of our Board of Directors since December 2002. Mr. Thangaraj has been a Managing Director of Essex</w:t>
      </w:r>
      <w:r>
        <w:rPr>
          <w:rFonts w:ascii="Arial" w:cs="Arial" w:eastAsia="Arial" w:hAnsi="Arial"/>
          <w:sz w:val="18"/>
          <w:szCs w:val="18"/>
          <w:b w:val="1"/>
          <w:bCs w:val="1"/>
          <w:color w:val="auto"/>
        </w:rPr>
        <w:t xml:space="preserve"> </w:t>
      </w:r>
      <w:r>
        <w:rPr>
          <w:rFonts w:ascii="Arial" w:cs="Arial" w:eastAsia="Arial" w:hAnsi="Arial"/>
          <w:sz w:val="18"/>
          <w:szCs w:val="18"/>
          <w:color w:val="auto"/>
        </w:rPr>
        <w:t>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 consultant to early</w:t>
      </w:r>
      <w:r>
        <w:rPr>
          <w:rFonts w:ascii="Arial" w:cs="Arial" w:eastAsia="Arial" w:hAnsi="Arial"/>
          <w:sz w:val="17"/>
          <w:szCs w:val="17"/>
          <w:b w:val="1"/>
          <w:bCs w:val="1"/>
          <w:color w:val="auto"/>
        </w:rPr>
        <w:t xml:space="preserve"> </w:t>
      </w:r>
      <w:r>
        <w:rPr>
          <w:rFonts w:ascii="Arial" w:cs="Arial" w:eastAsia="Arial" w:hAnsi="Arial"/>
          <w:sz w:val="17"/>
          <w:szCs w:val="17"/>
          <w:color w:val="auto"/>
        </w:rPr>
        <w:t>stage businesses and a financial investor. From April 1, 2015 until its sale in March 2017, Mr. Ross was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(Inactive) and earned a Bachelor of Arts degree from Ohio Wesleyan University and a Masters of Business Administration from Ohio State University.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office of each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shares of common stock were listed on The NASDAQ Capital Market until February 22, 2017 and were quoted on the OTCQB market until June 4, 2018</w:t>
      </w:r>
      <w:r>
        <w:rPr>
          <w:rFonts w:ascii="Arial" w:cs="Arial" w:eastAsia="Arial" w:hAnsi="Arial"/>
          <w:sz w:val="17"/>
          <w:szCs w:val="17"/>
          <w:b w:val="1"/>
          <w:bCs w:val="1"/>
          <w:color w:val="auto"/>
        </w:rPr>
        <w:t>.</w:t>
      </w:r>
      <w:r>
        <w:rPr>
          <w:rFonts w:ascii="Arial" w:cs="Arial" w:eastAsia="Arial" w:hAnsi="Arial"/>
          <w:sz w:val="17"/>
          <w:szCs w:val="17"/>
          <w:color w:val="auto"/>
        </w:rPr>
        <w:t xml:space="preserve"> From June 4, 2018 through July 2, 2018 our stock was quoted on the OTC Markets’ OTC Pink Tier, when we regained compliance with the OTCQB Market and resumed quotation on the OTCQB Market on July 3, 2018. Since May 20, 2019 our stock was been quoted on the OTC Markets’ OTC Pink Tier due to our failure to comply with the filing deadlines for our 2018 Form 10K and 2019 Form 10-Qs. In March, 2020 we regained compliance with the OTCQB Market and resumed quotation on the OTXQB Market on March 20, 2020. In 2016 we were subject to the Nasdaq Stock Market independence standards and we continue to follow those standards in determining whether a director is independent for Board or Committee purposes. Under the rules of The NASDAQ Stock Market, which we were subject to until February 22, 2017, independent directors must comprise a majority of our Board of Directors. In addition, the rules of The NASDAQ Stock Market require that, subject to specified exceptions, each member of the Audit and Compensation Committees of our Board of Directors be independent. Audit Committee members must also satisfy the independence criteria set forth in Rule 10A-3 under the Securities Exchange Act of 1934, as amended, or Exchange Act. Under the rules of The Nasdaq Stock Market, a director will only qualify as an “independent director” if, in the opinion of our Board of Directors, that person does have a relationship that would interfere with the exercise of independent judgment in carrying out the responsibilities of a director.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line="308" w:lineRule="auto"/>
        <w:rPr>
          <w:sz w:val="20"/>
          <w:szCs w:val="20"/>
          <w:color w:val="auto"/>
        </w:rPr>
      </w:pPr>
      <w:r>
        <w:rPr>
          <w:rFonts w:ascii="Arial" w:cs="Arial" w:eastAsia="Arial" w:hAnsi="Arial"/>
          <w:sz w:val="17"/>
          <w:szCs w:val="17"/>
          <w:color w:val="auto"/>
        </w:rPr>
        <w:t>In order to be considered to be independent for purposes of Rule 10A-3, a member of the Audit Committee of our Board of Directors may not, other than in his or her capacity as a member of the Audit Committee, the Board of Directors or any other committee of our Board of Directors:</w:t>
      </w:r>
    </w:p>
    <w:p>
      <w:pPr>
        <w:spacing w:after="0" w:line="14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us or any of our subsidiaries;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an affiliated person of us or any of our subsidiaries.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In connection with this review, our Board of Directors determined that each of Messrs. Wesson, Skelly, Thangaraj and Ross, representing four of our five directors, satisfies the independence requirements of The NASDAQ Stock Market and Rule 10A-3 of the Exchange Act. In making this determination, our Board of Directors considered the relationships that each non-employee director has with us and all other facts and circumstances our Board of Directors deemed relevant in determining their independence, including the beneficial ownership of our share capital by each non-employee director and their affiliates. In addition, our Board of Directors considered information that was provided by each director concerning his or her background, employment and affiliations, including relationships with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Committee. Our Audit Committee and our Compensation Committee operate under written charters approved by our Board of Directors, copies of which are available on our website and will be made available in print to any shareholder who requests it. Currently, our entire Board serves as our Nominating Committee. A brief description of these committees is provided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composed of Mr. Ross, Chairman, and Messrs. Wesson and Skelly. The Audit Committee is responsible for selecting the Company’s registered independent public accounting firm, approving the audit fee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independence of the Audit Committee in 2019, our Board reviewed and analyzed the standards for independence provided in NASDAQ Marketplace Rule 5605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composed of Mr. Skelly, Chairman, and Messrs. Wesson and Thangaraj. This committee is responsible for consulting with and making recommendations to the Board of Directors about executive and director compensation and compensation of employees. In 2019 the Compensation Committee did not retain a compensation consulting firm, to assist in evaluating stock option and other incentives for our directors, executive officers and other employees.</w:t>
      </w: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Currently our entire Board of Directors functions as our nominating committee. As needed,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(iii) their experience in overseeing management as principals of private equity firms in the case of Messrs. Wesson, and Thangaraj. Although our Certificate of Incorporation provides for a maximum of 11 directors, in accordance with the terms of a Second Amended and Restated Voting Agreement dated as of July 24, 2017 executed by us, Mr. Schutte (“Schutte”), and Essex Woodlands Health Ventures V, L.P. (“Essex”), (the “Second Amended and Restated Voting Agreement”), we have agreed that the Board of Directors shall be comprised of not more than seven members (or such greater number that is required to assure that we have a majority of independent directors after giving effect to the various designation rights described herein), one of whom shall be the designee of Schutte, one of whom shall be the designee of Essex, one of whom is our Chief Executive Officer and three of whom are independent directors. Mr. Thangaraj serves as the designee of Essex. The Second Amended and Restated Voting Agreement provides that each of Schutte’s, and Essex’s right to designate one director will terminate when it or its affiliates (determined separately for each of Schutte and Essex) fail to hold at least 600,000 shares of our common stock (or warrants exercisable for such shares). The Board is required to nominate an independent director upon forfeiture of a designation right. Mr. Schutte has not designated a nominee.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member of the Compensation Committee was or currently is, an officer or employee of the Company, and no member of the Compensation Committee had any relationship with us requiring disclosure under Item 404 of SEC Regulation S-K. None of our executive officers has served on the Board of Directors or Compensation Committee of any other entity that has or had one or more executive officers who served as a member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Jones serves as Chief Executive Officer. Our Chairman of our Board of Directors resigned on March 11, 2013. A replacement Chairman has not been elected to date. We believe the separation of offices is beneficial because a separate chairman (i) can provide the Chief Executive Officer with guidance and feedback on his performance, (ii) provides a more effective channel for the Board to express its views on management,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this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w:t>
      </w:r>
      <w:r>
        <w:rPr>
          <w:rFonts w:ascii="Arial" w:cs="Arial" w:eastAsia="Arial" w:hAnsi="Arial"/>
          <w:sz w:val="16"/>
          <w:szCs w:val="16"/>
          <w:i w:val="1"/>
          <w:iCs w:val="1"/>
          <w:color w:val="auto"/>
        </w:rPr>
        <w:t>“Shareholder-Board Communication”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“Shareholder-Director Communication”</w:t>
      </w:r>
      <w:r>
        <w:rPr>
          <w:rFonts w:ascii="Arial" w:cs="Arial" w:eastAsia="Arial" w:hAnsi="Arial"/>
          <w:sz w:val="16"/>
          <w:szCs w:val="16"/>
          <w:color w:val="auto"/>
        </w:rPr>
        <w:t xml:space="preserve">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Code of Ethics applicable to our principal executive officer, principal financial officer, principal accounting officer and all of our other employees is available on our website, www.acurapharm.com, by clicking on “Corporate Governance” under the “Investors” tab.</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 summary of the compensation paid by us for services rendered in all capacities to us during each of the two fiscal years ended December 31, 2019, to our Chief Executive Officer, and the two most highly compensated executive officers other than the Chief Executive Officer who were serving as executive officers at the end of the last completed fiscal year (collectively, the “2019 named executive officers”) whose total annual compensation for 2019 exceeded $100,000: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Non-equity</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29"/>
                <w:szCs w:val="29"/>
                <w:b w:val="1"/>
                <w:bCs w:val="1"/>
                <w:color w:val="auto"/>
                <w:vertAlign w:val="superscript"/>
              </w:rPr>
              <w:t>(3)</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RSU Stock</w:t>
            </w: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incentive plan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380" w:type="dxa"/>
            <w:vAlign w:val="bottom"/>
          </w:tcPr>
          <w:p>
            <w:pPr>
              <w:ind w:left="400"/>
              <w:spacing w:after="0"/>
              <w:rPr>
                <w:sz w:val="20"/>
                <w:szCs w:val="20"/>
                <w:color w:val="auto"/>
              </w:rPr>
            </w:pPr>
            <w:r>
              <w:rPr>
                <w:rFonts w:ascii="Arial" w:cs="Arial" w:eastAsia="Arial" w:hAnsi="Arial"/>
                <w:sz w:val="18"/>
                <w:szCs w:val="18"/>
                <w:b w:val="1"/>
                <w:bCs w:val="1"/>
                <w:color w:val="auto"/>
              </w:rPr>
              <w:t>Name and Principal</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Bonus</w:t>
            </w:r>
          </w:p>
        </w:tc>
        <w:tc>
          <w:tcPr>
            <w:tcW w:w="1320" w:type="dxa"/>
            <w:vAlign w:val="bottom"/>
            <w:gridSpan w:val="2"/>
          </w:tcPr>
          <w:p>
            <w:pPr>
              <w:jc w:val="center"/>
              <w:ind w:right="36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(1)</w:t>
            </w:r>
          </w:p>
        </w:tc>
        <w:tc>
          <w:tcPr>
            <w:tcW w:w="1320" w:type="dxa"/>
            <w:vAlign w:val="bottom"/>
            <w:gridSpan w:val="2"/>
          </w:tcPr>
          <w:p>
            <w:pPr>
              <w:jc w:val="right"/>
              <w:ind w:right="460"/>
              <w:spacing w:after="0" w:line="252" w:lineRule="exact"/>
              <w:rPr>
                <w:sz w:val="20"/>
                <w:szCs w:val="20"/>
                <w:color w:val="auto"/>
              </w:rPr>
            </w:pPr>
            <w:r>
              <w:rPr>
                <w:rFonts w:ascii="Arial" w:cs="Arial" w:eastAsia="Arial" w:hAnsi="Arial"/>
                <w:sz w:val="18"/>
                <w:szCs w:val="18"/>
                <w:b w:val="1"/>
                <w:bCs w:val="1"/>
                <w:color w:val="auto"/>
                <w:w w:val="94"/>
              </w:rPr>
              <w:t>Awards</w:t>
            </w:r>
            <w:r>
              <w:rPr>
                <w:rFonts w:ascii="Arial" w:cs="Arial" w:eastAsia="Arial" w:hAnsi="Arial"/>
                <w:sz w:val="29"/>
                <w:szCs w:val="29"/>
                <w:b w:val="1"/>
                <w:bCs w:val="1"/>
                <w:color w:val="auto"/>
                <w:w w:val="94"/>
                <w:vertAlign w:val="superscript"/>
              </w:rPr>
              <w:t>(2)</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compensation</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380" w:type="dxa"/>
            <w:vAlign w:val="bottom"/>
          </w:tcPr>
          <w:p>
            <w:pPr>
              <w:ind w:left="88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Year</w:t>
            </w: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78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123,000</w:t>
            </w:r>
          </w:p>
        </w:tc>
        <w:tc>
          <w:tcPr>
            <w:tcW w:w="3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123,000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2018</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273,000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21,150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298,900</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Peter A. Clemens</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2019</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164,000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164,000</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SVP &amp; CFO</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2018</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220,000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16,920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3,800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240,720</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Albert W. Brzeczko VP,</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Sciences</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2019</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180,000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 Acura Pharmaceutical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Technologies, Inc.</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2018</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257,000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14,382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13,230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284,612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RSU Stock Award grant date fair values are computed in accordance with FASB ASC Topic 718. The 2018 values represent (A) our last sale price of $0.1510 on 12/11/2018 less $.01 par value multiplied by (B) the number of shares underlying RSUs (150,000, 120,000 and 102,000, in the case of Messrs. Jones, Clemens and Brzeczko, respectively). There were no RSU stock awards in 2019.</w:t>
      </w:r>
    </w:p>
    <w:p>
      <w:pPr>
        <w:spacing w:after="0" w:line="183" w:lineRule="exact"/>
        <w:rPr>
          <w:rFonts w:ascii="Arial" w:cs="Arial" w:eastAsia="Arial" w:hAnsi="Arial"/>
          <w:sz w:val="18"/>
          <w:szCs w:val="18"/>
          <w:color w:val="auto"/>
        </w:rPr>
      </w:pPr>
    </w:p>
    <w:p>
      <w:pPr>
        <w:jc w:val="both"/>
        <w:ind w:firstLine="8"/>
        <w:spacing w:after="0" w:line="25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 Option grant date fair values are computed in accordance with FASB ASC Topic 718. The 2018 values represent (A) the computed grant date fair value of the option of $0.0950 multiplied by (B) the number of underlying option shares (50,000, 40,000, and 34,000, in the case of Messrs. Jones, Clemens and Brzeczko, respectively). To calculate the 2018 grant date fair value, we considered an assumed risk free interest rate of 2.8% and a historical volatility percentage for our common stock of 76%, with an expected divided yield of 0%, an expected term of 5 years, and the option exercise price of $0.1510. There were no stock option awards in 2019.</w:t>
      </w:r>
    </w:p>
    <w:p>
      <w:pPr>
        <w:spacing w:after="0" w:line="187"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Salary of $123,000, $164,000 and $180,000 for Messrs. Jones, Clemens and Brzeczko, respectively, reflects impact of certain voluntary salary reductions enacted in 2018 and unpaid leave of absences during 2019. The current base salary is $150,000, $200,000 and $220,000 for Messrs. Jones, Clemens and Brzeczko,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Bonus/Non-Equity Incentive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Messrs. Jones, Clemens and Brzeczko are eligible for annual bonuses. Each of Mr. Jones’ and Mr. Clemens’ bonuses are weighted at 100% to achievement of organizational goals, while the bonuses for other employees, including for Dr. Brzeczko are weighted 50% to the achievement of organizational goals and 50% to the achievement of individual goals. In 2019 and 2018 our cash position did not allowed us to award bonuses under our non-equity incentive compensation plan or otherwise increase salaries as reflected in the “Non-equity Incentive Compensation” column of the Summary Compensation Table.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Material organizational goals for 2020 include securing a commercial manufacturer for LTX-03, completing all clinical activities for LTX-03 and submission and acceptance by the FDA of the NDA for LTX-03 by November 30, 2020 and securing a licensing partner for other LIMITx products in development.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Material organizational goals for 2019 included completing a strategic transaction, partnership or financings to maximize value to the Company’s shareholders and debt holder, advance commercial manufacturing scale-up of LTX-03, execute clinical studies for LTX-03, maintain compliance with SOX and successfully manage our intellectual property.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annual salary is $150,000 (a temporary reduction from his salary under the Employment Agreement of $393,000 because of our need to preserve cash). The term of the Employment Agreement is currently scheduled to expire December 31, 2020, and provides for automatic one year renewals in the absence of written notice to the contrary from us (which would give Mr. Jones the right to terminate his employment for Good Reason) or Mr. Jones at least ninety days prior to the expiration of the initial term or any subsequent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2018 and 2019, Mr. Jones did not receive a bonus.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11, 2014, December 10, 2015, December 8, 2016, August 9, 2017 and December 11, 2018, we granted Mr. Jones stock options to purchase 50,400 shares, 70,000 shares, 47,000 shares, 47,000 shares and 50,000 shares of our common stock, respectively, in each case exercisable at the fair market value of our common stock at the date of grant and vesting in equal installments over 24 months, except that the August 9, 2017 grant vested in one installment on August 9, 2018; and the December 11, 2018 grant will vest in one installment on December 11, 2019 (in each case, subject to earlier exercisability as set forth in the table below entitled “Events Affecting Stock Option Vesting and Exercise”). “Fair market value” is the closing price for a share of the common stock on the exchange or quotation system which reports or quotes the closing prices for a share of the common stock (or alternate methodologies if no such quote is available).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71" w:lineRule="auto"/>
        <w:rPr>
          <w:sz w:val="20"/>
          <w:szCs w:val="20"/>
          <w:color w:val="auto"/>
        </w:rPr>
      </w:pPr>
      <w:r>
        <w:rPr>
          <w:rFonts w:ascii="Arial" w:cs="Arial" w:eastAsia="Arial" w:hAnsi="Arial"/>
          <w:sz w:val="17"/>
          <w:szCs w:val="17"/>
          <w:color w:val="auto"/>
        </w:rPr>
        <w:t>On December 11, 2017 and December 11, 2018, we granted Mr. Jones 41,000 and 150,000 Restricted Stock Units exchangeable for shares of the Company’s common stock on a 1-for-1 basis after payment of $.01 par value per share, respectively. The 41,000 Restricted Stock Units vested on December 11, 2018. The 150,000 Restricted Stock Units will vest on December 11, 2019 or earlier if Mr. Jones’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and in the case of the December 11, 2017 grant, will occur on the first business day of each of January 2020, 2021, and 2022, and in the case of the December 11, 2018 grant, will occur on the first business day of each of January 2021, 2022, and 2023, or earlier upon a qualifying change of control which also meets certain criteria of Section 409A of the Internal Revenue Code.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months, with the first six installments payable six months and one day after termination, if mandated by applicable law, which requires certain payments to certain officers of a public company (“specified employees”) to be made commencing six months after termination. However, if such termination is without Cause, for Good Reason or for voluntary termination within two years of a qualifying Change of Control, then the Severance Pay and bonus is payable in a lump sum six months and one day after termination (unless a six month delay is not required by applicable law in which case it is payable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months from the date of termination.</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months following the termination of his employment by us without Cause or by him for Good Reason, prior to a Change of Control, (ii) for twelve months following the termination of his employment for Cause, prior to a Change of Control, or (iii) twenty-four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2020, and provides for automatic one 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annual salary is $200,000 (a temporary reduction from his salary under the Employment Agreement of $286,000 because of our need to preserve cash). His maximum bonus under our bonus plan is 70% of base salary. Mr. Clemens’ bonus is based on the achievement of such targets, conditions, or parameters as may be set from time to time by the Board of Directors or the Compensation Committee of the Board of Directors.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8"/>
          <w:szCs w:val="18"/>
          <w:color w:val="auto"/>
        </w:rPr>
        <w:t>On December 11, 2014, December 10, 2015, December 8, 2016 August 9, 2017 and December 11, 2018 we granted Mr. Clemens options to purchase 36,000 shares, 50,000 shares, 34,000 shares, 34,000 shares and 40,000 shares of our common stock, respectively, in each case at an exercise price equal to the fair market value of our common stock at the date of grant and vesting in equal installments over 24 months, except that the August 9, 2017 grant vested in one installment on August 9, 2018; and the December 11, 2018 grant will vest in one installment on December 11, 2019 (in each case, subject to earlier exercisability as set forth in the table below entitled “Events Affecting Stock Option Vesting and Exercise”). “Fair market value” is the closing price for a share of the common stock on the exchange or quotation system which reports or quotes the closing prices for a share of the common stock (or alternate methodologies if no such quote is available).</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11, 2017 and December 11, 2018, we granted Mr. Clemens 28,000 and 120,000 Restricted Stock Units, respectively, exchangeable for shares of the Company’s common stock on a 1-for-1 basis shares after payment of $.01 par value per share. The 28,000 Restricted Stock Units vested on December 11, 2018. The 120,000 Restricted Stock Units will vest on December 11, 2019 or earlier if Mr. Clemens’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and in the case of the December 11, 2017 grant, will occur on the first business day of each of January 2020, 2021, and 2022, and in the case of the December 11, 2018 grant, will occur on the first business day of each of January 2021, 2022, and 2023, or earlier upon a qualifying change of control which also meets certain criteria of Section 409A of the Internal Revenue Code.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Mr. Jones and Mr. Clemens severance pay, a Change of Control is generally defined, with certain exceptions, as</w:t>
      </w:r>
    </w:p>
    <w:p>
      <w:pPr>
        <w:spacing w:after="0" w:line="225" w:lineRule="exact"/>
        <w:rPr>
          <w:sz w:val="20"/>
          <w:szCs w:val="20"/>
          <w:color w:val="auto"/>
        </w:rPr>
      </w:pPr>
    </w:p>
    <w:p>
      <w:pPr>
        <w:ind w:left="1360" w:hanging="326"/>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170" w:lineRule="exact"/>
        <w:rPr>
          <w:rFonts w:ascii="Arial" w:cs="Arial" w:eastAsia="Arial" w:hAnsi="Arial"/>
          <w:sz w:val="18"/>
          <w:szCs w:val="18"/>
          <w:color w:val="auto"/>
        </w:rPr>
      </w:pPr>
    </w:p>
    <w:p>
      <w:pPr>
        <w:ind w:left="1360" w:hanging="326"/>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1360" w:hanging="326"/>
        <w:spacing w:after="0" w:line="27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Acura going private (i.e. no longer files reports under the Exchange Act), unless the relevant employee (e.g., Jones, in the case of Jones’ severance and Clemens in the case of Clemens’ severance) “participates” in such transaction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Affecting Stock Option Vesting and Exercise (For Messrs. Jones and Clemens)</w:t>
      </w:r>
    </w:p>
    <w:p>
      <w:pPr>
        <w:spacing w:after="0" w:line="223" w:lineRule="exact"/>
        <w:rPr>
          <w:sz w:val="20"/>
          <w:szCs w:val="20"/>
          <w:color w:val="auto"/>
        </w:rPr>
      </w:pPr>
    </w:p>
    <w:tbl>
      <w:tblPr>
        <w:tblLayout w:type="fixed"/>
        <w:tblInd w:w="1430" w:type="dxa"/>
        <w:tblCellMar>
          <w:top w:w="0" w:type="dxa"/>
          <w:left w:w="0" w:type="dxa"/>
          <w:bottom w:w="0" w:type="dxa"/>
          <w:right w:w="0" w:type="dxa"/>
        </w:tblCellMar>
      </w:tblPr>
      <w:tr>
        <w:trPr>
          <w:trHeight w:val="265"/>
        </w:trPr>
        <w:tc>
          <w:tcPr>
            <w:tcW w:w="2880" w:type="dxa"/>
            <w:vAlign w:val="bottom"/>
            <w:tcBorders>
              <w:top w:val="single" w:sz="8" w:color="auto"/>
              <w:left w:val="single" w:sz="8" w:color="auto"/>
              <w:right w:val="single" w:sz="8" w:color="auto"/>
            </w:tcBorders>
          </w:tcPr>
          <w:p>
            <w:pPr>
              <w:spacing w:after="0"/>
              <w:rPr>
                <w:sz w:val="23"/>
                <w:szCs w:val="23"/>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Vesting of All</w:t>
            </w:r>
          </w:p>
        </w:tc>
        <w:tc>
          <w:tcPr>
            <w:tcW w:w="33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(Options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are exercisable</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Event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upon vesting)</w:t>
            </w:r>
          </w:p>
        </w:tc>
        <w:tc>
          <w:tcPr>
            <w:tcW w:w="336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Exercisability of Options</w:t>
            </w:r>
          </w:p>
        </w:tc>
        <w:tc>
          <w:tcPr>
            <w:tcW w:w="0" w:type="dxa"/>
            <w:vAlign w:val="bottom"/>
          </w:tcPr>
          <w:p>
            <w:pPr>
              <w:spacing w:after="0"/>
              <w:rPr>
                <w:sz w:val="1"/>
                <w:szCs w:val="1"/>
                <w:color w:val="auto"/>
              </w:rPr>
            </w:pP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80" w:type="dxa"/>
            <w:vAlign w:val="bottom"/>
            <w:tcBorders>
              <w:left w:val="single" w:sz="8" w:color="auto"/>
              <w:right w:val="single" w:sz="8" w:color="auto"/>
            </w:tcBorders>
            <w:shd w:val="clear" w:color="auto" w:fill="CCEEFF"/>
          </w:tcPr>
          <w:p>
            <w:pPr>
              <w:spacing w:after="0"/>
              <w:rPr>
                <w:sz w:val="21"/>
                <w:szCs w:val="21"/>
                <w:color w:val="auto"/>
              </w:rPr>
            </w:pPr>
          </w:p>
        </w:tc>
        <w:tc>
          <w:tcPr>
            <w:tcW w:w="21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Options vest for one month</w:t>
            </w:r>
          </w:p>
        </w:tc>
        <w:tc>
          <w:tcPr>
            <w:tcW w:w="336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w w:val="95"/>
              </w:rPr>
              <w:t>Vested options immediately exercisable for</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Termination due to Death</w:t>
            </w:r>
          </w:p>
        </w:tc>
        <w:tc>
          <w:tcPr>
            <w:tcW w:w="21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after death; after that no</w:t>
            </w:r>
          </w:p>
        </w:tc>
        <w:tc>
          <w:tcPr>
            <w:tcW w:w="336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2180" w:type="dxa"/>
            <w:vAlign w:val="bottom"/>
            <w:tcBorders>
              <w:right w:val="single" w:sz="8" w:color="auto"/>
            </w:tcBorders>
            <w:vMerge w:val="continue"/>
            <w:shd w:val="clear" w:color="auto" w:fill="CCEEFF"/>
          </w:tcPr>
          <w:p>
            <w:pPr>
              <w:spacing w:after="0"/>
              <w:rPr>
                <w:sz w:val="9"/>
                <w:szCs w:val="9"/>
                <w:color w:val="auto"/>
              </w:rPr>
            </w:pPr>
          </w:p>
        </w:tc>
        <w:tc>
          <w:tcPr>
            <w:tcW w:w="336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one year following termination</w:t>
            </w:r>
          </w:p>
        </w:tc>
        <w:tc>
          <w:tcPr>
            <w:tcW w:w="0" w:type="dxa"/>
            <w:vAlign w:val="bottom"/>
          </w:tcPr>
          <w:p>
            <w:pPr>
              <w:spacing w:after="0"/>
              <w:rPr>
                <w:sz w:val="1"/>
                <w:szCs w:val="1"/>
                <w:color w:val="auto"/>
              </w:rPr>
            </w:pPr>
          </w:p>
        </w:tc>
      </w:tr>
      <w:tr>
        <w:trPr>
          <w:trHeight w:val="122"/>
        </w:trPr>
        <w:tc>
          <w:tcPr>
            <w:tcW w:w="2880" w:type="dxa"/>
            <w:vAlign w:val="bottom"/>
            <w:tcBorders>
              <w:left w:val="single" w:sz="8" w:color="auto"/>
              <w:right w:val="single" w:sz="8" w:color="auto"/>
            </w:tcBorders>
            <w:shd w:val="clear" w:color="auto" w:fill="CCEEFF"/>
          </w:tcPr>
          <w:p>
            <w:pPr>
              <w:spacing w:after="0"/>
              <w:rPr>
                <w:sz w:val="10"/>
                <w:szCs w:val="10"/>
                <w:color w:val="auto"/>
              </w:rPr>
            </w:pPr>
          </w:p>
        </w:tc>
        <w:tc>
          <w:tcPr>
            <w:tcW w:w="21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additional vesting</w:t>
            </w:r>
          </w:p>
        </w:tc>
        <w:tc>
          <w:tcPr>
            <w:tcW w:w="336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8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21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336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88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Termination by Company Without</w:t>
            </w:r>
          </w:p>
        </w:tc>
        <w:tc>
          <w:tcPr>
            <w:tcW w:w="2180" w:type="dxa"/>
            <w:vAlign w:val="bottom"/>
            <w:tcBorders>
              <w:top w:val="single" w:sz="8" w:color="auto"/>
              <w:right w:val="single" w:sz="8" w:color="auto"/>
            </w:tcBorders>
          </w:tcPr>
          <w:p>
            <w:pPr>
              <w:spacing w:after="0"/>
              <w:rPr>
                <w:sz w:val="21"/>
                <w:szCs w:val="21"/>
                <w:color w:val="auto"/>
              </w:rPr>
            </w:pPr>
          </w:p>
        </w:tc>
        <w:tc>
          <w:tcPr>
            <w:tcW w:w="3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Vested options immediately exercisable for</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one year following termination Vested</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Cause or by Employee for Good</w:t>
            </w:r>
          </w:p>
        </w:tc>
        <w:tc>
          <w:tcPr>
            <w:tcW w:w="218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All options fully vest.</w:t>
            </w:r>
          </w:p>
        </w:tc>
        <w:tc>
          <w:tcPr>
            <w:tcW w:w="3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options exercisable for 12 months for Mr.</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w w:val="97"/>
              </w:rPr>
              <w:t>Reason or termination by Employee</w:t>
            </w:r>
          </w:p>
        </w:tc>
        <w:tc>
          <w:tcPr>
            <w:tcW w:w="2180" w:type="dxa"/>
            <w:vAlign w:val="bottom"/>
            <w:tcBorders>
              <w:right w:val="single" w:sz="8" w:color="auto"/>
            </w:tcBorders>
            <w:vMerge w:val="continue"/>
          </w:tcPr>
          <w:p>
            <w:pPr>
              <w:spacing w:after="0"/>
              <w:rPr>
                <w:sz w:val="9"/>
                <w:szCs w:val="9"/>
                <w:color w:val="auto"/>
              </w:rPr>
            </w:pP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2"/>
              </w:rPr>
              <w:t>Jones (twenty four months in the case of Mr.</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following Change of Control</w:t>
            </w:r>
          </w:p>
        </w:tc>
        <w:tc>
          <w:tcPr>
            <w:tcW w:w="218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tcBorders>
              <w:left w:val="single" w:sz="8" w:color="auto"/>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Clemens)</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8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Termination due to Disability</w:t>
            </w:r>
          </w:p>
        </w:tc>
        <w:tc>
          <w:tcPr>
            <w:tcW w:w="21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No additional vesting</w:t>
            </w:r>
          </w:p>
        </w:tc>
        <w:tc>
          <w:tcPr>
            <w:tcW w:w="33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Vested options immediately exercisable for</w:t>
            </w:r>
          </w:p>
        </w:tc>
        <w:tc>
          <w:tcPr>
            <w:tcW w:w="0" w:type="dxa"/>
            <w:vAlign w:val="bottom"/>
          </w:tcPr>
          <w:p>
            <w:pPr>
              <w:spacing w:after="0"/>
              <w:rPr>
                <w:sz w:val="1"/>
                <w:szCs w:val="1"/>
                <w:color w:val="auto"/>
              </w:rPr>
            </w:pPr>
          </w:p>
        </w:tc>
      </w:tr>
      <w:tr>
        <w:trPr>
          <w:trHeight w:val="122"/>
        </w:trPr>
        <w:tc>
          <w:tcPr>
            <w:tcW w:w="28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180" w:type="dxa"/>
            <w:vAlign w:val="bottom"/>
            <w:tcBorders>
              <w:right w:val="single" w:sz="8" w:color="auto"/>
            </w:tcBorders>
            <w:vMerge w:val="continue"/>
            <w:shd w:val="clear" w:color="auto" w:fill="CCEEFF"/>
          </w:tcPr>
          <w:p>
            <w:pPr>
              <w:spacing w:after="0"/>
              <w:rPr>
                <w:sz w:val="10"/>
                <w:szCs w:val="10"/>
                <w:color w:val="auto"/>
              </w:rPr>
            </w:pPr>
          </w:p>
        </w:tc>
        <w:tc>
          <w:tcPr>
            <w:tcW w:w="336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one year following termination</w:t>
            </w:r>
          </w:p>
        </w:tc>
        <w:tc>
          <w:tcPr>
            <w:tcW w:w="0" w:type="dxa"/>
            <w:vAlign w:val="bottom"/>
          </w:tcPr>
          <w:p>
            <w:pPr>
              <w:spacing w:after="0"/>
              <w:rPr>
                <w:sz w:val="1"/>
                <w:szCs w:val="1"/>
                <w:color w:val="auto"/>
              </w:rPr>
            </w:pPr>
          </w:p>
        </w:tc>
      </w:tr>
      <w:tr>
        <w:trPr>
          <w:trHeight w:val="162"/>
        </w:trPr>
        <w:tc>
          <w:tcPr>
            <w:tcW w:w="288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2180" w:type="dxa"/>
            <w:vAlign w:val="bottom"/>
            <w:tcBorders>
              <w:bottom w:val="single" w:sz="8" w:color="CCEEFF"/>
              <w:right w:val="single" w:sz="8" w:color="auto"/>
            </w:tcBorders>
            <w:shd w:val="clear" w:color="auto" w:fill="CCEEFF"/>
          </w:tcPr>
          <w:p>
            <w:pPr>
              <w:spacing w:after="0"/>
              <w:rPr>
                <w:sz w:val="14"/>
                <w:szCs w:val="14"/>
                <w:color w:val="auto"/>
              </w:rPr>
            </w:pPr>
          </w:p>
        </w:tc>
        <w:tc>
          <w:tcPr>
            <w:tcW w:w="336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8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Termination by the Company for</w:t>
            </w:r>
          </w:p>
        </w:tc>
        <w:tc>
          <w:tcPr>
            <w:tcW w:w="2180" w:type="dxa"/>
            <w:vAlign w:val="bottom"/>
            <w:tcBorders>
              <w:top w:val="single" w:sz="8" w:color="auto"/>
              <w:right w:val="single" w:sz="8" w:color="auto"/>
            </w:tcBorders>
          </w:tcPr>
          <w:p>
            <w:pPr>
              <w:spacing w:after="0"/>
              <w:rPr>
                <w:sz w:val="21"/>
                <w:szCs w:val="21"/>
                <w:color w:val="auto"/>
              </w:rPr>
            </w:pPr>
          </w:p>
        </w:tc>
        <w:tc>
          <w:tcPr>
            <w:tcW w:w="336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Vested options immediately exercisable for</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w w:val="95"/>
              </w:rPr>
              <w:t>Cause or by executive other than for</w:t>
            </w:r>
          </w:p>
        </w:tc>
        <w:tc>
          <w:tcPr>
            <w:tcW w:w="2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No additional vesting</w:t>
            </w: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 days following termination</w:t>
            </w:r>
          </w:p>
        </w:tc>
        <w:tc>
          <w:tcPr>
            <w:tcW w:w="0" w:type="dxa"/>
            <w:vAlign w:val="bottom"/>
          </w:tcPr>
          <w:p>
            <w:pPr>
              <w:spacing w:after="0"/>
              <w:rPr>
                <w:sz w:val="1"/>
                <w:szCs w:val="1"/>
                <w:color w:val="auto"/>
              </w:rPr>
            </w:pPr>
          </w:p>
        </w:tc>
      </w:tr>
      <w:tr>
        <w:trPr>
          <w:trHeight w:val="122"/>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Good Reason</w:t>
            </w:r>
          </w:p>
        </w:tc>
        <w:tc>
          <w:tcPr>
            <w:tcW w:w="218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8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Change of Control</w:t>
            </w:r>
          </w:p>
        </w:tc>
        <w:tc>
          <w:tcPr>
            <w:tcW w:w="21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Options fully vest for Mr.</w:t>
            </w:r>
          </w:p>
        </w:tc>
        <w:tc>
          <w:tcPr>
            <w:tcW w:w="336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Vested options immediately exercisable</w:t>
            </w:r>
          </w:p>
        </w:tc>
        <w:tc>
          <w:tcPr>
            <w:tcW w:w="0" w:type="dxa"/>
            <w:vAlign w:val="bottom"/>
          </w:tcPr>
          <w:p>
            <w:pPr>
              <w:spacing w:after="0"/>
              <w:rPr>
                <w:sz w:val="1"/>
                <w:szCs w:val="1"/>
                <w:color w:val="auto"/>
              </w:rPr>
            </w:pPr>
          </w:p>
        </w:tc>
      </w:tr>
      <w:tr>
        <w:trPr>
          <w:trHeight w:val="122"/>
        </w:trPr>
        <w:tc>
          <w:tcPr>
            <w:tcW w:w="28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1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Jones and Mr. Clemens.</w:t>
            </w:r>
          </w:p>
        </w:tc>
        <w:tc>
          <w:tcPr>
            <w:tcW w:w="336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8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218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336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33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Brzeczko is not party to an employment agreement. Dr. Brzeczko was hired pursuant to an offer letter pursuant to which he received a $40,000 signing bonus and commencing 2016 and thereafter, is eligible for annual bonuses of up to 50% of his base salary (increased from 35% in effect during 2015). Dr. Brzeczko’s bonus is based on the achievement of such targets, conditions, or parameters as may be set from time to time by the Board of Directors or the Compensation Committee of the Board of Directors. In 2018 and 2019 he received no bonus.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commencement of his employment on February 9, 2009, Dr. Brzeczko received 4,800 RSUs vesting in equal installments over 24 months, and stock options exercisable for 19,200 shares of common stock vesting in equal installments over 24 months. Dr. Brzeczko’s annual salary is $220,000 (a temporary reduction from his salary of $291,000 because of our need to preserve cash). Dr. Brzeczko is eligible for and over the years of his employment, Dr. Brzeczko has received annual option grants.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8, 2016 August 9, 2017 and December 11, 2018 we granted Dr. Brzeczko options to purchase 35,000 shares, 35,000 shares, 35,000 shares, and 34,000 shares of our common stock, respectively, in each case at an exercise price equal to the fair market value of our common stock at the date of grant and vesting in equal installments over 24 months, except that the August 9, 2017 grant vested in one installment on August 9, 2018; and the December 11, 2018 grant will vest in one installment on December 11, 2019 (in each case, subject to earlier exercisability as set forth in the table below entitled “Events Affecting Stock Option Vesting and Exercise”). “Fair market value” is the closing price for a share of the common stock on the exchange or quotation system which reports or quotes the closing prices for a share of the common stock (or alternate methodologies if no such quote is available).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7"/>
          <w:szCs w:val="17"/>
          <w:color w:val="auto"/>
        </w:rPr>
        <w:t>On December 11, 2017 and December 11, 2018, we granted Dr. Brzeczko 28,000 and 102,000 Restricted Stock Units exchangeable for shares of the Company’s common stock on a 1-for-1 basis after payment of $.01 par value per share, respectively. The 28,000 Restricted Stock Units vested on December 11, 2018. The 102,000 Restricted Stock Units will vest on December 11, 2019 or earlier if Dr. Brzeczko’s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and in the case of the December 11, 2017 grant, will occur on the first business day of each of January 2020, 2021, and 2022, and in the case of the December 11, 2018 grant, will occur on the first business day of each of January 2021, 2022, and 2023, or earlier upon a qualifying change of control which also meets certain criteria of Section 409A of the Internal Revenue Code.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two stock option plans adopted in 2008 and 2016, respectively. Our option plans are administered by the Board of Directors. The Board of Directors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they are otherwise eligible, be granted an additional option or options.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“Fair market value” is the closing price for a share of the common stock on the exchange or quotation system which reports or quotes the closing prices for a share of the common stock (or alternate methodologies if no such quote is available).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options available to be granted under each plan must be granted within ten years after shareholder approval of the applicable plan.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Historically, our grants to employees generally vest 1/24th each month, although under the plans any vesting schedule is permissible as determined by the Compensation Committee or the Board. However our option grants to employees dated August 9, 2017 and December 11, 2018 vest 12 months from issuance instead of ratably over 24 months. Our grants to director generally vest in equal quarterly installments over the calendar year.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a merger of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spacing w:after="0" w:line="342" w:lineRule="auto"/>
        <w:rPr>
          <w:sz w:val="20"/>
          <w:szCs w:val="20"/>
          <w:color w:val="auto"/>
        </w:rPr>
      </w:pPr>
      <w:r>
        <w:rPr>
          <w:rFonts w:ascii="Arial" w:cs="Arial" w:eastAsia="Arial" w:hAnsi="Arial"/>
          <w:sz w:val="16"/>
          <w:szCs w:val="16"/>
          <w:color w:val="auto"/>
        </w:rPr>
        <w:t>All of our option plans allow the participant to elect to exercise options on a net exercise basis by allowing shares subject to the option to be withheld by the Company in satisfaction of the option exercise price, and to satisfy the participant’s withholding tax payment obligations relating to the option exercise.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2008 Stock Option Plan was adopted by the Board of Directors on March 14, 2008 and approved by our shareholders on April 30, 2008. The 2008 Stock Option Plan permits the grant of ISO’s and non-qualified stock options to purchase up to 1,200,000 shares of our common stock. On June 25, 2009, the 2008 Stock Option Plan was amended to allow participants to require us to withhold common stock upon exercise of options for payment of exercise price and statutory minimum withholding taxes. In April 2018 the 2008 Stock Option Plan expired and the remaining 196,200 unissued shares allocated to the Plan were terminated. As of December 31, 2019, stock options to purchase 791,893 shares of common stock are outstanding under the 2008 Stock Option Plan and 48,000 options are non-qualified and 743,893 options are ISOs. The weighted average exercise price per share for all outstanding options under the 2008 Stock Option Plan as of December 31, 2019 was $7.28.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2016 Stock Option Plan, as amended, was adopted by the Board of Directors and approved by our shareholders in April 2016. The 2016 Stock Option Plan permits the grant of ISO’s and non-qualified stock options to purchase in the aggregate up to 600,000 shares of our common stock. As of December 31, 2019, stock options to purchase 564,356 shares of common stock are outstanding under the 2016 Stock Option Plan and all are ISOs. Up to 60,000 shares underlying options may be granted to any participant in a calendar year under the 2016 Stock Option Plan. The weighted average exercise price per share for all outstanding options under the 2016 Stock Option Plan as of December 31, 2019 was $0.47.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2014 Restricted Stock Unit Award Plan (the “2014 RSU Plan”) was approved by the Company’s Board of Directors in February 2014 and by our shareholders in May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aggregate number of shares which may be subject to RSUs granted under the 2014 RSU Plan is 400,000 shares of authorized, but unissued or reacquired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spacing w:after="0" w:line="342" w:lineRule="auto"/>
        <w:rPr>
          <w:sz w:val="20"/>
          <w:szCs w:val="20"/>
          <w:color w:val="auto"/>
        </w:rPr>
      </w:pPr>
      <w:r>
        <w:rPr>
          <w:rFonts w:ascii="Arial" w:cs="Arial" w:eastAsia="Arial" w:hAnsi="Arial"/>
          <w:sz w:val="16"/>
          <w:szCs w:val="16"/>
          <w:color w:val="auto"/>
        </w:rPr>
        <w:t>As of March 30, 2020 we had granted RSUs under the 2014 RSU Plan providing for our issuance of an aggregate of 400,000 shares of our common stock and there are no remaining shares available for grant. At March 30, 2020, approximately 3,156 RSU awards remain outstanding under our 2014 RSU Plan.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there were a limited number of shares available for issuance under the 2014 RSU Plan, our shareholders approved the 2017 Restricted Stock Unit Award Plan in November 2017. The description of the 2017 Restricted Stock Unit Award Plan, under the captions, “Terms”, “Administration”, “Amendment and Termination”, and “Adjustment upon Capitalization and Merger”, below are similar to the provisions of the 2014 RSU Plan, with the significant differences noted under such captions.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2017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2017 Restricted Stock Unit Award Plan (the “2017 RSU Plan”) was approved by the Company’s Board of Directors on September 8, 2017 and approved by shareholders on November 8, 2017. Under the 2017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Number of RSUs that may be granted. </w:t>
      </w:r>
      <w:r>
        <w:rPr>
          <w:rFonts w:ascii="Arial" w:cs="Arial" w:eastAsia="Arial" w:hAnsi="Arial"/>
          <w:sz w:val="17"/>
          <w:szCs w:val="17"/>
          <w:color w:val="auto"/>
        </w:rPr>
        <w:t>The maximum aggregate number of shares which may be subject to RSUs granted under the 2017 RSU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1,500,000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The 2017 RSU Plan has no limit on the number of RSUs that may be granted to an individual employee, consultant or director in any calendar year. Payment of Cash Settled RSUs (as hereinafter defined) will reduce such limit. As of March 30, 2020 we had granted RSUs under the 2017 RSU Plan providing for our issuance of an aggregate of 1,500,000 shares of our common stock and there are no remaining shares available for grant. At March 30, 2020, approximately 839,000 awards remain outstanding under our 2017 RSU Plan.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2017 RSU Plan is intended to assist the Company in securing and retaining employees, consultants and directors by allowing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ownership and growth of the Company through the RSUs. The granting of RSUs serves as partial consideration for and gives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2017 RSU Plan is administered by the Company’s Board of Directors, or, except with respect to matters involving non-employee Directors (“Non-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Directors”), the Compensation Committee, provided it is comprised of not less than two members of the Board, each of whom must be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as that term is defined in Rule 16b-3(b)(3)(i) of the Exchange Act (the “Committee”).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Powers of the Board/Committee. </w:t>
      </w:r>
      <w:r>
        <w:rPr>
          <w:rFonts w:ascii="Arial" w:cs="Arial" w:eastAsia="Arial" w:hAnsi="Arial"/>
          <w:sz w:val="17"/>
          <w:szCs w:val="17"/>
          <w:color w:val="auto"/>
        </w:rPr>
        <w:t>The Board/Committee has the authority, subject to the provisions of the 2017 RSU Plan, to establish, adopt and revise</w:t>
      </w:r>
      <w:r>
        <w:rPr>
          <w:rFonts w:ascii="Arial" w:cs="Arial" w:eastAsia="Arial" w:hAnsi="Arial"/>
          <w:sz w:val="17"/>
          <w:szCs w:val="17"/>
          <w:i w:val="1"/>
          <w:iCs w:val="1"/>
          <w:color w:val="auto"/>
        </w:rPr>
        <w:t xml:space="preserve"> </w:t>
      </w:r>
      <w:r>
        <w:rPr>
          <w:rFonts w:ascii="Arial" w:cs="Arial" w:eastAsia="Arial" w:hAnsi="Arial"/>
          <w:sz w:val="17"/>
          <w:szCs w:val="17"/>
          <w:color w:val="auto"/>
        </w:rPr>
        <w:t>such rules, regulations and forms and agreements and to interpret the 2017 RSU Plan and make all determinations relating to the 2017 RSU Plan as it may deem necessary or advisable. The Board/Committee also has the authority, subject to the provisions of the 2017 RSU Plan, to delegate ministerial, day-to-day administrative details and non-discretionary duties and functions to officers and employees of the Company. In the administration of the 2017 RSU Plan with respect to Non-Employee Directors, the Board has all of the authority and discretion otherwise granted to the Committee with respect to the administration of the 2017 RSU Plan. All decisions, determinations and interpretations of the Board/Committee are binding and conclusive on participants in the 2017 RSU Plan and on their legal representatives and beneficiaries.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spacing w:after="0" w:line="308" w:lineRule="auto"/>
        <w:rPr>
          <w:sz w:val="20"/>
          <w:szCs w:val="20"/>
          <w:color w:val="auto"/>
        </w:rPr>
      </w:pPr>
      <w:r>
        <w:rPr>
          <w:rFonts w:ascii="Arial" w:cs="Arial" w:eastAsia="Arial" w:hAnsi="Arial"/>
          <w:sz w:val="17"/>
          <w:szCs w:val="17"/>
          <w:i w:val="1"/>
          <w:iCs w:val="1"/>
          <w:color w:val="auto"/>
        </w:rPr>
        <w:t xml:space="preserve">Director Participation in the RSU Plan. </w:t>
      </w:r>
      <w:r>
        <w:rPr>
          <w:rFonts w:ascii="Arial" w:cs="Arial" w:eastAsia="Arial" w:hAnsi="Arial"/>
          <w:sz w:val="17"/>
          <w:szCs w:val="17"/>
          <w:color w:val="auto"/>
        </w:rPr>
        <w:t>Non-Employee Directors are eligible to receive RSU grants under the 2017 RSU Plan, and it is expected that RSU</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2017 RSU Plan will represent the annual equity compensation component of Non-Employee Directors’ compensation.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RSU Plan Eligibility. </w:t>
      </w:r>
      <w:r>
        <w:rPr>
          <w:rFonts w:ascii="Arial" w:cs="Arial" w:eastAsia="Arial" w:hAnsi="Arial"/>
          <w:sz w:val="17"/>
          <w:szCs w:val="17"/>
          <w:color w:val="auto"/>
        </w:rPr>
        <w:t>RSUs may be granted to any of the Company’s Non-Employee Directors, any of the Company’s employees or consultants,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consultants of any of the Company’s subsidiary corporations, including officers (collectively, “Eligible Participants”). For purposes of the 2017 RSU Plan employees or consultants of the Company also mean employees or consultants of the Company’s subsidiary. As of March 30, 2020 all of the Company’s 12 full-time employees and four Non-Employee Directors of the Company will be eligible participants (“Participants”) in the 2017 RSU Plan. Any Eligible Participant who has been granted an RSU may be granted additional RSUs. The RSU Plan does not confer any rights upon any Participant with respect to continuation of employment or service as an employee, consultant or a Non-Employee Director.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2017 RSU Plan is evidenced by a written award agreement (“RSU Award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contains the terms and conditions of the specific RSU granted.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Vesting of RSUs. </w:t>
      </w:r>
      <w:r>
        <w:rPr>
          <w:rFonts w:ascii="Arial" w:cs="Arial" w:eastAsia="Arial" w:hAnsi="Arial"/>
          <w:sz w:val="17"/>
          <w:szCs w:val="17"/>
          <w:color w:val="auto"/>
        </w:rPr>
        <w:t>RSUs generally vest as set forth in the RSU Award Agreement. In addition, unless expressly provided otherwise in the RSU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each RSU immediately vests and is nonforfeitable to the Participant upon the occurrence of any of the following events:</w:t>
      </w:r>
    </w:p>
    <w:p>
      <w:pPr>
        <w:spacing w:after="0" w:line="146" w:lineRule="exact"/>
        <w:rPr>
          <w:sz w:val="20"/>
          <w:szCs w:val="20"/>
          <w:color w:val="auto"/>
        </w:rPr>
      </w:pPr>
    </w:p>
    <w:p>
      <w:pPr>
        <w:jc w:val="both"/>
        <w:ind w:firstLine="656"/>
        <w:spacing w:after="0" w:line="311" w:lineRule="auto"/>
        <w:tabs>
          <w:tab w:leader="none" w:pos="91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48" w:lineRule="exact"/>
        <w:rPr>
          <w:rFonts w:ascii="Arial" w:cs="Arial" w:eastAsia="Arial" w:hAnsi="Arial"/>
          <w:sz w:val="16"/>
          <w:szCs w:val="16"/>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2017 RSU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2017 RSU Plan, (unless an award provides otherwise, vesting is accelerated as provided above under</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RSUs” or a Change of Control-Plan occurs as described below), stock underlying vested RSUs is generally distributed on the first business day of the year after they vest. Hence, if an award to a Non-Employee Director vests as scheduled in full over four quarters during 2019, it will be generally be distributed the first business day of January 2020. However, the Company may set other distribution dates, with respect to awards to Participants, including Non-Employee Directors. Under the 2014 RSU Plan Non-Employee Directors (but not other Participants) could designate the length of the deferrals. This is not the case with the 2017 RSU Plan, where only the Company can set the distribution dates for all Participants. Non-Employee-Directors may elect to take payment in cash instead of stock for up to 40% of the RSUs in an award (rendering such RSUs as “Cash Settled RSUs”). With respect to Participants for whom the Company is required to withhold taxes (generally employees) the Company may mandate such Participants or such Participants may elect that the Company withhold stock otherwise payable on exchange of an RSU to pay withholding taxes (this differs from the 2014 RSU Plan where the Company could not mandate withholding stock to pay withholding taxes). The cash payment election or withholding election may be made at any time before distribution, but any such cash payment or withholding is subject to any limits on redemption under any preferred stock, loan or other financing agreement. The Company has the option of establishing a RSU award that defers distributions to a Participant, including in installments (e.g., 25% of RSUs to be paid in 2019, 2020, 2021 and 2022). If a Change of Control-Plan which is also a Change in Control-409A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spacing w:after="0" w:line="291" w:lineRule="auto"/>
        <w:rPr>
          <w:sz w:val="20"/>
          <w:szCs w:val="20"/>
          <w:color w:val="auto"/>
        </w:rPr>
      </w:pPr>
      <w:r>
        <w:rPr>
          <w:rFonts w:ascii="Arial" w:cs="Arial" w:eastAsia="Arial" w:hAnsi="Arial"/>
          <w:sz w:val="16"/>
          <w:szCs w:val="16"/>
          <w:i w:val="1"/>
          <w:iCs w:val="1"/>
          <w:color w:val="auto"/>
        </w:rPr>
        <w:t xml:space="preserve">Non Transferability of RSUs. </w:t>
      </w:r>
      <w:r>
        <w:rPr>
          <w:rFonts w:ascii="Arial" w:cs="Arial" w:eastAsia="Arial" w:hAnsi="Arial"/>
          <w:sz w:val="16"/>
          <w:szCs w:val="16"/>
          <w:color w:val="auto"/>
        </w:rPr>
        <w:t>RSUs may not be sold, pledged, assigned, hypothecated, transferred, or disposed of in any manner by the Participant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service as a Non-Employee Director.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 rights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underlying RSUs until the RSUs settle in shares of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and Termination of the RSU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2017 RSU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2017 RSU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Outstanding Equity Awards at 2019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regarding outstanding restricted stock unit and stock option awards at December 31, 2019 for each of the 2019 named executive officers.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Stock Awards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(in Form of Restricted</w:t>
            </w: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4"/>
          </w:tcPr>
          <w:p>
            <w:pPr>
              <w:ind w:left="680"/>
              <w:spacing w:after="0"/>
              <w:rPr>
                <w:sz w:val="20"/>
                <w:szCs w:val="20"/>
                <w:color w:val="auto"/>
              </w:rPr>
            </w:pPr>
            <w:r>
              <w:rPr>
                <w:rFonts w:ascii="Arial" w:cs="Arial" w:eastAsia="Arial" w:hAnsi="Arial"/>
                <w:sz w:val="18"/>
                <w:szCs w:val="18"/>
                <w:b w:val="1"/>
                <w:bCs w:val="1"/>
                <w:color w:val="auto"/>
              </w:rPr>
              <w:t>Stock Option Awards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Stock Units)</w:t>
            </w:r>
          </w:p>
        </w:tc>
      </w:tr>
      <w:tr>
        <w:trPr>
          <w:trHeight w:val="191"/>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7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247"/>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Market value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Underlying</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287"/>
              <w:spacing w:after="0"/>
              <w:rPr>
                <w:sz w:val="20"/>
                <w:szCs w:val="20"/>
                <w:color w:val="auto"/>
              </w:rPr>
            </w:pPr>
            <w:r>
              <w:rPr>
                <w:rFonts w:ascii="Arial" w:cs="Arial" w:eastAsia="Arial" w:hAnsi="Arial"/>
                <w:sz w:val="18"/>
                <w:szCs w:val="18"/>
                <w:b w:val="1"/>
                <w:bCs w:val="1"/>
                <w:color w:val="auto"/>
                <w:w w:val="88"/>
              </w:rPr>
              <w:t>Restricted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660" w:type="dxa"/>
            <w:vAlign w:val="bottom"/>
            <w:gridSpan w:val="3"/>
          </w:tcPr>
          <w:p>
            <w:pPr>
              <w:jc w:val="center"/>
              <w:ind w:right="247"/>
              <w:spacing w:after="0"/>
              <w:rPr>
                <w:sz w:val="20"/>
                <w:szCs w:val="20"/>
                <w:color w:val="auto"/>
              </w:rPr>
            </w:pPr>
            <w:r>
              <w:rPr>
                <w:rFonts w:ascii="Arial" w:cs="Arial" w:eastAsia="Arial" w:hAnsi="Arial"/>
                <w:sz w:val="18"/>
                <w:szCs w:val="18"/>
                <w:b w:val="1"/>
                <w:bCs w:val="1"/>
                <w:color w:val="auto"/>
                <w:w w:val="90"/>
              </w:rPr>
              <w:t>Stock Units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units of stock</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 (#)</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Expiration</w:t>
            </w:r>
          </w:p>
        </w:tc>
        <w:tc>
          <w:tcPr>
            <w:tcW w:w="1660" w:type="dxa"/>
            <w:vAlign w:val="bottom"/>
            <w:gridSpan w:val="3"/>
          </w:tcPr>
          <w:p>
            <w:pPr>
              <w:jc w:val="center"/>
              <w:ind w:right="247"/>
              <w:spacing w:after="0"/>
              <w:rPr>
                <w:sz w:val="20"/>
                <w:szCs w:val="20"/>
                <w:color w:val="auto"/>
              </w:rPr>
            </w:pPr>
            <w:r>
              <w:rPr>
                <w:rFonts w:ascii="Arial" w:cs="Arial" w:eastAsia="Arial" w:hAnsi="Arial"/>
                <w:sz w:val="18"/>
                <w:szCs w:val="18"/>
                <w:b w:val="1"/>
                <w:bCs w:val="1"/>
                <w:color w:val="auto"/>
                <w:w w:val="91"/>
              </w:rPr>
              <w:t>that have not</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that have not</w:t>
            </w:r>
          </w:p>
        </w:tc>
      </w:tr>
      <w:tr>
        <w:trPr>
          <w:trHeight w:val="234"/>
        </w:trPr>
        <w:tc>
          <w:tcPr>
            <w:tcW w:w="1700" w:type="dxa"/>
            <w:vAlign w:val="bottom"/>
            <w:gridSpan w:val="2"/>
          </w:tcPr>
          <w:p>
            <w:pPr>
              <w:ind w:left="580"/>
              <w:spacing w:after="0"/>
              <w:rPr>
                <w:sz w:val="20"/>
                <w:szCs w:val="20"/>
                <w:color w:val="auto"/>
              </w:rPr>
            </w:pPr>
            <w:r>
              <w:rPr>
                <w:rFonts w:ascii="Arial" w:cs="Arial" w:eastAsia="Arial" w:hAnsi="Arial"/>
                <w:sz w:val="18"/>
                <w:szCs w:val="18"/>
                <w:b w:val="1"/>
                <w:bCs w:val="1"/>
                <w:color w:val="auto"/>
              </w:rPr>
              <w:t>Name</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 Unexercisable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660" w:type="dxa"/>
            <w:vAlign w:val="bottom"/>
            <w:gridSpan w:val="3"/>
          </w:tcPr>
          <w:p>
            <w:pPr>
              <w:jc w:val="center"/>
              <w:ind w:right="247"/>
              <w:spacing w:after="0"/>
              <w:rPr>
                <w:sz w:val="20"/>
                <w:szCs w:val="20"/>
                <w:color w:val="auto"/>
              </w:rPr>
            </w:pPr>
            <w:r>
              <w:rPr>
                <w:rFonts w:ascii="Arial" w:cs="Arial" w:eastAsia="Arial" w:hAnsi="Arial"/>
                <w:sz w:val="18"/>
                <w:szCs w:val="18"/>
                <w:b w:val="1"/>
                <w:bCs w:val="1"/>
                <w:color w:val="auto"/>
                <w:w w:val="88"/>
              </w:rPr>
              <w:t>vested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 ($)</w:t>
            </w:r>
          </w:p>
        </w:tc>
      </w:tr>
      <w:tr>
        <w:trPr>
          <w:trHeight w:val="209"/>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79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3940" w:type="dxa"/>
            <w:vAlign w:val="bottom"/>
          </w:tcPr>
          <w:p>
            <w:pPr>
              <w:jc w:val="right"/>
              <w:ind w:right="670"/>
              <w:spacing w:after="0" w:line="201" w:lineRule="exact"/>
              <w:rPr>
                <w:sz w:val="20"/>
                <w:szCs w:val="20"/>
                <w:color w:val="auto"/>
              </w:rPr>
            </w:pPr>
            <w:r>
              <w:rPr>
                <w:rFonts w:ascii="Arial" w:cs="Arial" w:eastAsia="Arial" w:hAnsi="Arial"/>
                <w:sz w:val="18"/>
                <w:szCs w:val="18"/>
                <w:color w:val="auto"/>
              </w:rPr>
              <w:t>50,000</w:t>
            </w: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15.10</w:t>
            </w:r>
          </w:p>
        </w:tc>
        <w:tc>
          <w:tcPr>
            <w:tcW w:w="3120" w:type="dxa"/>
            <w:vAlign w:val="bottom"/>
          </w:tcPr>
          <w:p>
            <w:pPr>
              <w:jc w:val="right"/>
              <w:ind w:right="2090"/>
              <w:spacing w:after="0" w:line="201" w:lineRule="exact"/>
              <w:rPr>
                <w:sz w:val="20"/>
                <w:szCs w:val="20"/>
                <w:color w:val="auto"/>
              </w:rPr>
            </w:pPr>
            <w:r>
              <w:rPr>
                <w:rFonts w:ascii="Arial" w:cs="Arial" w:eastAsia="Arial" w:hAnsi="Arial"/>
                <w:sz w:val="18"/>
                <w:szCs w:val="18"/>
                <w:color w:val="auto"/>
              </w:rPr>
              <w:t>12/15/2020</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16,000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12/14/2021</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47,000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0.450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08/08/2022</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18,000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12/13/2022</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27,500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12/11/2023</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50,400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12/10/2024</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70,000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12/09/2025</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47,000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0.915</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12/07/2026</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50,000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0.151</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12/11/2023</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2570"/>
              <w:spacing w:after="0"/>
              <w:rPr>
                <w:sz w:val="20"/>
                <w:szCs w:val="20"/>
                <w:color w:val="auto"/>
              </w:rPr>
            </w:pPr>
            <w:r>
              <w:rPr>
                <w:rFonts w:ascii="Arial" w:cs="Arial" w:eastAsia="Arial" w:hAnsi="Arial"/>
                <w:sz w:val="18"/>
                <w:szCs w:val="18"/>
                <w:color w:val="auto"/>
                <w:w w:val="89"/>
              </w:rPr>
              <w:t>Peter A. Clemens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8,000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12/15/2020</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7,000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12/14/2021</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34,000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0.450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08/08/2022</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10,000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12/13/2022</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15,000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12/11/2023</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36,000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12/10/2024</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50,000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12/09/2025</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34,000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0.915</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12/07/2026</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8"/>
        </w:trPr>
        <w:tc>
          <w:tcPr>
            <w:tcW w:w="3940" w:type="dxa"/>
            <w:vAlign w:val="bottom"/>
          </w:tcPr>
          <w:p>
            <w:pPr>
              <w:jc w:val="right"/>
              <w:ind w:right="670"/>
              <w:spacing w:after="0"/>
              <w:rPr>
                <w:sz w:val="20"/>
                <w:szCs w:val="20"/>
                <w:color w:val="auto"/>
              </w:rPr>
            </w:pPr>
            <w:r>
              <w:rPr>
                <w:rFonts w:ascii="Arial" w:cs="Arial" w:eastAsia="Arial" w:hAnsi="Arial"/>
                <w:sz w:val="18"/>
                <w:szCs w:val="18"/>
                <w:color w:val="auto"/>
              </w:rPr>
              <w:t>40,000</w:t>
            </w:r>
          </w:p>
        </w:tc>
        <w:tc>
          <w:tcPr>
            <w:tcW w:w="1060" w:type="dxa"/>
            <w:vAlign w:val="bottom"/>
          </w:tcPr>
          <w:p>
            <w:pPr>
              <w:spacing w:after="0"/>
              <w:rPr>
                <w:sz w:val="19"/>
                <w:szCs w:val="19"/>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0.151</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12/11/2023</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6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12/15/2020</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12/14/2021</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12/13/2022</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0.450</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08/08/2022</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12/11/2023</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12/10/2024</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12/09/2025</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0.915</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12/07/2026</w:t>
            </w:r>
          </w:p>
        </w:tc>
        <w:tc>
          <w:tcPr>
            <w:tcW w:w="86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34,000</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0.151</w:t>
            </w:r>
          </w:p>
        </w:tc>
        <w:tc>
          <w:tcPr>
            <w:tcW w:w="382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12/11/2023</w:t>
            </w:r>
          </w:p>
        </w:tc>
        <w:tc>
          <w:tcPr>
            <w:tcW w:w="8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compensation paid by us to our Directors (other than Robert Jones, whose compensation, is reflected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for services rendered in all capacities to us during the fiscal year ended December 31,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80" w:type="dxa"/>
            <w:vAlign w:val="bottom"/>
            <w:gridSpan w:val="7"/>
          </w:tcPr>
          <w:p>
            <w:pPr>
              <w:jc w:val="right"/>
              <w:ind w:right="1250"/>
              <w:spacing w:after="0"/>
              <w:rPr>
                <w:sz w:val="20"/>
                <w:szCs w:val="20"/>
                <w:color w:val="auto"/>
              </w:rPr>
            </w:pPr>
            <w:r>
              <w:rPr>
                <w:rFonts w:ascii="Arial" w:cs="Arial" w:eastAsia="Arial" w:hAnsi="Arial"/>
                <w:sz w:val="18"/>
                <w:szCs w:val="18"/>
                <w:b w:val="1"/>
                <w:bCs w:val="1"/>
                <w:color w:val="auto"/>
              </w:rPr>
              <w:t>2019 DIRECTOR COMPENSATION</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Stock Awards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 form of</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Restricted</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1580" w:type="dxa"/>
            <w:vAlign w:val="bottom"/>
          </w:tcPr>
          <w:p>
            <w:pPr>
              <w:spacing w:after="0"/>
              <w:rPr>
                <w:sz w:val="19"/>
                <w:szCs w:val="19"/>
                <w:color w:val="auto"/>
              </w:rPr>
            </w:pPr>
          </w:p>
        </w:tc>
        <w:tc>
          <w:tcPr>
            <w:tcW w:w="184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Fees Earned or Paid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Units)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1"/>
        </w:trPr>
        <w:tc>
          <w:tcPr>
            <w:tcW w:w="1580" w:type="dxa"/>
            <w:vAlign w:val="bottom"/>
          </w:tcPr>
          <w:p>
            <w:pPr>
              <w:ind w:left="420"/>
              <w:spacing w:after="0"/>
              <w:rPr>
                <w:sz w:val="20"/>
                <w:szCs w:val="20"/>
                <w:color w:val="auto"/>
              </w:rPr>
            </w:pPr>
            <w:r>
              <w:rPr>
                <w:rFonts w:ascii="Arial" w:cs="Arial" w:eastAsia="Arial" w:hAnsi="Arial"/>
                <w:sz w:val="18"/>
                <w:szCs w:val="18"/>
                <w:b w:val="1"/>
                <w:bCs w:val="1"/>
                <w:color w:val="auto"/>
              </w:rPr>
              <w:t>Director</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ind w:left="60"/>
              <w:spacing w:after="0" w:line="271" w:lineRule="exact"/>
              <w:rPr>
                <w:sz w:val="20"/>
                <w:szCs w:val="20"/>
                <w:color w:val="auto"/>
              </w:rPr>
            </w:pPr>
            <w:r>
              <w:rPr>
                <w:rFonts w:ascii="Arial" w:cs="Arial" w:eastAsia="Arial" w:hAnsi="Arial"/>
                <w:sz w:val="18"/>
                <w:szCs w:val="18"/>
                <w:b w:val="1"/>
                <w:bCs w:val="1"/>
                <w:color w:val="auto"/>
              </w:rPr>
              <w:t>in Cash ($)</w:t>
            </w:r>
            <w:r>
              <w:rPr>
                <w:rFonts w:ascii="Arial" w:cs="Arial" w:eastAsia="Arial" w:hAnsi="Arial"/>
                <w:sz w:val="29"/>
                <w:szCs w:val="29"/>
                <w:b w:val="1"/>
                <w:bCs w:val="1"/>
                <w:color w:val="auto"/>
                <w:vertAlign w:val="superscript"/>
              </w:rPr>
              <w:t>(4)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center"/>
              <w:ind w:right="150"/>
              <w:spacing w:after="0" w:line="271"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1940" w:type="dxa"/>
            <w:vAlign w:val="bottom"/>
            <w:gridSpan w:val="2"/>
          </w:tcPr>
          <w:p>
            <w:pPr>
              <w:jc w:val="right"/>
              <w:ind w:right="10"/>
              <w:spacing w:after="0" w:line="271" w:lineRule="exact"/>
              <w:rPr>
                <w:sz w:val="20"/>
                <w:szCs w:val="20"/>
                <w:color w:val="auto"/>
              </w:rPr>
            </w:pPr>
            <w:r>
              <w:rPr>
                <w:rFonts w:ascii="Arial" w:cs="Arial" w:eastAsia="Arial" w:hAnsi="Arial"/>
                <w:sz w:val="18"/>
                <w:szCs w:val="18"/>
                <w:b w:val="1"/>
                <w:bCs w:val="1"/>
                <w:color w:val="auto"/>
              </w:rPr>
              <w:t xml:space="preserve">Option 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(2)</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w:t>
            </w: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Bruce F. Wesson</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10,625</w:t>
            </w:r>
          </w:p>
        </w:tc>
        <w:tc>
          <w:tcPr>
            <w:tcW w:w="120" w:type="dxa"/>
            <w:vAlign w:val="bottom"/>
          </w:tcPr>
          <w:p>
            <w:pPr>
              <w:spacing w:after="0"/>
              <w:rPr>
                <w:sz w:val="18"/>
                <w:szCs w:val="18"/>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10,833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21,458</w:t>
            </w:r>
          </w:p>
        </w:tc>
        <w:tc>
          <w:tcPr>
            <w:tcW w:w="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4"/>
              </w:rPr>
              <w:t>Immanuel Thangaraj</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 (3)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80" w:type="dxa"/>
            <w:vAlign w:val="bottom"/>
            <w:shd w:val="clear" w:color="auto" w:fill="CCEEFF"/>
          </w:tcPr>
          <w:p>
            <w:pPr>
              <w:spacing w:after="0"/>
              <w:rPr>
                <w:sz w:val="18"/>
                <w:szCs w:val="18"/>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George K. Ross</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20"/>
                <w:szCs w:val="20"/>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10,833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23,958</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98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grant date fair value of restricted stock units, or RSUs with respect to the 83,333 RSUs granted to Messrs. Skelly, Wesson, Thangaraj and Ross under our 2017 RSU Plan based on a closing common stock price of $0.14 on January 2, 2019 less $0.01 par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left="1000"/>
        <w:spacing w:after="0" w:line="263" w:lineRule="auto"/>
        <w:rPr>
          <w:sz w:val="20"/>
          <w:szCs w:val="20"/>
          <w:color w:val="auto"/>
        </w:rPr>
      </w:pPr>
      <w:r>
        <w:rPr>
          <w:rFonts w:ascii="Arial" w:cs="Arial" w:eastAsia="Arial" w:hAnsi="Arial"/>
          <w:sz w:val="18"/>
          <w:szCs w:val="18"/>
          <w:color w:val="auto"/>
        </w:rPr>
        <w:t>In January 2019, based on a closing common stock price of $0.1147 on December 31, 2018 less $0.01 par value, Messrs. Skelly, Wesson, Thangaraj and Ross each realized approximately $6,980 by exchanging 66,666 RSUs at 0.01 par value per share received from their 2018 grant for 66,666 shares of common stock.</w:t>
      </w:r>
    </w:p>
    <w:p>
      <w:pPr>
        <w:spacing w:after="0" w:line="184" w:lineRule="exact"/>
        <w:rPr>
          <w:sz w:val="20"/>
          <w:szCs w:val="20"/>
          <w:color w:val="auto"/>
        </w:rPr>
      </w:pPr>
    </w:p>
    <w:p>
      <w:pPr>
        <w:jc w:val="both"/>
        <w:ind w:left="1000"/>
        <w:spacing w:after="0" w:line="277" w:lineRule="auto"/>
        <w:rPr>
          <w:sz w:val="20"/>
          <w:szCs w:val="20"/>
          <w:color w:val="auto"/>
        </w:rPr>
      </w:pPr>
      <w:r>
        <w:rPr>
          <w:rFonts w:ascii="Arial" w:cs="Arial" w:eastAsia="Arial" w:hAnsi="Arial"/>
          <w:sz w:val="18"/>
          <w:szCs w:val="18"/>
          <w:color w:val="auto"/>
        </w:rPr>
        <w:t>As of December 31, 2019, Messrs. Skelly, Wesson, Thangaraj and Ross each held 83,333 fully vested RSUs and are distributable to them on January 2, 2020.</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of Messrs. Skelly, Wesson, Thangaraj and Ross held vested options with respect to 12,000 underlying shares as of December 31, 2019.</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 fees for Mr. Thangaraj are remitted to Essex Woodlands.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order to conserve cash, the directors waived their fees for the first and second quarter 2019 while reducing their fees by fifty percent beginning with the third quarter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Had the Directors not waived a portion of their cash compensation they would have received the following compensation under the reduced percentage:</w:t>
      </w:r>
    </w:p>
    <w:p>
      <w:pPr>
        <w:spacing w:after="0" w:line="248"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retainer for each non-employee director of $15,000;</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$10,000;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Committee members receive a retainer of $3,750 per year (with no separate per meeting fee);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retainer of $5,000 (in addition to the $3,750 retainer as an Audit Committee member);</w:t>
      </w: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 members receive an annual retainer of $2,500 with no separate per meeting fee;</w:t>
      </w:r>
    </w:p>
    <w:p>
      <w:pPr>
        <w:spacing w:after="0" w:line="9" w:lineRule="exact"/>
        <w:rPr>
          <w:rFonts w:ascii="Arial" w:cs="Arial" w:eastAsia="Arial" w:hAnsi="Arial"/>
          <w:sz w:val="18"/>
          <w:szCs w:val="18"/>
          <w:color w:val="auto"/>
        </w:rPr>
      </w:pPr>
    </w:p>
    <w:p>
      <w:pPr>
        <w:ind w:left="1300" w:hanging="280"/>
        <w:spacing w:after="0" w:line="26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Compensation Committee Chairperson receives a $2,500 annual retainer (in addition to the $2,500 retainer for Compensation Committee members); and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commencing in 2014, directors receive annual equity awards valued at $50,000 in the form of stock options or RSUs. For RSUs this is determined by dividing $50,000 by the greater of (i) the Company’s closing stock price on the date of grant, or (ii) the minimum stock price or floor (if any) imposed by the Board.</w:t>
      </w:r>
    </w:p>
    <w:p>
      <w:pPr>
        <w:spacing w:after="0" w:line="184" w:lineRule="exact"/>
        <w:rPr>
          <w:sz w:val="20"/>
          <w:szCs w:val="20"/>
          <w:color w:val="auto"/>
        </w:rPr>
      </w:pPr>
    </w:p>
    <w:p>
      <w:pPr>
        <w:jc w:val="both"/>
        <w:ind w:left="1340" w:hanging="320"/>
        <w:spacing w:after="0" w:line="263"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2018 award, the Board decided there would be a minimum stock price of $0.75, and as a result, each director was awarded 66,666 RSUs. The Company’s closing stock price on January 2, 2018 of $0.75 was not used. These awards were distributed to them on January 2, 2019.</w:t>
      </w:r>
    </w:p>
    <w:p>
      <w:pPr>
        <w:spacing w:after="0" w:line="183" w:lineRule="exact"/>
        <w:rPr>
          <w:rFonts w:ascii="Arial" w:cs="Arial" w:eastAsia="Arial" w:hAnsi="Arial"/>
          <w:sz w:val="18"/>
          <w:szCs w:val="18"/>
          <w:color w:val="auto"/>
        </w:rPr>
      </w:pPr>
    </w:p>
    <w:p>
      <w:pPr>
        <w:jc w:val="both"/>
        <w:ind w:left="1340" w:hanging="320"/>
        <w:spacing w:after="0" w:line="286" w:lineRule="auto"/>
        <w:tabs>
          <w:tab w:leader="none" w:pos="1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2019 award and beyond, the Board decided the minimum stock price will be $1.00, but in each case, subject to reevaluation by them. For the 2019 award, the Board reevaluated the minimum stock price and it was changed to $0.60 resulting in each director being awarded 83,333 RSUs. The Company’s closing stock price on January 2, 2019 of $0.1395 was not used.</w:t>
      </w:r>
    </w:p>
    <w:p>
      <w:pPr>
        <w:spacing w:after="0" w:line="165" w:lineRule="exact"/>
        <w:rPr>
          <w:rFonts w:ascii="Arial" w:cs="Arial" w:eastAsia="Arial" w:hAnsi="Arial"/>
          <w:sz w:val="17"/>
          <w:szCs w:val="17"/>
          <w:color w:val="auto"/>
        </w:rPr>
      </w:pPr>
    </w:p>
    <w:p>
      <w:pPr>
        <w:ind w:left="1340" w:right="20" w:hanging="320"/>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2020 award, the Board reevaluated the minimum stock price and it was changed to $0.91 resulting in each director being awarded 54,790 RSUs. The Company’s closing stock price on January 2, 2020 of $0.28 was not used.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meetings. Directors who are also our employees receive no additional or special remuneration for their services as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920" w:right="560" w:hanging="90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table sets forth information regarding the beneficial ownership of the common stock, as of February 15, 2020, for individuals or entities in the following categories: (i) each of the Company’s Directors; (ii) the Company’s principal executive officer, and the next two highest paid executive officers of the Company whose total annual compensation for 2019 exceeded $100,000 (the “2019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February 15, 2020, there were 21,650,294 shares of our common stock outstanding. Shares of common stock issuable pursuant to stock options, warrants and restricted stock units exercisable or exchangeable within 60 days are deemed outstanding and held by the holder of such options warrants or restricted stock units for computing the percentage of the person holding such options, warrants or restricted stock units, but are not deemed outstanding for computing the percentage of any other person. There were no restricted stock units or common stock options exchangeable within 60 days of February 15, 2020.</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6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Percent of</w:t>
            </w:r>
          </w:p>
        </w:tc>
        <w:tc>
          <w:tcPr>
            <w:tcW w:w="0" w:type="dxa"/>
            <w:vAlign w:val="bottom"/>
          </w:tcPr>
          <w:p>
            <w:pPr>
              <w:spacing w:after="0"/>
              <w:rPr>
                <w:sz w:val="1"/>
                <w:szCs w:val="1"/>
                <w:color w:val="auto"/>
              </w:rPr>
            </w:pPr>
          </w:p>
        </w:tc>
      </w:tr>
      <w:tr>
        <w:trPr>
          <w:trHeight w:val="271"/>
        </w:trPr>
        <w:tc>
          <w:tcPr>
            <w:tcW w:w="6640" w:type="dxa"/>
            <w:vAlign w:val="bottom"/>
          </w:tcPr>
          <w:p>
            <w:pPr>
              <w:ind w:left="2300"/>
              <w:spacing w:after="0"/>
              <w:rPr>
                <w:sz w:val="20"/>
                <w:szCs w:val="20"/>
                <w:color w:val="auto"/>
              </w:rPr>
            </w:pPr>
            <w:r>
              <w:rPr>
                <w:rFonts w:ascii="Arial" w:cs="Arial" w:eastAsia="Arial" w:hAnsi="Arial"/>
                <w:sz w:val="18"/>
                <w:szCs w:val="18"/>
                <w:b w:val="1"/>
                <w:bCs w:val="1"/>
                <w:color w:val="auto"/>
              </w:rPr>
              <w:t>Name of Beneficial Owner</w:t>
            </w:r>
          </w:p>
        </w:tc>
        <w:tc>
          <w:tcPr>
            <w:tcW w:w="170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Amount Owned</w:t>
            </w:r>
          </w:p>
        </w:tc>
        <w:tc>
          <w:tcPr>
            <w:tcW w:w="1200" w:type="dxa"/>
            <w:vAlign w:val="bottom"/>
            <w:gridSpan w:val="2"/>
          </w:tcPr>
          <w:p>
            <w:pPr>
              <w:jc w:val="right"/>
              <w:ind w:right="380"/>
              <w:spacing w:after="0" w:line="271"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John Schutte</w:t>
            </w:r>
          </w:p>
        </w:tc>
        <w:tc>
          <w:tcPr>
            <w:tcW w:w="1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 MainPointe Pharmaceuticals, LLC</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333 E. Main Street, Suite 200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Louisville, KY 40202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10,695,186</w:t>
            </w:r>
          </w:p>
        </w:tc>
        <w:tc>
          <w:tcPr>
            <w:tcW w:w="2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2"/>
        </w:trPr>
        <w:tc>
          <w:tcPr>
            <w:tcW w:w="6640" w:type="dxa"/>
            <w:vAlign w:val="bottom"/>
          </w:tcPr>
          <w:p>
            <w:pPr>
              <w:spacing w:after="0" w:line="201" w:lineRule="exact"/>
              <w:rPr>
                <w:sz w:val="20"/>
                <w:szCs w:val="20"/>
                <w:color w:val="auto"/>
              </w:rPr>
            </w:pPr>
            <w:r>
              <w:rPr>
                <w:rFonts w:ascii="Arial" w:cs="Arial" w:eastAsia="Arial" w:hAnsi="Arial"/>
                <w:sz w:val="18"/>
                <w:szCs w:val="18"/>
                <w:color w:val="auto"/>
              </w:rPr>
              <w:t>Abuse Deterrent Pharma, LLC</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333 E. Main Street, Suite 220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97"/>
              </w:rPr>
              <w:t>(3)</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Louisville, KY 40202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47,400,000</w:t>
            </w:r>
          </w:p>
        </w:tc>
        <w:tc>
          <w:tcPr>
            <w:tcW w:w="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Essex Woodlands Health Ventures Fund V, L.P.</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21 Waterway Avenue, Suite 225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Woodlands, TX 77380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1,956,396</w:t>
            </w:r>
          </w:p>
        </w:tc>
        <w:tc>
          <w:tcPr>
            <w:tcW w:w="2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8"/>
                <w:szCs w:val="18"/>
                <w:color w:val="auto"/>
              </w:rPr>
              <w:t>Robert B. Jones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802,122</w:t>
            </w:r>
          </w:p>
        </w:tc>
        <w:tc>
          <w:tcPr>
            <w:tcW w:w="200" w:type="dxa"/>
            <w:vAlign w:val="bottom"/>
          </w:tcPr>
          <w:p>
            <w:pPr>
              <w:jc w:val="right"/>
              <w:spacing w:after="0"/>
              <w:rPr>
                <w:sz w:val="20"/>
                <w:szCs w:val="20"/>
                <w:color w:val="auto"/>
              </w:rPr>
            </w:pPr>
            <w:r>
              <w:rPr>
                <w:rFonts w:ascii="Arial" w:cs="Arial" w:eastAsia="Arial" w:hAnsi="Arial"/>
                <w:sz w:val="15"/>
                <w:szCs w:val="15"/>
                <w:color w:val="auto"/>
                <w:w w:val="97"/>
              </w:rPr>
              <w:t>(5)</w:t>
            </w:r>
          </w:p>
        </w:tc>
        <w:tc>
          <w:tcPr>
            <w:tcW w:w="2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346,867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(6)</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8"/>
                <w:szCs w:val="18"/>
                <w:color w:val="auto"/>
              </w:rPr>
              <w:t>Bruce F. Wesson</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612,926</w:t>
            </w:r>
          </w:p>
        </w:tc>
        <w:tc>
          <w:tcPr>
            <w:tcW w:w="200" w:type="dxa"/>
            <w:vAlign w:val="bottom"/>
          </w:tcPr>
          <w:p>
            <w:pPr>
              <w:jc w:val="right"/>
              <w:spacing w:after="0"/>
              <w:rPr>
                <w:sz w:val="20"/>
                <w:szCs w:val="20"/>
                <w:color w:val="auto"/>
              </w:rPr>
            </w:pPr>
            <w:r>
              <w:rPr>
                <w:rFonts w:ascii="Arial" w:cs="Arial" w:eastAsia="Arial" w:hAnsi="Arial"/>
                <w:sz w:val="15"/>
                <w:szCs w:val="15"/>
                <w:color w:val="auto"/>
                <w:w w:val="97"/>
              </w:rPr>
              <w:t>(7)</w:t>
            </w:r>
          </w:p>
        </w:tc>
        <w:tc>
          <w:tcPr>
            <w:tcW w:w="2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Peter A. Clemens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595,377 (8)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8"/>
                <w:szCs w:val="18"/>
                <w:color w:val="auto"/>
              </w:rPr>
              <w:t>Immanuel Thangaraj</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218,525</w:t>
            </w:r>
          </w:p>
        </w:tc>
        <w:tc>
          <w:tcPr>
            <w:tcW w:w="200" w:type="dxa"/>
            <w:vAlign w:val="bottom"/>
          </w:tcPr>
          <w:p>
            <w:pPr>
              <w:jc w:val="right"/>
              <w:spacing w:after="0"/>
              <w:rPr>
                <w:sz w:val="20"/>
                <w:szCs w:val="20"/>
                <w:color w:val="auto"/>
              </w:rPr>
            </w:pPr>
            <w:r>
              <w:rPr>
                <w:rFonts w:ascii="Arial" w:cs="Arial" w:eastAsia="Arial" w:hAnsi="Arial"/>
                <w:sz w:val="15"/>
                <w:szCs w:val="15"/>
                <w:color w:val="auto"/>
                <w:w w:val="97"/>
              </w:rPr>
              <w:t>(9)</w:t>
            </w:r>
          </w:p>
        </w:tc>
        <w:tc>
          <w:tcPr>
            <w:tcW w:w="2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420" w:type="dxa"/>
            <w:vAlign w:val="bottom"/>
            <w:gridSpan w:val="3"/>
            <w:shd w:val="clear" w:color="auto" w:fill="CCEEFF"/>
          </w:tcPr>
          <w:p>
            <w:pPr>
              <w:jc w:val="right"/>
              <w:spacing w:after="0" w:line="256" w:lineRule="exact"/>
              <w:rPr>
                <w:sz w:val="20"/>
                <w:szCs w:val="20"/>
                <w:color w:val="auto"/>
              </w:rPr>
            </w:pPr>
            <w:r>
              <w:rPr>
                <w:rFonts w:ascii="Arial" w:cs="Arial" w:eastAsia="Arial" w:hAnsi="Arial"/>
                <w:sz w:val="18"/>
                <w:szCs w:val="18"/>
                <w:color w:val="auto"/>
              </w:rPr>
              <w:t xml:space="preserve">550,534 </w:t>
            </w:r>
            <w:r>
              <w:rPr>
                <w:rFonts w:ascii="Arial" w:cs="Arial" w:eastAsia="Arial" w:hAnsi="Arial"/>
                <w:sz w:val="29"/>
                <w:szCs w:val="29"/>
                <w:color w:val="auto"/>
                <w:vertAlign w:val="superscript"/>
              </w:rPr>
              <w:t>(10)</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8"/>
                <w:szCs w:val="18"/>
                <w:color w:val="auto"/>
              </w:rPr>
              <w:t>George K. Ross</w:t>
            </w:r>
          </w:p>
        </w:tc>
        <w:tc>
          <w:tcPr>
            <w:tcW w:w="1420" w:type="dxa"/>
            <w:vAlign w:val="bottom"/>
            <w:gridSpan w:val="3"/>
          </w:tcPr>
          <w:p>
            <w:pPr>
              <w:jc w:val="right"/>
              <w:spacing w:after="0" w:line="256" w:lineRule="exact"/>
              <w:rPr>
                <w:sz w:val="20"/>
                <w:szCs w:val="20"/>
                <w:color w:val="auto"/>
              </w:rPr>
            </w:pPr>
            <w:r>
              <w:rPr>
                <w:rFonts w:ascii="Arial" w:cs="Arial" w:eastAsia="Arial" w:hAnsi="Arial"/>
                <w:sz w:val="18"/>
                <w:szCs w:val="18"/>
                <w:color w:val="auto"/>
              </w:rPr>
              <w:t xml:space="preserve">266,381 </w:t>
            </w:r>
            <w:r>
              <w:rPr>
                <w:rFonts w:ascii="Arial" w:cs="Arial" w:eastAsia="Arial" w:hAnsi="Arial"/>
                <w:sz w:val="29"/>
                <w:szCs w:val="29"/>
                <w:color w:val="auto"/>
                <w:vertAlign w:val="superscript"/>
              </w:rPr>
              <w:t>(11)</w:t>
            </w:r>
          </w:p>
        </w:tc>
        <w:tc>
          <w:tcPr>
            <w:tcW w:w="2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Group (9 persons)</w:t>
            </w:r>
          </w:p>
        </w:tc>
        <w:tc>
          <w:tcPr>
            <w:tcW w:w="1420" w:type="dxa"/>
            <w:vAlign w:val="bottom"/>
            <w:gridSpan w:val="3"/>
            <w:shd w:val="clear" w:color="auto" w:fill="CCEEFF"/>
          </w:tcPr>
          <w:p>
            <w:pPr>
              <w:jc w:val="right"/>
              <w:spacing w:after="0" w:line="256" w:lineRule="exact"/>
              <w:rPr>
                <w:sz w:val="20"/>
                <w:szCs w:val="20"/>
                <w:color w:val="auto"/>
              </w:rPr>
            </w:pPr>
            <w:r>
              <w:rPr>
                <w:rFonts w:ascii="Arial" w:cs="Arial" w:eastAsia="Arial" w:hAnsi="Arial"/>
                <w:sz w:val="18"/>
                <w:szCs w:val="18"/>
                <w:color w:val="auto"/>
              </w:rPr>
              <w:t>4,376,850</w:t>
            </w:r>
            <w:r>
              <w:rPr>
                <w:rFonts w:ascii="Arial" w:cs="Arial" w:eastAsia="Arial" w:hAnsi="Arial"/>
                <w:sz w:val="29"/>
                <w:szCs w:val="29"/>
                <w:color w:val="auto"/>
                <w:vertAlign w:val="superscript"/>
              </w:rPr>
              <w:t>(12)</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Company’s common stock.</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Shows percentage ownership assuming (i) such party converts all of its currently convertible securities or securities convertible within 60 days of February 15, 2020 into the Company’s common stock, and (ii) no other Company security holder converts any of its convertible securities. No shares held by any Director or 2019 named executive officer has been pledged as collateral security.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Includes warrants to purchase 1,782,531 shares held by Mr. Schutte.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Includes both a warrant to purchase 10,000,000 shares at $0.01 per share and 37,500,000 shares issuable upon conversion of $6.0 million Note at $0.16 per share held by AD Pharma.</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Mr. Thangaraj is the Board designee of Essex Woodlands Health Ventures Fund V, L.P. (“Essex”). Essex Woodlands Health Ventures V, L.L.C., a Delaware limited liability company is the general partner of Essex. Martin P. Sutter and Immanuel Thangaraj may be deemed to have shared dispositive power and voting power with respect to the securities held by the Essex. Messrs. Sutter and Thangaraj disclaim beneficial ownership of such securities except to the extent of their respective pecuniary interests therein.</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Includes 375,900 shares subject to stock options exercisable within 60 days of February 15, 2020. Does not include RSUs.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9,000 shares subject to stock options exercisable within 60 days of February 15, 2020.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9,000 shares subject to stock options exercisable within 60 days of February 15, 2020.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234,000 shares subject to stock options exercisable within 60 days of February 15, 2020. Does not include RSUs.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9,000 shares subject to stock options exercisable within 60 days of February 15, 2020. Mr. Thangaraj’s holdings do not include securities held by Essex. Mr. Thangaraj disclaims beneficial ownership in securities held by Essex except to the extent of his pecuniary interest therein. Does not include RSUs.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225,200 shares subject to stock options exercisable within 60 days of February 15, 2020.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9,000 shares subject to stock options exercisable within 60 days of February 15, 2020. Does not include RSUs.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1,083,734 shares which Directors and executive officers have the right to acquire within 60 days of February 15, 2020 through exercise of outstanding stock options. Does not include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includes information as of December 31, 2019 relating to our 2008 Stock Option Plan, our 2016 Stock Option Plan, our 2014 Restricted Stock Unit Award Plan, and our 2017 Restricted Stock Award Plan,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Be Issued Upon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Weighted-Average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Exercise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Exercise Price of</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 Options,</w:t>
            </w:r>
          </w:p>
        </w:tc>
        <w:tc>
          <w:tcPr>
            <w:tcW w:w="160" w:type="dxa"/>
            <w:vAlign w:val="bottom"/>
          </w:tcPr>
          <w:p>
            <w:pPr>
              <w:spacing w:after="0"/>
              <w:rPr>
                <w:sz w:val="18"/>
                <w:szCs w:val="18"/>
                <w:color w:val="auto"/>
              </w:rPr>
            </w:pPr>
          </w:p>
        </w:tc>
        <w:tc>
          <w:tcPr>
            <w:tcW w:w="2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Outstanding Options,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(Excluding Securities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 Rights</w:t>
            </w:r>
          </w:p>
        </w:tc>
        <w:tc>
          <w:tcPr>
            <w:tcW w:w="160" w:type="dxa"/>
            <w:vAlign w:val="bottom"/>
          </w:tcPr>
          <w:p>
            <w:pPr>
              <w:spacing w:after="0"/>
              <w:rPr>
                <w:sz w:val="18"/>
                <w:szCs w:val="18"/>
                <w:color w:val="auto"/>
              </w:rPr>
            </w:pPr>
          </w:p>
        </w:tc>
        <w:tc>
          <w:tcPr>
            <w:tcW w:w="2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Warrants and Rights</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Reflected in Column</w:t>
            </w:r>
          </w:p>
        </w:tc>
      </w:tr>
      <w:tr>
        <w:trPr>
          <w:trHeight w:val="234"/>
        </w:trPr>
        <w:tc>
          <w:tcPr>
            <w:tcW w:w="4740" w:type="dxa"/>
            <w:vAlign w:val="bottom"/>
            <w:gridSpan w:val="2"/>
          </w:tcPr>
          <w:p>
            <w:pPr>
              <w:ind w:left="1700"/>
              <w:spacing w:after="0"/>
              <w:rPr>
                <w:sz w:val="20"/>
                <w:szCs w:val="20"/>
                <w:color w:val="auto"/>
              </w:rPr>
            </w:pPr>
            <w:r>
              <w:rPr>
                <w:rFonts w:ascii="Arial" w:cs="Arial" w:eastAsia="Arial" w:hAnsi="Arial"/>
                <w:sz w:val="18"/>
                <w:szCs w:val="18"/>
                <w:b w:val="1"/>
                <w:bCs w:val="1"/>
                <w:color w:val="auto"/>
              </w:rPr>
              <w:t>Plan Category</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(Column a)</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(Column b)</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 (Column c)</w:t>
            </w:r>
          </w:p>
        </w:tc>
      </w:tr>
      <w:tr>
        <w:trPr>
          <w:trHeight w:val="195"/>
        </w:trPr>
        <w:tc>
          <w:tcPr>
            <w:tcW w:w="4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Stock Option Equity Compensation Plans Approved by</w:t>
            </w:r>
          </w:p>
        </w:tc>
        <w:tc>
          <w:tcPr>
            <w:tcW w:w="24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1,356,251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34,478</w:t>
            </w: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Stock Option Equity Compensation Plans Not Approved by</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Restricted Stock Unit Equity Compensation Plans Approved</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 Security Holders</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1,017,333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Unit Equity Compensation Plans Not</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2,373,584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78</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and certain investors are party to a Voting Agreement. As amended in October 2012 (but prior to the 2017 amendment), the Voting Agreement provided our Board of Directors will be comprised of not more than seven (7) members one of whom shall be the CEO, three of whom would be independent under Nasdaq standards, and that Essex had the right to designate one director as a member of our Board of Directors as long as such shareholder held 600,000 shares of our common stock (including warrants to purchase shares), provided that once such shareholder no longer held such securities, the additional forfeited seat would become a seat for an independent director to thereafter be nominated and elected to the Board of Directors from time to time by the then current directors and, as applicable to be elected by the directors to fill the vacancy created by the forfeited seat or submitted to the Company’s shareholders at the next annual meeting. The Voting Agreement provided that if the majority of the Board of Directors were not independent under Nasdaq Marketplace Rules then, the Board would be expanded so that additional independent directors would be added. At the time of the October 2012 amendment, Mr. Thangaraj became the designee of Essex, as one of three remaining successors to GCE Holdings, LLC (an entity controlled by others including Essex). In addition, Essex has the right to designate a member to any committee of our Board of Directors, provided that in the case of the Audit and Compensation committees they are independent under applicable NASDAQ rules.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Schutte is chief executive officer and owner of MainPointe Pharmaceuticals, LLC. (“MainPointe”), a Kentucky limited liability company. In March 2017, prior to Mr. Schutte becoming a shareholder, we entered into a License, Commercialization and Option Agreement (the “MainPointe Agreement”) with MainPointe to commercialize Nexafed® and Nexafed® Sinus Pressure + Pain in the United States and Canada. Nexafed® and Nexafed® Sinus Pressure + Pain utilize our Impede Technology and were previously marketed by us in the United States. Our Impede Technology is directed at minimizing the extraction and conversion of pseudoephedrine, or PSE, into methamphetamine. Under the terms of the Agreement we transferred existing inventory and equipment relating to such products to MainPointe and licensed our Impede Technology intellectual property rights to MainPointe for such products as well as certain future PSE-containing products. MainPointe is responsible for all development, manufacturing and commercialization activities with respect to products covered by the Agreement.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signing, MainPointe paid us an upfront licensing fee of $2.5 million plus approximately $425,000 for inventory and equipment being transferred. We will receive a 7.5% royalty on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MainPointe has the option to expand the territory beyond the United States and Canada to the European Union (and the United Kingdom), Japan and South Korea for payments of $1.0 million, $500,000 and $250,000, respectively. In addition, MainPointe has the option to add to the Agreement certain additional products, or Option Products, containing PSE and utilizing the Impede Technology for a fee of $500,000 per product (for all such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16"/>
          <w:szCs w:val="16"/>
          <w:color w:val="auto"/>
        </w:rPr>
        <w:t>On July 24, 2017 we completed the sale to Mr. Schutte of 8,912,655 shares and warrants to purchase 1,782,531 shares exercisable at $0.528 per share and expiring in July 23, 2022 for $4 million and amended the Voting Agreement described above (as so amended the “Second Amended and Restated Voting Agreement”) in connection with that purchase. The Second Amended and Restated Voting Agreement provides that our Board of Directors will be comprised of not more than seven (7) members, one of whom shall be the CEO, three of whom would be independent under Nasdaq standards, and that each of Mr. Schutte and Essex had the right to designate one director as a member of our Board of Directors as long as such shareholder continues to hold 600,000 shares of our common stock (including warrants to purchase shares), provided that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The Second Amended and Restated Voting Agreement provides that in the event the majority of the Board of Directors were not independent under Nasdaq Marketplace Rules then, the Board would be expanded so that additional independent directors would be added. In addition, each of Essex and Mr. Schutte has the right to designate a member to any committee of our Board of Directors, provided that in the case of the Audit and Compensation committees they are independent under applicable NASDAQ rules.</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borrowed an aggregate $6.0 million (including accrued interest) as of June 28, 2019 from Mr. Schutte, a related-party, and issued various promissory notes (the Schutte Notes). The Schutte Notes bear interest at prime plus 2.0%, and mature on January 2, 2020, at which time all principal and interest is due, and was unsecured until all obligations to Oxford were satisfied at which time we were required to grant a security interest to Mr. Schutte in all of our assets. On October 5, 2018 we borrowed $1.8 million from Mr. Schutte and used $1.5 million of the loan to fully pay-off the debt outstanding under the Oxford Loan Agreement and therefore, all our assets are pledged as collateral under the Schutte Notes, including our intellectual property.</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28, 2019, we entered into a Promissory Note with Mr. Schutte that consolidated existing promissory notes into a single Note for $6.0 million (after including accrued and unpaid interest). To secure our performance of our obligations under the Note, we granted Mr. Schutte a security interest in all of our assets. Terms of the consolidated Note provide for a July 1, 2023 maturity date instead of January 2, 2020 in the previous notes, interest at fixed rate of 7.5% per annum with all payments of principle and interest deferred to maturity. The Note is convertible into Acura common stock at $0.16 per share. As additional consideration, Mr. Schutte received a warrant to purchase 10 million shares of the Company’s common stock at a price of $0.01 per shares.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28, 2019, we entered into License, Development and Commercialization Agreement (the "Agreement") with Abuse Deterrent Pharma, LLC, a Kentucky limited liability company (“AD Pharma”), a special purpose company representing a consortium of investors that will finance Acura’s operations and completion of development of LTX-03. Mr. Schutte is an investor in AD Pharma.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the earlier of November 30, 2020 or FDA’s acceptance of a New Drug Application (“NDA”) for LTX-03 and reimbursement by AP Pharma of Acura’s LTX-03 outside development expenses. Upon commercialization of LTX-03, Acura is eligible to receive stepped royalties on sales and certain sales related milestones.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by November 30, 2020, AD Pharma has the option to terminate the Agreement and take ownership of the LIMITx intellectual property. Should AD Pharma choose not to exercise this option to terminate and the NDA for LTX-03 is subsequently accepted by the FDA, such option expires.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Essex or other significant shareholder) will have a direct or indirect interest in a transaction in which we may be a party. Where the Board determines that such proposed transaction involves a related party, the Board may establish a committee comprised solely of independent directors to review and evaluate such proposed transaction. Currently, the Board is comprised of 4 independent directors and the CEO and as such, the entire Board, with the exception of the CEO, may perform the function of an Independent Committee. In this capacity, the 4 independent directors are authorized to review any and all information deemed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evaluating alternative transactions, if any. They are also empowered to negotiate the terms of such proposed related party transaction on our behalf. The proposed related party transaction may proceed only following the approval and recommendation of the 4 independent directors. Following such approval, the related party transaction is subject to final review and approval of the Board as a whole. As the transactions described above with Abuse Deterrent Pharma LLC and Mr. Schutte involved a related party (Mr. Schutte being a significant shareholder at the time such transactions were entered into), such transactions were reviewed and approved solely by the Board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independence of our Board members, our Board has reviewed and analyzed the standards for independence required under the NASDAQ Capital Market, including NASDAQ Marketplace Rule 5605 and applicable SEC regulations. Based on this analysis, our Board has determined that during 2019, each of Messrs. Bruce F. Wesson, Immanuel Thangaraj, William Skelly and George Ross met the standards for independence provided in the listing requirements of the NASDAQ Capital Market and SEC regulations.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has determined that during 2019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registered independent public accounting firm is BDO USA, LLP. The fees billed by this firm in 2019 and 2018 were as follows:</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9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$ 150,486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$ 145,989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Audit-Related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150,486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145,989</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Tax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9"/>
        </w:trPr>
        <w:tc>
          <w:tcPr>
            <w:tcW w:w="3860" w:type="dxa"/>
            <w:vAlign w:val="bottom"/>
          </w:tcPr>
          <w:p>
            <w:pPr>
              <w:ind w:left="160"/>
              <w:spacing w:after="0"/>
              <w:rPr>
                <w:sz w:val="20"/>
                <w:szCs w:val="20"/>
                <w:color w:val="auto"/>
              </w:rPr>
            </w:pPr>
            <w:r>
              <w:rPr>
                <w:rFonts w:ascii="Arial" w:cs="Arial" w:eastAsia="Arial" w:hAnsi="Arial"/>
                <w:sz w:val="18"/>
                <w:szCs w:val="18"/>
                <w:color w:val="auto"/>
              </w:rPr>
              <w:t>Total for BDO USA, LLP</w:t>
            </w:r>
          </w:p>
        </w:tc>
        <w:tc>
          <w:tcPr>
            <w:tcW w:w="1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$ 189,686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$ 185,189</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 Tax Fees include tax compliance, tax advice and tax planning services. These services related to the preparation of various state income tax returns, our federal income tax return, and reviews of IRC Section 382.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tax services provided by BDO USA, LLP in 2019 and 2018 and related fees (as described in the captions above) were approved in advance by the Audit Committee.</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on page F-1.</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Exhibits: See Exhibits Index on page E-1.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Signature</w:t>
            </w:r>
          </w:p>
        </w:tc>
        <w:tc>
          <w:tcPr>
            <w:tcW w:w="32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320" w:type="dxa"/>
            <w:vAlign w:val="bottom"/>
          </w:tcPr>
          <w:p>
            <w:pPr>
              <w:spacing w:after="0"/>
              <w:rPr>
                <w:sz w:val="20"/>
                <w:szCs w:val="20"/>
                <w:color w:val="auto"/>
              </w:rPr>
            </w:pPr>
          </w:p>
        </w:tc>
        <w:tc>
          <w:tcPr>
            <w:tcW w:w="24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r>
      <w:tr>
        <w:trPr>
          <w:trHeight w:val="426"/>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320" w:type="dxa"/>
            <w:vAlign w:val="bottom"/>
          </w:tcPr>
          <w:p>
            <w:pPr>
              <w:spacing w:after="0"/>
              <w:rPr>
                <w:sz w:val="24"/>
                <w:szCs w:val="24"/>
                <w:color w:val="auto"/>
              </w:rPr>
            </w:pPr>
          </w:p>
        </w:tc>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Chief Executive Officer and Director</w:t>
            </w:r>
          </w:p>
        </w:tc>
        <w:tc>
          <w:tcPr>
            <w:tcW w:w="3600" w:type="dxa"/>
            <w:vAlign w:val="bottom"/>
            <w:gridSpan w:val="2"/>
          </w:tcPr>
          <w:p>
            <w:pPr>
              <w:ind w:left="1340"/>
              <w:spacing w:after="0"/>
              <w:rPr>
                <w:sz w:val="20"/>
                <w:szCs w:val="20"/>
                <w:color w:val="auto"/>
              </w:rPr>
            </w:pPr>
            <w:r>
              <w:rPr>
                <w:rFonts w:ascii="Arial" w:cs="Arial" w:eastAsia="Arial" w:hAnsi="Arial"/>
                <w:sz w:val="18"/>
                <w:szCs w:val="18"/>
                <w:color w:val="auto"/>
              </w:rPr>
              <w:t>March 30, 2020</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Robert B. Jones</w:t>
            </w:r>
          </w:p>
        </w:tc>
        <w:tc>
          <w:tcPr>
            <w:tcW w:w="320" w:type="dxa"/>
            <w:vAlign w:val="bottom"/>
          </w:tcPr>
          <w:p>
            <w:pPr>
              <w:spacing w:after="0"/>
              <w:rPr>
                <w:sz w:val="19"/>
                <w:szCs w:val="19"/>
                <w:color w:val="auto"/>
              </w:rPr>
            </w:pPr>
          </w:p>
        </w:tc>
        <w:tc>
          <w:tcPr>
            <w:tcW w:w="48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320" w:type="dxa"/>
            <w:vAlign w:val="bottom"/>
          </w:tcPr>
          <w:p>
            <w:pPr>
              <w:spacing w:after="0"/>
              <w:rPr>
                <w:sz w:val="24"/>
                <w:szCs w:val="24"/>
                <w:color w:val="auto"/>
              </w:rPr>
            </w:pPr>
          </w:p>
        </w:tc>
        <w:tc>
          <w:tcPr>
            <w:tcW w:w="48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Senior Vice President and Chief Financial Officer</w:t>
            </w:r>
          </w:p>
        </w:tc>
        <w:tc>
          <w:tcPr>
            <w:tcW w:w="3600" w:type="dxa"/>
            <w:vAlign w:val="bottom"/>
            <w:gridSpan w:val="2"/>
          </w:tcPr>
          <w:p>
            <w:pPr>
              <w:ind w:left="1340"/>
              <w:spacing w:after="0"/>
              <w:rPr>
                <w:sz w:val="20"/>
                <w:szCs w:val="20"/>
                <w:color w:val="auto"/>
              </w:rPr>
            </w:pPr>
            <w:r>
              <w:rPr>
                <w:rFonts w:ascii="Arial" w:cs="Arial" w:eastAsia="Arial" w:hAnsi="Arial"/>
                <w:sz w:val="18"/>
                <w:szCs w:val="18"/>
                <w:color w:val="auto"/>
              </w:rPr>
              <w:t>March 30, 2020</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Peter A. Clemens</w:t>
            </w:r>
          </w:p>
        </w:tc>
        <w:tc>
          <w:tcPr>
            <w:tcW w:w="320" w:type="dxa"/>
            <w:vAlign w:val="bottom"/>
          </w:tcPr>
          <w:p>
            <w:pPr>
              <w:spacing w:after="0"/>
              <w:rPr>
                <w:sz w:val="19"/>
                <w:szCs w:val="19"/>
                <w:color w:val="auto"/>
              </w:rPr>
            </w:pPr>
          </w:p>
        </w:tc>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Financial and Accounting Officer)</w:t>
            </w:r>
          </w:p>
        </w:tc>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 Ross</w:t>
            </w:r>
          </w:p>
        </w:tc>
        <w:tc>
          <w:tcPr>
            <w:tcW w:w="320" w:type="dxa"/>
            <w:vAlign w:val="bottom"/>
          </w:tcPr>
          <w:p>
            <w:pPr>
              <w:spacing w:after="0"/>
              <w:rPr>
                <w:sz w:val="24"/>
                <w:szCs w:val="24"/>
                <w:color w:val="auto"/>
              </w:rPr>
            </w:pPr>
          </w:p>
        </w:tc>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3600" w:type="dxa"/>
            <w:vAlign w:val="bottom"/>
            <w:gridSpan w:val="2"/>
          </w:tcPr>
          <w:p>
            <w:pPr>
              <w:ind w:left="1340"/>
              <w:spacing w:after="0"/>
              <w:rPr>
                <w:sz w:val="20"/>
                <w:szCs w:val="20"/>
                <w:color w:val="auto"/>
              </w:rPr>
            </w:pPr>
            <w:r>
              <w:rPr>
                <w:rFonts w:ascii="Arial" w:cs="Arial" w:eastAsia="Arial" w:hAnsi="Arial"/>
                <w:sz w:val="18"/>
                <w:szCs w:val="18"/>
                <w:color w:val="auto"/>
              </w:rPr>
              <w:t>March 30, 2020</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George K. Ross</w:t>
            </w:r>
          </w:p>
        </w:tc>
        <w:tc>
          <w:tcPr>
            <w:tcW w:w="3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Skelly</w:t>
            </w:r>
          </w:p>
        </w:tc>
        <w:tc>
          <w:tcPr>
            <w:tcW w:w="320" w:type="dxa"/>
            <w:vAlign w:val="bottom"/>
          </w:tcPr>
          <w:p>
            <w:pPr>
              <w:spacing w:after="0"/>
              <w:rPr>
                <w:sz w:val="24"/>
                <w:szCs w:val="24"/>
                <w:color w:val="auto"/>
              </w:rPr>
            </w:pPr>
          </w:p>
        </w:tc>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3600" w:type="dxa"/>
            <w:vAlign w:val="bottom"/>
            <w:gridSpan w:val="2"/>
          </w:tcPr>
          <w:p>
            <w:pPr>
              <w:ind w:left="1340"/>
              <w:spacing w:after="0"/>
              <w:rPr>
                <w:sz w:val="20"/>
                <w:szCs w:val="20"/>
                <w:color w:val="auto"/>
              </w:rPr>
            </w:pPr>
            <w:r>
              <w:rPr>
                <w:rFonts w:ascii="Arial" w:cs="Arial" w:eastAsia="Arial" w:hAnsi="Arial"/>
                <w:sz w:val="18"/>
                <w:szCs w:val="18"/>
                <w:color w:val="auto"/>
              </w:rPr>
              <w:t>March 30, 2020</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William G. Skelly</w:t>
            </w:r>
          </w:p>
        </w:tc>
        <w:tc>
          <w:tcPr>
            <w:tcW w:w="3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Immanuel Thangaraj</w:t>
            </w:r>
          </w:p>
        </w:tc>
        <w:tc>
          <w:tcPr>
            <w:tcW w:w="320" w:type="dxa"/>
            <w:vAlign w:val="bottom"/>
          </w:tcPr>
          <w:p>
            <w:pPr>
              <w:spacing w:after="0"/>
              <w:rPr>
                <w:sz w:val="24"/>
                <w:szCs w:val="24"/>
                <w:color w:val="auto"/>
              </w:rPr>
            </w:pPr>
          </w:p>
        </w:tc>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3600" w:type="dxa"/>
            <w:vAlign w:val="bottom"/>
            <w:gridSpan w:val="2"/>
          </w:tcPr>
          <w:p>
            <w:pPr>
              <w:ind w:left="1340"/>
              <w:spacing w:after="0"/>
              <w:rPr>
                <w:sz w:val="20"/>
                <w:szCs w:val="20"/>
                <w:color w:val="auto"/>
              </w:rPr>
            </w:pPr>
            <w:r>
              <w:rPr>
                <w:rFonts w:ascii="Arial" w:cs="Arial" w:eastAsia="Arial" w:hAnsi="Arial"/>
                <w:sz w:val="18"/>
                <w:szCs w:val="18"/>
                <w:color w:val="auto"/>
              </w:rPr>
              <w:t>March 30, 2020</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Immanuel Thangaraj</w:t>
            </w:r>
          </w:p>
        </w:tc>
        <w:tc>
          <w:tcPr>
            <w:tcW w:w="3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F Wesson</w:t>
            </w:r>
          </w:p>
        </w:tc>
        <w:tc>
          <w:tcPr>
            <w:tcW w:w="320" w:type="dxa"/>
            <w:vAlign w:val="bottom"/>
          </w:tcPr>
          <w:p>
            <w:pPr>
              <w:spacing w:after="0"/>
              <w:rPr>
                <w:sz w:val="24"/>
                <w:szCs w:val="24"/>
                <w:color w:val="auto"/>
              </w:rPr>
            </w:pPr>
          </w:p>
        </w:tc>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3600" w:type="dxa"/>
            <w:vAlign w:val="bottom"/>
            <w:gridSpan w:val="2"/>
          </w:tcPr>
          <w:p>
            <w:pPr>
              <w:ind w:left="1340"/>
              <w:spacing w:after="0"/>
              <w:rPr>
                <w:sz w:val="20"/>
                <w:szCs w:val="20"/>
                <w:color w:val="auto"/>
              </w:rPr>
            </w:pPr>
            <w:r>
              <w:rPr>
                <w:rFonts w:ascii="Arial" w:cs="Arial" w:eastAsia="Arial" w:hAnsi="Arial"/>
                <w:sz w:val="18"/>
                <w:szCs w:val="18"/>
                <w:color w:val="auto"/>
              </w:rPr>
              <w:t>March 30, 2020</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Bruce F. Wesson</w:t>
            </w:r>
          </w:p>
        </w:tc>
        <w:tc>
          <w:tcPr>
            <w:tcW w:w="3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34"/>
        </w:trPr>
        <w:tc>
          <w:tcPr>
            <w:tcW w:w="2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40" w:type="dxa"/>
            <w:vAlign w:val="bottom"/>
            <w:gridSpan w:val="14"/>
          </w:tcPr>
          <w:p>
            <w:pPr>
              <w:ind w:left="1140"/>
              <w:spacing w:after="0"/>
              <w:rPr>
                <w:sz w:val="20"/>
                <w:szCs w:val="20"/>
                <w:color w:val="auto"/>
              </w:rPr>
            </w:pPr>
            <w:r>
              <w:rPr>
                <w:rFonts w:ascii="Arial" w:cs="Arial" w:eastAsia="Arial" w:hAnsi="Arial"/>
                <w:sz w:val="18"/>
                <w:szCs w:val="18"/>
                <w:b w:val="1"/>
                <w:bCs w:val="1"/>
                <w:color w:val="auto"/>
              </w:rPr>
              <w:t>ACURA PHARMACEUTICALS, INC.</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40" w:type="dxa"/>
            <w:vAlign w:val="bottom"/>
            <w:gridSpan w:val="11"/>
          </w:tcPr>
          <w:p>
            <w:pPr>
              <w:jc w:val="center"/>
              <w:ind w:right="4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11240" w:type="dxa"/>
            <w:vAlign w:val="bottom"/>
            <w:gridSpan w:val="22"/>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c>
          <w:tcPr>
            <w:tcW w:w="0" w:type="dxa"/>
            <w:vAlign w:val="bottom"/>
          </w:tcPr>
          <w:p>
            <w:pPr>
              <w:spacing w:after="0"/>
              <w:rPr>
                <w:sz w:val="1"/>
                <w:szCs w:val="1"/>
                <w:color w:val="auto"/>
              </w:rPr>
            </w:pPr>
          </w:p>
        </w:tc>
      </w:tr>
      <w:tr>
        <w:trPr>
          <w:trHeight w:val="391"/>
        </w:trPr>
        <w:tc>
          <w:tcPr>
            <w:tcW w:w="1700" w:type="dxa"/>
            <w:vAlign w:val="bottom"/>
            <w:gridSpan w:val="5"/>
          </w:tcPr>
          <w:p>
            <w:pPr>
              <w:spacing w:after="0"/>
              <w:rPr>
                <w:sz w:val="20"/>
                <w:szCs w:val="20"/>
                <w:color w:val="auto"/>
              </w:rPr>
            </w:pPr>
            <w:r>
              <w:rPr>
                <w:rFonts w:ascii="Arial" w:cs="Arial" w:eastAsia="Arial" w:hAnsi="Arial"/>
                <w:sz w:val="18"/>
                <w:szCs w:val="18"/>
                <w:b w:val="1"/>
                <w:bCs w:val="1"/>
                <w:color w:val="auto"/>
              </w:rPr>
              <w:t>Exhibit Number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gridSpan w:val="9"/>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vMerge w:val="restart"/>
          </w:tcPr>
          <w:p>
            <w:pPr>
              <w:ind w:left="180"/>
              <w:spacing w:after="0"/>
              <w:rPr>
                <w:rFonts w:ascii="Arial" w:cs="Arial" w:eastAsia="Arial" w:hAnsi="Arial"/>
                <w:sz w:val="18"/>
                <w:szCs w:val="18"/>
                <w:color w:val="0000EE"/>
                <w:w w:val="87"/>
              </w:rPr>
            </w:pPr>
            <w:hyperlink r:id="rId98">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Placement Agency Agreement dated June 30, 2015 between Roth Capital Partners LLC and the Registrant (incorporated by</w:t>
              </w:r>
            </w:hyperlink>
          </w:p>
        </w:tc>
        <w:tc>
          <w:tcPr>
            <w:tcW w:w="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540" w:type="dxa"/>
            <w:vAlign w:val="bottom"/>
            <w:gridSpan w:val="17"/>
            <w:vMerge w:val="restart"/>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reference to Exhibit 1.1 to our Form 8-K filed July 1, 2015)</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54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9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Restated Certificate of Incorporation of the Registrant (incorporated by reference to Exhibit 3.1 to the Registrant’s Form 8-K filed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on June 25, 2009).</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10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Certificate of Amendment Reverse Splitting Common Stock and restating but not changing text of part of Article III of Restated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Certificate of Incorporation (incorporated by Reference to Exhibit 3.1 to the Form 8-K filed December 4, 2007).</w:t>
              </w:r>
            </w:hyperlink>
          </w:p>
        </w:tc>
        <w:tc>
          <w:tcPr>
            <w:tcW w:w="1460" w:type="dxa"/>
            <w:vAlign w:val="bottom"/>
            <w:tcBorders>
              <w:top w:val="single" w:sz="8" w:color="0000EE"/>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10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5"/>
              </w:rPr>
            </w:pPr>
            <w:hyperlink r:id="rId101">
              <w:r>
                <w:rPr>
                  <w:rFonts w:ascii="Arial" w:cs="Arial" w:eastAsia="Arial" w:hAnsi="Arial"/>
                  <w:sz w:val="18"/>
                  <w:szCs w:val="18"/>
                  <w:color w:val="0000EE"/>
                  <w:w w:val="95"/>
                </w:rPr>
                <w:t>Certificate of Amendment Reverse Splitting Common Stock and restating but not changing text of part of Article III of Restated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Certificate of Incorporation (incorporated by Reference to Exhibit 3.1 to the Form 8-K filed August 27, 2015).</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87"/>
              </w:rPr>
            </w:pPr>
            <w:hyperlink r:id="rId10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rPr>
            </w:pPr>
            <w:hyperlink r:id="rId102">
              <w:r>
                <w:rPr>
                  <w:rFonts w:ascii="Arial" w:cs="Arial" w:eastAsia="Arial" w:hAnsi="Arial"/>
                  <w:sz w:val="18"/>
                  <w:szCs w:val="18"/>
                  <w:color w:val="0000EE"/>
                </w:rPr>
                <w:t>Restated Bylaws of the Registrant (incorporated by reference to Exhibit 3.2 to the Form 8-K filed on May 14, 2018).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2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0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00" w:type="dxa"/>
            <w:vAlign w:val="bottom"/>
            <w:tcBorders>
              <w:bottom w:val="single" w:sz="8" w:color="0000EE"/>
            </w:tcBorders>
            <w:gridSpan w:val="14"/>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Common Stock Certificate(incorporated by Reference to Exhibit 4.1 to the Form S-3 filed on March 9, 2016)</w:t>
              </w:r>
            </w:hyperlink>
          </w:p>
        </w:tc>
        <w:tc>
          <w:tcPr>
            <w:tcW w:w="1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10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Amended and Restated Warrant A-1 issued to Oxford Finance LLC on January 7, 2015 (incorporated by reference to Exhibit 10.9 to</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our Form 10-K filed March 2, 2015).</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10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Amended and Restated Warrant A-2 issued to Oxford Finance LLC on January 7, 2015 (incorporated by reference to Exhibit 10.10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to our Form 10-K filed March 2, 2015).</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10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Warrant A-3 issued to Oxford Finance LLC on January 7, 2015 (incorporated by reference to Exhibit 10.11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to our Form 10-K filed March 2, 2015).</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2"/>
          </w:tcPr>
          <w:p>
            <w:pPr>
              <w:ind w:left="180"/>
              <w:spacing w:after="0"/>
              <w:rPr>
                <w:rFonts w:ascii="Arial" w:cs="Arial" w:eastAsia="Arial" w:hAnsi="Arial"/>
                <w:sz w:val="18"/>
                <w:szCs w:val="18"/>
                <w:color w:val="0000EE"/>
                <w:w w:val="87"/>
              </w:rPr>
            </w:pPr>
            <w:hyperlink r:id="rId10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Form of Common Stock Warrant issued to John Schutte on July 24, 2017 (incorporated by reference Exhibit 4.1 to our Form 8-K</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filed July 28, 2017)</w:t>
              </w:r>
            </w:hyperlink>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4"/>
          </w:tcPr>
          <w:p>
            <w:pPr>
              <w:ind w:left="180"/>
              <w:spacing w:after="0"/>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Manufacturing Services Agreement dated as of July 19, 2011 between the Registrant and Patheon Pharmaceuticals Inc.</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(incorporated by reference to Exhibit 10.1 to our Form 8-K filed July 27, 2011) (confidential treatment has been granted for portions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of this Exhibit).</w:t>
              </w:r>
            </w:hyperlink>
          </w:p>
        </w:tc>
        <w:tc>
          <w:tcPr>
            <w:tcW w:w="0" w:type="dxa"/>
            <w:vAlign w:val="bottom"/>
          </w:tcPr>
          <w:p>
            <w:pPr>
              <w:spacing w:after="0"/>
              <w:rPr>
                <w:sz w:val="1"/>
                <w:szCs w:val="1"/>
                <w:color w:val="auto"/>
              </w:rPr>
            </w:pPr>
          </w:p>
        </w:tc>
      </w:tr>
      <w:tr>
        <w:trPr>
          <w:trHeight w:val="20"/>
        </w:trPr>
        <w:tc>
          <w:tcPr>
            <w:tcW w:w="12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4"/>
          </w:tcPr>
          <w:p>
            <w:pPr>
              <w:ind w:left="180"/>
              <w:spacing w:after="0"/>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Securities Purchase Agreement dated as of August 20, 2007 (“PIPE SPA”) among the Registrant, Vivo Ventures Fund VI, L.P., Vivo</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Ventures VI Affiliates Fund, L.P., GCE Holdings LLC, and certain other signatories thereto (incorporated by reference to Exhibit</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Form 8-K filed on August 21,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4"/>
          </w:tcPr>
          <w:p>
            <w:pPr>
              <w:ind w:left="180"/>
              <w:spacing w:after="0"/>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4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Subscription Agreement dated as of July 24, 2017 between the Registrant and John Schutte (incorporated by reference to Exhibit</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Form 8-K filed July 28, 2017)</w:t>
              </w:r>
            </w:hyperlink>
          </w:p>
        </w:tc>
        <w:tc>
          <w:tcPr>
            <w:tcW w:w="0" w:type="dxa"/>
            <w:vAlign w:val="bottom"/>
          </w:tcPr>
          <w:p>
            <w:pPr>
              <w:spacing w:after="0"/>
              <w:rPr>
                <w:sz w:val="1"/>
                <w:szCs w:val="1"/>
                <w:color w:val="auto"/>
              </w:rPr>
            </w:pPr>
          </w:p>
        </w:tc>
      </w:tr>
      <w:tr>
        <w:trPr>
          <w:trHeight w:val="668"/>
        </w:trPr>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10"/>
          </w:tcPr>
          <w:p>
            <w:pPr>
              <w:jc w:val="center"/>
              <w:ind w:right="5140"/>
              <w:spacing w:after="0"/>
              <w:rPr>
                <w:sz w:val="20"/>
                <w:szCs w:val="20"/>
                <w:color w:val="auto"/>
              </w:rPr>
            </w:pPr>
            <w:r>
              <w:rPr>
                <w:rFonts w:ascii="Arial" w:cs="Arial" w:eastAsia="Arial" w:hAnsi="Arial"/>
                <w:sz w:val="18"/>
                <w:szCs w:val="18"/>
                <w:color w:val="auto"/>
                <w:w w:val="92"/>
              </w:rPr>
              <w:t>E-1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6"/>
          </w:tcPr>
          <w:p>
            <w:pPr>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gridSpan w:val="9"/>
          </w:tcPr>
          <w:p>
            <w:pPr>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ind w:left="180"/>
              <w:spacing w:after="0"/>
              <w:rPr>
                <w:rFonts w:ascii="Arial" w:cs="Arial" w:eastAsia="Arial" w:hAnsi="Arial"/>
                <w:sz w:val="18"/>
                <w:szCs w:val="18"/>
                <w:color w:val="0000EE"/>
                <w:w w:val="85"/>
              </w:rPr>
            </w:pPr>
            <w:hyperlink r:id="rId11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6"/>
              </w:rPr>
            </w:pPr>
            <w:hyperlink r:id="rId111">
              <w:r>
                <w:rPr>
                  <w:rFonts w:ascii="Arial" w:cs="Arial" w:eastAsia="Arial" w:hAnsi="Arial"/>
                  <w:sz w:val="18"/>
                  <w:szCs w:val="18"/>
                  <w:color w:val="0000EE"/>
                  <w:w w:val="96"/>
                </w:rPr>
                <w:t>Loan and Security Agreement dated as of December 27, 2013 between Acura Pharmaceuticals, Inc., Acura Pharmaceutical</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111">
              <w:r>
                <w:rPr>
                  <w:rFonts w:ascii="Arial" w:cs="Arial" w:eastAsia="Arial" w:hAnsi="Arial"/>
                  <w:sz w:val="18"/>
                  <w:szCs w:val="18"/>
                  <w:color w:val="0000EE"/>
                  <w:w w:val="95"/>
                </w:rPr>
                <w:t>Technologies, Inc., and Oxford Finance LLC (incorporated by reference to Exhibit 10.6 to the Form 10-K filed March 3, 2014).</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ind w:left="180"/>
              <w:spacing w:after="0"/>
              <w:rPr>
                <w:rFonts w:ascii="Arial" w:cs="Arial" w:eastAsia="Arial" w:hAnsi="Arial"/>
                <w:sz w:val="18"/>
                <w:szCs w:val="18"/>
                <w:color w:val="0000EE"/>
                <w:w w:val="85"/>
              </w:rPr>
            </w:pPr>
            <w:hyperlink r:id="rId11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First Amendment to Loan and Security Agreement entered into as of January 7, 2015 between Oxford Finance LLC, the Registrant</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and Acura Pharmaceutical Technologies, Inc. (incorporated by reference to Exhibit 10.8 to our Form 10-K filed March 2, 2015).</w:t>
              </w:r>
            </w:hyperlink>
          </w:p>
        </w:tc>
        <w:tc>
          <w:tcPr>
            <w:tcW w:w="300" w:type="dxa"/>
            <w:vAlign w:val="bottom"/>
            <w:tcBorders>
              <w:top w:val="single" w:sz="8" w:color="0000EE"/>
            </w:tcBorders>
            <w:gridSpan w:val="2"/>
          </w:tcPr>
          <w:p>
            <w:pPr>
              <w:spacing w:after="0"/>
              <w:rPr>
                <w:sz w:val="17"/>
                <w:szCs w:val="17"/>
                <w:color w:val="auto"/>
              </w:rPr>
            </w:pPr>
          </w:p>
        </w:tc>
      </w:tr>
      <w:tr>
        <w:trPr>
          <w:trHeight w:val="412"/>
        </w:trPr>
        <w:tc>
          <w:tcPr>
            <w:tcW w:w="500" w:type="dxa"/>
            <w:vAlign w:val="bottom"/>
            <w:gridSpan w:val="2"/>
          </w:tcPr>
          <w:p>
            <w:pPr>
              <w:ind w:left="180"/>
              <w:spacing w:after="0"/>
              <w:rPr>
                <w:rFonts w:ascii="Arial" w:cs="Arial" w:eastAsia="Arial" w:hAnsi="Arial"/>
                <w:sz w:val="18"/>
                <w:szCs w:val="18"/>
                <w:color w:val="0000EE"/>
                <w:w w:val="85"/>
              </w:rPr>
            </w:pPr>
            <w:hyperlink r:id="rId11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6"/>
              </w:rPr>
            </w:pPr>
            <w:hyperlink r:id="rId113">
              <w:r>
                <w:rPr>
                  <w:rFonts w:ascii="Arial" w:cs="Arial" w:eastAsia="Arial" w:hAnsi="Arial"/>
                  <w:sz w:val="18"/>
                  <w:szCs w:val="18"/>
                  <w:color w:val="0000EE"/>
                  <w:w w:val="96"/>
                </w:rPr>
                <w:t>Second Amendment to Loan and Security Agreement entered into as of October 13, 2016 between Oxford Finance LLC, the</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Registrant and Acura Pharmaceutical Technologies, Inc. (incorporated by reference to Exhibit 10.6 to the Registration Statement on</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Form S-1 filed February 3, 2017, File No. 333-215885)</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5"/>
              </w:rPr>
            </w:pPr>
            <w:hyperlink r:id="rId11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Form of Mortgage dated December 27, 2013 (incorporated by reference to Exhibit 10.8 to the Form 10-K filed March 3, 2014).</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1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Collaboration and License Agreement entered into as of January 7, 2015 between the Registrant, Egalet US, Inc., Egalet Limited</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and with respect to Section 17.21, Egalet Corporation (certain information has been omitted and filed separately with the Securities</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and Exchange Commission and confidential treatment has been granted with respect to the omitted portion) (incorporated by</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reference to Exhibit 10.13 to the Form 10-K for the year ending December 31, 2014, filed March 2, 2015).</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ind w:left="180"/>
              <w:spacing w:after="0"/>
              <w:rPr>
                <w:rFonts w:ascii="Arial" w:cs="Arial" w:eastAsia="Arial" w:hAnsi="Arial"/>
                <w:sz w:val="18"/>
                <w:szCs w:val="18"/>
                <w:color w:val="0000EE"/>
                <w:w w:val="85"/>
              </w:rPr>
            </w:pPr>
            <w:hyperlink r:id="rId11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7"/>
              </w:rPr>
            </w:pPr>
            <w:hyperlink r:id="rId116">
              <w:r>
                <w:rPr>
                  <w:rFonts w:ascii="Arial" w:cs="Arial" w:eastAsia="Arial" w:hAnsi="Arial"/>
                  <w:sz w:val="18"/>
                  <w:szCs w:val="18"/>
                  <w:color w:val="0000EE"/>
                  <w:w w:val="97"/>
                </w:rPr>
                <w:t>License and Development Agreement dated as of June 5, 2015 between the Registrant and Bayer HealthCare LLC (certain</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information has been omitted and filed separately with the Securities and Exchange Commission and confidential treatment has</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been granted with respect to the omitted portion) (incorporated by reference to Exhibit 10.1 to our Form 10-Q/A filed February 16,</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6">
              <w:r>
                <w:rPr>
                  <w:rFonts w:ascii="Arial" w:cs="Arial" w:eastAsia="Arial" w:hAnsi="Arial"/>
                  <w:sz w:val="18"/>
                  <w:szCs w:val="18"/>
                  <w:color w:val="0000EE"/>
                  <w:w w:val="86"/>
                </w:rPr>
                <w:t>2016).</w:t>
              </w:r>
            </w:hyperlink>
          </w:p>
        </w:tc>
        <w:tc>
          <w:tcPr>
            <w:tcW w:w="3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60" w:type="dxa"/>
            <w:vAlign w:val="bottom"/>
            <w:gridSpan w:val="5"/>
          </w:tcPr>
          <w:p>
            <w:pPr>
              <w:ind w:left="180"/>
              <w:spacing w:after="0"/>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3"/>
              </w:rPr>
            </w:pPr>
            <w:hyperlink r:id="rId117">
              <w:r>
                <w:rPr>
                  <w:rFonts w:ascii="Arial" w:cs="Arial" w:eastAsia="Arial" w:hAnsi="Arial"/>
                  <w:sz w:val="18"/>
                  <w:szCs w:val="18"/>
                  <w:color w:val="0000EE"/>
                  <w:w w:val="93"/>
                </w:rPr>
                <w:t>Amended and Restated Voting Agreement dated as of February 6, 2004 among the Registrant, Care Capital Investments II, LP,</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Essex Woodlands Health Ventures V, L.P., Galen Partners III, L.P., and others (incorporated by reference to Exhibit 10.5 of the Form</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8-K filed on February 10, 2004 (the “February 2004 Form 8-K”)).</w:t>
              </w:r>
            </w:hyperlink>
          </w:p>
        </w:tc>
        <w:tc>
          <w:tcPr>
            <w:tcW w:w="4780" w:type="dxa"/>
            <w:vAlign w:val="bottom"/>
            <w:gridSpan w:val="8"/>
          </w:tcPr>
          <w:p>
            <w:pPr>
              <w:spacing w:after="0"/>
              <w:rPr>
                <w:sz w:val="17"/>
                <w:szCs w:val="17"/>
                <w:color w:val="auto"/>
              </w:rPr>
            </w:pPr>
          </w:p>
        </w:tc>
      </w:tr>
      <w:tr>
        <w:trPr>
          <w:trHeight w:val="412"/>
        </w:trPr>
        <w:tc>
          <w:tcPr>
            <w:tcW w:w="600" w:type="dxa"/>
            <w:vAlign w:val="bottom"/>
            <w:gridSpan w:val="4"/>
          </w:tcPr>
          <w:p>
            <w:pPr>
              <w:ind w:left="180"/>
              <w:spacing w:after="0"/>
              <w:rPr>
                <w:rFonts w:ascii="Arial" w:cs="Arial" w:eastAsia="Arial" w:hAnsi="Arial"/>
                <w:sz w:val="18"/>
                <w:szCs w:val="18"/>
                <w:color w:val="0000EE"/>
                <w:w w:val="88"/>
              </w:rPr>
            </w:pPr>
            <w:hyperlink r:id="rId11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5"/>
              </w:rPr>
            </w:pPr>
            <w:hyperlink r:id="rId118">
              <w:r>
                <w:rPr>
                  <w:rFonts w:ascii="Arial" w:cs="Arial" w:eastAsia="Arial" w:hAnsi="Arial"/>
                  <w:sz w:val="18"/>
                  <w:szCs w:val="18"/>
                  <w:color w:val="0000EE"/>
                  <w:w w:val="95"/>
                </w:rPr>
                <w:t>Joinder and Amendment to Amended and Restated Voting Agreement dated November 9, 2005 between the Registrant, GCE</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Holdings, Essex Woodlands Health Ventures V, L.P., Care Capital Investments II, LP, Galen Partners III, L.P. and others</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(incorporated by reference to Exhibit 10.1 to the Form 8-K filed November 10, 2005).</w:t>
              </w:r>
            </w:hyperlink>
          </w:p>
        </w:tc>
        <w:tc>
          <w:tcPr>
            <w:tcW w:w="3340" w:type="dxa"/>
            <w:vAlign w:val="bottom"/>
            <w:gridSpan w:val="6"/>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gridSpan w:val="3"/>
          </w:tcPr>
          <w:p>
            <w:pPr>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Second Amendment to Amended and Restated Voting Agreement dated as of January 24, 2008 between the Registrant and GCE</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Holdings, LLC (incorporated by reference to Exhibit 10.1 to the Form 8-K filed January 28, 2008).</w:t>
              </w:r>
            </w:hyperlink>
          </w:p>
        </w:tc>
        <w:tc>
          <w:tcPr>
            <w:tcW w:w="20" w:type="dxa"/>
            <w:vAlign w:val="bottom"/>
          </w:tcPr>
          <w:p>
            <w:pPr>
              <w:spacing w:after="0"/>
              <w:rPr>
                <w:sz w:val="17"/>
                <w:szCs w:val="17"/>
                <w:color w:val="auto"/>
              </w:rPr>
            </w:pPr>
          </w:p>
        </w:tc>
      </w:tr>
      <w:tr>
        <w:trPr>
          <w:trHeight w:val="20"/>
        </w:trPr>
        <w:tc>
          <w:tcPr>
            <w:tcW w:w="12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r>
      <w:tr>
        <w:trPr>
          <w:trHeight w:val="412"/>
        </w:trPr>
        <w:tc>
          <w:tcPr>
            <w:tcW w:w="1260" w:type="dxa"/>
            <w:vAlign w:val="bottom"/>
            <w:gridSpan w:val="5"/>
          </w:tcPr>
          <w:p>
            <w:pPr>
              <w:ind w:left="180"/>
              <w:spacing w:after="0"/>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Third Amendment to Amended and Restated Voting Agreement dated as of October 1, 2012 between the Registrant, Care Capital</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Investments II, LP, Essex Woodlands Health Ventures V, L.P., Galen Partners III, L.P., and others (incorporated by reference to</w:t>
              </w:r>
            </w:hyperlink>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Exhibit 10.1 of the Form 8-K filed on October 3, 2012).</w:t>
              </w:r>
            </w:hyperlink>
          </w:p>
        </w:tc>
        <w:tc>
          <w:tcPr>
            <w:tcW w:w="5500" w:type="dxa"/>
            <w:vAlign w:val="bottom"/>
            <w:gridSpan w:val="9"/>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gridSpan w:val="3"/>
          </w:tcPr>
          <w:p>
            <w:pPr>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Second Amended and Restated Voting Agreement executed July 2017 and dated as of July 24, 2017 (incorporated by reference to</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Exhibit 10.1 to the 8-K dated filed August 1, 2017)</w:t>
              </w:r>
            </w:hyperlink>
          </w:p>
        </w:tc>
        <w:tc>
          <w:tcPr>
            <w:tcW w:w="20" w:type="dxa"/>
            <w:vAlign w:val="bottom"/>
          </w:tcPr>
          <w:p>
            <w:pPr>
              <w:spacing w:after="0"/>
              <w:rPr>
                <w:sz w:val="17"/>
                <w:szCs w:val="17"/>
                <w:color w:val="auto"/>
              </w:rPr>
            </w:pPr>
          </w:p>
        </w:tc>
      </w:tr>
      <w:tr>
        <w:trPr>
          <w:trHeight w:val="668"/>
        </w:trPr>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220" w:type="dxa"/>
            <w:vAlign w:val="bottom"/>
            <w:tcBorders>
              <w:top w:val="single" w:sz="8" w:color="0000EE"/>
              <w:bottom w:val="single" w:sz="8" w:color="auto"/>
            </w:tcBorders>
          </w:tcPr>
          <w:p>
            <w:pPr>
              <w:spacing w:after="0"/>
              <w:rPr>
                <w:sz w:val="24"/>
                <w:szCs w:val="24"/>
                <w:color w:val="auto"/>
              </w:rPr>
            </w:pPr>
          </w:p>
        </w:tc>
        <w:tc>
          <w:tcPr>
            <w:tcW w:w="5860" w:type="dxa"/>
            <w:vAlign w:val="bottom"/>
            <w:tcBorders>
              <w:bottom w:val="single" w:sz="8" w:color="auto"/>
            </w:tcBorders>
            <w:gridSpan w:val="11"/>
          </w:tcPr>
          <w:p>
            <w:pPr>
              <w:ind w:left="10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240"/>
          </w:cols>
          <w:pgMar w:left="320" w:top="891"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5"/>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80" w:type="dxa"/>
            <w:vAlign w:val="bottom"/>
          </w:tcPr>
          <w:p>
            <w:pPr>
              <w:spacing w:after="0"/>
              <w:rPr>
                <w:sz w:val="24"/>
                <w:szCs w:val="24"/>
                <w:color w:val="auto"/>
              </w:rPr>
            </w:pPr>
          </w:p>
        </w:tc>
        <w:tc>
          <w:tcPr>
            <w:tcW w:w="1080" w:type="dxa"/>
            <w:vAlign w:val="bottom"/>
            <w:gridSpan w:val="2"/>
            <w:vMerge w:val="restart"/>
          </w:tcPr>
          <w:p>
            <w:pPr>
              <w:spacing w:after="0"/>
              <w:rPr>
                <w:rFonts w:ascii="Arial" w:cs="Arial" w:eastAsia="Arial" w:hAnsi="Arial"/>
                <w:sz w:val="18"/>
                <w:szCs w:val="18"/>
                <w:color w:val="0000EE"/>
              </w:rPr>
            </w:pPr>
            <w:hyperlink r:id="rId122">
              <w:r>
                <w:rPr>
                  <w:rFonts w:ascii="Arial" w:cs="Arial" w:eastAsia="Arial" w:hAnsi="Arial"/>
                  <w:sz w:val="18"/>
                  <w:szCs w:val="18"/>
                  <w:color w:val="0000EE"/>
                </w:rPr>
                <w:t>†10.15</w:t>
              </w:r>
            </w:hyperlink>
          </w:p>
        </w:tc>
        <w:tc>
          <w:tcPr>
            <w:tcW w:w="440" w:type="dxa"/>
            <w:vAlign w:val="bottom"/>
            <w:vMerge w:val="restart"/>
          </w:tcPr>
          <w:p>
            <w:pPr>
              <w:spacing w:after="0"/>
              <w:rPr>
                <w:sz w:val="24"/>
                <w:szCs w:val="24"/>
                <w:color w:val="auto"/>
              </w:rPr>
            </w:pPr>
          </w:p>
        </w:tc>
        <w:tc>
          <w:tcPr>
            <w:tcW w:w="9540" w:type="dxa"/>
            <w:vAlign w:val="bottom"/>
            <w:tcBorders>
              <w:bottom w:val="single" w:sz="8" w:color="0000EE"/>
            </w:tcBorders>
            <w:gridSpan w:val="22"/>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Registrant’s 1998 Stock Option Plan, as amended (incorporated by reference to Appendix C to the Registrant’s Proxy Statement</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540" w:type="dxa"/>
            <w:vAlign w:val="bottom"/>
            <w:gridSpan w:val="22"/>
            <w:vMerge w:val="restart"/>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filed on May 12, 2009).</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540" w:type="dxa"/>
            <w:vAlign w:val="bottom"/>
            <w:gridSpan w:val="2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3">
              <w:r>
                <w:rPr>
                  <w:rFonts w:ascii="Arial" w:cs="Arial" w:eastAsia="Arial" w:hAnsi="Arial"/>
                  <w:sz w:val="18"/>
                  <w:szCs w:val="18"/>
                  <w:color w:val="0000EE"/>
                </w:rPr>
                <w:t>†10.16</w:t>
              </w:r>
            </w:hyperlink>
          </w:p>
        </w:tc>
        <w:tc>
          <w:tcPr>
            <w:tcW w:w="9540" w:type="dxa"/>
            <w:vAlign w:val="bottom"/>
            <w:gridSpan w:val="22"/>
          </w:tcPr>
          <w:p>
            <w:pPr>
              <w:spacing w:after="0"/>
              <w:rPr>
                <w:rFonts w:ascii="Arial" w:cs="Arial" w:eastAsia="Arial" w:hAnsi="Arial"/>
                <w:sz w:val="18"/>
                <w:szCs w:val="18"/>
                <w:color w:val="0000EE"/>
                <w:w w:val="94"/>
              </w:rPr>
            </w:pPr>
            <w:hyperlink r:id="rId123">
              <w:r>
                <w:rPr>
                  <w:rFonts w:ascii="Arial" w:cs="Arial" w:eastAsia="Arial" w:hAnsi="Arial"/>
                  <w:sz w:val="18"/>
                  <w:szCs w:val="18"/>
                  <w:color w:val="0000EE"/>
                  <w:w w:val="94"/>
                </w:rPr>
                <w:t>Registrant’s 2005 Restricted Stock Unit Award Plan, as amended (incorporated by reference to Appendix B to the Registrant’s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Proxy Statement filed on April 2, 2008).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4">
              <w:r>
                <w:rPr>
                  <w:rFonts w:ascii="Arial" w:cs="Arial" w:eastAsia="Arial" w:hAnsi="Arial"/>
                  <w:sz w:val="18"/>
                  <w:szCs w:val="18"/>
                  <w:color w:val="0000EE"/>
                </w:rPr>
                <w:t>†10.17</w:t>
              </w:r>
            </w:hyperlink>
          </w:p>
        </w:tc>
        <w:tc>
          <w:tcPr>
            <w:tcW w:w="9540" w:type="dxa"/>
            <w:vAlign w:val="bottom"/>
            <w:gridSpan w:val="22"/>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Registrant’s 2014 Restricted Stock Unit Award Plan, (incorporated by reference to Appendix A to the Registrant’s Proxy Statement</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filed on March 12, 2014).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5">
              <w:r>
                <w:rPr>
                  <w:rFonts w:ascii="Arial" w:cs="Arial" w:eastAsia="Arial" w:hAnsi="Arial"/>
                  <w:sz w:val="18"/>
                  <w:szCs w:val="18"/>
                  <w:color w:val="0000EE"/>
                </w:rPr>
                <w:t>†10.18</w:t>
              </w:r>
            </w:hyperlink>
          </w:p>
        </w:tc>
        <w:tc>
          <w:tcPr>
            <w:tcW w:w="9540" w:type="dxa"/>
            <w:vAlign w:val="bottom"/>
            <w:gridSpan w:val="22"/>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Registrant’s 2017 Restricted Stock Unit Award Plan, (incorporated by reference to Exhibit 10.1 to the 8-K filed on November 14,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5">
              <w:r>
                <w:rPr>
                  <w:rFonts w:ascii="Arial" w:cs="Arial" w:eastAsia="Arial" w:hAnsi="Arial"/>
                  <w:sz w:val="18"/>
                  <w:szCs w:val="18"/>
                  <w:color w:val="0000EE"/>
                  <w:w w:val="86"/>
                </w:rPr>
                <w:t>2017).</w:t>
              </w:r>
            </w:hyperlink>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2">
              <w:r>
                <w:rPr>
                  <w:rFonts w:ascii="Arial" w:cs="Arial" w:eastAsia="Arial" w:hAnsi="Arial"/>
                  <w:sz w:val="18"/>
                  <w:szCs w:val="18"/>
                  <w:color w:val="0000EE"/>
                </w:rPr>
                <w:t>†10.19</w:t>
              </w:r>
            </w:hyperlink>
          </w:p>
        </w:tc>
        <w:tc>
          <w:tcPr>
            <w:tcW w:w="9540" w:type="dxa"/>
            <w:vAlign w:val="bottom"/>
            <w:gridSpan w:val="22"/>
          </w:tcPr>
          <w:p>
            <w:pPr>
              <w:spacing w:after="0"/>
              <w:rPr>
                <w:rFonts w:ascii="Arial" w:cs="Arial" w:eastAsia="Arial" w:hAnsi="Arial"/>
                <w:sz w:val="18"/>
                <w:szCs w:val="18"/>
                <w:color w:val="0000EE"/>
                <w:w w:val="97"/>
              </w:rPr>
            </w:pPr>
            <w:hyperlink r:id="rId122">
              <w:r>
                <w:rPr>
                  <w:rFonts w:ascii="Arial" w:cs="Arial" w:eastAsia="Arial" w:hAnsi="Arial"/>
                  <w:sz w:val="18"/>
                  <w:szCs w:val="18"/>
                  <w:color w:val="0000EE"/>
                  <w:w w:val="97"/>
                </w:rPr>
                <w:t>Registrant’s 2008 Stock Option Plan, as amended on June 25, 2009 (incorporated by reference to Appendix B to our Proxy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Statement filed on May 12, 2009).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†10.20</w:t>
              </w:r>
            </w:hyperlink>
          </w:p>
        </w:tc>
        <w:tc>
          <w:tcPr>
            <w:tcW w:w="9540" w:type="dxa"/>
            <w:vAlign w:val="bottom"/>
            <w:gridSpan w:val="2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Registrant’s 2016 Stock Option Plan (incorporated by reference to Exhibit 10.1 to our Form 8-K filed on April 28, 2016).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7">
              <w:r>
                <w:rPr>
                  <w:rFonts w:ascii="Arial" w:cs="Arial" w:eastAsia="Arial" w:hAnsi="Arial"/>
                  <w:sz w:val="18"/>
                  <w:szCs w:val="18"/>
                  <w:color w:val="0000EE"/>
                </w:rPr>
                <w:t>†10.21</w:t>
              </w:r>
            </w:hyperlink>
          </w:p>
        </w:tc>
        <w:tc>
          <w:tcPr>
            <w:tcW w:w="9540" w:type="dxa"/>
            <w:vAlign w:val="bottom"/>
            <w:gridSpan w:val="22"/>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Employment Agreement dated as of March 10, 1998 between the Registrant and Peter Clemens (“Clemens”) (incorporated by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reference to Exhibit 10.44 to the Form 10-K for the period ending December 31, 2007, filed on April 15, 1998).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8">
              <w:r>
                <w:rPr>
                  <w:rFonts w:ascii="Arial" w:cs="Arial" w:eastAsia="Arial" w:hAnsi="Arial"/>
                  <w:sz w:val="18"/>
                  <w:szCs w:val="18"/>
                  <w:color w:val="0000EE"/>
                </w:rPr>
                <w:t>†10.22</w:t>
              </w:r>
            </w:hyperlink>
          </w:p>
        </w:tc>
        <w:tc>
          <w:tcPr>
            <w:tcW w:w="9540" w:type="dxa"/>
            <w:vAlign w:val="bottom"/>
            <w:gridSpan w:val="22"/>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First Amendment to Employment Agreement made as of June 28, 2000 between the Registrant and Clemens (incorporated by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reference to Exhibit 10.44A to the Registrant’s Form 10-K filed on February 21, 2006).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29">
              <w:r>
                <w:rPr>
                  <w:rFonts w:ascii="Arial" w:cs="Arial" w:eastAsia="Arial" w:hAnsi="Arial"/>
                  <w:sz w:val="18"/>
                  <w:szCs w:val="18"/>
                  <w:color w:val="0000EE"/>
                </w:rPr>
                <w:t>†10.23</w:t>
              </w:r>
            </w:hyperlink>
          </w:p>
        </w:tc>
        <w:tc>
          <w:tcPr>
            <w:tcW w:w="9540" w:type="dxa"/>
            <w:vAlign w:val="bottom"/>
            <w:gridSpan w:val="22"/>
          </w:tcPr>
          <w:p>
            <w:pPr>
              <w:spacing w:after="0"/>
              <w:rPr>
                <w:rFonts w:ascii="Arial" w:cs="Arial" w:eastAsia="Arial" w:hAnsi="Arial"/>
                <w:sz w:val="18"/>
                <w:szCs w:val="18"/>
                <w:color w:val="0000EE"/>
                <w:w w:val="98"/>
              </w:rPr>
            </w:pPr>
            <w:hyperlink r:id="rId129">
              <w:r>
                <w:rPr>
                  <w:rFonts w:ascii="Arial" w:cs="Arial" w:eastAsia="Arial" w:hAnsi="Arial"/>
                  <w:sz w:val="18"/>
                  <w:szCs w:val="18"/>
                  <w:color w:val="0000EE"/>
                  <w:w w:val="98"/>
                </w:rPr>
                <w:t>Second Amendment to Executive Employment Agreement between Registrant and Clemens, dated as of January 5, 2005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(incorporated by reference to Exhibit 99.1 to the Registrant's Form 8-K filed January 31, 2005).</w:t>
              </w:r>
            </w:hyperlink>
          </w:p>
        </w:tc>
        <w:tc>
          <w:tcPr>
            <w:tcW w:w="2660" w:type="dxa"/>
            <w:vAlign w:val="bottom"/>
            <w:tcBorders>
              <w:top w:val="single" w:sz="8" w:color="0000EE"/>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0">
              <w:r>
                <w:rPr>
                  <w:rFonts w:ascii="Arial" w:cs="Arial" w:eastAsia="Arial" w:hAnsi="Arial"/>
                  <w:sz w:val="18"/>
                  <w:szCs w:val="18"/>
                  <w:color w:val="0000EE"/>
                </w:rPr>
                <w:t>†10.24</w:t>
              </w:r>
            </w:hyperlink>
          </w:p>
        </w:tc>
        <w:tc>
          <w:tcPr>
            <w:tcW w:w="9540" w:type="dxa"/>
            <w:vAlign w:val="bottom"/>
            <w:gridSpan w:val="22"/>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Third Amendment to Executive Employment Agreement dated December 22, 2005 between Registrant and Clemens (incorporated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by reference to Exhibit 10.3 to the Registrant’s Form 8-K filed December 23, 2005).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1">
              <w:r>
                <w:rPr>
                  <w:rFonts w:ascii="Arial" w:cs="Arial" w:eastAsia="Arial" w:hAnsi="Arial"/>
                  <w:sz w:val="18"/>
                  <w:szCs w:val="18"/>
                  <w:color w:val="0000EE"/>
                </w:rPr>
                <w:t>†10.25</w:t>
              </w:r>
            </w:hyperlink>
          </w:p>
        </w:tc>
        <w:tc>
          <w:tcPr>
            <w:tcW w:w="9540" w:type="dxa"/>
            <w:vAlign w:val="bottom"/>
            <w:gridSpan w:val="22"/>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Fourth Amendment to Executive Employment Agreement dated December 16, 2007 between Registrant and Clemens (incorporated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by reference to Exhibit 10.28 to the Form 10-K for the year ending December 31, 2007, filed on March 5, 2008).</w:t>
              </w:r>
            </w:hyperlink>
          </w:p>
        </w:tc>
        <w:tc>
          <w:tcPr>
            <w:tcW w:w="1420" w:type="dxa"/>
            <w:vAlign w:val="bottom"/>
            <w:tcBorders>
              <w:top w:val="single" w:sz="8" w:color="0000EE"/>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†10.26</w:t>
              </w:r>
            </w:hyperlink>
          </w:p>
        </w:tc>
        <w:tc>
          <w:tcPr>
            <w:tcW w:w="9540" w:type="dxa"/>
            <w:vAlign w:val="bottom"/>
            <w:gridSpan w:val="22"/>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Fifth Amendment to Executive Employment Agreement executed July 9, 2008 between Registrant and Clemens (incorporated by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reference to Exhibit 10.4 to our Form 8-K filed on July 10, 2008).</w:t>
              </w:r>
            </w:hyperlink>
          </w:p>
        </w:tc>
        <w:tc>
          <w:tcPr>
            <w:tcW w:w="4800" w:type="dxa"/>
            <w:vAlign w:val="bottom"/>
            <w:tcBorders>
              <w:top w:val="single" w:sz="8" w:color="0000EE"/>
            </w:tcBorders>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3">
              <w:r>
                <w:rPr>
                  <w:rFonts w:ascii="Arial" w:cs="Arial" w:eastAsia="Arial" w:hAnsi="Arial"/>
                  <w:sz w:val="18"/>
                  <w:szCs w:val="18"/>
                  <w:color w:val="0000EE"/>
                </w:rPr>
                <w:t>†10.27</w:t>
              </w:r>
            </w:hyperlink>
          </w:p>
        </w:tc>
        <w:tc>
          <w:tcPr>
            <w:tcW w:w="9540" w:type="dxa"/>
            <w:vAlign w:val="bottom"/>
            <w:gridSpan w:val="22"/>
          </w:tcPr>
          <w:p>
            <w:pPr>
              <w:spacing w:after="0"/>
              <w:rPr>
                <w:rFonts w:ascii="Arial" w:cs="Arial" w:eastAsia="Arial" w:hAnsi="Arial"/>
                <w:sz w:val="18"/>
                <w:szCs w:val="18"/>
                <w:color w:val="0000EE"/>
                <w:w w:val="96"/>
              </w:rPr>
            </w:pPr>
            <w:hyperlink r:id="rId133">
              <w:r>
                <w:rPr>
                  <w:rFonts w:ascii="Arial" w:cs="Arial" w:eastAsia="Arial" w:hAnsi="Arial"/>
                  <w:sz w:val="18"/>
                  <w:szCs w:val="18"/>
                  <w:color w:val="0000EE"/>
                  <w:w w:val="96"/>
                </w:rPr>
                <w:t>Sixth Amendment to Executive Employment Agreement executed December 14, 2012 between the Registrant and Clemens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(incorporated by reference to Exhibit 10.2 to our Form 8-K filed on December 17, 2012).</w:t>
              </w:r>
            </w:hyperlink>
          </w:p>
        </w:tc>
        <w:tc>
          <w:tcPr>
            <w:tcW w:w="3120" w:type="dxa"/>
            <w:vAlign w:val="bottom"/>
            <w:tcBorders>
              <w:top w:val="single" w:sz="8" w:color="0000EE"/>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4">
              <w:r>
                <w:rPr>
                  <w:rFonts w:ascii="Arial" w:cs="Arial" w:eastAsia="Arial" w:hAnsi="Arial"/>
                  <w:sz w:val="18"/>
                  <w:szCs w:val="18"/>
                  <w:color w:val="0000EE"/>
                </w:rPr>
                <w:t>†10.28</w:t>
              </w:r>
            </w:hyperlink>
          </w:p>
        </w:tc>
        <w:tc>
          <w:tcPr>
            <w:tcW w:w="9540" w:type="dxa"/>
            <w:vAlign w:val="bottom"/>
            <w:gridSpan w:val="22"/>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Seventh Amendment to Executive Employment Agreement executed December 12, 2013 between the Registrant and Clemens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r:id="rId134">
              <w:r>
                <w:rPr>
                  <w:rFonts w:ascii="Arial" w:cs="Arial" w:eastAsia="Arial" w:hAnsi="Arial"/>
                  <w:sz w:val="18"/>
                  <w:szCs w:val="18"/>
                  <w:color w:val="0000EE"/>
                  <w:w w:val="95"/>
                </w:rPr>
                <w:t>(incorporated by reference to Exhibit 10.24 to the Form 10-K for the year ending December 31, 2013 filed on March 3, 2014).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5">
              <w:r>
                <w:rPr>
                  <w:rFonts w:ascii="Arial" w:cs="Arial" w:eastAsia="Arial" w:hAnsi="Arial"/>
                  <w:sz w:val="18"/>
                  <w:szCs w:val="18"/>
                  <w:color w:val="0000EE"/>
                </w:rPr>
                <w:t>†10.29</w:t>
              </w:r>
            </w:hyperlink>
          </w:p>
        </w:tc>
        <w:tc>
          <w:tcPr>
            <w:tcW w:w="9540" w:type="dxa"/>
            <w:vAlign w:val="bottom"/>
            <w:gridSpan w:val="22"/>
          </w:tcPr>
          <w:p>
            <w:pPr>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Employment Agreement dated as of March 18, 2008 between the Registrant and Robert B. Jones (incorporated by reference to</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Exhibit 10.1 to our Form 8-K filed on March 24, 2008).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6">
              <w:r>
                <w:rPr>
                  <w:rFonts w:ascii="Arial" w:cs="Arial" w:eastAsia="Arial" w:hAnsi="Arial"/>
                  <w:sz w:val="18"/>
                  <w:szCs w:val="18"/>
                  <w:color w:val="0000EE"/>
                </w:rPr>
                <w:t>†10.30</w:t>
              </w:r>
            </w:hyperlink>
          </w:p>
        </w:tc>
        <w:tc>
          <w:tcPr>
            <w:tcW w:w="9540" w:type="dxa"/>
            <w:vAlign w:val="bottom"/>
            <w:gridSpan w:val="22"/>
          </w:tcPr>
          <w:p>
            <w:pPr>
              <w:spacing w:after="0"/>
              <w:rPr>
                <w:rFonts w:ascii="Arial" w:cs="Arial" w:eastAsia="Arial" w:hAnsi="Arial"/>
                <w:sz w:val="18"/>
                <w:szCs w:val="18"/>
                <w:color w:val="0000EE"/>
                <w:w w:val="98"/>
              </w:rPr>
            </w:pPr>
            <w:hyperlink r:id="rId136">
              <w:r>
                <w:rPr>
                  <w:rFonts w:ascii="Arial" w:cs="Arial" w:eastAsia="Arial" w:hAnsi="Arial"/>
                  <w:sz w:val="18"/>
                  <w:szCs w:val="18"/>
                  <w:color w:val="0000EE"/>
                  <w:w w:val="98"/>
                </w:rPr>
                <w:t>Amendment to Executive Employment Agreement dated as of April 28, 2011 between the Registrant and Robert B. Jones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(incorporated by reference to Exhibit 10.1 to our Form 10-Q filed July 28, 2011).</w:t>
              </w:r>
            </w:hyperlink>
          </w:p>
        </w:tc>
        <w:tc>
          <w:tcPr>
            <w:tcW w:w="3700" w:type="dxa"/>
            <w:vAlign w:val="bottom"/>
            <w:tcBorders>
              <w:top w:val="single" w:sz="8" w:color="0000EE"/>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7">
              <w:r>
                <w:rPr>
                  <w:rFonts w:ascii="Arial" w:cs="Arial" w:eastAsia="Arial" w:hAnsi="Arial"/>
                  <w:sz w:val="18"/>
                  <w:szCs w:val="18"/>
                  <w:color w:val="0000EE"/>
                </w:rPr>
                <w:t>†10.31</w:t>
              </w:r>
            </w:hyperlink>
          </w:p>
        </w:tc>
        <w:tc>
          <w:tcPr>
            <w:tcW w:w="9540" w:type="dxa"/>
            <w:vAlign w:val="bottom"/>
            <w:gridSpan w:val="22"/>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Amendment to Executive Employment Agreement between Registrant and Robert B. Jones made as of July 7, 2011 (incorporated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by reference to Exhibit 10.2 to our Form 10-Q filed July 28, 2011).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20" w:type="dxa"/>
            <w:vAlign w:val="bottom"/>
            <w:gridSpan w:val="9"/>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520" w:type="dxa"/>
            <w:vAlign w:val="bottom"/>
            <w:gridSpan w:val="3"/>
          </w:tcPr>
          <w:p>
            <w:pPr>
              <w:spacing w:after="0"/>
              <w:rPr>
                <w:rFonts w:ascii="Arial" w:cs="Arial" w:eastAsia="Arial" w:hAnsi="Arial"/>
                <w:sz w:val="18"/>
                <w:szCs w:val="18"/>
                <w:color w:val="0000EE"/>
              </w:rPr>
            </w:pPr>
            <w:hyperlink r:id="rId138">
              <w:r>
                <w:rPr>
                  <w:rFonts w:ascii="Arial" w:cs="Arial" w:eastAsia="Arial" w:hAnsi="Arial"/>
                  <w:sz w:val="18"/>
                  <w:szCs w:val="18"/>
                  <w:color w:val="0000EE"/>
                </w:rPr>
                <w:t>†10.32</w:t>
              </w:r>
            </w:hyperlink>
          </w:p>
        </w:tc>
        <w:tc>
          <w:tcPr>
            <w:tcW w:w="9540" w:type="dxa"/>
            <w:vAlign w:val="bottom"/>
            <w:gridSpan w:val="2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Second Amendment to Executive Employment Agreement between Registrant and Robert B. Jones executed December 14, 2012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(incorporated by reference to Exhibit 10.1 to our Form 8-K filed December 17, 2012).</w:t>
              </w:r>
            </w:hyperlink>
          </w:p>
        </w:tc>
        <w:tc>
          <w:tcPr>
            <w:tcW w:w="3340" w:type="dxa"/>
            <w:vAlign w:val="bottom"/>
            <w:tcBorders>
              <w:top w:val="single" w:sz="8" w:color="0000EE"/>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17"/>
          </w:tcPr>
          <w:p>
            <w:pPr>
              <w:ind w:left="880"/>
              <w:spacing w:after="0"/>
              <w:rPr>
                <w:sz w:val="20"/>
                <w:szCs w:val="20"/>
                <w:color w:val="auto"/>
              </w:rPr>
            </w:pPr>
            <w:r>
              <w:rPr>
                <w:rFonts w:ascii="Arial" w:cs="Arial" w:eastAsia="Arial" w:hAnsi="Arial"/>
                <w:sz w:val="18"/>
                <w:szCs w:val="18"/>
                <w:color w:val="auto"/>
              </w:rPr>
              <w:t>E-3</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520" w:type="dxa"/>
            <w:vAlign w:val="bottom"/>
            <w:gridSpan w:val="20"/>
          </w:tcPr>
          <w:p>
            <w:pPr>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80" w:type="dxa"/>
            <w:vAlign w:val="bottom"/>
          </w:tcPr>
          <w:p>
            <w:pPr>
              <w:spacing w:after="0"/>
              <w:rPr>
                <w:sz w:val="24"/>
                <w:szCs w:val="24"/>
                <w:color w:val="auto"/>
              </w:rPr>
            </w:pPr>
          </w:p>
        </w:tc>
        <w:tc>
          <w:tcPr>
            <w:tcW w:w="420" w:type="dxa"/>
            <w:vAlign w:val="bottom"/>
          </w:tcPr>
          <w:p>
            <w:pPr>
              <w:jc w:val="right"/>
              <w:spacing w:after="0"/>
              <w:rPr>
                <w:rFonts w:ascii="Arial" w:cs="Arial" w:eastAsia="Arial" w:hAnsi="Arial"/>
                <w:sz w:val="18"/>
                <w:szCs w:val="18"/>
                <w:color w:val="0000EE"/>
                <w:w w:val="88"/>
              </w:rPr>
            </w:pPr>
            <w:hyperlink r:id="rId1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9"/>
              </w:rPr>
            </w:pPr>
            <w:hyperlink r:id="rId139">
              <w:r>
                <w:rPr>
                  <w:rFonts w:ascii="Arial" w:cs="Arial" w:eastAsia="Arial" w:hAnsi="Arial"/>
                  <w:sz w:val="18"/>
                  <w:szCs w:val="18"/>
                  <w:color w:val="0000EE"/>
                  <w:w w:val="99"/>
                </w:rPr>
                <w:t>Form of Securities Purchase Agreement entered into between the Registrant and institutional investors on June 30, 2015</w:t>
              </w:r>
            </w:hyperlink>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(incorporated by reference to Exhibit 10.1 of our Form 8-K filed July 1, 2015).</w:t>
              </w:r>
            </w:hyperlink>
          </w:p>
        </w:tc>
        <w:tc>
          <w:tcPr>
            <w:tcW w:w="2960" w:type="dxa"/>
            <w:vAlign w:val="bottom"/>
            <w:tcBorders>
              <w:top w:val="single" w:sz="8" w:color="0000EE"/>
            </w:tcBorders>
            <w:gridSpan w:val="2"/>
          </w:tcPr>
          <w:p>
            <w:pPr>
              <w:spacing w:after="0"/>
              <w:rPr>
                <w:sz w:val="17"/>
                <w:szCs w:val="17"/>
                <w:color w:val="auto"/>
              </w:rPr>
            </w:pPr>
          </w:p>
        </w:tc>
        <w:tc>
          <w:tcPr>
            <w:tcW w:w="900" w:type="dxa"/>
            <w:vAlign w:val="bottom"/>
            <w:gridSpan w:val="16"/>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tcBorders>
              <w:bottom w:val="single" w:sz="8" w:color="0000EE"/>
            </w:tcBorders>
            <w:gridSpan w:val="28"/>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Consent and Third Amendment to Loan and Security Agreement entered into as of May 12, 2017 between Oxford Finance LLC, the</w:t>
              </w:r>
            </w:hyperlink>
          </w:p>
        </w:tc>
        <w:tc>
          <w:tcPr>
            <w:tcW w:w="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Registrant and Acura Pharmaceutical Technologies, Inc. (incorporated by reference to Exhibit 10.2 to our Form 10-Q filed May 12,</w:t>
              </w:r>
            </w:hyperlink>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0">
              <w:r>
                <w:rPr>
                  <w:rFonts w:ascii="Arial" w:cs="Arial" w:eastAsia="Arial" w:hAnsi="Arial"/>
                  <w:sz w:val="18"/>
                  <w:szCs w:val="18"/>
                  <w:color w:val="0000EE"/>
                  <w:w w:val="86"/>
                </w:rPr>
                <w:t>2017).</w:t>
              </w:r>
            </w:hyperlink>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License, Commercialization and Option Agreement is made and entered into as of March 16, 2017 by and between MainPointe</w:t>
              </w:r>
            </w:hyperlink>
          </w:p>
        </w:tc>
        <w:tc>
          <w:tcPr>
            <w:tcW w:w="360" w:type="dxa"/>
            <w:vAlign w:val="bottom"/>
            <w:gridSpan w:val="13"/>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Pharmaceuticals, LLC (incorporated by reference to Exhibit 10.34 to our Form 10-K filed June 7, 2018).</w:t>
              </w:r>
            </w:hyperlink>
          </w:p>
        </w:tc>
      </w:tr>
      <w:tr>
        <w:trPr>
          <w:trHeight w:val="20"/>
        </w:trPr>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tcBorders>
              <w:bottom w:val="single" w:sz="8" w:color="0000EE"/>
            </w:tcBorders>
            <w:gridSpan w:val="14"/>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Promissory Note dated May 7, 2018 issued to John Schutte (incorporated by reference to Exhibit 10.35 to our Form 10-Q filed</w:t>
              </w:r>
            </w:hyperlink>
          </w:p>
        </w:tc>
        <w:tc>
          <w:tcPr>
            <w:tcW w:w="420" w:type="dxa"/>
            <w:vAlign w:val="bottom"/>
            <w:gridSpan w:val="15"/>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August 14, 2018).</w:t>
              </w:r>
            </w:hyperlink>
          </w:p>
        </w:tc>
        <w:tc>
          <w:tcPr>
            <w:tcW w:w="8240" w:type="dxa"/>
            <w:vAlign w:val="bottom"/>
            <w:gridSpan w:val="26"/>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Subordination Agreement dated as of May 7, 2018 between John Schutte and Oxford Finance, LLC, approved by Registrant and</w:t>
              </w:r>
            </w:hyperlink>
          </w:p>
        </w:tc>
        <w:tc>
          <w:tcPr>
            <w:tcW w:w="280" w:type="dxa"/>
            <w:vAlign w:val="bottom"/>
            <w:gridSpan w:val="10"/>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Acura Pharmaceutical Technologies, Inc. (incorporated by reference to Exhibit 10.36 to our Form 10-Q filed August 14, 2018).</w:t>
              </w:r>
            </w:hyperlink>
          </w:p>
        </w:tc>
        <w:tc>
          <w:tcPr>
            <w:tcW w:w="380" w:type="dxa"/>
            <w:vAlign w:val="bottom"/>
            <w:gridSpan w:val="14"/>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Fourth Amendment dated as of June 6, 2018 to Loan and Security Agreement dated as of December 27, 2013, as amended, between</w:t>
              </w:r>
            </w:hyperlink>
          </w:p>
        </w:tc>
        <w:tc>
          <w:tcPr>
            <w:tcW w:w="40" w:type="dxa"/>
            <w:vAlign w:val="bottom"/>
            <w:gridSpan w:val="2"/>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the Registrant, Acura Pharmaceutical Technologies, Inc. and Oxford Finance, LLC (incorporated by reference to Exhibit 10.37 to</w:t>
              </w:r>
            </w:hyperlink>
          </w:p>
        </w:tc>
        <w:tc>
          <w:tcPr>
            <w:tcW w:w="220" w:type="dxa"/>
            <w:vAlign w:val="bottom"/>
            <w:gridSpan w:val="7"/>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our Form 10-Q filed August 14, 2018).</w:t>
              </w:r>
            </w:hyperlink>
          </w:p>
        </w:tc>
      </w:tr>
      <w:tr>
        <w:trPr>
          <w:trHeight w:val="20"/>
        </w:trPr>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Pr>
          <w:p>
            <w:pPr>
              <w:jc w:val="right"/>
              <w:spacing w:after="0"/>
              <w:rPr>
                <w:rFonts w:ascii="Arial" w:cs="Arial" w:eastAsia="Arial" w:hAnsi="Arial"/>
                <w:sz w:val="18"/>
                <w:szCs w:val="18"/>
                <w:color w:val="0000EE"/>
                <w:w w:val="88"/>
              </w:rPr>
            </w:pPr>
            <w:hyperlink r:id="rId14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3"/>
              </w:rPr>
            </w:pPr>
            <w:hyperlink r:id="rId145">
              <w:r>
                <w:rPr>
                  <w:rFonts w:ascii="Arial" w:cs="Arial" w:eastAsia="Arial" w:hAnsi="Arial"/>
                  <w:sz w:val="18"/>
                  <w:szCs w:val="18"/>
                  <w:color w:val="0000EE"/>
                  <w:w w:val="93"/>
                </w:rPr>
                <w:t>Promissory Note dated June 28, 2018 issued to John Schutte (incorporated by reference to Exhibit 10.38 to our Form 10-Q filed</w:t>
              </w:r>
            </w:hyperlink>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August 14, 2018).</w:t>
              </w:r>
            </w:hyperlink>
          </w:p>
        </w:tc>
        <w:tc>
          <w:tcPr>
            <w:tcW w:w="7900" w:type="dxa"/>
            <w:vAlign w:val="bottom"/>
            <w:tcBorders>
              <w:top w:val="single" w:sz="8" w:color="0000EE"/>
            </w:tcBorders>
            <w:gridSpan w:val="14"/>
          </w:tcPr>
          <w:p>
            <w:pPr>
              <w:spacing w:after="0"/>
              <w:rPr>
                <w:sz w:val="17"/>
                <w:szCs w:val="17"/>
                <w:color w:val="auto"/>
              </w:rPr>
            </w:pPr>
          </w:p>
        </w:tc>
        <w:tc>
          <w:tcPr>
            <w:tcW w:w="340" w:type="dxa"/>
            <w:vAlign w:val="bottom"/>
            <w:gridSpan w:val="12"/>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Pr>
          <w:p>
            <w:pPr>
              <w:jc w:val="right"/>
              <w:spacing w:after="0"/>
              <w:rPr>
                <w:rFonts w:ascii="Arial" w:cs="Arial" w:eastAsia="Arial" w:hAnsi="Arial"/>
                <w:sz w:val="18"/>
                <w:szCs w:val="18"/>
                <w:color w:val="0000EE"/>
                <w:w w:val="88"/>
              </w:rPr>
            </w:pPr>
            <w:hyperlink r:id="rId14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Promissory Note dated August 2, 2018 issued to John Schutte (incorporated by reference to Exhibit 10.39 to our Form 10-Q filed</w:t>
              </w:r>
            </w:hyperlink>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November 27, 2018).</w:t>
              </w:r>
            </w:hyperlink>
          </w:p>
        </w:tc>
        <w:tc>
          <w:tcPr>
            <w:tcW w:w="7760" w:type="dxa"/>
            <w:vAlign w:val="bottom"/>
            <w:tcBorders>
              <w:top w:val="single" w:sz="8" w:color="0000EE"/>
            </w:tcBorders>
            <w:gridSpan w:val="16"/>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41</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Promissory Note dated September 13, 2018 issued to John Schutte (incorporated by reference to Exhibit 10.40 to our Form 10-Q</w:t>
              </w:r>
            </w:hyperlink>
          </w:p>
        </w:tc>
        <w:tc>
          <w:tcPr>
            <w:tcW w:w="260" w:type="dxa"/>
            <w:vAlign w:val="bottom"/>
            <w:gridSpan w:val="9"/>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filed November 27, 2018).</w:t>
              </w:r>
            </w:hyperlink>
          </w:p>
        </w:tc>
      </w:tr>
      <w:tr>
        <w:trPr>
          <w:trHeight w:val="20"/>
        </w:trPr>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42</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60" w:type="dxa"/>
            <w:vAlign w:val="bottom"/>
            <w:tcBorders>
              <w:bottom w:val="single" w:sz="8" w:color="0000EE"/>
            </w:tcBorders>
            <w:gridSpan w:val="24"/>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Promissory Note dated October 5, 2018 issued to John Schutte (incorporated by reference to Exhibit 10.42 to our Form 10-K filed</w:t>
              </w:r>
            </w:hyperlink>
          </w:p>
        </w:tc>
        <w:tc>
          <w:tcPr>
            <w:tcW w:w="180" w:type="dxa"/>
            <w:vAlign w:val="bottom"/>
            <w:gridSpan w:val="5"/>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September 16, 2019).</w:t>
              </w:r>
            </w:hyperlink>
          </w:p>
        </w:tc>
      </w:tr>
      <w:tr>
        <w:trPr>
          <w:trHeight w:val="20"/>
        </w:trPr>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4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43</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Promissory Note dated November 21, 2018 issued to John Schutte (incorporated by reference to Exhibit 10.43 to our Form 10-K</w:t>
              </w:r>
            </w:hyperlink>
          </w:p>
        </w:tc>
        <w:tc>
          <w:tcPr>
            <w:tcW w:w="280" w:type="dxa"/>
            <w:vAlign w:val="bottom"/>
            <w:gridSpan w:val="10"/>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filed September 16, 2019).</w:t>
              </w:r>
            </w:hyperlink>
          </w:p>
        </w:tc>
        <w:tc>
          <w:tcPr>
            <w:tcW w:w="7620" w:type="dxa"/>
            <w:vAlign w:val="bottom"/>
            <w:gridSpan w:val="22"/>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44</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40" w:type="dxa"/>
            <w:vAlign w:val="bottom"/>
            <w:tcBorders>
              <w:bottom w:val="single" w:sz="8" w:color="0000EE"/>
            </w:tcBorders>
            <w:gridSpan w:val="18"/>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Promissory Note dated December 20, 2018 issued to John Schutte (incorporated by reference to Exhibit 10.44 to our Form 10-K</w:t>
              </w:r>
            </w:hyperlink>
          </w:p>
        </w:tc>
        <w:tc>
          <w:tcPr>
            <w:tcW w:w="300" w:type="dxa"/>
            <w:vAlign w:val="bottom"/>
            <w:gridSpan w:val="11"/>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filed September 16, 2019).</w:t>
              </w:r>
            </w:hyperlink>
          </w:p>
        </w:tc>
        <w:tc>
          <w:tcPr>
            <w:tcW w:w="7620" w:type="dxa"/>
            <w:vAlign w:val="bottom"/>
            <w:gridSpan w:val="22"/>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20" w:type="dxa"/>
            <w:vAlign w:val="bottom"/>
          </w:tcPr>
          <w:p>
            <w:pPr>
              <w:jc w:val="right"/>
              <w:spacing w:after="0"/>
              <w:rPr>
                <w:rFonts w:ascii="Arial" w:cs="Arial" w:eastAsia="Arial" w:hAnsi="Arial"/>
                <w:sz w:val="18"/>
                <w:szCs w:val="18"/>
                <w:color w:val="0000EE"/>
                <w:w w:val="88"/>
              </w:rPr>
            </w:pPr>
            <w:hyperlink r:id="rId15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45</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Promissory Note dated January 28, 2019 issued to John Schutte (incorporated by reference to Exhibit 10.45 to our Form 10-K filed</w:t>
              </w:r>
            </w:hyperlink>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September 16, 2019).</w:t>
              </w:r>
            </w:hyperlink>
          </w:p>
        </w:tc>
        <w:tc>
          <w:tcPr>
            <w:tcW w:w="120" w:type="dxa"/>
            <w:vAlign w:val="bottom"/>
            <w:gridSpan w:val="4"/>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46</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40" w:type="dxa"/>
            <w:vAlign w:val="bottom"/>
            <w:tcBorders>
              <w:bottom w:val="single" w:sz="8" w:color="0000EE"/>
            </w:tcBorders>
            <w:gridSpan w:val="23"/>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Promissory Note dated March 25, 2019 issued to John Schutte (incorporated by reference to Exhibit 10.46 to our Form 10-Q filed</w:t>
              </w:r>
            </w:hyperlink>
          </w:p>
        </w:tc>
        <w:tc>
          <w:tcPr>
            <w:tcW w:w="200" w:type="dxa"/>
            <w:vAlign w:val="bottom"/>
            <w:gridSpan w:val="6"/>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October 1, 2019).</w:t>
              </w:r>
            </w:hyperlink>
          </w:p>
        </w:tc>
      </w:tr>
      <w:tr>
        <w:trPr>
          <w:trHeight w:val="20"/>
        </w:trPr>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120" w:type="dxa"/>
            <w:vAlign w:val="bottom"/>
            <w:gridSpan w:val="25"/>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47</w:t>
              </w:r>
            </w:hyperlink>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tcBorders>
              <w:bottom w:val="single" w:sz="8" w:color="0000EE"/>
            </w:tcBorders>
            <w:gridSpan w:val="14"/>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Promissory Note dated May 1, 2019 issued to John Schutte (incorporated by reference to Exhibit 10.47 to our Form 10-Q filed</w:t>
              </w:r>
            </w:hyperlink>
          </w:p>
        </w:tc>
        <w:tc>
          <w:tcPr>
            <w:tcW w:w="420" w:type="dxa"/>
            <w:vAlign w:val="bottom"/>
            <w:gridSpan w:val="15"/>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February 10, 2020).</w:t>
              </w:r>
            </w:hyperlink>
          </w:p>
        </w:tc>
      </w:tr>
      <w:tr>
        <w:trPr>
          <w:trHeight w:val="669"/>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1"/>
          </w:tcPr>
          <w:p>
            <w:pPr>
              <w:ind w:left="980"/>
              <w:spacing w:after="0"/>
              <w:rPr>
                <w:sz w:val="20"/>
                <w:szCs w:val="20"/>
                <w:color w:val="auto"/>
              </w:rPr>
            </w:pPr>
            <w:r>
              <w:rPr>
                <w:rFonts w:ascii="Arial" w:cs="Arial" w:eastAsia="Arial" w:hAnsi="Arial"/>
                <w:sz w:val="18"/>
                <w:szCs w:val="18"/>
                <w:color w:val="auto"/>
              </w:rPr>
              <w:t>E-4</w:t>
            </w:r>
          </w:p>
        </w:tc>
      </w:tr>
    </w:tbl>
    <w:p>
      <w:pPr>
        <w:sectPr>
          <w:pgSz w:w="11900" w:h="16838" w:orient="portrait"/>
          <w:cols w:equalWidth="0" w:num="1">
            <w:col w:w="11240"/>
          </w:cols>
          <w:pgMar w:left="320" w:top="891"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7"/>
          </w:tcPr>
          <w:p>
            <w:pPr>
              <w:spacing w:after="0"/>
              <w:rPr>
                <w:sz w:val="20"/>
                <w:szCs w:val="20"/>
                <w:color w:val="auto"/>
              </w:rPr>
            </w:pPr>
            <w:r>
              <w:rPr>
                <w:rFonts w:ascii="Arial" w:cs="Arial" w:eastAsia="Arial" w:hAnsi="Arial"/>
                <w:sz w:val="18"/>
                <w:szCs w:val="18"/>
                <w:b w:val="1"/>
                <w:bCs w:val="1"/>
                <w:color w:val="auto"/>
              </w:rPr>
              <w:t>Exhibit Number</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20" w:type="dxa"/>
            <w:vAlign w:val="bottom"/>
            <w:gridSpan w:val="9"/>
          </w:tcPr>
          <w:p>
            <w:pPr>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80" w:type="dxa"/>
            <w:vAlign w:val="bottom"/>
          </w:tcPr>
          <w:p>
            <w:pPr>
              <w:spacing w:after="0"/>
              <w:rPr>
                <w:sz w:val="24"/>
                <w:szCs w:val="24"/>
                <w:color w:val="auto"/>
              </w:rPr>
            </w:pPr>
          </w:p>
        </w:tc>
        <w:tc>
          <w:tcPr>
            <w:tcW w:w="420" w:type="dxa"/>
            <w:vAlign w:val="bottom"/>
            <w:gridSpan w:val="3"/>
          </w:tcPr>
          <w:p>
            <w:pPr>
              <w:spacing w:after="0"/>
              <w:rPr>
                <w:rFonts w:ascii="Arial" w:cs="Arial" w:eastAsia="Arial" w:hAnsi="Arial"/>
                <w:sz w:val="18"/>
                <w:szCs w:val="18"/>
                <w:color w:val="0000EE"/>
                <w:w w:val="88"/>
              </w:rPr>
            </w:pPr>
            <w:hyperlink r:id="rId1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48</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Promissory Note dated June 12, 2019 issued to John Schutte (incorporated by reference to Exhibit 10.48 to our Form 10-Q filed</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February 10, 2020).</w:t>
              </w:r>
            </w:hyperlink>
          </w:p>
        </w:tc>
        <w:tc>
          <w:tcPr>
            <w:tcW w:w="340" w:type="dxa"/>
            <w:vAlign w:val="bottom"/>
            <w:gridSpan w:val="2"/>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gridSpan w:val="3"/>
          </w:tcPr>
          <w:p>
            <w:pPr>
              <w:spacing w:after="0"/>
              <w:rPr>
                <w:rFonts w:ascii="Arial" w:cs="Arial" w:eastAsia="Arial" w:hAnsi="Arial"/>
                <w:sz w:val="18"/>
                <w:szCs w:val="18"/>
                <w:color w:val="0000EE"/>
                <w:w w:val="88"/>
              </w:rPr>
            </w:pPr>
            <w:hyperlink r:id="rId1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49</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Promissory Note dated June 28, 2019 issued to John Schutte (incorporated by reference to Exhibit 10.49 to our Form 10-Q filed</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February 20, 2020).</w:t>
              </w:r>
            </w:hyperlink>
          </w:p>
        </w:tc>
        <w:tc>
          <w:tcPr>
            <w:tcW w:w="340" w:type="dxa"/>
            <w:vAlign w:val="bottom"/>
            <w:gridSpan w:val="2"/>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50</w:t>
              </w:r>
              <w:r>
                <w:rPr>
                  <w:rFonts w:ascii="Arial" w:cs="Arial" w:eastAsia="Arial" w:hAnsi="Arial"/>
                  <w:sz w:val="18"/>
                  <w:szCs w:val="18"/>
                  <w:color w:val="0000EE"/>
                  <w:w w:val="91"/>
                </w:rPr>
                <w:t xml:space="preserve"> *</w:t>
              </w:r>
            </w:hyperlink>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License, Development and Commercialization Agreement is made and entered into as of June 28, 2019 by the Registrant and</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between Abuse Deterrent Pharmaceuticals, LLC.</w:t>
              </w:r>
            </w:hyperlink>
          </w:p>
        </w:tc>
        <w:tc>
          <w:tcPr>
            <w:tcW w:w="540" w:type="dxa"/>
            <w:vAlign w:val="bottom"/>
            <w:gridSpan w:val="3"/>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51</w:t>
              </w:r>
              <w:r>
                <w:rPr>
                  <w:rFonts w:ascii="Arial" w:cs="Arial" w:eastAsia="Arial" w:hAnsi="Arial"/>
                  <w:sz w:val="18"/>
                  <w:szCs w:val="18"/>
                  <w:color w:val="0000EE"/>
                  <w:w w:val="91"/>
                </w:rPr>
                <w:t xml:space="preserve"> *</w:t>
              </w:r>
            </w:hyperlink>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Common Stock Warrant issued June 28, 2019 to John Schutte.</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color w:val="0000EE"/>
                <w:w w:val="91"/>
              </w:rPr>
            </w:pPr>
            <w:hyperlink w:anchor="page16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52</w:t>
              </w:r>
              <w:r>
                <w:rPr>
                  <w:rFonts w:ascii="Arial" w:cs="Arial" w:eastAsia="Arial" w:hAnsi="Arial"/>
                  <w:sz w:val="18"/>
                  <w:szCs w:val="18"/>
                  <w:color w:val="0000EE"/>
                  <w:w w:val="91"/>
                </w:rPr>
                <w:t xml:space="preserve"> *</w:t>
              </w:r>
            </w:hyperlink>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Assignment of Promissory Note, Warrant and Security Agreement issued June 28, 2019 by John Schutte to Abuse Deterrent</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Pharmaceuticals, LLC.</w:t>
              </w:r>
            </w:hyperlink>
          </w:p>
        </w:tc>
        <w:tc>
          <w:tcPr>
            <w:tcW w:w="620" w:type="dxa"/>
            <w:vAlign w:val="bottom"/>
            <w:gridSpan w:val="4"/>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gridSpan w:val="3"/>
          </w:tcPr>
          <w:p>
            <w:pPr>
              <w:spacing w:after="0"/>
              <w:rPr>
                <w:rFonts w:ascii="Arial" w:cs="Arial" w:eastAsia="Arial" w:hAnsi="Arial"/>
                <w:sz w:val="18"/>
                <w:szCs w:val="18"/>
                <w:color w:val="0000EE"/>
              </w:rPr>
            </w:pPr>
            <w:hyperlink r:id="rId156">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rPr>
            </w:pPr>
            <w:hyperlink r:id="rId156">
              <w:r>
                <w:rPr>
                  <w:rFonts w:ascii="Arial" w:cs="Arial" w:eastAsia="Arial" w:hAnsi="Arial"/>
                  <w:sz w:val="18"/>
                  <w:szCs w:val="18"/>
                  <w:color w:val="0000EE"/>
                </w:rPr>
                <w:t>Code of Ethics (incorporated by reference to Exhibit 14.1 of the Form 8-K filed on December 10, 2007).</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Borders>
              <w:bottom w:val="single" w:sz="8" w:color="0000EE"/>
            </w:tcBorders>
          </w:tcPr>
          <w:p>
            <w:pPr>
              <w:spacing w:after="0"/>
              <w:rPr>
                <w:rFonts w:ascii="Arial" w:cs="Arial" w:eastAsia="Arial" w:hAnsi="Arial"/>
                <w:sz w:val="18"/>
                <w:szCs w:val="18"/>
                <w:color w:val="0000EE"/>
                <w:w w:val="79"/>
              </w:rPr>
            </w:pPr>
            <w:hyperlink r:id="rId157">
              <w:r>
                <w:rPr>
                  <w:rFonts w:ascii="Arial" w:cs="Arial" w:eastAsia="Arial" w:hAnsi="Arial"/>
                  <w:sz w:val="18"/>
                  <w:szCs w:val="18"/>
                  <w:color w:val="0000EE"/>
                  <w:w w:val="7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Subsidiaries of the Registrant (incorporated by reference to Exhibit 21 to the Form 10-K for the fiscal year ended December 31,</w:t>
              </w:r>
            </w:hyperlink>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2006 filed on March 15, 2007).</w:t>
              </w:r>
            </w:hyperlink>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69">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69">
              <w:r>
                <w:rPr>
                  <w:rFonts w:ascii="Arial" w:cs="Arial" w:eastAsia="Arial" w:hAnsi="Arial"/>
                  <w:sz w:val="18"/>
                  <w:szCs w:val="18"/>
                  <w:color w:val="0000EE"/>
                  <w:w w:val="90"/>
                </w:rPr>
                <w:t>Consent of Independent Registered Public Accounting Firm.</w:t>
              </w:r>
            </w:hyperlink>
          </w:p>
        </w:tc>
        <w:tc>
          <w:tcPr>
            <w:tcW w:w="5180" w:type="dxa"/>
            <w:vAlign w:val="bottom"/>
            <w:gridSpan w:val="8"/>
          </w:tcPr>
          <w:p>
            <w:pPr>
              <w:spacing w:after="0"/>
              <w:rPr>
                <w:sz w:val="24"/>
                <w:szCs w:val="24"/>
                <w:color w:val="auto"/>
              </w:rPr>
            </w:pPr>
          </w:p>
        </w:tc>
      </w:tr>
      <w:tr>
        <w:trPr>
          <w:trHeight w:val="412"/>
        </w:trPr>
        <w:tc>
          <w:tcPr>
            <w:tcW w:w="600" w:type="dxa"/>
            <w:vAlign w:val="bottom"/>
            <w:gridSpan w:val="4"/>
          </w:tcPr>
          <w:p>
            <w:pPr>
              <w:ind w:left="180"/>
              <w:spacing w:after="0"/>
              <w:rPr>
                <w:rFonts w:ascii="Arial" w:cs="Arial" w:eastAsia="Arial" w:hAnsi="Arial"/>
                <w:sz w:val="18"/>
                <w:szCs w:val="18"/>
                <w:color w:val="0000EE"/>
                <w:w w:val="95"/>
              </w:rPr>
            </w:pPr>
            <w:hyperlink w:anchor="page17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Certification of Periodic Report by Chief Executive Officer pursuant to Rule 13a-14 and 15d-14 of the Securities Exchange Act of</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70">
              <w:r>
                <w:rPr>
                  <w:rFonts w:ascii="Arial" w:cs="Arial" w:eastAsia="Arial" w:hAnsi="Arial"/>
                  <w:sz w:val="18"/>
                  <w:szCs w:val="18"/>
                  <w:color w:val="0000EE"/>
                  <w:w w:val="84"/>
                </w:rPr>
                <w:t>1934.</w:t>
              </w:r>
            </w:hyperlink>
          </w:p>
        </w:tc>
        <w:tc>
          <w:tcPr>
            <w:tcW w:w="10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00" w:type="dxa"/>
            <w:vAlign w:val="bottom"/>
            <w:gridSpan w:val="4"/>
          </w:tcPr>
          <w:p>
            <w:pPr>
              <w:ind w:left="180"/>
              <w:spacing w:after="0"/>
              <w:rPr>
                <w:rFonts w:ascii="Arial" w:cs="Arial" w:eastAsia="Arial" w:hAnsi="Arial"/>
                <w:sz w:val="18"/>
                <w:szCs w:val="18"/>
                <w:color w:val="0000EE"/>
                <w:w w:val="95"/>
              </w:rPr>
            </w:pPr>
            <w:hyperlink w:anchor="page17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Certification of Periodic Report by Chief Financial Officer pursuant to Rule 13a-14 and 15d-14 of the Securities Exchange Act of</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71">
              <w:r>
                <w:rPr>
                  <w:rFonts w:ascii="Arial" w:cs="Arial" w:eastAsia="Arial" w:hAnsi="Arial"/>
                  <w:sz w:val="18"/>
                  <w:szCs w:val="18"/>
                  <w:color w:val="0000EE"/>
                  <w:w w:val="84"/>
                </w:rPr>
                <w:t>1934.</w:t>
              </w:r>
            </w:hyperlink>
          </w:p>
        </w:tc>
        <w:tc>
          <w:tcPr>
            <w:tcW w:w="10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500" w:type="dxa"/>
            <w:vAlign w:val="bottom"/>
            <w:gridSpan w:val="3"/>
          </w:tcPr>
          <w:p>
            <w:pPr>
              <w:ind w:left="180"/>
              <w:spacing w:after="0"/>
              <w:rPr>
                <w:rFonts w:ascii="Arial" w:cs="Arial" w:eastAsia="Arial" w:hAnsi="Arial"/>
                <w:sz w:val="18"/>
                <w:szCs w:val="18"/>
                <w:color w:val="0000EE"/>
              </w:rPr>
            </w:pPr>
            <w:hyperlink w:anchor="page172">
              <w:r>
                <w:rPr>
                  <w:rFonts w:ascii="Arial" w:cs="Arial" w:eastAsia="Arial" w:hAnsi="Arial"/>
                  <w:sz w:val="18"/>
                  <w:szCs w:val="18"/>
                  <w:color w:val="0000EE"/>
                </w:rPr>
                <w:t>32*</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4"/>
              </w:rPr>
            </w:pPr>
            <w:hyperlink w:anchor="page172">
              <w:r>
                <w:rPr>
                  <w:rFonts w:ascii="Arial" w:cs="Arial" w:eastAsia="Arial" w:hAnsi="Arial"/>
                  <w:sz w:val="18"/>
                  <w:szCs w:val="18"/>
                  <w:color w:val="0000EE"/>
                  <w:w w:val="94"/>
                </w:rPr>
                <w:t>Certification of Chief Executive Officer and Chief Financial Officer pursuant to 18 U.S.C. Section 1350, as adopted pursuant to</w:t>
              </w:r>
            </w:hyperlink>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Section 906 of the Sarbanes-Oxley Act of 2002.</w:t>
              </w:r>
            </w:hyperlink>
          </w:p>
        </w:tc>
        <w:tc>
          <w:tcPr>
            <w:tcW w:w="6020" w:type="dxa"/>
            <w:vAlign w:val="bottom"/>
            <w:tcBorders>
              <w:top w:val="single" w:sz="8" w:color="0000EE"/>
            </w:tcBorders>
            <w:gridSpan w:val="10"/>
          </w:tcPr>
          <w:p>
            <w:pPr>
              <w:spacing w:after="0"/>
              <w:rPr>
                <w:sz w:val="17"/>
                <w:szCs w:val="17"/>
                <w:color w:val="auto"/>
              </w:rPr>
            </w:pPr>
          </w:p>
        </w:tc>
      </w:tr>
      <w:tr>
        <w:trPr>
          <w:trHeight w:val="453"/>
        </w:trPr>
        <w:tc>
          <w:tcPr>
            <w:tcW w:w="1700" w:type="dxa"/>
            <w:vAlign w:val="bottom"/>
            <w:gridSpan w:val="7"/>
          </w:tcPr>
          <w:p>
            <w:pPr>
              <w:spacing w:after="0"/>
              <w:rPr>
                <w:sz w:val="20"/>
                <w:szCs w:val="20"/>
                <w:color w:val="auto"/>
              </w:rPr>
            </w:pPr>
            <w:r>
              <w:rPr>
                <w:rFonts w:ascii="Arial" w:cs="Arial" w:eastAsia="Arial" w:hAnsi="Arial"/>
                <w:sz w:val="18"/>
                <w:szCs w:val="18"/>
                <w:color w:val="auto"/>
              </w:rPr>
              <w:t>101.INS*</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700" w:type="dxa"/>
            <w:vAlign w:val="bottom"/>
            <w:gridSpan w:val="7"/>
          </w:tcPr>
          <w:p>
            <w:pPr>
              <w:spacing w:after="0"/>
              <w:rPr>
                <w:sz w:val="20"/>
                <w:szCs w:val="20"/>
                <w:color w:val="auto"/>
              </w:rPr>
            </w:pPr>
            <w:r>
              <w:rPr>
                <w:rFonts w:ascii="Arial" w:cs="Arial" w:eastAsia="Arial" w:hAnsi="Arial"/>
                <w:sz w:val="18"/>
                <w:szCs w:val="18"/>
                <w:color w:val="auto"/>
              </w:rPr>
              <w:t>101.SCH*</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700" w:type="dxa"/>
            <w:vAlign w:val="bottom"/>
            <w:gridSpan w:val="7"/>
          </w:tcPr>
          <w:p>
            <w:pPr>
              <w:spacing w:after="0"/>
              <w:rPr>
                <w:sz w:val="20"/>
                <w:szCs w:val="20"/>
                <w:color w:val="auto"/>
              </w:rPr>
            </w:pPr>
            <w:r>
              <w:rPr>
                <w:rFonts w:ascii="Arial" w:cs="Arial" w:eastAsia="Arial" w:hAnsi="Arial"/>
                <w:sz w:val="18"/>
                <w:szCs w:val="18"/>
                <w:color w:val="auto"/>
              </w:rPr>
              <w:t>101.CAL*</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Extension Calculation Linkbase</w:t>
            </w:r>
          </w:p>
        </w:tc>
      </w:tr>
      <w:tr>
        <w:trPr>
          <w:trHeight w:val="432"/>
        </w:trPr>
        <w:tc>
          <w:tcPr>
            <w:tcW w:w="1700" w:type="dxa"/>
            <w:vAlign w:val="bottom"/>
            <w:gridSpan w:val="7"/>
          </w:tcPr>
          <w:p>
            <w:pPr>
              <w:spacing w:after="0"/>
              <w:rPr>
                <w:sz w:val="20"/>
                <w:szCs w:val="20"/>
                <w:color w:val="auto"/>
              </w:rPr>
            </w:pPr>
            <w:r>
              <w:rPr>
                <w:rFonts w:ascii="Arial" w:cs="Arial" w:eastAsia="Arial" w:hAnsi="Arial"/>
                <w:sz w:val="18"/>
                <w:szCs w:val="18"/>
                <w:color w:val="auto"/>
              </w:rPr>
              <w:t>101.LAB*</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Extension Label Linkbase</w:t>
            </w:r>
          </w:p>
        </w:tc>
      </w:tr>
      <w:tr>
        <w:trPr>
          <w:trHeight w:val="432"/>
        </w:trPr>
        <w:tc>
          <w:tcPr>
            <w:tcW w:w="1700" w:type="dxa"/>
            <w:vAlign w:val="bottom"/>
            <w:gridSpan w:val="7"/>
          </w:tcPr>
          <w:p>
            <w:pPr>
              <w:spacing w:after="0"/>
              <w:rPr>
                <w:sz w:val="20"/>
                <w:szCs w:val="20"/>
                <w:color w:val="auto"/>
              </w:rPr>
            </w:pPr>
            <w:r>
              <w:rPr>
                <w:rFonts w:ascii="Arial" w:cs="Arial" w:eastAsia="Arial" w:hAnsi="Arial"/>
                <w:sz w:val="18"/>
                <w:szCs w:val="18"/>
                <w:color w:val="auto"/>
              </w:rPr>
              <w:t>101.PRE*</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Extension Presentation Linkbase</w:t>
            </w:r>
          </w:p>
        </w:tc>
      </w:tr>
      <w:tr>
        <w:trPr>
          <w:trHeight w:val="432"/>
        </w:trPr>
        <w:tc>
          <w:tcPr>
            <w:tcW w:w="1700" w:type="dxa"/>
            <w:vAlign w:val="bottom"/>
            <w:gridSpan w:val="7"/>
          </w:tcPr>
          <w:p>
            <w:pPr>
              <w:spacing w:after="0"/>
              <w:rPr>
                <w:sz w:val="20"/>
                <w:szCs w:val="20"/>
                <w:color w:val="auto"/>
              </w:rPr>
            </w:pPr>
            <w:r>
              <w:rPr>
                <w:rFonts w:ascii="Arial" w:cs="Arial" w:eastAsia="Arial" w:hAnsi="Arial"/>
                <w:sz w:val="18"/>
                <w:szCs w:val="18"/>
                <w:color w:val="auto"/>
              </w:rPr>
              <w:t>101.DEF*</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6"/>
        </w:trPr>
        <w:tc>
          <w:tcPr>
            <w:tcW w:w="10020" w:type="dxa"/>
            <w:vAlign w:val="bottom"/>
            <w:gridSpan w:val="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Report of Independent Registered Public Accounting Firm</w:t>
              </w:r>
            </w:hyperlink>
          </w:p>
        </w:tc>
        <w:tc>
          <w:tcPr>
            <w:tcW w:w="1220" w:type="dxa"/>
            <w:vAlign w:val="bottom"/>
            <w:gridSpan w:val="3"/>
            <w:shd w:val="clear" w:color="auto" w:fill="CCEEFF"/>
          </w:tcPr>
          <w:p>
            <w:pPr>
              <w:jc w:val="center"/>
              <w:spacing w:after="0" w:line="17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F-2</w:t>
              </w:r>
            </w:hyperlink>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7"/>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 xml:space="preserve">Consolidated Balance Sheets </w:t>
              </w:r>
              <w:r>
                <w:rPr>
                  <w:rFonts w:ascii="Arial" w:cs="Arial" w:eastAsia="Arial" w:hAnsi="Arial"/>
                  <w:sz w:val="18"/>
                  <w:szCs w:val="18"/>
                  <w:i w:val="1"/>
                  <w:iCs w:val="1"/>
                  <w:color w:val="0000EE"/>
                </w:rPr>
                <w:t>as of December 31, 2019 and 2018</w:t>
              </w:r>
            </w:hyperlink>
          </w:p>
        </w:tc>
        <w:tc>
          <w:tcPr>
            <w:tcW w:w="1220" w:type="dxa"/>
            <w:vAlign w:val="bottom"/>
            <w:gridSpan w:val="3"/>
            <w:shd w:val="clear" w:color="auto" w:fill="CCEEFF"/>
          </w:tcPr>
          <w:p>
            <w:pPr>
              <w:jc w:val="center"/>
              <w:spacing w:after="0" w:line="176"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F-3</w:t>
              </w:r>
            </w:hyperlink>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7"/>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 xml:space="preserve">Consolidated Statements of Operations </w:t>
              </w:r>
              <w:r>
                <w:rPr>
                  <w:rFonts w:ascii="Arial" w:cs="Arial" w:eastAsia="Arial" w:hAnsi="Arial"/>
                  <w:sz w:val="18"/>
                  <w:szCs w:val="18"/>
                  <w:i w:val="1"/>
                  <w:iCs w:val="1"/>
                  <w:color w:val="0000EE"/>
                </w:rPr>
                <w:t>for the Years ended December 31, 2019 and 2018</w:t>
              </w:r>
            </w:hyperlink>
          </w:p>
        </w:tc>
        <w:tc>
          <w:tcPr>
            <w:tcW w:w="1220" w:type="dxa"/>
            <w:vAlign w:val="bottom"/>
            <w:gridSpan w:val="3"/>
            <w:shd w:val="clear" w:color="auto" w:fill="CCEEFF"/>
          </w:tcPr>
          <w:p>
            <w:pPr>
              <w:jc w:val="center"/>
              <w:spacing w:after="0" w:line="17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F-4</w:t>
              </w:r>
            </w:hyperlink>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7"/>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 xml:space="preserve">Consolidated Statements of Stockholders' Deficit </w:t>
              </w:r>
              <w:r>
                <w:rPr>
                  <w:rFonts w:ascii="Arial" w:cs="Arial" w:eastAsia="Arial" w:hAnsi="Arial"/>
                  <w:sz w:val="18"/>
                  <w:szCs w:val="18"/>
                  <w:i w:val="1"/>
                  <w:iCs w:val="1"/>
                  <w:color w:val="0000EE"/>
                </w:rPr>
                <w:t>for the Years ended December 31, 2019 and 2018</w:t>
              </w:r>
            </w:hyperlink>
          </w:p>
        </w:tc>
        <w:tc>
          <w:tcPr>
            <w:tcW w:w="1220" w:type="dxa"/>
            <w:vAlign w:val="bottom"/>
            <w:gridSpan w:val="3"/>
            <w:shd w:val="clear" w:color="auto" w:fill="CCEEFF"/>
          </w:tcPr>
          <w:p>
            <w:pPr>
              <w:jc w:val="center"/>
              <w:spacing w:after="0" w:line="17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F-5</w:t>
              </w:r>
            </w:hyperlink>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7"/>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 xml:space="preserve">Consolidated Statements of Cash Flows </w:t>
              </w:r>
              <w:r>
                <w:rPr>
                  <w:rFonts w:ascii="Arial" w:cs="Arial" w:eastAsia="Arial" w:hAnsi="Arial"/>
                  <w:sz w:val="18"/>
                  <w:szCs w:val="18"/>
                  <w:i w:val="1"/>
                  <w:iCs w:val="1"/>
                  <w:color w:val="0000EE"/>
                </w:rPr>
                <w:t>for the Years ended December 31, 2019 and 2018</w:t>
              </w:r>
            </w:hyperlink>
          </w:p>
        </w:tc>
        <w:tc>
          <w:tcPr>
            <w:tcW w:w="1220" w:type="dxa"/>
            <w:vAlign w:val="bottom"/>
            <w:gridSpan w:val="3"/>
            <w:shd w:val="clear" w:color="auto" w:fill="CCEEFF"/>
          </w:tcPr>
          <w:p>
            <w:pPr>
              <w:jc w:val="center"/>
              <w:spacing w:after="0" w:line="17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F-6</w:t>
              </w:r>
            </w:hyperlink>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7"/>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Notes to Consolidated Financial Statements</w:t>
              </w:r>
            </w:hyperlink>
          </w:p>
        </w:tc>
        <w:tc>
          <w:tcPr>
            <w:tcW w:w="1220" w:type="dxa"/>
            <w:vAlign w:val="bottom"/>
            <w:gridSpan w:val="3"/>
            <w:shd w:val="clear" w:color="auto" w:fill="CCEEFF"/>
          </w:tcPr>
          <w:p>
            <w:pPr>
              <w:jc w:val="center"/>
              <w:spacing w:after="0" w:line="176" w:lineRule="exact"/>
              <w:rPr>
                <w:rFonts w:ascii="Arial" w:cs="Arial" w:eastAsia="Arial" w:hAnsi="Arial"/>
                <w:sz w:val="18"/>
                <w:szCs w:val="18"/>
                <w:color w:val="0000EE"/>
                <w:w w:val="96"/>
              </w:rPr>
            </w:pPr>
            <w:hyperlink w:anchor="page99">
              <w:r>
                <w:rPr>
                  <w:rFonts w:ascii="Arial" w:cs="Arial" w:eastAsia="Arial" w:hAnsi="Arial"/>
                  <w:sz w:val="18"/>
                  <w:szCs w:val="18"/>
                  <w:color w:val="0000EE"/>
                  <w:w w:val="96"/>
                </w:rPr>
                <w:t>F-8</w:t>
              </w:r>
            </w:hyperlink>
          </w:p>
        </w:tc>
      </w:tr>
      <w:tr>
        <w:trPr>
          <w:trHeight w:val="648"/>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360" w:type="dxa"/>
            <w:vAlign w:val="bottom"/>
            <w:tcBorders>
              <w:top w:val="single" w:sz="8" w:color="CCEEFF"/>
              <w:bottom w:val="single" w:sz="8" w:color="auto"/>
            </w:tcBorders>
            <w:gridSpan w:val="4"/>
          </w:tcPr>
          <w:p>
            <w:pPr>
              <w:ind w:left="840"/>
              <w:spacing w:after="0"/>
              <w:rPr>
                <w:sz w:val="20"/>
                <w:szCs w:val="20"/>
                <w:color w:val="auto"/>
              </w:rPr>
            </w:pPr>
            <w:r>
              <w:rPr>
                <w:rFonts w:ascii="Arial" w:cs="Arial" w:eastAsia="Arial" w:hAnsi="Arial"/>
                <w:sz w:val="18"/>
                <w:szCs w:val="18"/>
                <w:color w:val="auto"/>
              </w:rPr>
              <w:t>F-1</w:t>
            </w:r>
          </w:p>
        </w:tc>
        <w:tc>
          <w:tcPr>
            <w:tcW w:w="4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Acura Pharmaceuticals, Inc. (the “Company”) as of December 31, 2019 and 2018, the related consolidated statements of operations,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accumulated deficit,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BDO USA,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140"/>
              <w:spacing w:after="0"/>
              <w:rPr>
                <w:sz w:val="20"/>
                <w:szCs w:val="20"/>
                <w:color w:val="auto"/>
              </w:rPr>
            </w:pPr>
            <w:r>
              <w:rPr>
                <w:rFonts w:ascii="Arial" w:cs="Arial" w:eastAsia="Arial" w:hAnsi="Arial"/>
                <w:sz w:val="18"/>
                <w:szCs w:val="18"/>
                <w:color w:val="auto"/>
              </w:rPr>
              <w:t>Cash</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862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91</w:t>
            </w:r>
          </w:p>
        </w:tc>
      </w:tr>
      <w:tr>
        <w:trPr>
          <w:trHeight w:val="21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receivable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137</w:t>
            </w:r>
          </w:p>
        </w:tc>
      </w:tr>
      <w:tr>
        <w:trPr>
          <w:trHeight w:val="216"/>
        </w:trPr>
        <w:tc>
          <w:tcPr>
            <w:tcW w:w="8180" w:type="dxa"/>
            <w:vAlign w:val="bottom"/>
          </w:tcPr>
          <w:p>
            <w:pPr>
              <w:ind w:left="140"/>
              <w:spacing w:after="0"/>
              <w:rPr>
                <w:sz w:val="20"/>
                <w:szCs w:val="20"/>
                <w:color w:val="auto"/>
              </w:rPr>
            </w:pPr>
            <w:r>
              <w:rPr>
                <w:rFonts w:ascii="Arial" w:cs="Arial" w:eastAsia="Arial" w:hAnsi="Arial"/>
                <w:sz w:val="18"/>
                <w:szCs w:val="18"/>
                <w:color w:val="auto"/>
              </w:rPr>
              <w:t>Collaboration revenue receivable from related party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67</w:t>
            </w:r>
          </w:p>
        </w:tc>
      </w:tr>
      <w:tr>
        <w:trPr>
          <w:trHeight w:val="209"/>
        </w:trPr>
        <w:tc>
          <w:tcPr>
            <w:tcW w:w="8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606</w:t>
            </w: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Intangible asset, net of accumulated amortization of $1,190 and $983 (Note 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1,017</w:t>
            </w:r>
          </w:p>
        </w:tc>
      </w:tr>
      <w:tr>
        <w:trPr>
          <w:trHeight w:val="209"/>
        </w:trPr>
        <w:tc>
          <w:tcPr>
            <w:tcW w:w="8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237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605</w:t>
            </w:r>
          </w:p>
        </w:tc>
      </w:tr>
      <w:tr>
        <w:trPr>
          <w:trHeight w:val="21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(Note 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596</w:t>
            </w:r>
          </w:p>
        </w:tc>
      </w:tr>
      <w:tr>
        <w:trPr>
          <w:trHeight w:val="216"/>
        </w:trPr>
        <w:tc>
          <w:tcPr>
            <w:tcW w:w="8180" w:type="dxa"/>
            <w:vAlign w:val="bottom"/>
          </w:tcPr>
          <w:p>
            <w:pPr>
              <w:ind w:left="140"/>
              <w:spacing w:after="0"/>
              <w:rPr>
                <w:sz w:val="20"/>
                <w:szCs w:val="20"/>
                <w:color w:val="auto"/>
              </w:rPr>
            </w:pPr>
            <w:r>
              <w:rPr>
                <w:rFonts w:ascii="Arial" w:cs="Arial" w:eastAsia="Arial" w:hAnsi="Arial"/>
                <w:sz w:val="18"/>
                <w:szCs w:val="18"/>
                <w:color w:val="auto"/>
              </w:rPr>
              <w:t>Other current liabilities (Note 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returns liability</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223</w:t>
            </w:r>
          </w:p>
        </w:tc>
      </w:tr>
      <w:tr>
        <w:trPr>
          <w:trHeight w:val="209"/>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18"/>
                <w:szCs w:val="18"/>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to related party, net of discounts (Note 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Accrued interest to related party (Note 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110</w:t>
            </w:r>
          </w:p>
        </w:tc>
      </w:tr>
      <w:tr>
        <w:trPr>
          <w:trHeight w:val="210"/>
        </w:trPr>
        <w:tc>
          <w:tcPr>
            <w:tcW w:w="8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Stockholders’ deficit: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Common stock - $0.01 par value per share; 100,000 shares authorized, 21,300 and 21,034 shares issued and</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2019 and 2018, respectively</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w:t>
            </w:r>
          </w:p>
        </w:tc>
      </w:tr>
      <w:tr>
        <w:trPr>
          <w:trHeight w:val="216"/>
        </w:trPr>
        <w:tc>
          <w:tcPr>
            <w:tcW w:w="81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383,042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380,395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(387,996)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(384,222)</w:t>
            </w:r>
          </w:p>
        </w:tc>
      </w:tr>
      <w:tr>
        <w:trPr>
          <w:trHeight w:val="21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deficit</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8180" w:type="dxa"/>
            <w:vAlign w:val="bottom"/>
          </w:tcPr>
          <w:p>
            <w:pPr>
              <w:ind w:left="360"/>
              <w:spacing w:after="0"/>
              <w:rPr>
                <w:sz w:val="20"/>
                <w:szCs w:val="20"/>
                <w:color w:val="auto"/>
              </w:rPr>
            </w:pPr>
            <w:r>
              <w:rPr>
                <w:rFonts w:ascii="Arial" w:cs="Arial" w:eastAsia="Arial" w:hAnsi="Arial"/>
                <w:sz w:val="18"/>
                <w:szCs w:val="18"/>
                <w:color w:val="auto"/>
              </w:rPr>
              <w:t>Total liabilities and stockholders’ deficit</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r>
      <w:tr>
        <w:trPr>
          <w:trHeight w:val="426"/>
        </w:trPr>
        <w:tc>
          <w:tcPr>
            <w:tcW w:w="8180" w:type="dxa"/>
            <w:vAlign w:val="bottom"/>
          </w:tcPr>
          <w:p>
            <w:pPr>
              <w:ind w:left="332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818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F-3</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Royalties</w:t>
            </w:r>
          </w:p>
        </w:tc>
        <w:tc>
          <w:tcPr>
            <w:tcW w:w="2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372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License fees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2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1,759</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(Loss) gain on debt extinguishment (Note 7)</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(Note 7)</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Net loss</w:t>
            </w:r>
          </w:p>
        </w:tc>
        <w:tc>
          <w:tcPr>
            <w:tcW w:w="24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09"/>
        </w:trPr>
        <w:tc>
          <w:tcPr>
            <w:tcW w:w="59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98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(Note 13):</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Basic</w:t>
            </w:r>
          </w:p>
        </w:tc>
        <w:tc>
          <w:tcPr>
            <w:tcW w:w="2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(0.18)</w:t>
            </w:r>
          </w:p>
        </w:tc>
      </w:tr>
      <w:tr>
        <w:trPr>
          <w:trHeight w:val="230"/>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(0.18)</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26,720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26,720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21,146</w:t>
            </w: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4120"/>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820" w:type="dxa"/>
            <w:vAlign w:val="bottom"/>
            <w:gridSpan w:val="5"/>
          </w:tcPr>
          <w:p>
            <w:pPr>
              <w:ind w:left="7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20"/>
                <w:szCs w:val="20"/>
                <w:color w:val="auto"/>
              </w:rPr>
            </w:pPr>
          </w:p>
        </w:tc>
        <w:tc>
          <w:tcPr>
            <w:tcW w:w="1260" w:type="dxa"/>
            <w:vAlign w:val="bottom"/>
            <w:gridSpan w:val="2"/>
            <w:vMerge w:val="restart"/>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 Value</w:t>
            </w:r>
          </w:p>
        </w:tc>
        <w:tc>
          <w:tcPr>
            <w:tcW w:w="12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20"/>
                <w:szCs w:val="20"/>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Debt premium from debt modification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Issuance of warrant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(387,996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820" w:type="dxa"/>
            <w:vAlign w:val="bottom"/>
            <w:gridSpan w:val="5"/>
          </w:tcPr>
          <w:p>
            <w:pPr>
              <w:ind w:left="7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20"/>
                <w:szCs w:val="20"/>
                <w:color w:val="auto"/>
              </w:rPr>
            </w:pPr>
          </w:p>
        </w:tc>
        <w:tc>
          <w:tcPr>
            <w:tcW w:w="1260" w:type="dxa"/>
            <w:vAlign w:val="bottom"/>
            <w:gridSpan w:val="2"/>
            <w:vMerge w:val="restart"/>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 Value</w:t>
            </w:r>
          </w:p>
        </w:tc>
        <w:tc>
          <w:tcPr>
            <w:tcW w:w="12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20"/>
                <w:szCs w:val="20"/>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(380,380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restricted stock unit award plan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(3,774)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(3,842)</w:t>
            </w:r>
          </w:p>
        </w:tc>
      </w:tr>
      <w:tr>
        <w:trPr>
          <w:trHeight w:val="216"/>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73</w:t>
            </w:r>
          </w:p>
        </w:tc>
      </w:tr>
      <w:tr>
        <w:trPr>
          <w:trHeight w:val="216"/>
        </w:trPr>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share-based compensation</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218</w:t>
            </w:r>
          </w:p>
        </w:tc>
      </w:tr>
      <w:tr>
        <w:trPr>
          <w:trHeight w:val="216"/>
        </w:trPr>
        <w:tc>
          <w:tcPr>
            <w:tcW w:w="6920" w:type="dxa"/>
            <w:vAlign w:val="bottom"/>
          </w:tcPr>
          <w:p>
            <w:pPr>
              <w:ind w:left="340"/>
              <w:spacing w:after="0"/>
              <w:rPr>
                <w:sz w:val="20"/>
                <w:szCs w:val="20"/>
                <w:color w:val="auto"/>
              </w:rPr>
            </w:pPr>
            <w:r>
              <w:rPr>
                <w:rFonts w:ascii="Arial" w:cs="Arial" w:eastAsia="Arial" w:hAnsi="Arial"/>
                <w:sz w:val="18"/>
                <w:szCs w:val="18"/>
                <w:color w:val="auto"/>
              </w:rPr>
              <w:t>Capitalized debt discount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and deferred debt issue costs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w:t>
            </w:r>
          </w:p>
        </w:tc>
      </w:tr>
      <w:tr>
        <w:trPr>
          <w:trHeight w:val="216"/>
        </w:trPr>
        <w:tc>
          <w:tcPr>
            <w:tcW w:w="6920" w:type="dxa"/>
            <w:vAlign w:val="bottom"/>
          </w:tcPr>
          <w:p>
            <w:pPr>
              <w:ind w:left="340"/>
              <w:spacing w:after="0"/>
              <w:rPr>
                <w:sz w:val="20"/>
                <w:szCs w:val="20"/>
                <w:color w:val="auto"/>
              </w:rPr>
            </w:pPr>
            <w:r>
              <w:rPr>
                <w:rFonts w:ascii="Arial" w:cs="Arial" w:eastAsia="Arial" w:hAnsi="Arial"/>
                <w:sz w:val="18"/>
                <w:szCs w:val="18"/>
                <w:color w:val="auto"/>
              </w:rPr>
              <w:t>Amortization of intangible asset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207</w:t>
            </w:r>
          </w:p>
        </w:tc>
      </w:tr>
      <w:tr>
        <w:trPr>
          <w:trHeight w:val="216"/>
        </w:trPr>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debt extinguishment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6920" w:type="dxa"/>
            <w:vAlign w:val="bottom"/>
          </w:tcPr>
          <w:p>
            <w:pPr>
              <w:ind w:left="340"/>
              <w:spacing w:after="0"/>
              <w:rPr>
                <w:sz w:val="20"/>
                <w:szCs w:val="20"/>
                <w:color w:val="auto"/>
              </w:rPr>
            </w:pPr>
            <w:r>
              <w:rPr>
                <w:rFonts w:ascii="Arial" w:cs="Arial" w:eastAsia="Arial" w:hAnsi="Arial"/>
                <w:sz w:val="18"/>
                <w:szCs w:val="18"/>
                <w:color w:val="auto"/>
              </w:rPr>
              <w:t>Loss on disposals of property, plant and equipment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520"/>
              <w:spacing w:after="0"/>
              <w:rPr>
                <w:sz w:val="20"/>
                <w:szCs w:val="20"/>
                <w:color w:val="auto"/>
              </w:rPr>
            </w:pPr>
            <w:r>
              <w:rPr>
                <w:rFonts w:ascii="Arial" w:cs="Arial" w:eastAsia="Arial" w:hAnsi="Arial"/>
                <w:sz w:val="18"/>
                <w:szCs w:val="18"/>
                <w:color w:val="auto"/>
              </w:rPr>
              <w:t>Royalty receivable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Collaboration revenue receivable from related party</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109</w:t>
            </w:r>
          </w:p>
        </w:tc>
      </w:tr>
      <w:tr>
        <w:trPr>
          <w:trHeight w:val="216"/>
        </w:trPr>
        <w:tc>
          <w:tcPr>
            <w:tcW w:w="6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 receivable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602</w:t>
            </w:r>
          </w:p>
        </w:tc>
      </w:tr>
      <w:tr>
        <w:trPr>
          <w:trHeight w:val="216"/>
        </w:trPr>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6920" w:type="dxa"/>
            <w:vAlign w:val="bottom"/>
          </w:tcPr>
          <w:p>
            <w:pPr>
              <w:ind w:left="500"/>
              <w:spacing w:after="0"/>
              <w:rPr>
                <w:sz w:val="20"/>
                <w:szCs w:val="20"/>
                <w:color w:val="auto"/>
              </w:rPr>
            </w:pPr>
            <w:r>
              <w:rPr>
                <w:rFonts w:ascii="Arial" w:cs="Arial" w:eastAsia="Arial" w:hAnsi="Arial"/>
                <w:sz w:val="18"/>
                <w:szCs w:val="18"/>
                <w:color w:val="auto"/>
              </w:rPr>
              <w:t>Accrued interest on loan</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interest on related party loans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w:t>
            </w:r>
          </w:p>
        </w:tc>
      </w:tr>
      <w:tr>
        <w:trPr>
          <w:trHeight w:val="216"/>
        </w:trPr>
        <w:tc>
          <w:tcPr>
            <w:tcW w:w="6920" w:type="dxa"/>
            <w:vAlign w:val="bottom"/>
          </w:tcPr>
          <w:p>
            <w:pPr>
              <w:ind w:left="520"/>
              <w:spacing w:after="0"/>
              <w:rPr>
                <w:sz w:val="20"/>
                <w:szCs w:val="20"/>
                <w:color w:val="auto"/>
              </w:rPr>
            </w:pPr>
            <w:r>
              <w:rPr>
                <w:rFonts w:ascii="Arial" w:cs="Arial" w:eastAsia="Arial" w:hAnsi="Arial"/>
                <w:sz w:val="18"/>
                <w:szCs w:val="18"/>
                <w:color w:val="auto"/>
              </w:rPr>
              <w:t>Other current liabilities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29"/>
        </w:trPr>
        <w:tc>
          <w:tcPr>
            <w:tcW w:w="6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returns liability</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69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340"/>
              <w:spacing w:after="0"/>
              <w:rPr>
                <w:sz w:val="20"/>
                <w:szCs w:val="20"/>
                <w:color w:val="auto"/>
              </w:rPr>
            </w:pPr>
            <w:r>
              <w:rPr>
                <w:rFonts w:ascii="Arial" w:cs="Arial" w:eastAsia="Arial" w:hAnsi="Arial"/>
                <w:sz w:val="18"/>
                <w:szCs w:val="18"/>
                <w:color w:val="auto"/>
              </w:rPr>
              <w:t>Proceeds from distribution of restricted stock units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related party loans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4,350</w:t>
            </w:r>
          </w:p>
        </w:tc>
      </w:tr>
      <w:tr>
        <w:trPr>
          <w:trHeight w:val="230"/>
        </w:trPr>
        <w:tc>
          <w:tcPr>
            <w:tcW w:w="6920" w:type="dxa"/>
            <w:vAlign w:val="bottom"/>
          </w:tcPr>
          <w:p>
            <w:pPr>
              <w:ind w:left="340"/>
              <w:spacing w:after="0"/>
              <w:rPr>
                <w:sz w:val="20"/>
                <w:szCs w:val="20"/>
                <w:color w:val="auto"/>
              </w:rPr>
            </w:pPr>
            <w:r>
              <w:rPr>
                <w:rFonts w:ascii="Arial" w:cs="Arial" w:eastAsia="Arial" w:hAnsi="Arial"/>
                <w:sz w:val="18"/>
                <w:szCs w:val="18"/>
                <w:color w:val="auto"/>
              </w:rPr>
              <w:t>Principal payments loan</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(2,573)</w:t>
            </w:r>
          </w:p>
        </w:tc>
      </w:tr>
      <w:tr>
        <w:trPr>
          <w:trHeight w:val="210"/>
        </w:trPr>
        <w:tc>
          <w:tcPr>
            <w:tcW w:w="69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r>
      <w:tr>
        <w:trPr>
          <w:trHeight w:val="22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2,220</w:t>
            </w: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year</w:t>
            </w: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interest payments on loan</w:t>
            </w:r>
          </w:p>
        </w:tc>
        <w:tc>
          <w:tcPr>
            <w:tcW w:w="1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2019</w:t>
      </w:r>
    </w:p>
    <w:p>
      <w:pPr>
        <w:spacing w:after="0" w:line="225" w:lineRule="exact"/>
        <w:rPr>
          <w:sz w:val="20"/>
          <w:szCs w:val="20"/>
          <w:color w:val="auto"/>
        </w:rPr>
      </w:pPr>
    </w:p>
    <w:p>
      <w:pPr>
        <w:ind w:left="660" w:hanging="328"/>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imputed interest on the below market rate element of the $650 related party loans made to the Company through June 27, 2019, amounted to $13, and was recorded in interest income with a corresponding like amount recorded as debt discount against the principal amount of the loan.</w:t>
      </w: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June 28, 2019, modifications made to the $5,000 related party loan resulted in a debt extinguishment. A $2,600 loss on debt extinguishment was recorded comprising $1,145 for a common stock purchase warrant issued to the related party lender, the excess fair value premium on the newly issued convertible debt of $1,382, and the write-off of unamortized debt discount of $73.</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Accrued interest payable of $275 on the related party $5,000 loan was rolled into principal under modifications made to the loan occurring on June 28,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2018</w:t>
      </w:r>
    </w:p>
    <w:p>
      <w:pPr>
        <w:spacing w:after="0" w:line="225" w:lineRule="exact"/>
        <w:rPr>
          <w:sz w:val="20"/>
          <w:szCs w:val="20"/>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imputed interest on the below market rate element of the related party loans aggregating $4,350 made to the Company, amounted to $172, and was recorded in interest income with a corresponding like amount recorded as debt discount against the principal amount of the loan.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7" w:lineRule="exact"/>
        <w:rPr>
          <w:sz w:val="20"/>
          <w:szCs w:val="20"/>
          <w:color w:val="auto"/>
        </w:rPr>
      </w:pPr>
    </w:p>
    <w:p>
      <w:pPr>
        <w:jc w:val="both"/>
        <w:ind w:left="660" w:hanging="328"/>
        <w:spacing w:after="0" w:line="27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 LLC (See Note 3).</w:t>
      </w:r>
    </w:p>
    <w:p>
      <w:pPr>
        <w:spacing w:after="0" w:line="176"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Aversion Technology has been licensed to Zyla Life Sciences or Zyla (formerly known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December 31, 2019, we had cash of $862 thousand, working capital of $104 thousand and an accumulated deficit of $388 million. We had a loss from operations of $725 thousand and a net loss of $3.8 million for the year ended December 31, 2019. We have suffered recurring losses from operations and have not generated positive cash flows from operations. We anticipate operating losses to continue for the foreseeable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spacing w:after="0" w:line="267" w:lineRule="auto"/>
        <w:rPr>
          <w:sz w:val="20"/>
          <w:szCs w:val="20"/>
          <w:color w:val="auto"/>
        </w:rPr>
      </w:pPr>
      <w:r>
        <w:rPr>
          <w:rFonts w:ascii="Arial" w:cs="Arial" w:eastAsia="Arial" w:hAnsi="Arial"/>
          <w:sz w:val="17"/>
          <w:szCs w:val="17"/>
          <w:color w:val="auto"/>
        </w:rPr>
        <w:t>On June 28, 2019, we entered into with Abuse Deterrent Pharma, LLC (“AD Pharma”), a License, Development and Commercialization Agreement (the “AD Pharma Agreement”). AD Pharma has the right to terminate the AD Pharma Agreement for “convenience on 30 days prior written notice”. Under the AD Pharma Agreement, the required monthly license payments by AD Pharma will only continue until November 2020 if AD Pharma does not exercise their right to terminate the AD Pharma Agreement. To fund further operations,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Should AD Pharma exercise their right to terminate the AD Pharma Agreement, we would need to raise additional financing or enter into license or collaboration agreements with third parties relating to our technologies. The Company’s ability to raise additional capital may be adversely impacted by potential worsening global economic conditions and the recent disruptions to, and volatility in, financial markets in the United States and worldwide resulting from the ongoing COVID-19 pandemic.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financial statements include the accounts of our wholly-owned subsidiary, Acura Pharmaceutical Technologies Inc., after elimination of intercompany accounts and transactions. Amounts presented have been rounded to the nearest thousand, where indicated, except share and per share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royalty receivables and collaboration revenue receivable. The Company maintains deposits in federally insured financial institutions which are in excess of federally insured limits. However, management believes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financial instruments consist primarily of cash, royalties and collaboration receivables, trade accounts payable, and debt. The carrying amounts of these financial instruments, other than our debt, are representative of their respective fair values due to their relatively short maturities. On June 28, 2019, we restructured the $5.0 million related party loan to borrow an additional $725 thousand from Mr. Schutte, bringing the aggregate principal of the loans and accrued interest to $6.0 million, and consolidated the loans into a single promissory note, and reported the debt using fair value for the changes to the loan resulting in the recognizing a $2.6 million loss on debt extinguishment. The fair value of the $6.0 million loan at December 31, 2019 has not materially changed from its valuation of fair value of $7.4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total share-based compensation expense recognized in the Company’s results of operations from non-cash and cash-portioned instruments issued to our employees and directors comprised the following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15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RSU awards</w:t>
            </w:r>
          </w:p>
        </w:tc>
        <w:tc>
          <w:tcPr>
            <w:tcW w:w="7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awards</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RSU awards</w:t>
            </w:r>
          </w:p>
        </w:tc>
        <w:tc>
          <w:tcPr>
            <w:tcW w:w="7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7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- 40 years</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- 40 years</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- 10 years</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Scientific equipment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- 10 years</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- 10 years</w:t>
            </w:r>
          </w:p>
        </w:tc>
        <w:tc>
          <w:tcPr>
            <w:tcW w:w="3380" w:type="dxa"/>
            <w:vAlign w:val="bottom"/>
          </w:tcPr>
          <w:p>
            <w:pPr>
              <w:spacing w:after="0"/>
              <w:rPr>
                <w:sz w:val="18"/>
                <w:szCs w:val="18"/>
                <w:color w:val="auto"/>
              </w:rPr>
            </w:pPr>
          </w:p>
        </w:tc>
      </w:tr>
      <w:tr>
        <w:trPr>
          <w:trHeight w:val="648"/>
        </w:trPr>
        <w:tc>
          <w:tcPr>
            <w:tcW w:w="3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F-10</w:t>
            </w: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Intangible and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We had no impairment charges during the years 2019 or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signing the AD Pharma Agreement in June 2019, Acura will receive a monthly license payment of $350 thousand by AD Pharma for 18 months until November 2020. The first license payment was received July 2, 2019. If the NDA filing for LTX-03 is not accepted by the FDA by November 30, 2020,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and the license fee payments will stop. The license fee payments are non-refundable and non-creditable when made by AD Pharma and we had no further requirements to earn the payment. The license payment amount is recognized as revenue when received (See Note 3). During 2019 we recognized $2.1 million of license fee revenue from AD Pharma.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such as under our agreement with AD Pharma, and are recognized when costs are incurred pursuant to the agreements. The ongoing research and development services being provided under the collaboration are priced at fair value based upon the reimbursement of expenses incurred pursuant to the collaboration agreements. We recognized $185 thousand of collaboration revenue during the year 2019. We did not have collaboration revenue during the year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 revenue from royalties based on our licensees' sales of our products or products using our technologies. Royalties are sales-based royalties which are recognized as the related sales occur. These royalties were promised in exchange for a license of intellectual property.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Zyla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Zyla in accordance with the agreement. Zyla’s first commercial sale of Oxaydo occurred in October 2015 and we have recorded royalties of $351 thousand and $386 thousand on net sales for the years 2019 and 2018, respectively (See Note 3).</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MainPointe Agreement, which occurred on March 16, 2017, we are receiving a royalty of 7.5% on net sales of the licensed products over the term of the agreement. Such royalty shall be payable for sales made during each calendar quarter and payment will be remitted within forty-five</w:t>
      </w:r>
    </w:p>
    <w:p>
      <w:pPr>
        <w:ind w:firstLine="8"/>
        <w:spacing w:after="0" w:line="260" w:lineRule="auto"/>
        <w:tabs>
          <w:tab w:leader="none" w:pos="3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after the end of the quarter to which it relates. We have recorded royalties of $21 thousand and $24 thousand for the years 2019 and 2018 (See Note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 and Debt Discount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debt issuance costs include costs of debt financing undertaken by the Company, including legal fees, placement fees and other direct costs of the financing. Debt discount can be incurred from value attributable to warrants issued in conjunction with the financing and/or attributable to the below market rate element of the loan if we believe the loan’s rate of interest is below current market rates for us, as in the case of the Schutte Loans. Debt issuance costs and debt discount are amortized into interest expense over the term of the related debt using the effective interest method. Deferred debt issuance costs and debt discount are presented on the consolidated balance sheets as a direct reduction against the debt balance at December 31, 2018. On June 28, 2019, we restructured the $5.0 million related party loan and reported the debt using fair value for the changes to the loan and in doing so, the unamortized debt discount was written off as a loss on debt extinguishment. During the years ended 2019 and 2018, we recognized interest expense from the amortization of debt issuance costs and debt discount of $66 thousand and $87 thousand,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December 31, 2019 and 2018.</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development and scale-up of LTX-03 under the AD Pharma Agreement (See Note 3) we entered into obligations under non-cancelable arrangements at December 31, 2019 aggregating $502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2019 and 2018,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(Loss) per Share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net income (loss) per share is computed by dividing net income or loss by the weighted average common shares outstanding during a period, including shares weighted related to both vested Restricted Stock Units (“RSUs”) which settle in shares (See Note 12) and a stock warrant exercisable for 10.0 million shares having an exercise price of $0.01 per share (See Note 8).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As the Company reported a net loss in 2019 and 2018 the effects of common stock equivalents were excluded as the diluted net loss per share calculation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our agreement with MainPointe, we earn royalties from MainPointe sale of the licensed product line Nexafed, and under our license agreement with Zyla, we earn royalties from Zyla’s sale of the licensed product Oxaydo.</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2019 we signed a license, development and commercialization agreement with AD Pharma. Acura will receive a monthly license payment of $350 thousand by AD Pharma for 18 months until November 2020. The first license payment was received July 2, 2019. If the NDA filing for LTX-03 is not accepted by the FDA by November 30, 2020, AD Pharma has the option to terminate the agreement and take ownership of the Limitx intellectual property. Should AD Pharma choose not to exercise this option to terminate and the NDA for LTX-03 is subsequently accepted by the FDA, such option expires. AD Pharma does have the right to terminate the agreement anytime for “convenience on 30 days prior written notice” and the license fee payments will stop. On January 1, 2020, MainPointe assigned to AD Pharma, with Acura’s consent, all of its right, title and interest in the MainPointe Agreement between MainPointe and Acura dated March 16,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Clarifying the Interaction between ASC 808 and ASC 606, which clarifies that certain transactions between collaborative arrangement participants should be accounted for as revenue under ASC 606 when the collaborative arrangement participant is a customer in the context of a unit of account. In those situations, all the guidance in ASC 606 should be applied, including recognition, measurement, presentation and disclosure requirements. This ASU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The Company early adopted ASC 808 which was to be effective for fiscal years beginning after December 15, 2020, and interim periods within fiscal years beginning after December 15, 2021. The Company early adopted ASC 808 during third quarter 2019. The adoption of ASC 808 did not have an impact on the Company’s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The classification of the lease will affect the pattern of expense recognition in the income statement such that operating leases are expensed using the straight-line method whereas financing leases will be treated similarly to a capital lease under the current standard. The standard also requires disclosures to help investors and other financial statement users better understand the amount, timing and uncertainty of cash flows arising from leases.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Accounting Standards Codification Topic 840, Leases (ASC 840).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spacing w:after="0" w:line="254" w:lineRule="auto"/>
        <w:rPr>
          <w:sz w:val="20"/>
          <w:szCs w:val="20"/>
          <w:color w:val="auto"/>
        </w:rPr>
      </w:pPr>
      <w:r>
        <w:rPr>
          <w:rFonts w:ascii="Arial" w:cs="Arial" w:eastAsia="Arial" w:hAnsi="Arial"/>
          <w:sz w:val="18"/>
          <w:szCs w:val="18"/>
          <w:color w:val="auto"/>
        </w:rPr>
        <w:t>The Company adopted ASC 842 using the modified retrospective transition approach during Q1 2019, which allows the Company to not adjust the comparative periods presented. The Company has elected to adopt the package of transition practical expedients and, therefore, has not reassessed whether existing or expired contracts contain a lease or the lease classification for existing or expired. The Company did not elect the practical expedient to use hindsight for leases existing at the adoption date. Upon adoption, operating leases would be reported on the balance sheet as a gross-up of assets and liabilities, however the Company has elected, as an accounting policy, to not recognize ROU assets and lease liabilities for all short-term leases that have a lease term of 12 months or less. The adoption of ASC 842 did not have an impact on the Company’s financial statements as the Company has no leases with a term of more than 12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not yet been adopted on or before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This standard is effective for fiscal years beginning after December 15, 2019, including interim reporting periods within those years, with early adoption permitted. The Company is currently evaluating the impact that the standard will have on the financial statements and related footnote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(“ASU-2016-13”)</w:t>
      </w:r>
      <w:r>
        <w:rPr>
          <w:rFonts w:ascii="Arial" w:cs="Arial" w:eastAsia="Arial" w:hAnsi="Arial"/>
          <w:sz w:val="18"/>
          <w:szCs w:val="18"/>
          <w:color w:val="auto"/>
        </w:rPr>
        <w:t>. ASU 2016-13 affects loans, debt securities, trade receivables, and any other financial assets that have the contractual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cash. The ASU requires an entity to recognize expected credit losses rather than incurred losses for financial assets. ASU 2016-13 is effective for the fiscal year beginning after December 15, 2022, including interim periods within that fiscal year. The Company is currently evaluating the impact that the standard will have on the financial statements and related footnote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28, 2019 we entered into with Abuse Deterrent Pharma, LLC (“AD Pharma”), a License, Development and Commercialization Agreement (the "AD Pharma Agreement"), for the development and license of LTX-03 (hydrocodone bitartrate with acetaminophen) immediate-release tablets utilizing Acura’s patented LIMITx™. Acura will receive a monthly license payment of $350 thousand by AD Pharma for 18 months until November 2020. The first license payment was received July 2, 2019. AD Pharma will pay for and reimburse Acura for all outside development costs on LTX-03. If the NDA filing for LTX-03 is not accepted by the FDA by November 30, 2020,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AD Pharma retains commercialization rights from which Acura will receive stepped royalties on sales and potential sales related milestones.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spacing w:after="0" w:line="259" w:lineRule="auto"/>
        <w:rPr>
          <w:sz w:val="20"/>
          <w:szCs w:val="20"/>
          <w:color w:val="auto"/>
        </w:rPr>
      </w:pPr>
      <w:r>
        <w:rPr>
          <w:rFonts w:ascii="Arial" w:cs="Arial" w:eastAsia="Arial" w:hAnsi="Arial"/>
          <w:sz w:val="18"/>
          <w:szCs w:val="18"/>
          <w:color w:val="auto"/>
        </w:rPr>
        <w:t>On June 28, 2019 Mr. John Schutte assigned and transferred to AD Pharma his $6.0 million promissory note, the common stock purchase warrant for 10.0 million common shares, and the security agreement granting a security interest in all of the Company’s assets. (See Note 8). Mr. Schutte is our largest shareholder and directly owns approximately 47.5% of our common stock (after giving effect to the exercise of remaining common stock purchase warrants he holds). Mr. Schutte controls MainPointe and is the principal investor in AD Pharma.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Zyla Agreement covering Oxaydo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The recoverability of the Aversion intangible asset is contingent upon future Zyla royalty revenues to us. We have recorded amortization expense of $207 thousand in each of the years ended December 31, 2019 and 2018. Annual amortization of the patent for its remaining life is expected to approximate $207 thousand per year.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Egalet US, Inc. and Egalet Ltd., each a subsidiary of Egalet Corporation (now known as Zyla Life Sciences), or collectively Zyla, entered into a Collaboration and License Agreement (the “Zyla Agreement”) to commercialize Aversion Oxycodone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Zyla Agreement Zyla is responsible for the fees and expenses relating to the product line extensions of Oxaydo, provided that Zyla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Zyla paid us a $5.0 million license fee upon signing of the Zyla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Zyla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Zyla to acquire intellectual property rights to commercialize Oxaydo, with an aggregate minimum floor.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 and assignment thereof to AD Pharma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dated March 16, 2017.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December 31, 2019 or 2018.</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Zyla and MainPointe. Payments of sales-based milestones are generally due within 30 days after the end of a calendar year. Payments of royalties are generally due within 45 days after the end of a calendar quarter.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entered into an agreement with AD Pharma for the development and license of LTX-03 (hydrocodone bitartrate with acetaminophen) immediate-release tablets utilizing Acura’s patented LIMITx™ having a monthly license payment of $350 thousand from AD Pharma to us for a period of up to 18 months until November 2020. AD Pharma will pay directly for or reimburse Acura to the extent Acura pay’s for, all out-of-pocket development expenses. The first license payment was received July 2,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license agreements for currently marketed products containing its technologies; the Oxaydo product containing the Aversion Technology has been licensed to Zyla and the Nexafed products containing the Impede Technology which have been licensed to MainPointe. On January 1, 2020, MainPointe assigned to AD Pharma, with Acura’s consent, all of its right, title and interest in the MainPointe Agreement between MainPointe and Acura. All of the Company’s royalty revenues are earned from these two license agreements by the licensee’s sale of products in the United States.</w:t>
      </w:r>
    </w:p>
    <w:p>
      <w:pPr>
        <w:sectPr>
          <w:pgSz w:w="11900" w:h="16838" w:orient="portrait"/>
          <w:cols w:equalWidth="0" w:num="1">
            <w:col w:w="11240"/>
          </w:cols>
          <w:pgMar w:left="320" w:top="908"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Royalty revenues by licensee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Zyla (Oxaydo)</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MainPointe (Nexafed)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Royalty revenues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8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0"/>
              </w:rPr>
              <w:t>For the Year Ended</w:t>
            </w:r>
          </w:p>
        </w:tc>
      </w:tr>
      <w:tr>
        <w:trPr>
          <w:trHeight w:val="230"/>
        </w:trPr>
        <w:tc>
          <w:tcPr>
            <w:tcW w:w="160" w:type="dxa"/>
            <w:vAlign w:val="bottom"/>
          </w:tcPr>
          <w:p>
            <w:pPr>
              <w:spacing w:after="0"/>
              <w:rPr>
                <w:sz w:val="19"/>
                <w:szCs w:val="19"/>
                <w:color w:val="auto"/>
              </w:rPr>
            </w:pPr>
          </w:p>
        </w:tc>
        <w:tc>
          <w:tcPr>
            <w:tcW w:w="18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0" w:type="dxa"/>
            <w:vAlign w:val="bottom"/>
            <w:gridSpan w:val="2"/>
          </w:tcPr>
          <w:p>
            <w:pPr>
              <w:spacing w:after="0"/>
              <w:rPr>
                <w:sz w:val="18"/>
                <w:szCs w:val="18"/>
                <w:color w:val="auto"/>
              </w:rPr>
            </w:pPr>
          </w:p>
        </w:tc>
      </w:tr>
      <w:tr>
        <w:trPr>
          <w:trHeight w:val="209"/>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w:t>
            </w:r>
          </w:p>
        </w:tc>
        <w:tc>
          <w:tcPr>
            <w:tcW w:w="40" w:type="dxa"/>
            <w:vAlign w:val="bottom"/>
            <w:gridSpan w:val="2"/>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-445135</wp:posOffset>
            </wp:positionV>
            <wp:extent cx="356616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3566160" cy="14605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-153670</wp:posOffset>
            </wp:positionV>
            <wp:extent cx="356616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5680" w:space="720"/>
            <w:col w:w="4840"/>
          </w:cols>
          <w:pgMar w:left="320" w:top="908" w:right="339" w:bottom="1440" w:gutter="0" w:footer="0" w:header="0"/>
          <w:type w:val="continuous"/>
        </w:sectPr>
      </w:pP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contract assets and contract liability balances under the license and collaboration agreements at either December 31, 2019 or 2018.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w w:val="92"/>
              </w:rPr>
              <w:t>Property, plant and equipment is summarized as follows (in thousands):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27"/>
        </w:trPr>
        <w:tc>
          <w:tcPr>
            <w:tcW w:w="2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224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40" w:type="dxa"/>
            <w:vAlign w:val="bottom"/>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Scientific equipment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40" w:type="dxa"/>
            <w:vAlign w:val="bottom"/>
          </w:tcPr>
          <w:p>
            <w:pPr>
              <w:spacing w:after="0"/>
              <w:rPr>
                <w:sz w:val="19"/>
                <w:szCs w:val="19"/>
                <w:color w:val="auto"/>
              </w:rPr>
            </w:pPr>
          </w:p>
        </w:tc>
      </w:tr>
      <w:tr>
        <w:trPr>
          <w:trHeight w:val="209"/>
        </w:trPr>
        <w:tc>
          <w:tcPr>
            <w:tcW w:w="2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2,512</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(1,969)</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240" w:type="dxa"/>
            <w:vAlign w:val="bottom"/>
          </w:tcPr>
          <w:p>
            <w:pPr>
              <w:spacing w:after="0"/>
              <w:rPr>
                <w:sz w:val="19"/>
                <w:szCs w:val="19"/>
                <w:color w:val="auto"/>
              </w:rPr>
            </w:pPr>
          </w:p>
        </w:tc>
      </w:tr>
      <w:tr>
        <w:trPr>
          <w:trHeight w:val="210"/>
        </w:trPr>
        <w:tc>
          <w:tcPr>
            <w:tcW w:w="22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4"/>
              </w:rPr>
              <w:t>Total property, plant and equipment, net</w:t>
            </w:r>
          </w:p>
        </w:tc>
        <w:tc>
          <w:tcPr>
            <w:tcW w:w="1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40" w:type="dxa"/>
            <w:vAlign w:val="bottom"/>
          </w:tcPr>
          <w:p>
            <w:pPr>
              <w:spacing w:after="0"/>
              <w:rPr>
                <w:sz w:val="18"/>
                <w:szCs w:val="18"/>
                <w:color w:val="auto"/>
              </w:rPr>
            </w:pPr>
          </w:p>
        </w:tc>
      </w:tr>
      <w:tr>
        <w:trPr>
          <w:trHeight w:val="641"/>
        </w:trPr>
        <w:tc>
          <w:tcPr>
            <w:tcW w:w="2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967"/>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109" w:name="page110"/>
    <w:bookmarkEnd w:id="109"/>
    <w:p>
      <w:pPr>
        <w:jc w:val="both"/>
        <w:spacing w:after="0" w:line="263"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$66 thousand and $73 thousand for each of the years ended December 31, 2019 and 2018,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NOTE 6 – ACCRUED EXPENSES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2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8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8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Cost sharing expenses under license agreements</w:t>
            </w: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28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8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Professional services</w:t>
            </w: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151</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132</w:t>
            </w:r>
          </w:p>
        </w:tc>
      </w:tr>
      <w:tr>
        <w:trPr>
          <w:trHeight w:val="216"/>
        </w:trPr>
        <w:tc>
          <w:tcPr>
            <w:tcW w:w="28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Financed premiums on insurance policies</w:t>
            </w: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102</w:t>
            </w:r>
          </w:p>
        </w:tc>
      </w:tr>
      <w:tr>
        <w:trPr>
          <w:trHeight w:val="216"/>
        </w:trPr>
        <w:tc>
          <w:tcPr>
            <w:tcW w:w="28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28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29"/>
        </w:trPr>
        <w:tc>
          <w:tcPr>
            <w:tcW w:w="28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Franchise taxes</w:t>
            </w:r>
          </w:p>
        </w:tc>
        <w:tc>
          <w:tcPr>
            <w:tcW w:w="6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0"/>
        </w:trPr>
        <w:tc>
          <w:tcPr>
            <w:tcW w:w="28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Loan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2013, we entered into a Loan and Security Agreement (the “Oxford Loan Agreement”) with Oxford Finance LLC (“Oxford” or the “Lender”), for a term loan to the Company in the principal amount of $10.0 million (the “Term Loan”). The Oxford Term Loan accrued interest at a fixed rate of 8.35% per annum (with a default rate of 13.35% per annum). The Company was required to make monthly interest−only payments until April 1, 2015 (“Amortization Date”) and beginning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was due and payable in full on December 1, 2018. As security for its obligations under the initial Oxford Loan Agreement (prior to the Third Amendment), the Company granted the Lender a security interest in substantially all of its existing and after−acquired assets, exclusive of its intellectual property assets.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amortized it to interest expense over the term of the loan using the loan’s effective interest rate. The Warrants were immediately exercisable for cash or by net exercise and will expire December 27, 2020.</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2015, we and Oxford amended the Oxford Loan Agreement providing for the exercise price of the Warrants to be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a total $231 thousand in deferred debt issue costs. We amortized these costs, including debt modification additional costs, into interest expense over the term of the Term Loan using the loan’s effective interest rate of 10.16%.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spacing w:after="0" w:line="263" w:lineRule="auto"/>
        <w:rPr>
          <w:sz w:val="20"/>
          <w:szCs w:val="20"/>
          <w:color w:val="auto"/>
        </w:rPr>
      </w:pPr>
      <w:r>
        <w:rPr>
          <w:rFonts w:ascii="Arial" w:cs="Arial" w:eastAsia="Arial" w:hAnsi="Arial"/>
          <w:sz w:val="18"/>
          <w:szCs w:val="18"/>
          <w:color w:val="auto"/>
        </w:rPr>
        <w:t>In October 2018 we borrowed $1.8 million from Mr. Schutte and used loan proceeds to negotiate, settle and pay-off in full the Oxford Loan for $1.5 million. We recognized a net gain from debt settlement of $296 thousand on principal and interest which has been reflected in our statement of operations as non-operating income. All security interests of Oxford with respect to the Oxford Term Loan have been released.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Loan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December 31, 2018, we had borrowed an aggregate of $4.350 million from Mr. Schutte, a related-party. From January 1, 2019 and through June 27, 2019, we borrowed additional amounts from Mr. Schutte for $650 thousand and issued various promissory notes to him with the same terms and conditions from the previous loans (the Schutte Notes). The Schutte Notes bear interest at prime plus 2.0%, and were to mature on January 2, 2020, at which time all principal and interest was to be due. The Schutte Notes were unsecured until all obligations to Oxford were satisfied at which time we were required to grant a security interest to Mr. Schutte in all of our assets, including our intellectual property. Because we believed the Schutte Notes’ rate of interest was below current market rates for us, we imputed interest on the below market rate element of the loans using the 10.16% interest rate under the Oxford Loan Agreement and this has aggregated to $172 thousand as of December 31, 2018. We recorded these benefits to interest income, with a corresponding like amount as debt discount against the principal amount of the loan. The debt discount will be amortized to interest expense over the term on the loans. At December 31, 2018, the unamortized debt discount balance was $126 thousand and the accrued interest balance was $110 thousand. We recorded a $13 thousand benefit to interest income during 2019 from the $650 thousand borrowings from Mr. Schutte. At June 27, 2019, the unamortized debt discount balance was $73 thousand and the accrued interest balance was $275 thousand. The events of default under the Schutte Notes are limited to bankruptcy defaults and failure to pay interest and principal when due on January 2, 2020. The Schutte Notes could be prepaid at any time in whole or in part.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$4.350 million loan outstanding from Mr. Schutte as of December 31, 2018 was a borrowing of $1.8 million completed on October 5, 2018 of which we used $1.5 million to fully pay-off the debt outstanding under the Oxford Loan Agreement. All our assets are pledged as collateral under the Schutte Notes, including our intellectual property.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27, 2019 the aggregate amount of the loans made to the Company by Mr. Schutte aggregated $5.0 million. On June 28, 2019 we restructured the $5.0 million loan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loan restructuring was accounted for as debt extinguishment. We obtained a valuation of fair value on the modified loan and warrant and the method of accounting for the loan changes resulted in a $2.6 million loss on debt extinguishment. Of the loss on debt extinguishment, $1.145 million was allocated to the warrant, $1.382 million was related to the premium on the convertible loan, and $73 thousand was assignable to write-off of the original loan’s remaining unamortized debt discount. The $6.0 million promissory note, the common stock purchase warrant and the security agreement were all assigned and transferred by Mr. Schutte to AD Pharma on June 28, 2019.</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events of default under the $6.0 million note are limited to bankruptcy defaults, failure to pay interest and principal when due on July 1, 2023 or upon failure to meet certain timelines as defined in the agreement. The $6.0 million note may be prepaid at any time in whole or in part but only with the consent of the noteholder.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Our debt interest expense for the twelve months ended December 31, 2019 and 2018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r>
      <w:tr>
        <w:trPr>
          <w:trHeight w:val="21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 paid term loan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Related party term loans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discount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Debt issue costs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Financed insurance premiums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r>
      <w:tr>
        <w:trPr>
          <w:trHeight w:val="209"/>
        </w:trPr>
        <w:tc>
          <w:tcPr>
            <w:tcW w:w="6760" w:type="dxa"/>
            <w:vAlign w:val="bottom"/>
          </w:tcPr>
          <w:p>
            <w:pPr>
              <w:ind w:left="360"/>
              <w:spacing w:after="0"/>
              <w:rPr>
                <w:sz w:val="20"/>
                <w:szCs w:val="20"/>
                <w:color w:val="auto"/>
              </w:rPr>
            </w:pPr>
            <w:r>
              <w:rPr>
                <w:rFonts w:ascii="Arial" w:cs="Arial" w:eastAsia="Arial" w:hAnsi="Arial"/>
                <w:sz w:val="18"/>
                <w:szCs w:val="18"/>
                <w:color w:val="auto"/>
              </w:rPr>
              <w:t>Total interest expense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Less: imputed interest income on related party loans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r>
      <w:tr>
        <w:trPr>
          <w:trHeight w:val="229"/>
        </w:trPr>
        <w:tc>
          <w:tcPr>
            <w:tcW w:w="6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 expense, net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with Mr. John Schutte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Pharmaceuticals LLC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Investor is a principal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years ended 2019 and 2018 is $21 thousand and $24 thousand, respectively, of royalty revenue from MainPointe (See Note 3). On January 1, 2020, MainPointe assigned to AD Pharma, with Acura’s consent, all of its right, title and interest in the MainPointe Agreement between MainPointe and Acura.</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Loans with Mr. John Schutte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promissory note, the common stock purchase warrant and the security agreement were all assigned and transferred by Mr. Schutte to AD Pharma on June 28,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28, 2019, we entered into a License, Development and Commercialization Agreement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Financial arrangements include:</w:t>
      </w:r>
    </w:p>
    <w:p>
      <w:pPr>
        <w:spacing w:after="0" w:line="176" w:lineRule="exact"/>
        <w:rPr>
          <w:sz w:val="20"/>
          <w:szCs w:val="20"/>
          <w:color w:val="auto"/>
        </w:rPr>
      </w:pPr>
    </w:p>
    <w:p>
      <w:pPr>
        <w:ind w:left="66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 thousand up to the earlier of 18 months or FDA’s acceptance of a New Drug Application (“NDA”) for LTX-03;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commercialization of LTX-03, Acura receives stepped royalties on sales and is eligible for certain sales related milestones;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 Pharma may terminate the AD Pharma Agreement at any time. Additionally, if the NDA for LTX-03 is not accepted by the FDA by November 30, 2020, AD Pharma has the option to terminate the AD Pharma Agreement and take ownership of the intellectual property. Should AD Pharma choose not to exercise this option to terminate and the NDA for LTX-03 is subsequently accepted by the FDA, such option expires.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a matching contribution or a profit sharing contribution to the Plan during the years 2019 or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10 – COMMON STOCK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2019 and 2018 is shown below (in thousands except price data):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42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6"/>
              </w:rPr>
              <w:t>WAvg</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WAvg</w:t>
            </w: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4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420" w:type="dxa"/>
            <w:vAlign w:val="bottom"/>
          </w:tcPr>
          <w:p>
            <w:pPr>
              <w:ind w:left="320"/>
              <w:spacing w:after="0"/>
              <w:rPr>
                <w:sz w:val="20"/>
                <w:szCs w:val="20"/>
                <w:color w:val="auto"/>
              </w:rPr>
            </w:pPr>
            <w:r>
              <w:rPr>
                <w:rFonts w:ascii="Arial" w:cs="Arial" w:eastAsia="Arial" w:hAnsi="Arial"/>
                <w:sz w:val="18"/>
                <w:szCs w:val="18"/>
                <w:color w:val="auto"/>
              </w:rPr>
              <w:t>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ind w:left="320"/>
              <w:spacing w:after="0"/>
              <w:rPr>
                <w:sz w:val="20"/>
                <w:szCs w:val="20"/>
                <w:color w:val="auto"/>
              </w:rPr>
            </w:pPr>
            <w:r>
              <w:rPr>
                <w:rFonts w:ascii="Arial" w:cs="Arial" w:eastAsia="Arial" w:hAnsi="Arial"/>
                <w:sz w:val="18"/>
                <w:szCs w:val="18"/>
                <w:color w:val="auto"/>
              </w:rPr>
              <w:t>Expired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Modification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Outstanding, Dec. 31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7).</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July 2017 private placement transaction with Mr. Schutte, we issued warrants to purchase 1,782,531 shares of our common stock. The warrants are immediately exercisable at a price of $0.528 per share and expire five years after issuance (See Note 8). We have assigned a relative fair value of $495 thousand to the warrants out of the total $4.0 million proceeds from the private placement transaction and have accounted for these warrants as equity.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We obtained a valuation of fair value on the warrant and $1.145 million was allocated to the warrant and accounted for as equity. (see Note 7 and Note 8). The warrant was assigned and transferred by Mr. Schutte to AD Pharma on June 28,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2019 and 2018 and for the year then ended consisted of the following (in thousands except exercise price):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2"/>
              </w:rPr>
              <w:t>Year Ended December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1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920" w:type="dxa"/>
            <w:vAlign w:val="bottom"/>
          </w:tcPr>
          <w:p>
            <w:pPr>
              <w:ind w:left="3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2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2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Dec. 31</w:t>
            </w:r>
          </w:p>
        </w:tc>
        <w:tc>
          <w:tcPr>
            <w:tcW w:w="15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 31</w:t>
            </w:r>
          </w:p>
        </w:tc>
        <w:tc>
          <w:tcPr>
            <w:tcW w:w="15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641"/>
        </w:trPr>
        <w:tc>
          <w:tcPr>
            <w:tcW w:w="1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8"/>
                <w:szCs w:val="18"/>
                <w:color w:val="auto"/>
              </w:rPr>
              <w:t>F-23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The following table summarizes information about unvested stock options outstanding at December 31, 2019 (in thousands except price data):</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3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 Not</w:t>
            </w:r>
          </w:p>
        </w:tc>
        <w:tc>
          <w:tcPr>
            <w:tcW w:w="4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438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 1, 2019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43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r>
      <w:tr>
        <w:trPr>
          <w:trHeight w:val="229"/>
        </w:trPr>
        <w:tc>
          <w:tcPr>
            <w:tcW w:w="438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9"/>
                <w:szCs w:val="19"/>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model to determine fair value for the 2018 stock option grants were:</w:t>
      </w:r>
    </w:p>
    <w:p>
      <w:pPr>
        <w:spacing w:after="0" w:line="239"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no intrinsic value contained in the stock option awards which vested and were outstanding at December 31, 2019. The total remaining unrecognized compensation cost on unvested option awards outstanding at December 31, 2019 was approximately $20 thousand, and is expected to be recognized in the Company’s operating expense in varying amounts over the next eleven months remaining in the requisite service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$29 thousand and $11 thousand at December 31, 2019 and 2018,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grants under the RSU Plans as of December 31, 2019 and 2018, and for the year then ended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6"/>
              </w:rPr>
              <w:t>Year Ended December 31,</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44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9"/>
              </w:rPr>
              <w:t>Number of</w:t>
            </w:r>
          </w:p>
        </w:tc>
        <w:tc>
          <w:tcPr>
            <w:tcW w:w="180" w:type="dxa"/>
            <w:vAlign w:val="bottom"/>
          </w:tcPr>
          <w:p>
            <w:pPr>
              <w:spacing w:after="0"/>
              <w:rPr>
                <w:sz w:val="16"/>
                <w:szCs w:val="16"/>
                <w:color w:val="auto"/>
              </w:rPr>
            </w:pPr>
          </w:p>
        </w:tc>
        <w:tc>
          <w:tcPr>
            <w:tcW w:w="134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Number of</w:t>
            </w:r>
          </w:p>
        </w:tc>
        <w:tc>
          <w:tcPr>
            <w:tcW w:w="11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RSUs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Vested RSUs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RSUs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Vested RSUs</w:t>
            </w:r>
          </w:p>
        </w:tc>
        <w:tc>
          <w:tcPr>
            <w:tcW w:w="11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Distributed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Vested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Outstanding, Dec. 31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41"/>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F-24</w:t>
            </w: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5" w:name="page116"/>
    <w:bookmarkEnd w:id="115"/>
    <w:p>
      <w:pPr>
        <w:ind w:left="26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2017 RSU Plan was approved by shareholders in November 2017 and permits the grant of up to 1.5 million shares of our common stock pursuant to awards under the 2017 RSU Plan. As of December 31, 2019, approximately 219 thousand shares are available for award under the 2017 RSU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will vest 100% after one full year of service. Distributions of the vested RSU awards to the employees will be made in three equal installments on the first business day of each of January 2020, 2021, and 2022 or earlier upon a qualifying change of control.</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2018, we awarded approximately 67 thousand RSUs to each of our four non-employee directors which also allow for them to receive payment in cash, instead of stock, for up to 40% of each RSU award. Such awards vest 25% at the end of each calendar quarter in 2018. Settlement of this RSU award will occur on January 2, 2019, the first business day of the year after vesting. The portion of the RSU awards which are subject to cash settlement are also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December 2018, we awarded 488 thousand RSUs to our employees. Such RSU awards will vest 100% after one full year of service. Distributions of the vested RSU awards to the employees will be made in three equal installments on the first business day of each of January 2021, 2022, and 2023 or earlier upon a qualifying change of control.</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2019, we awarded approximately 83 thousand RSUs to each of our four non-employee directors which also allow for them to receive payment in cash, instead of stock, for up to 40% of each RSU award. Such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2"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2020, we awarded approximately 55 thousand RSUs to each of our four non-employee directors which also allow for them to receive payment in cash, instead of stock, for up to 40% of each RSU award. Such awards vest 25% at the end of each calendar quarter in 2020. Settlement of this RSU award will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2017 RSU Plan is as follows:</w:t>
      </w:r>
    </w:p>
    <w:p>
      <w:pPr>
        <w:spacing w:after="0" w:line="2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January 2019, 267 thousand RSUs were distributed to our non-employee directors from their January 2018 award and settled in common stock.</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ind w:left="660" w:right="2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January 2020, 61 thousand RSUs were distributed to our employee representing one third of their 2017 award with 51 thousand RSUs settled in common stock and 10 thousand RSUs used to settle the purchase price and employee withholding taxes.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2014 RSU Plan was approved by shareholders in May 2014 and permits the grant of up to 400 thousand shares of our common stock pursuant to awards under the 2014 RSU Plan. As of December 31, 2019, there are no longer shares available for award under the 2014 RSU Plan.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Information about the awards under the 2014 RSU Plan during 2018 and 2019 is as follows:</w:t>
      </w:r>
    </w:p>
    <w:p>
      <w:pPr>
        <w:spacing w:after="0" w:line="23" w:lineRule="exact"/>
        <w:rPr>
          <w:sz w:val="20"/>
          <w:szCs w:val="20"/>
          <w:color w:val="auto"/>
        </w:rPr>
      </w:pP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January 2017, we awarded approximately 60 thousand RSUs to each of our four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consolidated balance sheet as an estimate for such cash settlement was $41 thousand at December 31, 2017. The RSU award was settled on January 2, 2018.</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December 2018, we awarded 4 thousand RSUs to our employees. Such RSU awards will vest 100% after one full year of service. Distributions of the vested RSU awards to the employees will be made in three equal installments on the first business day of each of January 2021, 2022, and 2023 or earlier upon a qualifying change of 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3" w:lineRule="exact"/>
        <w:rPr>
          <w:sz w:val="20"/>
          <w:szCs w:val="20"/>
          <w:color w:val="auto"/>
        </w:rPr>
      </w:pPr>
    </w:p>
    <w:p>
      <w:pPr>
        <w:jc w:val="both"/>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2017, 1 thousand RSUs from the May 2014 award and 66 thousand RSUs from the January 2016 award were distributed. There were 1 thousand RSUs from the May 1 2014 award and 22 thousand RSUs from the January 2016 award which remained deferred until a future distribution date, which occurred on January 1, 2018. Of the 67 thousand RSUs distributed, 49 thousand RSUs were settled in common stock and 18 thousand RSUs were settled in cash.</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2018, 262 thousand RSUs from the 2014 RSU Plan were distributed. Of the approximately 262 thousand RSUs distributed, 238 thousand RSUs were settled in common stock and 24 thousand RSUs were settled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and requiring adjustment to 2017 deferred taxes. The Company has calculated its best estimate of the impact of the Act in its 2017 year-end income tax provision in accordance with its understanding of the Act and guidance available as of that date and as a result had no adjustment to record as an additional income tax expense in the fourth quarter of 2017, the period in which the legislation was enacted.</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remeasured its deferred tax assets and liabilities and adjusted its deferred tax balances to reflect the lower enacted U.S. corporate tax rate resulted in an income tax expense of $26.6 million which was included as a discrete item in the 2017 income tax provision. Overall, there was no impact to the 2017 tax provision as a result of the offsetting reduction of the valuation allowance. The period for determination of accounting implications of the 2017 Tax Act closed on December 22, 2018. The Company has completed their analysis and did not have any material true-ups on the positions taken in the 2017 tax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loss before taxes by the U.S. statutory tax rate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5"/>
          </w:tcPr>
          <w:p>
            <w:pPr>
              <w:jc w:val="right"/>
              <w:ind w:right="207"/>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at U.S. statutory tax rate</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(792)</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(807)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(138)</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(141)</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tax credits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Federal research and development tax credits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240" w:type="dxa"/>
            <w:vAlign w:val="bottom"/>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240" w:type="dxa"/>
            <w:vAlign w:val="bottom"/>
          </w:tcPr>
          <w:p>
            <w:pPr>
              <w:spacing w:after="0"/>
              <w:rPr>
                <w:sz w:val="19"/>
                <w:szCs w:val="19"/>
                <w:color w:val="auto"/>
              </w:rPr>
            </w:pPr>
          </w:p>
        </w:tc>
      </w:tr>
      <w:tr>
        <w:trPr>
          <w:trHeight w:val="210"/>
        </w:trPr>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420" w:type="dxa"/>
            <w:vAlign w:val="bottom"/>
          </w:tcPr>
          <w:p>
            <w:pPr>
              <w:spacing w:after="0"/>
              <w:rPr>
                <w:sz w:val="18"/>
                <w:szCs w:val="18"/>
                <w:color w:val="auto"/>
              </w:rPr>
            </w:pPr>
          </w:p>
        </w:tc>
        <w:tc>
          <w:tcPr>
            <w:tcW w:w="740" w:type="dxa"/>
            <w:vAlign w:val="bottom"/>
            <w:tcBorders>
              <w:bottom w:val="single" w:sz="8" w:color="auto"/>
            </w:tcBorders>
          </w:tcPr>
          <w:p>
            <w:pPr>
              <w:jc w:val="right"/>
              <w:ind w:right="58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8"/>
                <w:szCs w:val="18"/>
                <w:color w:val="auto"/>
              </w:rPr>
            </w:pPr>
          </w:p>
        </w:tc>
      </w:tr>
      <w:tr>
        <w:trPr>
          <w:trHeight w:val="641"/>
        </w:trPr>
        <w:tc>
          <w:tcPr>
            <w:tcW w:w="2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F-26</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$167.8 million gross Federal NOLs at December 31, 2019 (of which approximately $160.2 million was generated prior to January 1,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The components of our deferred tax assets are as follows (in thousands):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2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6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ind w:left="260"/>
              <w:spacing w:after="0"/>
              <w:rPr>
                <w:sz w:val="20"/>
                <w:szCs w:val="20"/>
                <w:color w:val="auto"/>
              </w:rPr>
            </w:pPr>
            <w:r>
              <w:rPr>
                <w:rFonts w:ascii="Arial" w:cs="Arial" w:eastAsia="Arial" w:hAnsi="Arial"/>
                <w:sz w:val="18"/>
                <w:szCs w:val="18"/>
                <w:color w:val="auto"/>
              </w:rPr>
              <w:t>Estimated future value of NOLs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Federal</w:t>
            </w:r>
          </w:p>
        </w:tc>
        <w:tc>
          <w:tcPr>
            <w:tcW w:w="9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 State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 tax credits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 Federal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State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3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r>
      <w:tr>
        <w:trPr>
          <w:trHeight w:val="210"/>
        </w:trPr>
        <w:tc>
          <w:tcPr>
            <w:tcW w:w="2260" w:type="dxa"/>
            <w:vAlign w:val="bottom"/>
          </w:tcPr>
          <w:p>
            <w:pPr>
              <w:spacing w:after="0"/>
              <w:rPr>
                <w:sz w:val="18"/>
                <w:szCs w:val="18"/>
                <w:color w:val="auto"/>
              </w:rPr>
            </w:pPr>
          </w:p>
        </w:tc>
        <w:tc>
          <w:tcPr>
            <w:tcW w:w="3680" w:type="dxa"/>
            <w:vAlign w:val="bottom"/>
          </w:tcPr>
          <w:p>
            <w:pPr>
              <w:ind w:left="480"/>
              <w:spacing w:after="0"/>
              <w:rPr>
                <w:sz w:val="20"/>
                <w:szCs w:val="20"/>
                <w:color w:val="auto"/>
              </w:rPr>
            </w:pPr>
            <w:r>
              <w:rPr>
                <w:rFonts w:ascii="Arial" w:cs="Arial" w:eastAsia="Arial" w:hAnsi="Arial"/>
                <w:sz w:val="18"/>
                <w:szCs w:val="18"/>
                <w:color w:val="auto"/>
              </w:rPr>
              <w:t>Total deferred taxes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4,442</w:t>
            </w:r>
          </w:p>
        </w:tc>
        <w:tc>
          <w:tcPr>
            <w:tcW w:w="60" w:type="dxa"/>
            <w:vAlign w:val="bottom"/>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r>
      <w:tr>
        <w:trPr>
          <w:trHeight w:val="210"/>
        </w:trPr>
        <w:tc>
          <w:tcPr>
            <w:tcW w:w="2260" w:type="dxa"/>
            <w:vAlign w:val="bottom"/>
          </w:tcPr>
          <w:p>
            <w:pPr>
              <w:spacing w:after="0"/>
              <w:rPr>
                <w:sz w:val="18"/>
                <w:szCs w:val="18"/>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Net deferred tax assets</w:t>
            </w: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both December 31, 2019 and 2018,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FASB’s statement regarding accounting for uncertainty in income taxes which defined the threshold for recognizing the benefits of tax-return positions in the consolidated financial statements as "more-likely-than-not" to be sustained by the taxing authorities. At each of December 31, 2019 and 2018,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spacing w:after="0" w:line="286"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2019, the Company’s tax years of 2016, 2017 and 2018 are subject to examination by the taxing authorities. With few exceptions, we believe the Company is no longer subject to U.S. Federal, State and local examinations by taxing authorities for years before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(LOSS) INCOME PER SHARE</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reconciliation of the numerators and denominators of basic and diluted earnings (loss) per share (“EPS”) consisted of the following (in thousands except per share data):</w:t>
      </w:r>
    </w:p>
    <w:tbl>
      <w:tblPr>
        <w:tblLayout w:type="fixed"/>
        <w:tblInd w:w="0" w:type="dxa"/>
        <w:tblCellMar>
          <w:top w:w="0" w:type="dxa"/>
          <w:left w:w="0" w:type="dxa"/>
          <w:bottom w:w="0" w:type="dxa"/>
          <w:right w:w="0" w:type="dxa"/>
        </w:tblCellMar>
      </w:tblPr>
      <w:tr>
        <w:trPr>
          <w:trHeight w:val="199"/>
        </w:trPr>
        <w:tc>
          <w:tcPr>
            <w:tcW w:w="6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4"/>
          </w:tcPr>
          <w:p>
            <w:pPr>
              <w:jc w:val="right"/>
              <w:ind w:right="10"/>
              <w:spacing w:after="0" w:line="199" w:lineRule="exact"/>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6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 and diluted</w:t>
            </w:r>
          </w:p>
        </w:tc>
        <w:tc>
          <w:tcPr>
            <w:tcW w:w="2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Numerator: net loss</w:t>
            </w:r>
          </w:p>
        </w:tc>
        <w:tc>
          <w:tcPr>
            <w:tcW w:w="2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21,300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21,033</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 - vested</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29"/>
        </w:trPr>
        <w:tc>
          <w:tcPr>
            <w:tcW w:w="6200" w:type="dxa"/>
            <w:vAlign w:val="bottom"/>
          </w:tcPr>
          <w:p>
            <w:pPr>
              <w:ind w:left="320"/>
              <w:spacing w:after="0"/>
              <w:rPr>
                <w:sz w:val="20"/>
                <w:szCs w:val="20"/>
                <w:color w:val="auto"/>
              </w:rPr>
            </w:pPr>
            <w:r>
              <w:rPr>
                <w:rFonts w:ascii="Arial" w:cs="Arial" w:eastAsia="Arial" w:hAnsi="Arial"/>
                <w:sz w:val="18"/>
                <w:szCs w:val="18"/>
                <w:color w:val="auto"/>
              </w:rPr>
              <w:t>Common stock purchase warrant</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5,124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(loss) per share – basic and diluted</w:t>
            </w:r>
          </w:p>
        </w:tc>
        <w:tc>
          <w:tcPr>
            <w:tcW w:w="2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Excluded securities (non-weighted):</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issuable:</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420"/>
              <w:spacing w:after="0"/>
              <w:rPr>
                <w:sz w:val="20"/>
                <w:szCs w:val="20"/>
                <w:color w:val="auto"/>
              </w:rPr>
            </w:pPr>
            <w:r>
              <w:rPr>
                <w:rFonts w:ascii="Arial" w:cs="Arial" w:eastAsia="Arial" w:hAnsi="Arial"/>
                <w:sz w:val="18"/>
                <w:szCs w:val="18"/>
                <w:color w:val="auto"/>
              </w:rPr>
              <w:t>RSUs – vested and nonvested</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 vested and nonvested</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420"/>
              <w:spacing w:after="0"/>
              <w:rPr>
                <w:sz w:val="20"/>
                <w:szCs w:val="20"/>
                <w:color w:val="auto"/>
              </w:rPr>
            </w:pPr>
            <w:r>
              <w:rPr>
                <w:rFonts w:ascii="Arial" w:cs="Arial" w:eastAsia="Arial" w:hAnsi="Arial"/>
                <w:sz w:val="18"/>
                <w:szCs w:val="18"/>
                <w:color w:val="auto"/>
              </w:rPr>
              <w:t>Common stock purchase warrants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loan</w:t>
            </w: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37,500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6200" w:type="dxa"/>
            <w:vAlign w:val="bottom"/>
          </w:tcPr>
          <w:p>
            <w:pPr>
              <w:ind w:left="200"/>
              <w:spacing w:after="0"/>
              <w:rPr>
                <w:sz w:val="20"/>
                <w:szCs w:val="20"/>
                <w:color w:val="auto"/>
              </w:rPr>
            </w:pPr>
            <w:r>
              <w:rPr>
                <w:rFonts w:ascii="Arial" w:cs="Arial" w:eastAsia="Arial" w:hAnsi="Arial"/>
                <w:sz w:val="18"/>
                <w:szCs w:val="18"/>
                <w:color w:val="auto"/>
              </w:rPr>
              <w:t>Total excluded common shares</w:t>
            </w:r>
          </w:p>
        </w:tc>
        <w:tc>
          <w:tcPr>
            <w:tcW w:w="2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first quarter of 2020. Legal fees related to this matter have been covered by our insurance carrier. Based upon the current status and evaluation, we have not accrued for any potential loss related to these matters as of December 31,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Facility 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on a month to month basis at the rate of approximately $2 thousand per month.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is affecting the United States and global economies. If the outbreak continues to spread,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 There are risks that it may be more difficult to contain if the outbreak reaches a larger population or broader geography, in which case the risks described herein could be elevated significantly. 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 The ultimate impact of coronavirus is highly uncertain and subject to change. The Company does not yet know the full extent of potential delays or impacts on its business, financing </w:t>
      </w:r>
      <w:r>
        <w:rPr>
          <w:rFonts w:ascii="Arial" w:cs="Arial" w:eastAsia="Arial" w:hAnsi="Arial"/>
          <w:sz w:val="16"/>
          <w:szCs w:val="16"/>
          <w:color w:val="FF0000"/>
        </w:rPr>
        <w:t>,</w:t>
      </w:r>
      <w:r>
        <w:rPr>
          <w:rFonts w:ascii="Arial" w:cs="Arial" w:eastAsia="Arial" w:hAnsi="Arial"/>
          <w:sz w:val="16"/>
          <w:szCs w:val="16"/>
          <w:color w:val="auto"/>
        </w:rPr>
        <w:t xml:space="preserve">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License, Development and Commercialization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June 28, 2019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 Abuse Deterrent Pharmaceuticals, LLC, with offices at 333 E. Main Street, Suite 220, Louisville, Kentucky 40202 (“</w:t>
      </w:r>
      <w:r>
        <w:rPr>
          <w:rFonts w:ascii="Arial" w:cs="Arial" w:eastAsia="Arial" w:hAnsi="Arial"/>
          <w:sz w:val="18"/>
          <w:szCs w:val="18"/>
          <w:b w:val="1"/>
          <w:bCs w:val="1"/>
          <w:color w:val="auto"/>
        </w:rPr>
        <w:t>AD Pharma</w:t>
      </w:r>
      <w:r>
        <w:rPr>
          <w:rFonts w:ascii="Arial" w:cs="Arial" w:eastAsia="Arial" w:hAnsi="Arial"/>
          <w:sz w:val="18"/>
          <w:szCs w:val="18"/>
          <w:color w:val="auto"/>
        </w:rPr>
        <w:t>”), and Acura Pharmaceuticals, Inc., with offices at 616 N. North Court, Palatine IL 60067 (“</w:t>
      </w:r>
      <w:r>
        <w:rPr>
          <w:rFonts w:ascii="Arial" w:cs="Arial" w:eastAsia="Arial" w:hAnsi="Arial"/>
          <w:sz w:val="18"/>
          <w:szCs w:val="18"/>
          <w:b w:val="1"/>
          <w:bCs w:val="1"/>
          <w:color w:val="auto"/>
        </w:rPr>
        <w:t>Acura</w:t>
      </w:r>
      <w:r>
        <w:rPr>
          <w:rFonts w:ascii="Arial" w:cs="Arial" w:eastAsia="Arial" w:hAnsi="Arial"/>
          <w:sz w:val="18"/>
          <w:szCs w:val="18"/>
          <w:color w:val="auto"/>
        </w:rPr>
        <w:t>”). AD Pharma and Acura each are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as a “Party” and collectively as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Acura has developed LIMITx™ Technology intended to retard the release of drug from tablets when multiple tablets are ingested;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AD Pharma and its Affiliates have substantial expertise in the distribution, sales and marketing of healthcare products;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Acura wishes to grant to AD Pharma, and AD Pharma wishes to obtain, the rights to the LIMITx™ Technology to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the Product in the Territory (each as herein defined);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promises, covenants and conditions contained in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w:t>
            </w:r>
          </w:p>
        </w:tc>
      </w:tr>
      <w:tr>
        <w:trPr>
          <w:trHeight w:val="234"/>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DEFINITIONS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1.1</w:t>
            </w:r>
          </w:p>
        </w:tc>
        <w:tc>
          <w:tcPr>
            <w:tcW w:w="100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Acura Indemnitees</w:t>
            </w:r>
            <w:r>
              <w:rPr>
                <w:rFonts w:ascii="Arial" w:cs="Arial" w:eastAsia="Arial" w:hAnsi="Arial"/>
                <w:sz w:val="18"/>
                <w:szCs w:val="18"/>
                <w:color w:val="auto"/>
              </w:rPr>
              <w:t>” is defined in Section 5.3</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1.2</w:t>
            </w:r>
          </w:p>
        </w:tc>
        <w:tc>
          <w:tcPr>
            <w:tcW w:w="10040" w:type="dxa"/>
            <w:vAlign w:val="bottom"/>
          </w:tcPr>
          <w:p>
            <w:pPr>
              <w:ind w:left="4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Affiliate</w:t>
            </w:r>
            <w:r>
              <w:rPr>
                <w:rFonts w:ascii="Arial" w:cs="Arial" w:eastAsia="Arial" w:hAnsi="Arial"/>
                <w:sz w:val="18"/>
                <w:szCs w:val="18"/>
                <w:color w:val="auto"/>
                <w:w w:val="94"/>
              </w:rPr>
              <w:t>” means any corporation or other entity, which directly or indirectly controls, is controlled by or is under common control</w:t>
            </w:r>
          </w:p>
        </w:tc>
      </w:tr>
    </w:tbl>
    <w:p>
      <w:pPr>
        <w:jc w:val="both"/>
        <w:spacing w:after="0" w:line="270" w:lineRule="auto"/>
        <w:rPr>
          <w:sz w:val="20"/>
          <w:szCs w:val="20"/>
          <w:color w:val="auto"/>
        </w:rPr>
      </w:pPr>
      <w:r>
        <w:rPr>
          <w:rFonts w:ascii="Arial" w:cs="Arial" w:eastAsia="Arial" w:hAnsi="Arial"/>
          <w:sz w:val="17"/>
          <w:szCs w:val="17"/>
          <w:color w:val="auto"/>
        </w:rPr>
        <w:t>with a Party. A corporation or other entity shall be regarded as in control of another corporation or entity if it owns or directly or indirectly controls more than Fifty Percent (50%) of the voting stock or other ownership interest of the other corporation or entity, or if it possesses, directly or indirectly, the power to direct or cause the direction of the management and policies of the corporation or other entity or the power to elect or appoint more than Fifty Percent (50%) of the members of the governing body of the corporation or other entity. Notwithstanding the foregoing, a private equity or venture capital firm with an ownership interest in an entity shall not be an Affiliate by reason of such ownership and portfolio companies of a private equity firm or a venture capital firm shall not be Affiliates or a Party by virtue of the private equity firm or venture capital firm being Affiliates of a Party.</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 Product</w:t>
      </w:r>
      <w:r>
        <w:rPr>
          <w:rFonts w:ascii="Arial" w:cs="Arial" w:eastAsia="Arial" w:hAnsi="Arial"/>
          <w:sz w:val="18"/>
          <w:szCs w:val="18"/>
          <w:color w:val="auto"/>
        </w:rPr>
        <w:t>” means an immediate release pharmaceutical product containing [*****] as its sole active ingredient and utilizing the LIMITX™ Technology in [*****] dosage strengths.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Portions of this information have been redacted pursuant to Reg S-K, items 601(b)(10)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648"/>
        <w:spacing w:after="0" w:line="261"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domestic or foreign, federal, state or local statute, treaty, law, ordinance, rule, regulation, administrative interpretation, order, writ, injunction, judicial decision, decree or other requirement of any governmental authority, including any rules, regulations or other requirements of the Regulatory Authorities in the Territory, applicable to such Person or any of such Person’s respective properties, assets, officers, directors, employees, consultants or agents.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1.5</w:t>
            </w:r>
          </w:p>
        </w:tc>
        <w:tc>
          <w:tcPr>
            <w:tcW w:w="100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 Party</w:t>
            </w:r>
            <w:r>
              <w:rPr>
                <w:rFonts w:ascii="Arial" w:cs="Arial" w:eastAsia="Arial" w:hAnsi="Arial"/>
                <w:sz w:val="18"/>
                <w:szCs w:val="18"/>
                <w:color w:val="auto"/>
              </w:rPr>
              <w:t>” is defined in Section 10.2.1.</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1.6</w:t>
            </w:r>
          </w:p>
        </w:tc>
        <w:tc>
          <w:tcPr>
            <w:tcW w:w="100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5.2.</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1.7</w:t>
            </w:r>
          </w:p>
        </w:tc>
        <w:tc>
          <w:tcPr>
            <w:tcW w:w="10040" w:type="dxa"/>
            <w:vAlign w:val="bottom"/>
          </w:tcPr>
          <w:p>
            <w:pPr>
              <w:ind w:left="3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Commercially Reasonable Efforts</w:t>
            </w:r>
            <w:r>
              <w:rPr>
                <w:rFonts w:ascii="Arial" w:cs="Arial" w:eastAsia="Arial" w:hAnsi="Arial"/>
                <w:sz w:val="18"/>
                <w:szCs w:val="18"/>
                <w:color w:val="auto"/>
                <w:w w:val="91"/>
              </w:rPr>
              <w:t>” means the efforts and resources which would be used (including the promptness in which such</w:t>
            </w:r>
          </w:p>
        </w:tc>
      </w:tr>
    </w:tbl>
    <w:p>
      <w:pPr>
        <w:jc w:val="both"/>
        <w:spacing w:after="0" w:line="271" w:lineRule="auto"/>
        <w:rPr>
          <w:sz w:val="20"/>
          <w:szCs w:val="20"/>
          <w:color w:val="auto"/>
        </w:rPr>
      </w:pPr>
      <w:r>
        <w:rPr>
          <w:rFonts w:ascii="Arial" w:cs="Arial" w:eastAsia="Arial" w:hAnsi="Arial"/>
          <w:sz w:val="17"/>
          <w:szCs w:val="17"/>
          <w:color w:val="auto"/>
        </w:rPr>
        <w:t>efforts and resources would be applied) by a Party consistent with its normal business practices and in compliance with Applicable Law and the exercise of prudent scientific and business judgment, which in no event shall be less than the level of efforts and resources standard in the pharmaceutical industry for a company similar in size and scope to such Party, with respect to a product or potential product at a similar stage in its development and with similar market potential or product life cycle taking into account efficacy, safety, commercial value, the competitiveness of alternative products of Third Parties that are in the marketplace, and the Patent Rights and other proprietary position of such product.</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1.8</w:t>
            </w:r>
          </w:p>
        </w:tc>
        <w:tc>
          <w:tcPr>
            <w:tcW w:w="100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is defined in Section 4.1 below.</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1.9</w:t>
            </w:r>
          </w:p>
        </w:tc>
        <w:tc>
          <w:tcPr>
            <w:tcW w:w="10040" w:type="dxa"/>
            <w:vAlign w:val="bottom"/>
          </w:tcPr>
          <w:p>
            <w:pPr>
              <w:ind w:left="3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Competing Product</w:t>
            </w:r>
            <w:r>
              <w:rPr>
                <w:rFonts w:ascii="Arial" w:cs="Arial" w:eastAsia="Arial" w:hAnsi="Arial"/>
                <w:sz w:val="18"/>
                <w:szCs w:val="18"/>
                <w:color w:val="auto"/>
                <w:w w:val="90"/>
              </w:rPr>
              <w:t>” means a prescription product that contains hydrocodone and acetaminophen in a solid, oral dosage form, other</w:t>
            </w:r>
          </w:p>
        </w:tc>
      </w:tr>
    </w:tbl>
    <w:p>
      <w:pPr>
        <w:spacing w:after="0"/>
        <w:rPr>
          <w:sz w:val="20"/>
          <w:szCs w:val="20"/>
          <w:color w:val="auto"/>
        </w:rPr>
      </w:pPr>
      <w:r>
        <w:rPr>
          <w:rFonts w:ascii="Arial" w:cs="Arial" w:eastAsia="Arial" w:hAnsi="Arial"/>
          <w:sz w:val="18"/>
          <w:szCs w:val="18"/>
          <w:color w:val="auto"/>
        </w:rPr>
        <w:t>than the Product or Product Line Extension.</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Intellectual Property Rights, ownership or the possession of the ability by license or otherwise to assign or grant a license or sublicense to or disclose such Intellectual Property Rights without violating the terms of any agreement or other arrangement, express or implied, with any Third Party.</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above.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FD&amp;C Act</w:t>
      </w:r>
      <w:r>
        <w:rPr>
          <w:rFonts w:ascii="Arial" w:cs="Arial" w:eastAsia="Arial" w:hAnsi="Arial"/>
          <w:sz w:val="18"/>
          <w:szCs w:val="18"/>
          <w:color w:val="auto"/>
        </w:rPr>
        <w:t>” means that federal statute entitled the Federal Food, Drug, and Cosmetic Act and enacted in 1938 as Public Law 75-717, as such may have been amended, and which is contained in Title 21 of the C.F.R. Section 301 et seq.</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any successor thereto.</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prescription (“Rx”) products.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effect in the United States from time to time applied on a consistent basis.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Gross Sales</w:t>
      </w:r>
      <w:r>
        <w:rPr>
          <w:rFonts w:ascii="Arial" w:cs="Arial" w:eastAsia="Arial" w:hAnsi="Arial"/>
          <w:sz w:val="18"/>
          <w:szCs w:val="18"/>
          <w:color w:val="auto"/>
        </w:rPr>
        <w:t>” means the U.S. Dollar value (with sales in foreign currency converted as per Section 3.7) of all consideration to which AD Pharma, its Affiliates and licensees is entitled for the sale of the Product and Product Line Extension. In the event AD Pharma sells the Product or Product Line Extension for less than fair market value, the fair market value of such Product or Product Line Extension (as if there had been a sale for fair market value to a Third Party) shall be included in Gross Sales.</w:t>
      </w:r>
    </w:p>
    <w:p>
      <w:pPr>
        <w:spacing w:after="0" w:line="396" w:lineRule="exact"/>
        <w:rPr>
          <w:sz w:val="20"/>
          <w:szCs w:val="20"/>
          <w:color w:val="auto"/>
        </w:rPr>
      </w:pPr>
    </w:p>
    <w:p>
      <w:pPr>
        <w:ind w:left="5580" w:right="2060" w:hanging="3513"/>
        <w:spacing w:after="0" w:line="532" w:lineRule="auto"/>
        <w:tabs>
          <w:tab w:leader="none" w:pos="255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2" w:name="page123"/>
    <w:bookmarkEnd w:id="122"/>
    <w:p>
      <w:pPr>
        <w:ind w:left="660"/>
        <w:spacing w:after="0"/>
        <w:tabs>
          <w:tab w:leader="none" w:pos="14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is defined in Section 5.4(a)</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is defined in Section 5.4(a).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Know-How, registered trademarks, trademark applications, unregistered trademarks, trade dress, copyrights, and Patent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Know-How</w:t>
      </w:r>
      <w:r>
        <w:rPr>
          <w:rFonts w:ascii="Arial" w:cs="Arial" w:eastAsia="Arial" w:hAnsi="Arial"/>
          <w:sz w:val="18"/>
          <w:szCs w:val="18"/>
          <w:color w:val="auto"/>
        </w:rPr>
        <w:t>” means information Controlled by Acura and related to retarding the release of active ingredients from pharmaceutical product when multiple dosages are ingested and encompassing manufacturing techniques, process, quality information, batch records (un-redacted master and executed), formulation composition and excipient specifications, formation development reports; batch summaries, and analytical methods and development/validation.</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LIMITx™ Regulatory Application Submission Timeline</w:t>
      </w:r>
      <w:r>
        <w:rPr>
          <w:rFonts w:ascii="Arial" w:cs="Arial" w:eastAsia="Arial" w:hAnsi="Arial"/>
          <w:sz w:val="16"/>
          <w:szCs w:val="16"/>
          <w:color w:val="auto"/>
        </w:rPr>
        <w:t>” is defined in Section 3.1.4.</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LIMITx™ Patent Rights</w:t>
      </w:r>
      <w:r>
        <w:rPr>
          <w:rFonts w:ascii="Arial" w:cs="Arial" w:eastAsia="Arial" w:hAnsi="Arial"/>
          <w:sz w:val="18"/>
          <w:szCs w:val="18"/>
          <w:color w:val="auto"/>
        </w:rPr>
        <w:t xml:space="preserve">” means the Patent Rights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that disclose or claim Acura’s LIMITx™ Technology and that are Controlled by Acura or its Affiliates during the Term, including issued patents resulting from such applications, and all divisionals, continuations, continuations-in-part, substitutions, reissues, reexaminations, extensions, registrations, patents and applications to which priority is claimed, patent term extensions and renewals of the foregoing, including foreign counterparts thereof.</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color w:val="auto"/>
        </w:rPr>
        <w:t>LIMITx™ Technology</w:t>
      </w:r>
      <w:r>
        <w:rPr>
          <w:rFonts w:ascii="Arial" w:cs="Arial" w:eastAsia="Arial" w:hAnsi="Arial"/>
          <w:sz w:val="17"/>
          <w:szCs w:val="17"/>
          <w:color w:val="auto"/>
        </w:rPr>
        <w:t>” means the technology for retarding the release of active ingredients from pharmaceutical product when multiple dosages are ingested as reflected in the LIMITX™ Patent Rights and any related Know-How that is Controlled by Acura as of the Effective Date or at any time during the Term, including any technology retarding the release of active ingredients from pharmaceutical product when multiple dosages are ingested Controlled by Acura during the Term that would infringe the LIMITx™ Patent Rights if utilized by a third party.</w:t>
      </w:r>
    </w:p>
    <w:p>
      <w:pPr>
        <w:spacing w:after="0" w:line="1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is defined in Section 5.2.</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 Pharma Indemnitees</w:t>
      </w:r>
      <w:r>
        <w:rPr>
          <w:rFonts w:ascii="Arial" w:cs="Arial" w:eastAsia="Arial" w:hAnsi="Arial"/>
          <w:sz w:val="16"/>
          <w:szCs w:val="16"/>
          <w:color w:val="auto"/>
        </w:rPr>
        <w:t>” is defined in Section 5.2.</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Payments</w:t>
      </w:r>
      <w:r>
        <w:rPr>
          <w:rFonts w:ascii="Arial" w:cs="Arial" w:eastAsia="Arial" w:hAnsi="Arial"/>
          <w:sz w:val="16"/>
          <w:szCs w:val="16"/>
          <w:color w:val="auto"/>
        </w:rPr>
        <w:t>” is defined in Section 3.4.</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Net Sales</w:t>
      </w:r>
      <w:r>
        <w:rPr>
          <w:rFonts w:ascii="Arial" w:cs="Arial" w:eastAsia="Arial" w:hAnsi="Arial"/>
          <w:sz w:val="17"/>
          <w:szCs w:val="17"/>
          <w:color w:val="auto"/>
        </w:rPr>
        <w:t>” means the Gross Sales reduced by deductions, without duplication, for each of the following to the extent actually incurred, allowed or accrued, and without duplication (a) returns, (b) cash discounts, (c) coupons, (d) listing fees, (e) credits, (f) trade rebates, (g) shipping costs, (h) sales and excise taxes, other consumption taxes, and (i) other governmental charges. Net Sales, as set forth in this definition, shall be calculated applying, in accordance with GAAP, AD Pharma's standard accounting practices for selling AD Pharma's other products.</w:t>
      </w:r>
    </w:p>
    <w:p>
      <w:pPr>
        <w:spacing w:after="0" w:line="200" w:lineRule="exact"/>
        <w:rPr>
          <w:sz w:val="20"/>
          <w:szCs w:val="20"/>
          <w:color w:val="auto"/>
        </w:rPr>
      </w:pPr>
    </w:p>
    <w:p>
      <w:pPr>
        <w:spacing w:after="0" w:line="397" w:lineRule="exact"/>
        <w:rPr>
          <w:sz w:val="20"/>
          <w:szCs w:val="20"/>
          <w:color w:val="auto"/>
        </w:rPr>
      </w:pPr>
    </w:p>
    <w:p>
      <w:pPr>
        <w:ind w:left="5580" w:right="2060" w:hanging="3513"/>
        <w:spacing w:after="0" w:line="532" w:lineRule="auto"/>
        <w:tabs>
          <w:tab w:leader="none" w:pos="255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60"/>
        <w:spacing w:after="0"/>
        <w:tabs>
          <w:tab w:leader="none" w:pos="14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Nexafed</w:t>
      </w:r>
      <w:r>
        <w:rPr>
          <w:rFonts w:ascii="Arial" w:cs="Arial" w:eastAsia="Arial" w:hAnsi="Arial"/>
          <w:sz w:val="26"/>
          <w:szCs w:val="26"/>
          <w:b w:val="1"/>
          <w:b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is defined in Section 3.12.</w:t>
      </w:r>
    </w:p>
    <w:p>
      <w:pPr>
        <w:spacing w:after="0" w:line="17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Paragraph IV Certification</w:t>
      </w:r>
      <w:r>
        <w:rPr>
          <w:rFonts w:ascii="Arial" w:cs="Arial" w:eastAsia="Arial" w:hAnsi="Arial"/>
          <w:sz w:val="18"/>
          <w:szCs w:val="18"/>
          <w:color w:val="auto"/>
        </w:rPr>
        <w:t>” means a certification under and pursuant to 21 U.S.C. Section 355(j)(2)(A)(vii)(IV) of the FD&amp;C Act or pursuant to 21 U.S.C. Section 355(b)(2) (A)(iv) of the FD&amp;C Act.</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AD Pharma and Acura individually or jointly as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is defined in Section 9.4.</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Patent Rights</w:t>
      </w:r>
      <w:r>
        <w:rPr>
          <w:rFonts w:ascii="Arial" w:cs="Arial" w:eastAsia="Arial" w:hAnsi="Arial"/>
          <w:sz w:val="18"/>
          <w:szCs w:val="18"/>
          <w:color w:val="auto"/>
        </w:rPr>
        <w:t>” means patents and patent applications, and all divisionals, continuations, continuations-in-part, substitutions, reissues, reexaminations, extensions, registrations, supplementary protection certificates, patents and applications to which priority is claimed, patent term extensions and renewals of the foregoing, including foreign counterparts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general partnership, a limited partnership, a limited liability company, a limited liability partnership, an association, a trust or any other entity or organization.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Product</w:t>
      </w:r>
      <w:r>
        <w:rPr>
          <w:rFonts w:ascii="Arial" w:cs="Arial" w:eastAsia="Arial" w:hAnsi="Arial"/>
          <w:sz w:val="18"/>
          <w:szCs w:val="18"/>
          <w:color w:val="auto"/>
        </w:rPr>
        <w:t>” means a pharmaceutical product containing the immediate-release combination of hydrocodone bitartrate and acetaminophen utilizing the LIMITX™ Technology in the 5/325mg, 7.5/325mg and 10/325mg dosage strengths.</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b w:val="1"/>
          <w:bCs w:val="1"/>
          <w:color w:val="auto"/>
        </w:rPr>
        <w:t>Product Line Extension</w:t>
      </w:r>
      <w:r>
        <w:rPr>
          <w:rFonts w:ascii="Arial" w:cs="Arial" w:eastAsia="Arial" w:hAnsi="Arial"/>
          <w:sz w:val="17"/>
          <w:szCs w:val="17"/>
          <w:color w:val="auto"/>
        </w:rPr>
        <w:t>” means any product containing the combination of hydrocodone bitartrate and acetaminophen utilizing the LIMITx™ Technology that contains dosage strengths other than those contained in the Product but excludes any additional active ingredients.</w:t>
      </w:r>
    </w:p>
    <w:p>
      <w:pPr>
        <w:spacing w:after="0" w:line="14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Qualified Settlement Offer</w:t>
      </w:r>
      <w:r>
        <w:rPr>
          <w:rFonts w:ascii="Arial" w:cs="Arial" w:eastAsia="Arial" w:hAnsi="Arial"/>
          <w:sz w:val="16"/>
          <w:szCs w:val="16"/>
          <w:color w:val="auto"/>
        </w:rPr>
        <w:t>” is defined in Section 5.4(b).</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the license or final FDA, or equivalent foreign governmental authority, marketing approval necessary as a prerequisite for marketing a Product in a country in the Territory.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Regulatory Approval Application</w:t>
      </w:r>
      <w:r>
        <w:rPr>
          <w:rFonts w:ascii="Arial" w:cs="Arial" w:eastAsia="Arial" w:hAnsi="Arial"/>
          <w:sz w:val="18"/>
          <w:szCs w:val="18"/>
          <w:color w:val="auto"/>
        </w:rPr>
        <w:t>” means shall mean any filing(s) made with the Regulatory Authority in any country in the Territory for Regulatory Approval of the marketing, manufacture and sale (and pricing when applicable) of a Product in such country.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the FDA in the U.S., and any health regulatory authority(ies) in any other country in the Territory that is a counterpart to the FDA and has responsibility for granting regulatory approval for the marketing, manufacture, and sale of a Product in such country, including, but not limited to, pricing and reimbursement approvals, and any successor(s) thereto, as well as any state or local health regulatory authorities having jurisdiction over any activities contemplated by the Parties.</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Materials</w:t>
      </w:r>
      <w:r>
        <w:rPr>
          <w:rFonts w:ascii="Arial" w:cs="Arial" w:eastAsia="Arial" w:hAnsi="Arial"/>
          <w:sz w:val="16"/>
          <w:szCs w:val="16"/>
          <w:color w:val="auto"/>
        </w:rPr>
        <w:t>” is defined in Section 2.6.</w:t>
      </w:r>
    </w:p>
    <w:p>
      <w:pPr>
        <w:spacing w:after="0" w:line="200" w:lineRule="exact"/>
        <w:rPr>
          <w:sz w:val="20"/>
          <w:szCs w:val="20"/>
          <w:color w:val="auto"/>
        </w:rPr>
      </w:pPr>
    </w:p>
    <w:p>
      <w:pPr>
        <w:spacing w:after="0" w:line="241" w:lineRule="exact"/>
        <w:rPr>
          <w:sz w:val="20"/>
          <w:szCs w:val="20"/>
          <w:color w:val="auto"/>
        </w:rPr>
      </w:pPr>
    </w:p>
    <w:p>
      <w:pPr>
        <w:ind w:left="5580" w:right="2060" w:hanging="3513"/>
        <w:spacing w:after="0" w:line="532" w:lineRule="auto"/>
        <w:tabs>
          <w:tab w:leader="none" w:pos="255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660"/>
        <w:spacing w:after="0"/>
        <w:tabs>
          <w:tab w:leader="none" w:pos="14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LIMITX™ Technology Product</w:t>
      </w:r>
      <w:r>
        <w:rPr>
          <w:rFonts w:ascii="Arial" w:cs="Arial" w:eastAsia="Arial" w:hAnsi="Arial"/>
          <w:sz w:val="16"/>
          <w:szCs w:val="16"/>
          <w:color w:val="auto"/>
        </w:rPr>
        <w:t>” is defined in Section 7.7(a).</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Payment</w:t>
      </w:r>
      <w:r>
        <w:rPr>
          <w:rFonts w:ascii="Arial" w:cs="Arial" w:eastAsia="Arial" w:hAnsi="Arial"/>
          <w:sz w:val="16"/>
          <w:szCs w:val="16"/>
          <w:color w:val="auto"/>
        </w:rPr>
        <w:t>” is defined in Section 3.2.1.</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Report</w:t>
      </w:r>
      <w:r>
        <w:rPr>
          <w:rFonts w:ascii="Arial" w:cs="Arial" w:eastAsia="Arial" w:hAnsi="Arial"/>
          <w:sz w:val="16"/>
          <w:szCs w:val="16"/>
          <w:color w:val="auto"/>
        </w:rPr>
        <w:t>” is defined in Section 3.4.</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color w:val="auto"/>
        </w:rPr>
        <w:t>Royalty Term</w:t>
      </w:r>
      <w:r>
        <w:rPr>
          <w:rFonts w:ascii="Arial" w:cs="Arial" w:eastAsia="Arial" w:hAnsi="Arial"/>
          <w:sz w:val="17"/>
          <w:szCs w:val="17"/>
          <w:color w:val="auto"/>
        </w:rPr>
        <w:t>” shall be on a Product-by-Product, Product Line Extension by Product Line Extension, and country-by-country basis and, with respect to each country, will begin on the Effective Date and will expire on the later of the date that (i) the LIMITx™ Patent Rights in such country are not Valid; or (ii) is the scheduled expiration of the Royalty Term for the United States for a country in which there are not any LIMITx™ Patent Rights, provided that all Royalty Terms shall terminate upon termination of this Agreement pursuant to Section 9.2.</w:t>
      </w:r>
    </w:p>
    <w:p>
      <w:pPr>
        <w:spacing w:after="0" w:line="1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9.1.</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the United States, its territories and possessions.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entity other than Acura and its Affiliates and AD Pharma and its Affiliates.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Title 11</w:t>
      </w:r>
      <w:r>
        <w:rPr>
          <w:rFonts w:ascii="Arial" w:cs="Arial" w:eastAsia="Arial" w:hAnsi="Arial"/>
          <w:sz w:val="16"/>
          <w:szCs w:val="16"/>
          <w:color w:val="auto"/>
        </w:rPr>
        <w:t>” is defined in Section 10.2.1.</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Valid</w:t>
      </w:r>
      <w:r>
        <w:rPr>
          <w:rFonts w:ascii="Arial" w:cs="Arial" w:eastAsia="Arial" w:hAnsi="Arial"/>
          <w:sz w:val="18"/>
          <w:szCs w:val="18"/>
          <w:color w:val="auto"/>
        </w:rPr>
        <w:t>” means, with respect to a LIMITx™ Patent Rights in a particular country, such LIMITx™ Patent Rights have not (A) expired or been cancelled, (B) been declared invalid or unenforceable by a decision of a court or other appropriate body of competent jurisdiction, from which no appeal is or can be taken, (C) been admitted to be invalid or unenforceable through reissue, disclaimer or otherwise, or (D) been abandoned or disclaimed either affirmatively or by operation of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AND COMMERCIALIZATION</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License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2.1.1 Acura hereby grants AD Pharma an exclusive (even as to Acura), sub-licensable (subject to Section 2.10), royalty-bearing right and license under the LIMITx™ Technology to develop, manufacture, have manufactured, distribute, have distributed, sell, have sold, market, have marketed, commercialize and have commercialized the Product and Product Line Extensions in the Field in the Territory.</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2.1.2 Acura hereby licenses to AD Pharma, on a non-exclusive basis the use of the mark LIMITx™ in the Field and Territory solely for the commercialization of the Product and Product Line Extension.</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licenses granted herein shall expire upon termination of this Agreement but shall survive expiration of this Agreement.</w:t>
      </w:r>
    </w:p>
    <w:p>
      <w:pPr>
        <w:spacing w:after="0" w:line="200" w:lineRule="exact"/>
        <w:rPr>
          <w:sz w:val="20"/>
          <w:szCs w:val="20"/>
          <w:color w:val="auto"/>
        </w:rPr>
      </w:pPr>
    </w:p>
    <w:p>
      <w:pPr>
        <w:spacing w:after="0" w:line="237" w:lineRule="exact"/>
        <w:rPr>
          <w:sz w:val="20"/>
          <w:szCs w:val="20"/>
          <w:color w:val="auto"/>
        </w:rPr>
      </w:pPr>
    </w:p>
    <w:p>
      <w:pPr>
        <w:ind w:left="5580" w:right="2060" w:hanging="3513"/>
        <w:spacing w:after="0" w:line="532" w:lineRule="auto"/>
        <w:tabs>
          <w:tab w:leader="none" w:pos="255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296"/>
        <w:spacing w:after="0" w:line="271" w:lineRule="auto"/>
        <w:rPr>
          <w:sz w:val="20"/>
          <w:szCs w:val="20"/>
          <w:color w:val="auto"/>
        </w:rPr>
      </w:pPr>
      <w:r>
        <w:rPr>
          <w:rFonts w:ascii="Arial" w:cs="Arial" w:eastAsia="Arial" w:hAnsi="Arial"/>
          <w:sz w:val="17"/>
          <w:szCs w:val="17"/>
          <w:color w:val="auto"/>
        </w:rPr>
        <w:t>2.1.4 If Acura decides to accept an unsolicited offer from a Third Party or determines it will solicit an agreement to license, in any European Union country, the United Kingdom, Japan, or Australia, any right(s) to develop, manufacture, have manufactured, distribute, have distributed, sell, have sold, market, have marketed, commercialize and/or have commercialized the Product and any Product Line Extension, Acura will immediately deliver notice to AD Pharma of such offer or determination to solicit. Such notice shall be in writing and specify the action Acura has decided to pursue including any offeror(s), if applicable, and the terms and conditions of any license being considered by Acura (the “</w:t>
      </w:r>
      <w:r>
        <w:rPr>
          <w:rFonts w:ascii="Arial" w:cs="Arial" w:eastAsia="Arial" w:hAnsi="Arial"/>
          <w:sz w:val="17"/>
          <w:szCs w:val="17"/>
          <w:b w:val="1"/>
          <w:bCs w:val="1"/>
          <w:color w:val="auto"/>
        </w:rPr>
        <w:t>Foreign License Notice</w:t>
      </w:r>
      <w:r>
        <w:rPr>
          <w:rFonts w:ascii="Arial" w:cs="Arial" w:eastAsia="Arial" w:hAnsi="Arial"/>
          <w:sz w:val="17"/>
          <w:szCs w:val="17"/>
          <w:color w:val="auto"/>
        </w:rPr>
        <w:t>”). The Foreign License Notice must be delivered to AD Pharma prior to Acura considering the execution of any document (including without limitation agreements, Memoranda of Understanding or Letters of Intent) related to the subject matter of the Foreign License Notice. Acura’s acceptance of such unsolicited offer or implementation of its determination to solicit shall be subject to the following conditions:</w:t>
      </w:r>
    </w:p>
    <w:p>
      <w:pPr>
        <w:spacing w:after="0" w:line="178" w:lineRule="exact"/>
        <w:rPr>
          <w:sz w:val="20"/>
          <w:szCs w:val="20"/>
          <w:color w:val="auto"/>
        </w:rPr>
      </w:pPr>
    </w:p>
    <w:p>
      <w:pPr>
        <w:jc w:val="both"/>
        <w:ind w:left="1960" w:hanging="656"/>
        <w:spacing w:after="0" w:line="311" w:lineRule="auto"/>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 Pharma shall have forty-five (45) days from receipt of the Foreign License Notice in which to notify Acura that it elects to exercise any of the following rights, for which any period of negotiation shall be for ninety (90) days following AD Pharma’s delivery of a Request Following Unsolicited Offer or Request Following Determination to Solicit, as defined in this Section:</w:t>
      </w:r>
    </w:p>
    <w:p>
      <w:pPr>
        <w:spacing w:after="0" w:line="148" w:lineRule="exact"/>
        <w:rPr>
          <w:rFonts w:ascii="Arial" w:cs="Arial" w:eastAsia="Arial" w:hAnsi="Arial"/>
          <w:sz w:val="16"/>
          <w:szCs w:val="16"/>
          <w:color w:val="auto"/>
        </w:rPr>
      </w:pPr>
    </w:p>
    <w:p>
      <w:pPr>
        <w:jc w:val="both"/>
        <w:ind w:left="1960" w:hanging="8"/>
        <w:spacing w:after="0" w:line="259" w:lineRule="auto"/>
        <w:tabs>
          <w:tab w:leader="none" w:pos="220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action specified in the Foreign License Notice involves receipt of an unsolicited offer from a Third Party for an exclusive license involving the Product or any Product Line Extension, AD Pharma shall have the right to accept a license upon the same terms and conditions as set forth in the unsolicited offer described in the Foreign License Notice, and its acceptance shall be made in writing;</w:t>
      </w:r>
    </w:p>
    <w:p>
      <w:pPr>
        <w:spacing w:after="0" w:line="186" w:lineRule="exact"/>
        <w:rPr>
          <w:rFonts w:ascii="Arial" w:cs="Arial" w:eastAsia="Arial" w:hAnsi="Arial"/>
          <w:sz w:val="18"/>
          <w:szCs w:val="18"/>
          <w:color w:val="auto"/>
        </w:rPr>
      </w:pPr>
    </w:p>
    <w:p>
      <w:pPr>
        <w:jc w:val="both"/>
        <w:ind w:left="1960" w:hanging="8"/>
        <w:spacing w:after="0" w:line="270" w:lineRule="auto"/>
        <w:tabs>
          <w:tab w:leader="none" w:pos="2239"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the action specified in the Foreign License Notice involves receipt of an unsolicited offer from a Third Party for a non-exclusive license involving the Product or any Product Line Extension, AD Pharma shall have the right either to accept a license upon the same terms and conditions as set forth in the unsolicited offer described in the Foreign License Notice, or to request Acura to negotiate in good faith and on an exclusive basis to agree upon terms and conditions for an exclusive license (the “</w:t>
      </w:r>
      <w:r>
        <w:rPr>
          <w:rFonts w:ascii="Arial" w:cs="Arial" w:eastAsia="Arial" w:hAnsi="Arial"/>
          <w:sz w:val="17"/>
          <w:szCs w:val="17"/>
          <w:b w:val="1"/>
          <w:bCs w:val="1"/>
          <w:color w:val="auto"/>
        </w:rPr>
        <w:t>Request Following Unsolicited Offer</w:t>
      </w:r>
      <w:r>
        <w:rPr>
          <w:rFonts w:ascii="Arial" w:cs="Arial" w:eastAsia="Arial" w:hAnsi="Arial"/>
          <w:sz w:val="17"/>
          <w:szCs w:val="17"/>
          <w:color w:val="auto"/>
        </w:rPr>
        <w:t>”) granting AD Pharma the exclusive right to develop, manufacture, have manufactured, distribute, have distributed, sell, have sold, market, have marketed, commercialize and have commercialized the Product and any Product Line Extension in the same countries as set forth in such unsolicited offer described in the Foreign License Notice, and AD Pharma’s acceptance of license or Request Following Unsolicited Offer hereunder (as the case may be) shall be made in writing;</w:t>
      </w:r>
    </w:p>
    <w:p>
      <w:pPr>
        <w:spacing w:after="0" w:line="180" w:lineRule="exact"/>
        <w:rPr>
          <w:rFonts w:ascii="Arial" w:cs="Arial" w:eastAsia="Arial" w:hAnsi="Arial"/>
          <w:sz w:val="17"/>
          <w:szCs w:val="17"/>
          <w:color w:val="auto"/>
        </w:rPr>
      </w:pPr>
    </w:p>
    <w:p>
      <w:pPr>
        <w:jc w:val="both"/>
        <w:ind w:left="1960" w:hanging="8"/>
        <w:spacing w:after="0" w:line="296" w:lineRule="auto"/>
        <w:tabs>
          <w:tab w:leader="none" w:pos="2275"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the action specified in the Foreign License Notice involves a determination that Acura will solicit an agreement granting a license involving the Product or any Product Line Extension in any European Union country, the United Kingdom, Japan, or Australia, AD Pharma shall have the right to negotiate with Acura in good faith and on an exclusive basis to agree upon terms and conditions for an exclusive or non-exclusive license in the same country or countries (the “</w:t>
      </w:r>
      <w:r>
        <w:rPr>
          <w:rFonts w:ascii="Arial" w:cs="Arial" w:eastAsia="Arial" w:hAnsi="Arial"/>
          <w:sz w:val="16"/>
          <w:szCs w:val="16"/>
          <w:b w:val="1"/>
          <w:bCs w:val="1"/>
          <w:color w:val="auto"/>
        </w:rPr>
        <w:t>Request Following</w:t>
      </w:r>
      <w:r>
        <w:rPr>
          <w:rFonts w:ascii="Arial" w:cs="Arial" w:eastAsia="Arial" w:hAnsi="Arial"/>
          <w:sz w:val="16"/>
          <w:szCs w:val="16"/>
          <w:color w:val="auto"/>
        </w:rPr>
        <w:t xml:space="preserve"> </w:t>
      </w:r>
      <w:r>
        <w:rPr>
          <w:rFonts w:ascii="Arial" w:cs="Arial" w:eastAsia="Arial" w:hAnsi="Arial"/>
          <w:sz w:val="16"/>
          <w:szCs w:val="16"/>
          <w:b w:val="1"/>
          <w:bCs w:val="1"/>
          <w:color w:val="auto"/>
        </w:rPr>
        <w:t>Determination to Solicit</w:t>
      </w:r>
      <w:r>
        <w:rPr>
          <w:rFonts w:ascii="Arial" w:cs="Arial" w:eastAsia="Arial" w:hAnsi="Arial"/>
          <w:sz w:val="16"/>
          <w:szCs w:val="16"/>
          <w:color w:val="auto"/>
        </w:rPr>
        <w:t>”), and the Request Following Determination to Solicit shall be made in writing.</w:t>
      </w:r>
    </w:p>
    <w:p>
      <w:pPr>
        <w:spacing w:after="0" w:line="373" w:lineRule="exact"/>
        <w:rPr>
          <w:sz w:val="20"/>
          <w:szCs w:val="20"/>
          <w:color w:val="auto"/>
        </w:rPr>
      </w:pPr>
    </w:p>
    <w:p>
      <w:pPr>
        <w:ind w:left="5580" w:right="2060" w:hanging="3513"/>
        <w:spacing w:after="0" w:line="532" w:lineRule="auto"/>
        <w:tabs>
          <w:tab w:leader="none" w:pos="255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left="1960" w:hanging="656"/>
        <w:spacing w:after="0" w:line="271" w:lineRule="auto"/>
        <w:tabs>
          <w:tab w:leader="none" w:pos="1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After ninety (90) days from delivery of a Request Following Unsolicited Offer or Request Following Determination to Solicit, if the Parties have not executed a definitive agreement (in the form of either an amendment to this Agreement or a new agreement) then Acura shall not enter into an agreement with a Third Party to license, in any European Union country, the United Kingdom, Japan, or Australia, any right(s) to develop, manufacture, have manufactured, distribute, have distributed, sell, have sold, market, have marketed, commercialize and/or have commercialized the Product and any Product Line Extension on terms (when taken as a whole) that are less favorable to Acura than the terms of the last proposal rejected by either of the Parties without first providing to AD Pharma a written copy of such terms, and AD Pharma shall have forty-five (45) days to accept a license upon the same terms and conditions.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No Other Rights and Retained Rights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Agreement confers no right, license or interest by implication, estoppel, or otherwise under any Patent Rights, Confidential Information, Know-How or other Intellectual Property Rights (including but not limited to trade secrets, formulations, manufacturing processes, data) that was owned by a Party prior to signing the Agreement except as expressly set forth in this Article II. Each Party hereby expressly retains and reserves all rights and interests with respect to patents, Confidential Information, technology or other Intellectual Property Rights not expressly granted to the other Party hereunder.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AD Pharma to use CRE</w:t>
      </w:r>
      <w:r>
        <w:rPr>
          <w:rFonts w:ascii="Arial" w:cs="Arial" w:eastAsia="Arial" w:hAnsi="Arial"/>
          <w:sz w:val="18"/>
          <w:szCs w:val="18"/>
          <w:color w:val="auto"/>
        </w:rPr>
        <w:t>. AD Pharma shall use Commercially Reasonable Efforts to market and sell the Product in the Territory upon Regulatory Approval and introduce the Product into interstate commerce within 180 days of such Regulatory Approval. AD Pharma shall use Commercially Reasonable Efforts to file with the FDA the Regulatory Approval Application for the Product and to gain Regulatory Approval for such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 Pharma shall use Commercially Reasonable Efforts to develop, obtain any necessary Regulatory Approval and commercialize a Product Line Extension in the Territory, provided such decision to advance Product Line Extension(s) shall be the sole responsibility of AD Pharma. AD Pharma shall comply with all Applicable Laws in the development, commercialization (including, without limitation, packaging, sale, distribution, advertising, disposition and marketing of the Product and Product Line Extension, and product packaging) and AD Pharma shall use all legends, notices, and markings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right="2060" w:hanging="3513"/>
        <w:spacing w:after="0" w:line="532" w:lineRule="auto"/>
        <w:tabs>
          <w:tab w:leader="none" w:pos="255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1296"/>
        <w:spacing w:after="0" w:line="263" w:lineRule="auto"/>
        <w:rPr>
          <w:sz w:val="20"/>
          <w:szCs w:val="20"/>
          <w:color w:val="auto"/>
        </w:rPr>
      </w:pPr>
      <w:r>
        <w:rPr>
          <w:rFonts w:ascii="Arial" w:cs="Arial" w:eastAsia="Arial" w:hAnsi="Arial"/>
          <w:sz w:val="18"/>
          <w:szCs w:val="18"/>
          <w:u w:val="single" w:color="auto"/>
          <w:color w:val="auto"/>
        </w:rPr>
        <w:t>Acura to use CRE</w:t>
      </w:r>
      <w:r>
        <w:rPr>
          <w:rFonts w:ascii="Arial" w:cs="Arial" w:eastAsia="Arial" w:hAnsi="Arial"/>
          <w:sz w:val="18"/>
          <w:szCs w:val="18"/>
          <w:color w:val="auto"/>
        </w:rPr>
        <w:t>. Acura shall use Commercially Reasonable Efforts to develop the Product in the United States, provided however, that any obligation of Acura to develop the [*****] Product will be subject to a separate development agreement to be negotiated between the Parties. Acura shall comply with all Applicable Laws in the development of the Product.</w:t>
      </w:r>
    </w:p>
    <w:p>
      <w:pPr>
        <w:spacing w:after="0" w:line="18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AD Pharma Responsibility for All Commercialization Costs and Expenses</w:t>
      </w:r>
      <w:r>
        <w:rPr>
          <w:rFonts w:ascii="Arial" w:cs="Arial" w:eastAsia="Arial" w:hAnsi="Arial"/>
          <w:sz w:val="17"/>
          <w:szCs w:val="17"/>
          <w:color w:val="auto"/>
        </w:rPr>
        <w:t>. During the Term, AD Pharma shall have the sole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obligation and responsibility, and at its sole cost and expense, for all aspects of manufacturing and commercializing, including without limitation, scale up and validation of the production process, testing packaging and labelling the Product and Product Line Extension, and any costs associated with storage, release and Third Party logistics. As part of such responsibilities, AD Pharma shall have the sole responsibility to obtain or to coordinate with and provide to its contract manufacturer such information and materials as shall be reasonably necessary to obtain sufficient quota for active pharmaceutical ingredients from the Drug Enforcement Administration, and similar foreign agencies.</w:t>
      </w:r>
    </w:p>
    <w:p>
      <w:pPr>
        <w:spacing w:after="0" w:line="19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 xml:space="preserve">AD Pharma Responsible for Product Development Costs and Expenses. </w:t>
      </w:r>
      <w:r>
        <w:rPr>
          <w:rFonts w:ascii="Arial" w:cs="Arial" w:eastAsia="Arial" w:hAnsi="Arial"/>
          <w:sz w:val="16"/>
          <w:szCs w:val="16"/>
          <w:color w:val="auto"/>
        </w:rPr>
        <w:t>During the Term, AD Pharma shall pay for or reimburse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Acura to the extent Acura pay’s for all out-of-pocket Product development expenses (excluding any Product Line Extension). The Parties shall be responsible for maintaining and paying for their own internal staff and infrastructure related to Product development.</w:t>
      </w:r>
    </w:p>
    <w:p>
      <w:pPr>
        <w:spacing w:after="0" w:line="18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Regulatory Approvals and Fees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2.6.1 AD Pharma shall be the sole owner of the Product Regulatory Application and Regulatory Approval thereof, registration materials, clinical documentation, and any and all country specific dossiers for the Product and Product Line Extension in the Territory (the “</w:t>
      </w:r>
      <w:r>
        <w:rPr>
          <w:rFonts w:ascii="Arial" w:cs="Arial" w:eastAsia="Arial" w:hAnsi="Arial"/>
          <w:sz w:val="16"/>
          <w:szCs w:val="16"/>
          <w:b w:val="1"/>
          <w:bCs w:val="1"/>
          <w:color w:val="auto"/>
        </w:rPr>
        <w:t>Regulatory</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w:t>
      </w:r>
      <w:r>
        <w:rPr>
          <w:rFonts w:ascii="Arial" w:cs="Arial" w:eastAsia="Arial" w:hAnsi="Arial"/>
          <w:sz w:val="16"/>
          <w:szCs w:val="16"/>
          <w:color w:val="auto"/>
        </w:rPr>
        <w:t>”). AD Pharma shall be responsible for maintaining the Product and Product Line Extension Regulatory Approvals, and pay any and all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 connection therewith including, without limitation, any filing fees, establishment fees, annual product fees, active pharmaceutical supplier fees, post-approval studies and any fees associated with the amendment of a Regulatory Approval, any costs and expenses associated with regulatory changes requested by a Regulatory Authority relating to a Product, Product Line Extension, or Regulatory Approvals, subject to Section 2.7.2. Notwithstanding the foregoing, AD Pharma may, in its sole discretion, transfer, sell or convey the Regulatory Materials, in whole or in part, to a third-party provided that: (a) such third-party agrees to be bound by the terms of this Agreement governing the Regulatory Materials, (b) AD Pharma remains fully responsible for the compliance by such third party with the terms and conditions of this Agreement, including without limitation the non-compete provisions of Section 2.9,</w:t>
      </w:r>
    </w:p>
    <w:p>
      <w:pPr>
        <w:spacing w:after="0" w:line="6" w:lineRule="exact"/>
        <w:rPr>
          <w:sz w:val="20"/>
          <w:szCs w:val="20"/>
          <w:color w:val="auto"/>
        </w:rPr>
      </w:pPr>
    </w:p>
    <w:p>
      <w:pPr>
        <w:ind w:firstLine="8"/>
        <w:spacing w:after="0" w:line="260" w:lineRule="auto"/>
        <w:tabs>
          <w:tab w:leader="none" w:pos="2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and all rights to the Regulatory Materials retained by AD Pharma are fully assignable to Acura in the event of termination or expiration of this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Coordination of Efforts.</w:t>
      </w:r>
      <w:r>
        <w:rPr>
          <w:rFonts w:ascii="Arial" w:cs="Arial" w:eastAsia="Arial" w:hAnsi="Arial"/>
          <w:sz w:val="18"/>
          <w:szCs w:val="18"/>
          <w:color w:val="auto"/>
        </w:rPr>
        <w:t xml:space="preserve"> Acura and AD Pharma will form a joint steering committee to coordinate the strategies, activities, timelines and budgets for the development and commercialization of the Product and Product Line Extension, if any. In the course of such meetings, each Party shall have one vote on any matter before the committee, except, however, the Party responsible for any budgetary item as determined by this Agreement shall have sole decision making authority with regard to that budget and the underlying activities. In the event said committee is unable to decide any matter, the matter will promptly be referred to dispute resolution in Section 10.1.</w:t>
      </w:r>
    </w:p>
    <w:p>
      <w:pPr>
        <w:spacing w:after="0" w:line="400" w:lineRule="exact"/>
        <w:rPr>
          <w:sz w:val="20"/>
          <w:szCs w:val="20"/>
          <w:color w:val="auto"/>
        </w:rPr>
      </w:pPr>
    </w:p>
    <w:p>
      <w:pPr>
        <w:ind w:left="5580" w:right="2060" w:hanging="3513"/>
        <w:spacing w:after="0" w:line="532" w:lineRule="auto"/>
        <w:tabs>
          <w:tab w:leader="none" w:pos="255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Right of Reference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2.8.1 Acura grants AD Pharma a right of reference to preclinical and clinical data and reports, and any adverse event reports regarding the Products and all other necessary data, reports and information, in each case Controlled by Acura for the purpose of obtaining, and/or maintaining Regulatory Approval of, or commercializing or manufacturing a Product or Product Line Extension, without any additional compensation.</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2.8.2 AD Pharma grants Acura a perpetual right of reference to preclinical and clinical data and reports, any adverse event reports regarding the Product and Product Line Extension and such other data, reports and information, in each case Controlled by AD Pharma for the purpose of obtaining and/or maintaining Regulatory Approval of products utilizing the LIMITx™ Technology without any additional compensation.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Non-Compete</w:t>
      </w:r>
      <w:r>
        <w:rPr>
          <w:rFonts w:ascii="Arial" w:cs="Arial" w:eastAsia="Arial" w:hAnsi="Arial"/>
          <w:sz w:val="18"/>
          <w:szCs w:val="18"/>
          <w:color w:val="auto"/>
        </w:rPr>
        <w:t>. AD Pharma, its Affiliates, and sublicensees will not develop, file a Regulatory Approval Application or seek Regulatory Approval of or launch, market or sell or assist a Third Party in the development of, launch, market or sale of a Competing Product in the Territory during the Royalty Term.</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Sublicenses</w:t>
      </w:r>
      <w:r>
        <w:rPr>
          <w:rFonts w:ascii="Arial" w:cs="Arial" w:eastAsia="Arial" w:hAnsi="Arial"/>
          <w:sz w:val="18"/>
          <w:szCs w:val="18"/>
          <w:color w:val="auto"/>
        </w:rPr>
        <w:t>. AD Pharma may grant sublicenses through multiple tiers, under any or all of the rights granted in Section 2.1, to its Affiliates and to Third Parties. Each agreement in which AD Pharma grants a sublicense under Section 2.1 shall be consistent with the relevant terms and conditions of this Agreement. AD Pharma shall provide notice to Acura of the proposed sublicense prior to execution thereof which notice shall state the subject of the sublicense (including the portion of the Territory and products being sublicensed) and AD Pharma shall provide Acura a copy of such sublicense, with suitable redaction of confidential information contained therein, within thirty (30) days after execution thereof. AD Pharma shall be and remain fully responsible for the compliance by sublicensees with the terms and conditions of this Agreement, including without limitation and non-compete provisions of Section 2.9.</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Technology 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LIMITx™ Technology</w:t>
      </w:r>
      <w:r>
        <w:rPr>
          <w:rFonts w:ascii="Arial" w:cs="Arial" w:eastAsia="Arial" w:hAnsi="Arial"/>
          <w:sz w:val="18"/>
          <w:szCs w:val="18"/>
          <w:color w:val="auto"/>
        </w:rPr>
        <w:t>. Acura shall provide AD Pharma with a technology transfer which shall consist of the manufacturing Know-How encompassed in the LIMITx™ Technology relating to the Product. Such transfer shall be at least as comprehensive as any technology transfer actually provided by Acura to any Third Party related to the manufacture of the Product. Acura hereby authorizes any Third Party with whom it has contracted for the manufacture of the Product at any scale to release to AD Pharma any and all information disclosed by Acura to the Third Party, and such authorization applies regardless of any designations (e.g., Confidential, Proprietary, Trade Secret, and the like) placed upon such disclosed information.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Complaints; Recalls</w:t>
      </w:r>
      <w:r>
        <w:rPr>
          <w:rFonts w:ascii="Arial" w:cs="Arial" w:eastAsia="Arial" w:hAnsi="Arial"/>
          <w:sz w:val="18"/>
          <w:szCs w:val="18"/>
          <w:color w:val="auto"/>
        </w:rPr>
        <w:t>. Each of AD Pharma and Acura shall inform the other Party as promptly as practicable of any Product and Product Line Extension complaints. All communications relating to the performance or condition of the Product or Product Line Extension, and all communications relating to adverse experiences in association with, but not necessarily due to, the Product or Product Line Extension which are received by Acura or AD Pharma shall be forwarded to the other Party. In the event of any recall of or field notification after the Effective Date with respect to any Product or Product Line Extension, each of AD Pharma and Acura shall make available to the other Party during normal business hours and upon reasonable advance notice such records and other information as reasonably requested by such other Party in connection with any recall. AD Pharma shall be solely responsible at its cost and expense for any recalls or withdrawals of Product or Product Line Extension sold by it. AD Pharma shall be responsible for all required regulatory activities in the Territory.</w:t>
      </w:r>
    </w:p>
    <w:p>
      <w:pPr>
        <w:spacing w:after="0" w:line="200" w:lineRule="exact"/>
        <w:rPr>
          <w:sz w:val="20"/>
          <w:szCs w:val="20"/>
          <w:color w:val="auto"/>
        </w:rPr>
      </w:pPr>
    </w:p>
    <w:p>
      <w:pPr>
        <w:spacing w:after="0" w:line="204" w:lineRule="exact"/>
        <w:rPr>
          <w:sz w:val="20"/>
          <w:szCs w:val="20"/>
          <w:color w:val="auto"/>
        </w:rPr>
      </w:pPr>
    </w:p>
    <w:p>
      <w:pPr>
        <w:ind w:left="5580" w:right="2060" w:hanging="3513"/>
        <w:spacing w:after="0" w:line="532" w:lineRule="auto"/>
        <w:tabs>
          <w:tab w:leader="none" w:pos="255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Trademarks; Logos.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2.13.1 AD Pharma shall assume full responsibility, at its sole cost and expense for prosecuting or litigating any infringement of the LIMITx™ trademark and shall be entitled to retain all recoveries in connection therewith except it shall remit to Acura 15% of such recoveries after deduction from such recoveries of fees and expenses in enforcing such trademark rights.</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2.13.2 AD Pharma hereby acknowledges the exclusive ownership by Acura of the LIMITx trademark furnished by Acura for use in connection with the Product and Product Line Extension. AD Pharma shall not, during the Term or thereafter, register, use, or attempt to obtain any right in and to the LIMITx trademark or in and to any name, logo or trademark confusingly similar thereto. Acura will use Commercially Reasonable Efforts to obtain formal registration of the LIMITx trademark in the United States in advance of the commercial use of such trademark by AD Pharma.</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2.13.3 Acura shall have the right to exercise quality control over AD Pharma's use of the LIMITx trademark to a degree reasonably necessary to maintain the validity of the trademark and to protect the goodwill associated therewith.</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2.13.4 AD Pharma shall, in its packaging, sale, marketing, advertising, disposition and distribution of any Product, Product Line Extension and product packaging adhere to a level of quality regarding the maintenance of the validity of the LIMITx trademark and the protection of the goodwill associated therewith consistent with the reasonable standards of quality otherwise set by Acura.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AND ROYALTIES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Pre-FDA Application Payments by AD Pharma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3.1.1 In an aggregate amount not to exceed Six Million Three Hundred Thousand Dollars ($6,300,000)(the “Maximum Pre-Regulatory Application Submission Payment”), each month AD Pharma shall pay Acura Three Hundred Fifty Thousand Dollars ($350,000) in non-refundable, non-creditable payments to Acura in immediately available funds, with such payments to begin within Five (5) days of the Effective Date, and continuing on the monthly anniversary of the Effective Date until the earlier of eighteen (18) such monthly payments have occurred or the Maximum Pre-Regulatory Application Submission Payment is reached (as the timing of the latter, but not the amount, may be adjusted in accordance with Section 3.1.2).</w:t>
      </w:r>
    </w:p>
    <w:p>
      <w:pPr>
        <w:spacing w:after="0" w:line="373" w:lineRule="exact"/>
        <w:rPr>
          <w:sz w:val="20"/>
          <w:szCs w:val="20"/>
          <w:color w:val="auto"/>
        </w:rPr>
      </w:pPr>
    </w:p>
    <w:p>
      <w:pPr>
        <w:ind w:left="5540" w:right="2060" w:hanging="3473"/>
        <w:spacing w:after="0" w:line="532" w:lineRule="auto"/>
        <w:tabs>
          <w:tab w:leader="none" w:pos="2561"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1296"/>
        <w:spacing w:after="0" w:line="257" w:lineRule="auto"/>
        <w:rPr>
          <w:sz w:val="20"/>
          <w:szCs w:val="20"/>
          <w:color w:val="auto"/>
        </w:rPr>
      </w:pPr>
      <w:r>
        <w:rPr>
          <w:rFonts w:ascii="Arial" w:cs="Arial" w:eastAsia="Arial" w:hAnsi="Arial"/>
          <w:sz w:val="18"/>
          <w:szCs w:val="18"/>
          <w:color w:val="auto"/>
        </w:rPr>
        <w:t>3.1.2 If Acura succeeds in gaining filing acceptance by the FDA of a Regulatory Approval Application for the Product before the Maximum Pre-Regulatory Application Submission Payment is reached based on monthly payments of Three Hundred Fifty Thousand Dollars under Section 3.1.1, then AD Pharma shall cease making such monthly payments; provided, however that AD Pharma shall in this case make a one-time payment to Acura within thirty (30) days of such filing acceptance by the FDA, with such one-time payment calculated by subtracting the sum of all such monthly payments actually made from the Maximum Pre-Regulatory Application Submission Payment.</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3.1.3 If Acura fails to gain filing acceptance by the FDA of a Regulatory Approval Application for the Product before the end of the LIMITx™ Regulatory Application Submission Timeline, as defined in Section 3.1.4, then AD Pharma (i) is not obligated to continue such monthly payments thereafter, and (ii) may terminate this Agreement for breach by providing written notice specifying the breach as the failure by Acura to gain filing acceptance by the FDA of a Regulatory Approval Application for the Product within the LIMITx™ Regulatory Application Submission Timeline, provided that for such termination under this (ii) to be effective, it must occur before FDA has accepted the Regulatory Approval Application for the Product. In the event this Agreement terminates for Acura’s failure to gain filing acceptance by the FDA of a Regulatory Approval Application for the Product within the LIMITx™ Regulatory Application Submission Timeline:</w:t>
      </w:r>
    </w:p>
    <w:p>
      <w:pPr>
        <w:spacing w:after="0" w:line="195" w:lineRule="exact"/>
        <w:rPr>
          <w:sz w:val="20"/>
          <w:szCs w:val="20"/>
          <w:color w:val="auto"/>
        </w:rPr>
      </w:pPr>
    </w:p>
    <w:p>
      <w:pPr>
        <w:ind w:left="1960" w:hanging="656"/>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 in Section 9.2 allowing a period of time (i.e., thirty (30) days) to remedy the breach shall not apply; and</w:t>
      </w:r>
    </w:p>
    <w:p>
      <w:pPr>
        <w:spacing w:after="0" w:line="225" w:lineRule="exact"/>
        <w:rPr>
          <w:rFonts w:ascii="Arial" w:cs="Arial" w:eastAsia="Arial" w:hAnsi="Arial"/>
          <w:sz w:val="18"/>
          <w:szCs w:val="18"/>
          <w:color w:val="auto"/>
        </w:rPr>
      </w:pPr>
    </w:p>
    <w:p>
      <w:pPr>
        <w:jc w:val="both"/>
        <w:ind w:left="1960" w:hanging="656"/>
        <w:spacing w:after="0" w:line="272" w:lineRule="auto"/>
        <w:tabs>
          <w:tab w:leader="none" w:pos="1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Notwithstanding any other provision(s) herein, Acura’s ownership of the LIMITx™ Patent Rights shall transfer automatically to AD Pharma without payment of any further consideration. Contingent upon termination of this Agreement under Section 3.1.3, Acura hereby assigns and transfers its entire right, title and interest in the LIMITx™ Patent Rights to AD Pharma, and Acura agrees to execute or procure any further necessary assurance of the title to said LIMITx™ Patent Rights at any time, upon request and at the expense of AD Pharma, including but not limited to the delivery of any testimony in any legal proceedings and the execution of all papers that may be necessary or desirable to perfect the title to said LIMITx™ Patent Rights in the name of AD Pharma, or such other party as AD Pharma designates.</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3.1.4 If at any time in AD Pharma’s sole discretion, Acura fails to adhere to the LIMITx™ Regulatory Application Submission Timeline then AD Pharma may terminate this Agreement under either or both of Section 9.2 for breach, or Section 9.3 for convenience. The “</w:t>
      </w:r>
      <w:r>
        <w:rPr>
          <w:rFonts w:ascii="Arial" w:cs="Arial" w:eastAsia="Arial" w:hAnsi="Arial"/>
          <w:sz w:val="17"/>
          <w:szCs w:val="17"/>
          <w:b w:val="1"/>
          <w:bCs w:val="1"/>
          <w:color w:val="auto"/>
        </w:rPr>
        <w:t>LIMITx™</w:t>
      </w:r>
      <w:r>
        <w:rPr>
          <w:rFonts w:ascii="Arial" w:cs="Arial" w:eastAsia="Arial" w:hAnsi="Arial"/>
          <w:sz w:val="17"/>
          <w:szCs w:val="17"/>
          <w:color w:val="auto"/>
        </w:rPr>
        <w:t xml:space="preserve"> </w:t>
      </w:r>
      <w:r>
        <w:rPr>
          <w:rFonts w:ascii="Arial" w:cs="Arial" w:eastAsia="Arial" w:hAnsi="Arial"/>
          <w:sz w:val="17"/>
          <w:szCs w:val="17"/>
          <w:b w:val="1"/>
          <w:bCs w:val="1"/>
          <w:color w:val="auto"/>
        </w:rPr>
        <w:t>Regulatory Application Submission Timeline</w:t>
      </w:r>
      <w:r>
        <w:rPr>
          <w:rFonts w:ascii="Arial" w:cs="Arial" w:eastAsia="Arial" w:hAnsi="Arial"/>
          <w:sz w:val="17"/>
          <w:szCs w:val="17"/>
          <w:color w:val="auto"/>
        </w:rPr>
        <w:t>” means the completion by Acura of all activities set forth in Schedule 1, on or before the deadline</w:t>
      </w:r>
      <w:r>
        <w:rPr>
          <w:rFonts w:ascii="Arial" w:cs="Arial" w:eastAsia="Arial" w:hAnsi="Arial"/>
          <w:sz w:val="17"/>
          <w:szCs w:val="17"/>
          <w:b w:val="1"/>
          <w:bCs w:val="1"/>
          <w:color w:val="auto"/>
        </w:rPr>
        <w:t xml:space="preserve"> </w:t>
      </w:r>
      <w:r>
        <w:rPr>
          <w:rFonts w:ascii="Arial" w:cs="Arial" w:eastAsia="Arial" w:hAnsi="Arial"/>
          <w:sz w:val="17"/>
          <w:szCs w:val="17"/>
          <w:color w:val="auto"/>
        </w:rPr>
        <w:t>identified for each activity. For the avoidance of doubt, a missed deadline for any one or more of the deadlines set forth in Schedule 1 shall constitute a failure to adhere to the LIMITx™ Regulatory Application Submission Timeline. Also, based on the frequency of monthly payments by AD Pharma set forth in Section 3.1.1, and unless adjustment is made under Section 3.1.2, the LIMITx™ Regulatory Application Submission Timeline can last no longer than the last day of the calendar month that occurs seventeen (17) months after the Effective Date.</w:t>
      </w:r>
    </w:p>
    <w:p>
      <w:pPr>
        <w:spacing w:after="0" w:line="389" w:lineRule="exact"/>
        <w:rPr>
          <w:sz w:val="20"/>
          <w:szCs w:val="20"/>
          <w:color w:val="auto"/>
        </w:rPr>
      </w:pPr>
    </w:p>
    <w:p>
      <w:pPr>
        <w:ind w:left="5540" w:right="2060" w:hanging="3473"/>
        <w:spacing w:after="0" w:line="532" w:lineRule="auto"/>
        <w:tabs>
          <w:tab w:leader="none" w:pos="255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Consents of AD Pharma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3.2.1 Any transfer by Acura of the LIMITx™ Patent Rights to a Third Party for indications outside the scope of the Product and Product Line Extension (including without limitation a license, assignment, security interest, or otherwise) shall be subject to AD Pharma’s written consent, which shall not be unreasonably withheld or delayed. AD Pharma acknowledges that any such transfer of rights under this Section to which it has consented shall survive any transfer of the LIMITx™ Patent Rights under Section 3.1.3(b).</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3.2.2 At any time prior to FDA acceptance of the Regulatory Approval Application for the Product, in the event Acura has a bona fide offer for financing for Acura, AD Pharma consents that it will negotiate in good faith any amendments to this Agreement required by such third-party financer, provided that AD Pharma will be under no obligation to enter into such amendments.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Royalties</w:t>
      </w:r>
      <w:r>
        <w:rPr>
          <w:rFonts w:ascii="Arial" w:cs="Arial" w:eastAsia="Arial" w:hAnsi="Arial"/>
          <w:sz w:val="18"/>
          <w:szCs w:val="18"/>
          <w:color w:val="auto"/>
        </w:rPr>
        <w:t>. The following payments shall be payable by AD Pharma to Acura for sales made during each calendar quarter and payment will be remitted within forty-five (45) days after the end of the quarter to which it relates.</w:t>
      </w:r>
    </w:p>
    <w:p>
      <w:pPr>
        <w:spacing w:after="0" w:line="17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Royalty Payment</w:t>
      </w:r>
      <w:r>
        <w:rPr>
          <w:rFonts w:ascii="Arial" w:cs="Arial" w:eastAsia="Arial" w:hAnsi="Arial"/>
          <w:sz w:val="18"/>
          <w:szCs w:val="18"/>
          <w:color w:val="auto"/>
        </w:rPr>
        <w:t>. For each Product and Product Line Extension in the Territory during the Royalty Term for a country in the Territory, AD Pharma shall pay to Acura a royalty of [*****] Percent ([*****]% [*****]) on all Net Sales in the Territory on the first $[*****] ([*****]) US Dollars in Net Sales in a calendar year and [*****] Percent ([*****]%) on Net Sales in excess of [*****]US Dollars. Such royalty shall be payable for sales made during each calendar quarter, and while the Royalty Term for the United States is in effect, be no less than [*****] Dollars ($[*****]) for each such calendar quarter (which shall accrue on a daily basis during a quarter), and payment will be remitted within forty-five (45) days after the end of the quarter to which it relates. The royalty payment under this Section 3.2.1 is referred to as the “</w:t>
      </w:r>
      <w:r>
        <w:rPr>
          <w:rFonts w:ascii="Arial" w:cs="Arial" w:eastAsia="Arial" w:hAnsi="Arial"/>
          <w:sz w:val="18"/>
          <w:szCs w:val="18"/>
          <w:b w:val="1"/>
          <w:bCs w:val="1"/>
          <w:color w:val="auto"/>
        </w:rPr>
        <w:t>Royalty Payment</w:t>
      </w:r>
      <w:r>
        <w:rPr>
          <w:rFonts w:ascii="Arial" w:cs="Arial" w:eastAsia="Arial" w:hAnsi="Arial"/>
          <w:sz w:val="18"/>
          <w:szCs w:val="18"/>
          <w:color w:val="auto"/>
        </w:rPr>
        <w:t>.” Notwithstanding the foregoing, should the FDA approved label for the Product not include a description of the pharmacokinetic profile, clinical results or benefits, or other marketable feature of the LIMITx Technology, then the minimum royalty payment in each quarter shall be [*****] dollars ($[*****]) until such information is included in the label.</w:t>
      </w:r>
    </w:p>
    <w:p>
      <w:pPr>
        <w:spacing w:after="0" w:line="19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 xml:space="preserve">Sales Milestone Payments. </w:t>
      </w:r>
      <w:r>
        <w:rPr>
          <w:rFonts w:ascii="Arial" w:cs="Arial" w:eastAsia="Arial" w:hAnsi="Arial"/>
          <w:sz w:val="16"/>
          <w:szCs w:val="16"/>
          <w:color w:val="auto"/>
        </w:rPr>
        <w:t>AD Pharma shall make the following one-time, non-refundable, non-creditable payments within forty-five</w:t>
      </w:r>
    </w:p>
    <w:p>
      <w:pPr>
        <w:spacing w:after="0" w:line="23" w:lineRule="exact"/>
        <w:rPr>
          <w:sz w:val="20"/>
          <w:szCs w:val="20"/>
          <w:color w:val="auto"/>
        </w:rPr>
      </w:pPr>
    </w:p>
    <w:p>
      <w:pPr>
        <w:ind w:firstLine="8"/>
        <w:spacing w:after="0" w:line="260" w:lineRule="auto"/>
        <w:tabs>
          <w:tab w:leader="none" w:pos="3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days after the end of the year to Acura based on the attainment of the Net Sales in such calendar year for all Products and Product Line Extensions in the Territory (the “</w:t>
      </w:r>
      <w:r>
        <w:rPr>
          <w:rFonts w:ascii="Arial" w:cs="Arial" w:eastAsia="Arial" w:hAnsi="Arial"/>
          <w:sz w:val="18"/>
          <w:szCs w:val="18"/>
          <w:b w:val="1"/>
          <w:bCs w:val="1"/>
          <w:color w:val="auto"/>
        </w:rPr>
        <w:t>Milestone Payments</w:t>
      </w:r>
      <w:r>
        <w:rPr>
          <w:rFonts w:ascii="Arial" w:cs="Arial" w:eastAsia="Arial" w:hAnsi="Arial"/>
          <w:sz w:val="18"/>
          <w:szCs w:val="18"/>
          <w:color w:val="auto"/>
        </w:rPr>
        <w:t>”):</w:t>
      </w:r>
    </w:p>
    <w:p>
      <w:pPr>
        <w:spacing w:after="0" w:line="18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3.4.1 AD Pharma shall pay Acura [*****]dollars ($[*****]) the first time aggregate Net Sales in a given calendar year exceeds [*****] dollars ($[*****]); and</w:t>
      </w:r>
    </w:p>
    <w:p>
      <w:pPr>
        <w:spacing w:after="0" w:line="382" w:lineRule="exact"/>
        <w:rPr>
          <w:sz w:val="20"/>
          <w:szCs w:val="20"/>
          <w:color w:val="auto"/>
        </w:rPr>
      </w:pPr>
    </w:p>
    <w:p>
      <w:pPr>
        <w:ind w:left="5540" w:right="2060" w:hanging="3473"/>
        <w:spacing w:after="0" w:line="532" w:lineRule="auto"/>
        <w:tabs>
          <w:tab w:leader="none" w:pos="256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17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9460" w:type="dxa"/>
            <w:vAlign w:val="bottom"/>
            <w:gridSpan w:val="2"/>
          </w:tcPr>
          <w:p>
            <w:pPr>
              <w:jc w:val="right"/>
              <w:spacing w:after="0"/>
              <w:rPr>
                <w:sz w:val="20"/>
                <w:szCs w:val="20"/>
                <w:color w:val="auto"/>
              </w:rPr>
            </w:pPr>
            <w:r>
              <w:rPr>
                <w:rFonts w:ascii="Arial" w:cs="Arial" w:eastAsia="Arial" w:hAnsi="Arial"/>
                <w:sz w:val="18"/>
                <w:szCs w:val="18"/>
                <w:color w:val="auto"/>
              </w:rPr>
              <w:t>AD Pharma shall pay Acura [*****] dollars ($[*****]) the first time aggregate Net Sales in a given calendar year exceeds</w:t>
            </w:r>
          </w:p>
        </w:tc>
      </w:tr>
      <w:tr>
        <w:trPr>
          <w:trHeight w:val="230"/>
        </w:trPr>
        <w:tc>
          <w:tcPr>
            <w:tcW w:w="11240" w:type="dxa"/>
            <w:vAlign w:val="bottom"/>
            <w:gridSpan w:val="3"/>
          </w:tcPr>
          <w:p>
            <w:pPr>
              <w:jc w:val="right"/>
              <w:ind w:right="9300"/>
              <w:spacing w:after="0"/>
              <w:rPr>
                <w:sz w:val="20"/>
                <w:szCs w:val="20"/>
                <w:color w:val="auto"/>
              </w:rPr>
            </w:pPr>
            <w:r>
              <w:rPr>
                <w:rFonts w:ascii="Arial" w:cs="Arial" w:eastAsia="Arial" w:hAnsi="Arial"/>
                <w:sz w:val="18"/>
                <w:szCs w:val="18"/>
                <w:color w:val="auto"/>
              </w:rPr>
              <w:t>[*****]dollars ($[*****]).</w:t>
            </w:r>
          </w:p>
        </w:tc>
      </w:tr>
      <w:tr>
        <w:trPr>
          <w:trHeight w:val="392"/>
        </w:trPr>
        <w:tc>
          <w:tcPr>
            <w:tcW w:w="1780" w:type="dxa"/>
            <w:vAlign w:val="bottom"/>
          </w:tcPr>
          <w:p>
            <w:pPr>
              <w:jc w:val="right"/>
              <w:ind w:right="810"/>
              <w:spacing w:after="0"/>
              <w:rPr>
                <w:sz w:val="20"/>
                <w:szCs w:val="20"/>
                <w:color w:val="auto"/>
              </w:rPr>
            </w:pPr>
            <w:r>
              <w:rPr>
                <w:rFonts w:ascii="Arial" w:cs="Arial" w:eastAsia="Arial" w:hAnsi="Arial"/>
                <w:sz w:val="18"/>
                <w:szCs w:val="18"/>
                <w:color w:val="auto"/>
              </w:rPr>
              <w:t>3.5</w:t>
            </w:r>
          </w:p>
        </w:tc>
        <w:tc>
          <w:tcPr>
            <w:tcW w:w="9460" w:type="dxa"/>
            <w:vAlign w:val="bottom"/>
            <w:gridSpan w:val="2"/>
          </w:tcPr>
          <w:p>
            <w:pPr>
              <w:jc w:val="right"/>
              <w:spacing w:after="0"/>
              <w:rPr>
                <w:sz w:val="20"/>
                <w:szCs w:val="20"/>
                <w:color w:val="auto"/>
              </w:rPr>
            </w:pPr>
            <w:r>
              <w:rPr>
                <w:rFonts w:ascii="Arial" w:cs="Arial" w:eastAsia="Arial" w:hAnsi="Arial"/>
                <w:sz w:val="18"/>
                <w:szCs w:val="18"/>
                <w:color w:val="auto"/>
                <w:w w:val="94"/>
              </w:rPr>
              <w:t>Royalty Reports. AD Pharma shall prepare in respect of each calendar quarter a report (“</w:t>
            </w:r>
            <w:r>
              <w:rPr>
                <w:rFonts w:ascii="Arial" w:cs="Arial" w:eastAsia="Arial" w:hAnsi="Arial"/>
                <w:sz w:val="18"/>
                <w:szCs w:val="18"/>
                <w:b w:val="1"/>
                <w:bCs w:val="1"/>
                <w:color w:val="auto"/>
                <w:w w:val="94"/>
              </w:rPr>
              <w:t>Royalty Report</w:t>
            </w:r>
            <w:r>
              <w:rPr>
                <w:rFonts w:ascii="Arial" w:cs="Arial" w:eastAsia="Arial" w:hAnsi="Arial"/>
                <w:sz w:val="18"/>
                <w:szCs w:val="18"/>
                <w:color w:val="auto"/>
                <w:w w:val="94"/>
              </w:rPr>
              <w:t>”) that shows for that</w:t>
            </w:r>
          </w:p>
        </w:tc>
      </w:tr>
      <w:tr>
        <w:trPr>
          <w:trHeight w:val="20"/>
        </w:trPr>
        <w:tc>
          <w:tcPr>
            <w:tcW w:w="1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calendar quarter the Net Sales of Product and Product Line Extension by country and detailing the calculation of Gross Sales and deductions from Gross Sales in arriving at Net Sales. AD Pharma shall submit such statement to Acura within forty-five (45) days of the end of the calendar quarter to which it relates, together with its remittance for Royalty Payments in respect of that quarter. The Royalty Report shall be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Records</w:t>
      </w:r>
      <w:r>
        <w:rPr>
          <w:rFonts w:ascii="Arial" w:cs="Arial" w:eastAsia="Arial" w:hAnsi="Arial"/>
          <w:sz w:val="17"/>
          <w:szCs w:val="17"/>
          <w:color w:val="auto"/>
        </w:rPr>
        <w:t>. During the Term and for two (2) years thereafter, each Party shall keep all usual and proper records and books of account and all usual and proper entries relating to the Product and Product Line Extension. AD Pharma shall maintain (electronically or otherwise) such records and books of account containing all necessary data for the calculation of Royalty Payments due under this Agreement.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Audits</w:t>
      </w:r>
      <w:r>
        <w:rPr>
          <w:rFonts w:ascii="Arial" w:cs="Arial" w:eastAsia="Arial" w:hAnsi="Arial"/>
          <w:sz w:val="17"/>
          <w:szCs w:val="17"/>
          <w:color w:val="auto"/>
        </w:rPr>
        <w:t>. AD Pharma and its Affiliates and Sublicensees shall maintain complete and accurate records in reasonably sufficient detail to permit Acura to confirm the accuracy of the calculation of royalty payments. Upon reasonable prior notice, such records shall be available during regular business hours for a period of three (3) years from the end of the calendar year to which they pertain for examination, not more often than once each calendar year, by an independent certified public accountant selected by Acura and reasonably acceptable to AD Pharma, for the sole purpose of verifying the accuracy of the financial reports furnished by AD Pharma pursuant to this Agreement. Any such auditor shall enter into a confidentiality agreement with AD Pharma and shall not disclose AD Pharma's Confidential Information, except to the extent such disclosure is necessary to verify the accuracy of the financial reports furnished by AD Pharma or the amount of payments due from AD Pharma to Acura under this Agreement. Any amounts shown to be owed but unpaid shall be paid, and any amounts showed to be overpaid will be refunded, within forty-five (45) days from the accountant's report. Acura shall bear the full cost of such audit unless such audit discloses an underpayment to Acura of more than $10,000, in which case AD Pharma shall bear the full cost of such audit. Amounts shall be deemed due on the original due date (e.g., when Royalty Payment was originally due) and interest shall be applied as set forth in Section 3.10.</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Pricing</w:t>
      </w:r>
      <w:r>
        <w:rPr>
          <w:rFonts w:ascii="Arial" w:cs="Arial" w:eastAsia="Arial" w:hAnsi="Arial"/>
          <w:sz w:val="18"/>
          <w:szCs w:val="18"/>
          <w:color w:val="auto"/>
        </w:rPr>
        <w:t>. AD Pharma shall have sole discretion to determine the price, terms and conditions of sales of the Product and Product Line Extension to AD Pharma's customers. AD Pharma shall not price the Product and Product Line Extension in any country for any transaction as part of a bundle that provides greater discounts for the Product and Product Line Extension as compared to any other product in the bundle or otherwise disadvantage the selling price of the Product and Product Line Extension in favor of its products. AD Pharma will not allow any Product or Product Line Extension to serve as a loss leader to induce the sale of other products.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required under this Agreement shall be made in U.S. dollars, regardless of the country(ies) in which sales are made or expenses are incurred, via wire transfer of immediately available funds to an account designated in writing by Acura. Whenever, for the purpose of calculating any sums due under this Agreement, conversion from any foreign currency shall be required, such conversion shall be made as follows: the amounts shall be converted into United States dollars using the average rate of exchange for such currencies for the relevant period, such exchange rate shall be the exchange rate taken from The Wall Street Journal as published on the last day of the relevant period for which payments are due, or such other publication as may be agreed between the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right="2060" w:hanging="3473"/>
        <w:spacing w:after="0" w:line="532" w:lineRule="auto"/>
        <w:tabs>
          <w:tab w:leader="none" w:pos="256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Late Payments</w:t>
      </w:r>
      <w:r>
        <w:rPr>
          <w:rFonts w:ascii="Arial" w:cs="Arial" w:eastAsia="Arial" w:hAnsi="Arial"/>
          <w:sz w:val="18"/>
          <w:szCs w:val="18"/>
          <w:color w:val="auto"/>
        </w:rPr>
        <w:t>. All amounts payable under this Agreement and not paid within thirty (30) days of when due in accordance with the provisions hereof shall bear interest from the due date until paid at the rate equal to the lower of (i) three percent (3%) over the prime rate of interest reported in the East Coast Addition of The Wall Street Journal for the date such amount was due, per annum and (ii) the maximum rate allowed by law. Unless otherwise stated all dollar amounts in this Agreement are in United States dollars.</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3.11.1 In the event that a Party is mandated under the laws of a country to withhold any tax to the tax or revenue authorities in such country in connection with any payment to the other Party, such amount shall be deducted from the payment to be made by such withholding Party, provided, however, that the withholding Party shall take reasonable and lawful actions, at the other Party’s sole cost, to avoid and minimize such withholding and promptly notify the other Party so that the other Party may take lawful actions to avoid and minimize such withholding. The withholding Party shall promptly furnish the other Party with copies of any tax certificate or other documentation evidencing such withholding as necessary to satisfy the requirements of the United States Internal Revenue Service related to any application by such other Party for foreign tax credit for such payment. Each Party agrees to cooperate with the other Party in claiming exemptions from such deductions or withholdings under any agreement or treaty from time to time in effect.</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Option under Nexafed</w:t>
      </w:r>
      <w:r>
        <w:rPr>
          <w:rFonts w:ascii="Arial" w:cs="Arial" w:eastAsia="Arial" w:hAnsi="Arial"/>
          <w:sz w:val="28"/>
          <w:szCs w:val="28"/>
          <w:u w:val="single" w:color="auto"/>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The </w:t>
      </w:r>
      <w:r>
        <w:rPr>
          <w:rFonts w:ascii="Arial" w:cs="Arial" w:eastAsia="Arial" w:hAnsi="Arial"/>
          <w:sz w:val="17"/>
          <w:szCs w:val="17"/>
          <w:b w:val="1"/>
          <w:bCs w:val="1"/>
          <w:color w:val="auto"/>
        </w:rPr>
        <w:t>Nexafed</w:t>
      </w:r>
      <w:r>
        <w:rPr>
          <w:rFonts w:ascii="Arial" w:cs="Arial" w:eastAsia="Arial" w:hAnsi="Arial"/>
          <w:sz w:val="28"/>
          <w:szCs w:val="28"/>
          <w:b w:val="1"/>
          <w:b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means that certain License, Commercialization and Option Agreement entered into as of March 16, 2017, by and between Acura and MainPointe Pharmaceuticals, LLC (“MainPointe”). Acura authorizes MainPointe to assign to AD Pharma the option and the right to add, as an Option Product to the Nexafed® Agreement, a Nexafed® 12-hour dosage (an extended-release pseudoephedrine hydrochloride product utilizing the IMPEDE® Technology in 120mg dosage strength); provided, however, that for valuable consideration from AD Pharma to Acura, the receipt of which is fully acknowledged by Acura, AD Pharma and Acura agree that the payment requirements of Section 2.3.1 of the Nexafed® Agreement are waived if exercised within a period of five (5) years from the Effective Date of this Agreement with respect to such Option Product, and AD Pharma shall not be obligated to remit to Acura any payment in order to exercise the option to add Nexafed® 12-hour dosage as an Option Product under the Nexafed® Agreement. Upon execution of the aforementioned option for Nexafed 12-hour dosage, Acura agrees to negotiate in good faith a development Agreement as may be requested by AD Pharma.</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Option for license to [*****] Product</w:t>
      </w:r>
      <w:r>
        <w:rPr>
          <w:rFonts w:ascii="Arial" w:cs="Arial" w:eastAsia="Arial" w:hAnsi="Arial"/>
          <w:sz w:val="18"/>
          <w:szCs w:val="18"/>
          <w:color w:val="auto"/>
        </w:rPr>
        <w:t>. If, within Five (5) Years of the Effective Date, AD Pharma provides written notice to Acura of its desire to add the [*****] Product as an additional licensed product under this Agreement, Acura shall then be obligated to negotiate exclusively with AD Pharma for the grant of a license, which shall be (unless mutually agreed by the Parties) an exclusive (even as to Acura, unless already licensed to a Third Party under Section 3.13.2), sub-licensable (subject to Section 2.10), royalty-bearing right and license under the LIMITx™ Technology to develop, manufacture, have manufactured, distribute, have distributed, sell, have sold, market, have marketed, commercialize and have commercialized the [*****] Product in the Field in the Territory.</w:t>
      </w:r>
    </w:p>
    <w:p>
      <w:pPr>
        <w:spacing w:after="0" w:line="200" w:lineRule="exact"/>
        <w:rPr>
          <w:sz w:val="20"/>
          <w:szCs w:val="20"/>
          <w:color w:val="auto"/>
        </w:rPr>
      </w:pPr>
    </w:p>
    <w:p>
      <w:pPr>
        <w:spacing w:after="0" w:line="204" w:lineRule="exact"/>
        <w:rPr>
          <w:sz w:val="20"/>
          <w:szCs w:val="20"/>
          <w:color w:val="auto"/>
        </w:rPr>
      </w:pPr>
    </w:p>
    <w:p>
      <w:pPr>
        <w:ind w:left="5540" w:right="2060" w:hanging="3473"/>
        <w:spacing w:after="0" w:line="532" w:lineRule="auto"/>
        <w:tabs>
          <w:tab w:leader="none" w:pos="2561"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4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IV</w:t>
            </w:r>
          </w:p>
        </w:tc>
      </w:tr>
      <w:tr>
        <w:trPr>
          <w:trHeight w:val="234"/>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CONFIDENTIALITY AND LIMITATIONS ON USE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4.1</w:t>
            </w:r>
          </w:p>
        </w:tc>
        <w:tc>
          <w:tcPr>
            <w:tcW w:w="10040" w:type="dxa"/>
            <w:vAlign w:val="bottom"/>
          </w:tcPr>
          <w:p>
            <w:pPr>
              <w:ind w:left="320"/>
              <w:spacing w:after="0"/>
              <w:rPr>
                <w:sz w:val="20"/>
                <w:szCs w:val="20"/>
                <w:color w:val="auto"/>
              </w:rPr>
            </w:pPr>
            <w:r>
              <w:rPr>
                <w:rFonts w:ascii="Arial" w:cs="Arial" w:eastAsia="Arial" w:hAnsi="Arial"/>
                <w:sz w:val="18"/>
                <w:szCs w:val="18"/>
                <w:u w:val="single" w:color="auto"/>
                <w:color w:val="auto"/>
                <w:w w:val="91"/>
              </w:rPr>
              <w:t>Confidentiality</w:t>
            </w:r>
            <w:r>
              <w:rPr>
                <w:rFonts w:ascii="Arial" w:cs="Arial" w:eastAsia="Arial" w:hAnsi="Arial"/>
                <w:sz w:val="18"/>
                <w:szCs w:val="18"/>
                <w:color w:val="auto"/>
                <w:w w:val="91"/>
              </w:rPr>
              <w:t>. Each Party agrees that, during the Term and for a period of ten (10) years thereafter (and indefinitely for trade secrets)</w:t>
            </w:r>
          </w:p>
        </w:tc>
      </w:tr>
    </w:tbl>
    <w:p>
      <w:pPr>
        <w:jc w:val="both"/>
        <w:spacing w:after="0" w:line="285" w:lineRule="auto"/>
        <w:rPr>
          <w:sz w:val="20"/>
          <w:szCs w:val="20"/>
          <w:color w:val="auto"/>
        </w:rPr>
      </w:pPr>
      <w:r>
        <w:rPr>
          <w:rFonts w:ascii="Arial" w:cs="Arial" w:eastAsia="Arial" w:hAnsi="Arial"/>
          <w:sz w:val="16"/>
          <w:szCs w:val="16"/>
          <w:color w:val="auto"/>
        </w:rPr>
        <w:t>it shall 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means information that the disclosing Party considers confidential and discloses to the receiving Party for the purpose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must be marked or otherwise identified as confidential or proprietary or, under the circumstances surrounding the disclosure, ought in good faith to be treated as confidential or proprietary. Confidential Information may be conveyed in written, graphical, physical or oral form. Confidential Information may include, without limitation, information concerning the study, discovery, design, research, development, manufacture, formulation, extraction, compounding, mixing, processing, testing, control, preservation, storage, finishing, packing, packaging, use, administration, distribution, sale, reimbursement and/or marketing of pharmaceutical products or compounds and potential products or compounds, data from and methodology of pre-clinical and clinical studies, the contents of any submissions to the U.S. Food and Drug Administration (together with any successor agency), marketing plans or computer hardware and software systems and designs and plans for same. Confidential Information may include confidential or proprietary information of a third party that is in the possession of a disclosing Party. The foregoing confidentiality and non-use obligations shall not apply to any portion of the other Party’s Confidential Information that the receiving Party can demonstrate by competent written proof:</w:t>
      </w:r>
    </w:p>
    <w:p>
      <w:pPr>
        <w:spacing w:after="0" w:line="169" w:lineRule="exact"/>
        <w:rPr>
          <w:sz w:val="20"/>
          <w:szCs w:val="20"/>
          <w:color w:val="auto"/>
        </w:rPr>
      </w:pPr>
    </w:p>
    <w:p>
      <w:pPr>
        <w:ind w:left="1960" w:hanging="656"/>
        <w:spacing w:after="0" w:line="277" w:lineRule="auto"/>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 other than under an obligation of confidentiality, at the time of disclosure by the other Party;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was generally available to the public or otherwise part of the public domain at the time of its disclosure to the receiving Party;</w:t>
      </w:r>
    </w:p>
    <w:p>
      <w:pPr>
        <w:spacing w:after="0" w:line="248"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382" w:lineRule="exact"/>
        <w:rPr>
          <w:sz w:val="20"/>
          <w:szCs w:val="20"/>
          <w:color w:val="auto"/>
        </w:rPr>
      </w:pPr>
    </w:p>
    <w:p>
      <w:pPr>
        <w:ind w:left="5540" w:right="2060" w:hanging="3473"/>
        <w:spacing w:after="0" w:line="532" w:lineRule="auto"/>
        <w:tabs>
          <w:tab w:leader="none" w:pos="2561"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1960" w:hanging="656"/>
        <w:spacing w:after="0" w:line="277"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was disclosed to the receiving Party or its Affiliate by a Third Party who has a legal right to make such disclosure and who did not obtain such information directly or indirectly from the other Party; or</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without access to or aid, application or use of the other Party’s Confidential Information, as evidenced by a contemporaneous writing.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 xml:space="preserve"> Notwithstanding the obligations set forth in Section 4.1, a Party may disclose the other Party’s Confidential Information and the terms of this Agreement to the extent:</w:t>
      </w:r>
    </w:p>
    <w:p>
      <w:pPr>
        <w:spacing w:after="0" w:line="170" w:lineRule="exact"/>
        <w:rPr>
          <w:sz w:val="20"/>
          <w:szCs w:val="20"/>
          <w:color w:val="auto"/>
        </w:rPr>
      </w:pPr>
    </w:p>
    <w:p>
      <w:pPr>
        <w:jc w:val="both"/>
        <w:ind w:left="1960" w:hanging="656"/>
        <w:spacing w:after="0" w:line="259" w:lineRule="auto"/>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 or</w:t>
      </w:r>
    </w:p>
    <w:p>
      <w:pPr>
        <w:spacing w:after="0" w:line="186" w:lineRule="exact"/>
        <w:rPr>
          <w:rFonts w:ascii="Arial" w:cs="Arial" w:eastAsia="Arial" w:hAnsi="Arial"/>
          <w:sz w:val="18"/>
          <w:szCs w:val="18"/>
          <w:color w:val="auto"/>
        </w:rPr>
      </w:pPr>
    </w:p>
    <w:p>
      <w:pPr>
        <w:jc w:val="both"/>
        <w:ind w:left="1960" w:hanging="656"/>
        <w:spacing w:after="0" w:line="257" w:lineRule="auto"/>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disclosure is reasonably necessary to comply with Applicable Laws, including regulations promulgated by the U.S. Securities and Exchange Commission, applicable security exchanges, court order, administrative subpoena or order; provided that the Party subject to such Applicable Laws shall promptly notify the other Party of such required disclosure and shall use reasonable efforts to obtain, or to assist the other Party in obtaining, a protective order preventing or limiting the required disclosure.</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Publicity</w:t>
      </w:r>
    </w:p>
    <w:p>
      <w:pPr>
        <w:spacing w:after="0" w:line="225" w:lineRule="exact"/>
        <w:rPr>
          <w:sz w:val="20"/>
          <w:szCs w:val="20"/>
          <w:color w:val="auto"/>
        </w:rPr>
      </w:pPr>
    </w:p>
    <w:p>
      <w:pPr>
        <w:jc w:val="both"/>
        <w:ind w:left="1960" w:hanging="656"/>
        <w:spacing w:after="0" w:line="254" w:lineRule="auto"/>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agree that the material terms of this Agreement are the Confidential Information of both Parties, subject to the special authorized disclosure provisions set forth in this Section 4.3 or Section 4.2. In addition, a Party may disclose such terms to the extent reasonably necessary to be disclosed to any bona fide potential or actual investor, lender, acquiror, or merger partner for the sole purpose of evaluating an actual or potential investment, acquisition or merger; provided that in connection with such disclosure, such Party shall inform each disclosee of the confidential nature of such Confidential Information and ensure that each such disclosee is contractually obligated to treat such Confidential Information as confidential on terms at least as restrictive as those contained in this Article IV.</w:t>
      </w:r>
    </w:p>
    <w:p>
      <w:pPr>
        <w:spacing w:after="0" w:line="194"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Parties shall make a joint public announcement of the execution of this Agreement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which shall be issued at a mutually agreed time after the Effective Date.</w:t>
      </w:r>
    </w:p>
    <w:p>
      <w:pPr>
        <w:spacing w:after="0" w:line="382" w:lineRule="exact"/>
        <w:rPr>
          <w:sz w:val="20"/>
          <w:szCs w:val="20"/>
          <w:color w:val="auto"/>
        </w:rPr>
      </w:pPr>
    </w:p>
    <w:p>
      <w:pPr>
        <w:ind w:left="5540" w:right="2060" w:hanging="3473"/>
        <w:spacing w:after="0" w:line="532" w:lineRule="auto"/>
        <w:tabs>
          <w:tab w:leader="none" w:pos="2561"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left="1960" w:hanging="656"/>
        <w:spacing w:after="0" w:line="263"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After release of such press release, if either Party desires to make a public announcement concerning the material terms of this Agreement or any activities hereunder, such Party shall give reasonable prior advance notice of the proposed text of such announcement to the other Party for its prior review.</w:t>
      </w:r>
    </w:p>
    <w:p>
      <w:pPr>
        <w:spacing w:after="0" w:line="183" w:lineRule="exact"/>
        <w:rPr>
          <w:rFonts w:ascii="Arial" w:cs="Arial" w:eastAsia="Arial" w:hAnsi="Arial"/>
          <w:sz w:val="18"/>
          <w:szCs w:val="18"/>
          <w:color w:val="auto"/>
        </w:rPr>
      </w:pPr>
    </w:p>
    <w:p>
      <w:pPr>
        <w:jc w:val="both"/>
        <w:ind w:left="1960" w:hanging="656"/>
        <w:spacing w:after="0" w:line="254"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Parties acknowledge that either or both Parties may be obligated to file under Applicable Laws a copy of this Agreement with the U.S. Securities and Exchange Commission or other governmental authorities. Each Party may make such a required filing, provided that it requests confidential treatment of the commercial terms and sensitive technical terms hereof and thereof to the extent such confidential treatment is reasonably available to such Party. In the event of any such filing, each Party will provide the other Party with a copy of this Agreement marked to show provisions for which such Party intends to seek confidential treatment and shall reasonably consider and incorporate the other Party’s reasonable comments thereon to the extent consistent with the legal requirements, with respect to the filing Party, governing disclosure of material agreements and material information that must be publicly filed.</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900" w:type="dxa"/>
            <w:vAlign w:val="bottom"/>
          </w:tcPr>
          <w:p>
            <w:pPr>
              <w:jc w:val="center"/>
              <w:ind w:right="123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680" w:type="dxa"/>
            <w:vAlign w:val="bottom"/>
          </w:tcPr>
          <w:p>
            <w:pPr>
              <w:spacing w:after="0"/>
              <w:rPr>
                <w:sz w:val="20"/>
                <w:szCs w:val="20"/>
                <w:color w:val="auto"/>
              </w:rPr>
            </w:pPr>
          </w:p>
        </w:tc>
        <w:tc>
          <w:tcPr>
            <w:tcW w:w="9900" w:type="dxa"/>
            <w:vAlign w:val="bottom"/>
          </w:tcPr>
          <w:p>
            <w:pPr>
              <w:jc w:val="center"/>
              <w:ind w:right="1230"/>
              <w:spacing w:after="0"/>
              <w:rPr>
                <w:sz w:val="20"/>
                <w:szCs w:val="20"/>
                <w:color w:val="auto"/>
              </w:rPr>
            </w:pPr>
            <w:r>
              <w:rPr>
                <w:rFonts w:ascii="Arial" w:cs="Arial" w:eastAsia="Arial" w:hAnsi="Arial"/>
                <w:sz w:val="18"/>
                <w:szCs w:val="18"/>
                <w:b w:val="1"/>
                <w:bCs w:val="1"/>
                <w:color w:val="auto"/>
              </w:rPr>
              <w:t>LIABILITY AND INDEMNIFICATION</w:t>
            </w:r>
          </w:p>
        </w:tc>
      </w:tr>
      <w:tr>
        <w:trPr>
          <w:trHeight w:val="432"/>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79"/>
              </w:rPr>
              <w:t>5.1</w:t>
            </w:r>
          </w:p>
        </w:tc>
        <w:tc>
          <w:tcPr>
            <w:tcW w:w="9900" w:type="dxa"/>
            <w:vAlign w:val="bottom"/>
          </w:tcPr>
          <w:p>
            <w:pPr>
              <w:ind w:left="440"/>
              <w:spacing w:after="0"/>
              <w:rPr>
                <w:sz w:val="20"/>
                <w:szCs w:val="20"/>
                <w:color w:val="auto"/>
              </w:rPr>
            </w:pPr>
            <w:r>
              <w:rPr>
                <w:rFonts w:ascii="Arial" w:cs="Arial" w:eastAsia="Arial" w:hAnsi="Arial"/>
                <w:sz w:val="18"/>
                <w:szCs w:val="18"/>
                <w:u w:val="single" w:color="auto"/>
                <w:color w:val="auto"/>
                <w:w w:val="95"/>
              </w:rPr>
              <w:t>Maximum Liability</w:t>
            </w:r>
            <w:r>
              <w:rPr>
                <w:rFonts w:ascii="Arial" w:cs="Arial" w:eastAsia="Arial" w:hAnsi="Arial"/>
                <w:sz w:val="18"/>
                <w:szCs w:val="18"/>
                <w:color w:val="auto"/>
                <w:w w:val="95"/>
              </w:rPr>
              <w:t>. Other than a Party’s indemnification obligations, breach of the confidentiality provisions and non-compete</w:t>
            </w:r>
          </w:p>
        </w:tc>
      </w:tr>
    </w:tbl>
    <w:p>
      <w:pPr>
        <w:jc w:val="both"/>
        <w:spacing w:after="0" w:line="253" w:lineRule="auto"/>
        <w:rPr>
          <w:sz w:val="20"/>
          <w:szCs w:val="20"/>
          <w:color w:val="auto"/>
        </w:rPr>
      </w:pPr>
      <w:r>
        <w:rPr>
          <w:rFonts w:ascii="Arial" w:cs="Arial" w:eastAsia="Arial" w:hAnsi="Arial"/>
          <w:sz w:val="18"/>
          <w:szCs w:val="18"/>
          <w:color w:val="auto"/>
        </w:rPr>
        <w:t>provisions of Section 2.9, each Party’s maximum liability to the other Party for any claim arising from this Agreement for any reason whatsoever (excluding monetary consideration for this Agreement, such as Royalty Payments, Milestone Payments and out-of-pocket costs and expenses) will not exceed the Royalty Payments and Milestone Payments made by AD Pharma to Acura during the twelve (12) month period preceding the date upon which the applicable claim arose .</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Indemnification by Acura</w:t>
      </w:r>
      <w:r>
        <w:rPr>
          <w:rFonts w:ascii="Arial" w:cs="Arial" w:eastAsia="Arial" w:hAnsi="Arial"/>
          <w:sz w:val="18"/>
          <w:szCs w:val="18"/>
          <w:color w:val="auto"/>
        </w:rPr>
        <w:t>. Acura shall defend, indemnify, and hold AD Pharma and its Affiliates and their respective officers, directors and employees (the “</w:t>
      </w:r>
      <w:r>
        <w:rPr>
          <w:rFonts w:ascii="Arial" w:cs="Arial" w:eastAsia="Arial" w:hAnsi="Arial"/>
          <w:sz w:val="18"/>
          <w:szCs w:val="18"/>
          <w:b w:val="1"/>
          <w:bCs w:val="1"/>
          <w:color w:val="auto"/>
        </w:rPr>
        <w:t>AD Pharma Indemnitees</w:t>
      </w:r>
      <w:r>
        <w:rPr>
          <w:rFonts w:ascii="Arial" w:cs="Arial" w:eastAsia="Arial" w:hAnsi="Arial"/>
          <w:sz w:val="18"/>
          <w:szCs w:val="18"/>
          <w:color w:val="auto"/>
        </w:rPr>
        <w:t>”) harmless from and against any and all damages, losses, liabilities costs or expenses (including reasonable attorneys’ fees) (“</w:t>
      </w:r>
      <w:r>
        <w:rPr>
          <w:rFonts w:ascii="Arial" w:cs="Arial" w:eastAsia="Arial" w:hAnsi="Arial"/>
          <w:sz w:val="18"/>
          <w:szCs w:val="18"/>
          <w:b w:val="1"/>
          <w:bCs w:val="1"/>
          <w:color w:val="auto"/>
        </w:rPr>
        <w:t>Losses</w:t>
      </w:r>
      <w:r>
        <w:rPr>
          <w:rFonts w:ascii="Arial" w:cs="Arial" w:eastAsia="Arial" w:hAnsi="Arial"/>
          <w:sz w:val="18"/>
          <w:szCs w:val="18"/>
          <w:color w:val="auto"/>
        </w:rPr>
        <w:t>”) incurred or sustained by such AD Pharma Indemnitees resulting from any claims, suits, proceedings or causes of action brought by a Third Party (collectively, “</w:t>
      </w:r>
      <w:r>
        <w:rPr>
          <w:rFonts w:ascii="Arial" w:cs="Arial" w:eastAsia="Arial" w:hAnsi="Arial"/>
          <w:sz w:val="18"/>
          <w:szCs w:val="18"/>
          <w:b w:val="1"/>
          <w:bCs w:val="1"/>
          <w:color w:val="auto"/>
        </w:rPr>
        <w:t>Claims</w:t>
      </w:r>
      <w:r>
        <w:rPr>
          <w:rFonts w:ascii="Arial" w:cs="Arial" w:eastAsia="Arial" w:hAnsi="Arial"/>
          <w:sz w:val="18"/>
          <w:szCs w:val="18"/>
          <w:color w:val="auto"/>
        </w:rPr>
        <w:t>”) against such AD Pharma Indemnitee to the extent arising from or based on or arising from (a) Acura’s development of the Product limited to exposure to the Product prior to Regulatory Approval (b) Acura’s breach of any of its obligations under this Agreement; (c) the gross negligence or intentional misconduct of Acura; or (d) Acura’s breach of any representation or warranty made or given in this Agreement, in each case except for any Claim which arises from or is based on any activity set forth in Section 5.3 for which AD Pharma is obligated to indemnify the Acura Indemnitees under Section 5.3.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right="2060" w:hanging="3473"/>
        <w:spacing w:after="0" w:line="532" w:lineRule="auto"/>
        <w:tabs>
          <w:tab w:leader="none" w:pos="2561"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48"/>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Indemnification by AD Pharma</w:t>
      </w:r>
      <w:r>
        <w:rPr>
          <w:rFonts w:ascii="Arial" w:cs="Arial" w:eastAsia="Arial" w:hAnsi="Arial"/>
          <w:sz w:val="17"/>
          <w:szCs w:val="17"/>
          <w:color w:val="auto"/>
        </w:rPr>
        <w:t>. AD Pharma shall defend, indemnify, and hold Acura and its Affiliates and their respective officers, directors and employees (the “</w:t>
      </w:r>
      <w:r>
        <w:rPr>
          <w:rFonts w:ascii="Arial" w:cs="Arial" w:eastAsia="Arial" w:hAnsi="Arial"/>
          <w:sz w:val="17"/>
          <w:szCs w:val="17"/>
          <w:b w:val="1"/>
          <w:bCs w:val="1"/>
          <w:color w:val="auto"/>
        </w:rPr>
        <w:t>Acura Indemnitees</w:t>
      </w:r>
      <w:r>
        <w:rPr>
          <w:rFonts w:ascii="Arial" w:cs="Arial" w:eastAsia="Arial" w:hAnsi="Arial"/>
          <w:sz w:val="17"/>
          <w:szCs w:val="17"/>
          <w:color w:val="auto"/>
        </w:rPr>
        <w:t>”) harmless from and against any and all Losses incurred or sustained by such Acura Indemnitees resulting from any Claims against such Acura Indemnitee brought by a Third Party to the extent arising from or based on or arising from (a) AD Pharma's breach of any of its obligations under this Agreement; (b) any claims arising out of the manufacturing or commercialization of Products or Product Line Extensions; (c) the development of any Product Line Extension; (d) the gross negligence or intentional misconduct of AD Pharma; (e) AD Pharma's breach of any representation or warranty made or given by AD Pharma in this Agreement; (f) as provided in Article VIII; or (g) any actual or alleged infringement of any Third Party copyright, trademark or trade dress rights arising from materials, labeling, marketing or advertising of the Product or Product Line Extension, in each case except to the extent any Claim arises from or is based on any activity set forth in Section 5.2 for which Acura is obligated to indemnify the AD Pharma Indemnitees under Section 5.2.</w:t>
      </w:r>
    </w:p>
    <w:p>
      <w:pPr>
        <w:spacing w:after="0" w:line="18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1" w:lineRule="exact"/>
        <w:rPr>
          <w:sz w:val="20"/>
          <w:szCs w:val="20"/>
          <w:color w:val="auto"/>
        </w:rPr>
      </w:pPr>
    </w:p>
    <w:p>
      <w:pPr>
        <w:jc w:val="both"/>
        <w:ind w:left="1960" w:hanging="656"/>
        <w:spacing w:after="0" w:line="267" w:lineRule="auto"/>
        <w:tabs>
          <w:tab w:leader="none" w:pos="1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Party claiming indemnity under this Article V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give written notice to the Party from whom indemnity is being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promptly after learning of such Claim. The failure to give such prompt written notice shall not, however, relieve the Indemnifying Party of its indemnification obligations, except and only to the extent that the Indemnifying Party forfeits rights or defenses by reason of such failure. The Indemnifying Party shall have the right to participate in, or by giving written notice to the Indemnified Party within 30 days of receipt of written notice of the Claim, to assume the defense of any Claim at the Indemnifying Party’s expense and by the Indemnifying Party’s own counsel, and the Indemnified Party shall cooperate in good faith in such defense; provided, however, that the Indemnifying Party’s right to assume the defense of any Claim shall be subject to the Indemnifying Party acknowledging in writing to the Indemnified Party that the Indemnifying Party is liable under this Article V to provide indemnification. In the event that the Indemnifying Party assumes the defense of any Claim, subject to Section 5.4(b), it shall have the right to take such action as it deems necessary to avoid, dispute, defend, appeal or make counterclaims pertaining to any such Claim in the name and on behalf of the Indemnified Party; provided, that the Indemnified Party shall have the right, at its own cost and expense, to participate in the defense of any such Claim with counsel selected by it subject to the Indemnifying Party’s right to control the defense thereof. If the Indemnifying Party elects not to compromise or defend such Claim or fails to notify the Indemnified Party in writing of its election to defend as provided in this Agreement, the Indemnified Party may, subject to Section 5.4(b), pay, compromise, defend such Claim and seek indemnification for any and all Losses based upon, arising from or relating to such Claim. Acura and AD Pharma shall cooperate with each other in all reasonable respects in connection with the defense of any Claim for which indemnification is sought under this Article V, including making available (subject to the provisions of Article IV) records relating to such Claim and furnishing, without expense (other than reimbursement of actual out-of-pocket expenses) to the defending Party, management employees of the non-defending Party as may be reasonably necessary for the preparation of the defense of such Claim.</w:t>
      </w:r>
    </w:p>
    <w:p>
      <w:pPr>
        <w:spacing w:after="0" w:line="200" w:lineRule="exact"/>
        <w:rPr>
          <w:sz w:val="20"/>
          <w:szCs w:val="20"/>
          <w:color w:val="auto"/>
        </w:rPr>
      </w:pPr>
    </w:p>
    <w:p>
      <w:pPr>
        <w:spacing w:after="0" w:line="201" w:lineRule="exact"/>
        <w:rPr>
          <w:sz w:val="20"/>
          <w:szCs w:val="20"/>
          <w:color w:val="auto"/>
        </w:rPr>
      </w:pPr>
    </w:p>
    <w:p>
      <w:pPr>
        <w:ind w:left="5540" w:right="2060" w:hanging="3473"/>
        <w:spacing w:after="0" w:line="532" w:lineRule="auto"/>
        <w:tabs>
          <w:tab w:leader="none" w:pos="256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left="1960" w:hanging="656"/>
        <w:spacing w:after="0" w:line="286" w:lineRule="auto"/>
        <w:tabs>
          <w:tab w:leader="none" w:pos="1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Indemnifying Party shall not enter into settlement of any Claim without the prior written consent of the Indemnified Party (which consent shall not be unreasonably withheld or delayed), except as provided in this Section 5.4(b). If a firm offer is made to settle a Claim without leading to liability or the creation of a financial or other non-financial obligation on the part of the Indemnified Party and provides, in customary form, for the unconditional release of each Indemnified Party from all liabilities and obligations in connection with such Claim (a “</w:t>
      </w:r>
      <w:r>
        <w:rPr>
          <w:rFonts w:ascii="Arial" w:cs="Arial" w:eastAsia="Arial" w:hAnsi="Arial"/>
          <w:sz w:val="16"/>
          <w:szCs w:val="16"/>
          <w:b w:val="1"/>
          <w:bCs w:val="1"/>
          <w:color w:val="auto"/>
        </w:rPr>
        <w:t>Qualified Settlement Offer</w:t>
      </w:r>
      <w:r>
        <w:rPr>
          <w:rFonts w:ascii="Arial" w:cs="Arial" w:eastAsia="Arial" w:hAnsi="Arial"/>
          <w:sz w:val="16"/>
          <w:szCs w:val="16"/>
          <w:color w:val="auto"/>
        </w:rPr>
        <w:t>”) and the Indemnifying Party desires to accept and agree to such Qualified Settlement Offer, the Indemnifying Party shall give written notice to that effect to the Indemnified Party. If the Indemnified Party fails to consent to such Qualified Settlement Offer within ten days after its receipt of such notice, the Indemnified Party may continue to contest or defend such Claim and in such event, the maximum liability of the Indemnifying Party as to such Claim shall not exceed the amount of such settlement Qualified Settlement Offer. If the Indemnified Party fails to consent to such Qualified Settlement Offer and also fails to assume defense of such Claim, the Indemnifying Party may settle the Claim upon the terms set forth in such Qualified Settlement Offer to settle such Claim. If the Indemnified Party has assumed the defense pursuant to Section 5.4(b), it shall not agree to any settlement without the written consent of the Indemnifying Party (which consent shall not be unreasonably withheld or delayed).</w:t>
      </w:r>
    </w:p>
    <w:p>
      <w:pPr>
        <w:spacing w:after="0" w:line="173"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procedures set forth in Article VII shall supersede the provisions of this Section 5.4, with respect to matters addressed therein.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Except for breaches of the confidentiality provisions, and breach of the non-compete provision of Section 2.9, under no circumstances whatsoever will either Party be liable to the other in contract, tort, negligence, breach of statutory duty, or otherwise for (i) any (direct or indirect) loss of profits, of production, of anticipated savings, of business, or goodwill or (ii) for any other liability, damage, costs, or expense of any kind incurred by the other Party of an indirect or consequential nature, regardless of any notice of the possibility of these damages.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4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NOTICES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6.1</w:t>
            </w:r>
          </w:p>
        </w:tc>
        <w:tc>
          <w:tcPr>
            <w:tcW w:w="10040" w:type="dxa"/>
            <w:vAlign w:val="bottom"/>
          </w:tcPr>
          <w:p>
            <w:pPr>
              <w:ind w:left="340"/>
              <w:spacing w:after="0"/>
              <w:rPr>
                <w:sz w:val="20"/>
                <w:szCs w:val="20"/>
                <w:color w:val="auto"/>
              </w:rPr>
            </w:pPr>
            <w:r>
              <w:rPr>
                <w:rFonts w:ascii="Arial" w:cs="Arial" w:eastAsia="Arial" w:hAnsi="Arial"/>
                <w:sz w:val="18"/>
                <w:szCs w:val="18"/>
                <w:u w:val="single" w:color="auto"/>
                <w:color w:val="auto"/>
                <w:w w:val="91"/>
              </w:rPr>
              <w:t>Notices</w:t>
            </w:r>
            <w:r>
              <w:rPr>
                <w:rFonts w:ascii="Arial" w:cs="Arial" w:eastAsia="Arial" w:hAnsi="Arial"/>
                <w:sz w:val="18"/>
                <w:szCs w:val="18"/>
                <w:color w:val="auto"/>
                <w:w w:val="91"/>
              </w:rPr>
              <w:t>. Any notice or request to be given or furnished under this Agreement by any Party to the other shall be in writing and shall be</w:t>
            </w:r>
          </w:p>
        </w:tc>
      </w:tr>
    </w:tbl>
    <w:p>
      <w:pPr>
        <w:spacing w:after="0"/>
        <w:rPr>
          <w:sz w:val="20"/>
          <w:szCs w:val="20"/>
          <w:color w:val="auto"/>
        </w:rPr>
      </w:pPr>
      <w:r>
        <w:rPr>
          <w:rFonts w:ascii="Arial" w:cs="Arial" w:eastAsia="Arial" w:hAnsi="Arial"/>
          <w:sz w:val="18"/>
          <w:szCs w:val="18"/>
          <w:color w:val="auto"/>
        </w:rPr>
        <w:t>delivered personally or registered or certified mail, postage prepaid, or by overnight delivery service to the following:</w:t>
      </w:r>
    </w:p>
    <w:p>
      <w:pPr>
        <w:spacing w:after="0" w:line="200" w:lineRule="exact"/>
        <w:rPr>
          <w:sz w:val="20"/>
          <w:szCs w:val="20"/>
          <w:color w:val="auto"/>
        </w:rPr>
      </w:pPr>
    </w:p>
    <w:p>
      <w:pPr>
        <w:spacing w:after="0" w:line="223" w:lineRule="exact"/>
        <w:rPr>
          <w:sz w:val="20"/>
          <w:szCs w:val="20"/>
          <w:color w:val="auto"/>
        </w:rPr>
      </w:pPr>
    </w:p>
    <w:p>
      <w:pPr>
        <w:ind w:left="5540" w:right="2060" w:hanging="3473"/>
        <w:spacing w:after="0" w:line="532" w:lineRule="auto"/>
        <w:tabs>
          <w:tab w:leader="none" w:pos="2561"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TO ACURA:</w:t>
            </w: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Acura Pharmaceuticals, Inc.</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616 N. North Court</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Palatine, IL 60067</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Attn: Robert B. Jones</w:t>
            </w:r>
          </w:p>
        </w:tc>
      </w:tr>
      <w:tr>
        <w:trPr>
          <w:trHeight w:val="230"/>
        </w:trPr>
        <w:tc>
          <w:tcPr>
            <w:tcW w:w="1540" w:type="dxa"/>
            <w:vAlign w:val="bottom"/>
          </w:tcPr>
          <w:p>
            <w:pPr>
              <w:spacing w:after="0"/>
              <w:rPr>
                <w:sz w:val="20"/>
                <w:szCs w:val="20"/>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Telephone No. 847-705-7709</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Copy To:</w:t>
            </w: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S. Jason Teele</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Sills Cummis &amp; Gross P.C.</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One Riverfront Plaza</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Newark, NJ 07102</w:t>
            </w:r>
          </w:p>
        </w:tc>
      </w:tr>
      <w:tr>
        <w:trPr>
          <w:trHeight w:val="230"/>
        </w:trPr>
        <w:tc>
          <w:tcPr>
            <w:tcW w:w="1540" w:type="dxa"/>
            <w:vAlign w:val="bottom"/>
          </w:tcPr>
          <w:p>
            <w:pPr>
              <w:spacing w:after="0"/>
              <w:rPr>
                <w:sz w:val="20"/>
                <w:szCs w:val="20"/>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Telephone No. 973-643-4779</w:t>
            </w:r>
          </w:p>
        </w:tc>
      </w:tr>
      <w:tr>
        <w:trPr>
          <w:trHeight w:val="634"/>
        </w:trPr>
        <w:tc>
          <w:tcPr>
            <w:tcW w:w="1540" w:type="dxa"/>
            <w:vAlign w:val="bottom"/>
          </w:tcPr>
          <w:p>
            <w:pPr>
              <w:spacing w:after="0"/>
              <w:rPr>
                <w:sz w:val="20"/>
                <w:szCs w:val="20"/>
                <w:color w:val="auto"/>
              </w:rPr>
            </w:pPr>
            <w:r>
              <w:rPr>
                <w:rFonts w:ascii="Arial" w:cs="Arial" w:eastAsia="Arial" w:hAnsi="Arial"/>
                <w:sz w:val="18"/>
                <w:szCs w:val="18"/>
                <w:color w:val="auto"/>
              </w:rPr>
              <w:t>TO AD Pharma:</w:t>
            </w: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Abuse Deterrent Pharmaceuticals, LLC</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333 E. Main Street, Suite220</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Louisville, KY 40202</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Attn: John L. Schutte</w:t>
            </w:r>
          </w:p>
        </w:tc>
      </w:tr>
      <w:tr>
        <w:trPr>
          <w:trHeight w:val="230"/>
        </w:trPr>
        <w:tc>
          <w:tcPr>
            <w:tcW w:w="1540" w:type="dxa"/>
            <w:vAlign w:val="bottom"/>
          </w:tcPr>
          <w:p>
            <w:pPr>
              <w:spacing w:after="0"/>
              <w:rPr>
                <w:sz w:val="20"/>
                <w:szCs w:val="20"/>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Telephone No. [*****]</w:t>
            </w: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Copy To:</w:t>
            </w: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Frost Brown Todd Attorneys, LLC</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400 West Market St., 3200</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Louisville, KY 40202</w:t>
            </w:r>
          </w:p>
        </w:tc>
      </w:tr>
      <w:tr>
        <w:trPr>
          <w:trHeight w:val="216"/>
        </w:trPr>
        <w:tc>
          <w:tcPr>
            <w:tcW w:w="15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Attn: William G. Strench</w:t>
            </w:r>
          </w:p>
        </w:tc>
      </w:tr>
      <w:tr>
        <w:trPr>
          <w:trHeight w:val="230"/>
        </w:trPr>
        <w:tc>
          <w:tcPr>
            <w:tcW w:w="1540" w:type="dxa"/>
            <w:vAlign w:val="bottom"/>
          </w:tcPr>
          <w:p>
            <w:pPr>
              <w:spacing w:after="0"/>
              <w:rPr>
                <w:sz w:val="20"/>
                <w:szCs w:val="20"/>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Telephone No. 502-589-5400</w:t>
            </w:r>
          </w:p>
        </w:tc>
      </w:tr>
      <w:tr>
        <w:trPr>
          <w:trHeight w:val="607"/>
        </w:trPr>
        <w:tc>
          <w:tcPr>
            <w:tcW w:w="1540" w:type="dxa"/>
            <w:vAlign w:val="bottom"/>
          </w:tcPr>
          <w:p>
            <w:pPr>
              <w:ind w:left="660"/>
              <w:spacing w:after="0"/>
              <w:rPr>
                <w:sz w:val="20"/>
                <w:szCs w:val="20"/>
                <w:color w:val="auto"/>
              </w:rPr>
            </w:pPr>
            <w:r>
              <w:rPr>
                <w:rFonts w:ascii="Arial" w:cs="Arial" w:eastAsia="Arial" w:hAnsi="Arial"/>
                <w:sz w:val="18"/>
                <w:szCs w:val="18"/>
                <w:color w:val="auto"/>
              </w:rPr>
              <w:t>6.2</w:t>
            </w: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Receipt of Notice. All notices and other communications given to any Party in accordance with the provisions of this Agreement shall</w:t>
            </w:r>
          </w:p>
        </w:tc>
      </w:tr>
      <w:tr>
        <w:trPr>
          <w:trHeight w:val="20"/>
        </w:trPr>
        <w:tc>
          <w:tcPr>
            <w:tcW w:w="1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 deemed to have been given on the date of receipt if delivered by hand or overnight courier services or sent by telecopy, or on the date five (5) business days after dispatch by certified or registered mail (postage prepaid) if mailed, in each case delivered, sent or mailed (properly addressed) to such Party as provided in this Article VI, or in accordance with the latest unrevoked direction from such Party given in accordance with this Article VI.</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9940" w:type="dxa"/>
            <w:vAlign w:val="bottom"/>
          </w:tcPr>
          <w:p>
            <w:pPr>
              <w:jc w:val="center"/>
              <w:ind w:right="1210"/>
              <w:spacing w:after="0"/>
              <w:rPr>
                <w:sz w:val="20"/>
                <w:szCs w:val="20"/>
                <w:color w:val="auto"/>
              </w:rPr>
            </w:pPr>
            <w:r>
              <w:rPr>
                <w:rFonts w:ascii="Arial" w:cs="Arial" w:eastAsia="Arial" w:hAnsi="Arial"/>
                <w:sz w:val="18"/>
                <w:szCs w:val="18"/>
                <w:b w:val="1"/>
                <w:bCs w:val="1"/>
                <w:color w:val="auto"/>
              </w:rPr>
              <w:t>ARTICLE VII</w:t>
            </w:r>
          </w:p>
        </w:tc>
      </w:tr>
      <w:tr>
        <w:trPr>
          <w:trHeight w:val="234"/>
        </w:trPr>
        <w:tc>
          <w:tcPr>
            <w:tcW w:w="640" w:type="dxa"/>
            <w:vAlign w:val="bottom"/>
          </w:tcPr>
          <w:p>
            <w:pPr>
              <w:spacing w:after="0"/>
              <w:rPr>
                <w:sz w:val="20"/>
                <w:szCs w:val="20"/>
                <w:color w:val="auto"/>
              </w:rPr>
            </w:pPr>
          </w:p>
        </w:tc>
        <w:tc>
          <w:tcPr>
            <w:tcW w:w="9940" w:type="dxa"/>
            <w:vAlign w:val="bottom"/>
          </w:tcPr>
          <w:p>
            <w:pPr>
              <w:jc w:val="center"/>
              <w:ind w:right="1210"/>
              <w:spacing w:after="0"/>
              <w:rPr>
                <w:sz w:val="20"/>
                <w:szCs w:val="20"/>
                <w:color w:val="auto"/>
              </w:rPr>
            </w:pPr>
            <w:r>
              <w:rPr>
                <w:rFonts w:ascii="Arial" w:cs="Arial" w:eastAsia="Arial" w:hAnsi="Arial"/>
                <w:sz w:val="18"/>
                <w:szCs w:val="18"/>
                <w:b w:val="1"/>
                <w:bCs w:val="1"/>
                <w:color w:val="auto"/>
              </w:rPr>
              <w:t>PATENT PROSECUTION, INFRINGEMENT</w:t>
            </w:r>
          </w:p>
        </w:tc>
      </w:tr>
      <w:tr>
        <w:trPr>
          <w:trHeight w:val="43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7.1</w:t>
            </w:r>
          </w:p>
        </w:tc>
        <w:tc>
          <w:tcPr>
            <w:tcW w:w="9940" w:type="dxa"/>
            <w:vAlign w:val="bottom"/>
          </w:tcPr>
          <w:p>
            <w:pPr>
              <w:ind w:left="420"/>
              <w:spacing w:after="0"/>
              <w:rPr>
                <w:sz w:val="20"/>
                <w:szCs w:val="20"/>
                <w:color w:val="auto"/>
              </w:rPr>
            </w:pPr>
            <w:r>
              <w:rPr>
                <w:rFonts w:ascii="Arial" w:cs="Arial" w:eastAsia="Arial" w:hAnsi="Arial"/>
                <w:sz w:val="18"/>
                <w:szCs w:val="18"/>
                <w:u w:val="single" w:color="auto"/>
                <w:color w:val="auto"/>
                <w:w w:val="95"/>
              </w:rPr>
              <w:t>Ownership of Intellectual Property Rights</w:t>
            </w:r>
            <w:r>
              <w:rPr>
                <w:rFonts w:ascii="Arial" w:cs="Arial" w:eastAsia="Arial" w:hAnsi="Arial"/>
                <w:sz w:val="18"/>
                <w:szCs w:val="18"/>
                <w:color w:val="auto"/>
                <w:w w:val="95"/>
              </w:rPr>
              <w:t>. Acura shall own all Intellectual Property Rights (including all Know-How and Patent</w:t>
            </w:r>
          </w:p>
        </w:tc>
      </w:tr>
    </w:tbl>
    <w:p>
      <w:pPr>
        <w:jc w:val="both"/>
        <w:spacing w:after="0" w:line="271" w:lineRule="auto"/>
        <w:rPr>
          <w:sz w:val="20"/>
          <w:szCs w:val="20"/>
          <w:color w:val="auto"/>
        </w:rPr>
      </w:pPr>
      <w:r>
        <w:rPr>
          <w:rFonts w:ascii="Arial" w:cs="Arial" w:eastAsia="Arial" w:hAnsi="Arial"/>
          <w:sz w:val="17"/>
          <w:szCs w:val="17"/>
          <w:color w:val="auto"/>
        </w:rPr>
        <w:t>Rights) in the LIMITx™ Technology, provided that if AD Pharma makes any improvements to the LIMITx™ Technology, then AD Pharma shall own such improvements provided that it shall inform Acura of such improvements, and hereby grants Acura a royalty-free, perpetual, sublicensable, non-exclusive license to such improvements to develop, manufacture and commercialize products other than the Products. AD Pharma owns all trademarks and goodwill associated with the marketing and commercialization of the Product and Product Line Extension in the Territory, with the exception of any mark incorporating Acura’s corporate name, LIMITx™, or any mark incorporating LIMITx™, which shall be owned by Acura.</w:t>
      </w:r>
    </w:p>
    <w:p>
      <w:pPr>
        <w:spacing w:after="0" w:line="390" w:lineRule="exact"/>
        <w:rPr>
          <w:sz w:val="20"/>
          <w:szCs w:val="20"/>
          <w:color w:val="auto"/>
        </w:rPr>
      </w:pPr>
    </w:p>
    <w:p>
      <w:pPr>
        <w:ind w:left="5540" w:right="2060" w:hanging="3473"/>
        <w:spacing w:after="0" w:line="532" w:lineRule="auto"/>
        <w:tabs>
          <w:tab w:leader="none" w:pos="2561"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648"/>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 Acura is responsible for the prosecution and maintenance of the LIMITx™ Patent Rights in its sole discretion and at its own cost and expense. Acura shall provide AD Pharma a reasonable opportunity to review and comment on such prosecution and maintenance efforts regarding LIMITx™ Patent Rights in the Territory that may claim the Product or Product Line Extension, or the making or the use thereof. Acura shall provide AD Pharma with a copy of material communications from any patent authority in the Territory regarding such LIMITx™ Patent Rights within a reasonable time after receipt of such communications and shall provide drafts of any material filings or responses to be made to such patent authorities in a reasonable amount of time in advance of submitting such filings or responses for AD Pharma's review and comment. Acura shall reasonably consider such comments by AD Pharma in connection with the prosecution and maintenance of the LIMITx™ Patent Rights. If Acura decides to cease the prosecution or maintenance of any LIMITx™ Patent Rights that claim a Product or Product Line Extension after it has commenced prosecution of such LIMITx™ Patent Rights in the Territory, Acura shall notify AD Pharma in writing so that AD Pharma may, at its discretion, assume the responsibility for the prosecution or maintenance of such LIMITx™ Patent Rights in the Territory, provided Acura shall own all such resulting patents.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Infringement of LIMITx™ Patent Rights</w:t>
      </w:r>
      <w:r>
        <w:rPr>
          <w:rFonts w:ascii="Arial" w:cs="Arial" w:eastAsia="Arial" w:hAnsi="Arial"/>
          <w:sz w:val="18"/>
          <w:szCs w:val="18"/>
          <w:color w:val="auto"/>
        </w:rPr>
        <w:t>. Each of AD Pharma and Acura will notify the other Party within five (5) days upon learning of any possible infringement by a Third Party of the LIMITx™ Patent Rights, which infringement may reasonably be expected to affect the commercialization of the Product or Product Line Extension. AD Pharma has the exclusive right (after consultation with Acura), but not the obligation, at AD Pharma's own cost, to take all steps, including legal action, it deems necessary or advisable to eliminate or minimize the effect on the development, manufacture and commercialization of the Product or Product Line Extension of such possible infringement. Acura agrees to cooperate, upon reasonable request of AD Pharma and at AD Pharma's cost, in such steps or legal proceeding. All proceeds realized upon any judgement or settlement in AD Pharma's favor regarding such steps or legal action, net of direct out-of-pocket expenses of the Parties relating thereto, shall be for the benefit of AD Pharma provided AD Pharma shall pay Acura the same royalty on the excess as it is required to pay on Net Sales. Notwithstanding the foregoing, Acura’s consent (which shall not be unreasonably withheld, delayed or conditioned) shall be required for any settlement that entails any license or covenant not to sue, relating to the LIMITx™ Patent Rights, or dedication to the public, admission of invalidity or unenforceability, or abandonment of any LIMITx™ Patent Rights.</w:t>
      </w:r>
    </w:p>
    <w:p>
      <w:pPr>
        <w:spacing w:after="0" w:line="19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Notice by AD Pharma of Intent to Assert; Acura’s Right to Assert.</w:t>
      </w:r>
    </w:p>
    <w:p>
      <w:pPr>
        <w:spacing w:after="0" w:line="225" w:lineRule="exact"/>
        <w:rPr>
          <w:sz w:val="20"/>
          <w:szCs w:val="20"/>
          <w:color w:val="auto"/>
        </w:rPr>
      </w:pPr>
    </w:p>
    <w:p>
      <w:pPr>
        <w:jc w:val="both"/>
        <w:ind w:left="1960" w:hanging="656"/>
        <w:spacing w:after="0" w:line="259" w:lineRule="auto"/>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later than five (5) business days after learning or being notified of any possible infringement by a Third Party of the LIMITx™ Patent Rights, which infringement may reasonably be expected to affect the commercialization of a Product or Line Extension, AD Pharma shall provide written notice to Acura as to whether AD Pharma will exercise its rights conferred in Section 7.3.</w:t>
      </w:r>
    </w:p>
    <w:p>
      <w:pPr>
        <w:spacing w:after="0" w:line="399" w:lineRule="exact"/>
        <w:rPr>
          <w:sz w:val="20"/>
          <w:szCs w:val="20"/>
          <w:color w:val="auto"/>
        </w:rPr>
      </w:pPr>
    </w:p>
    <w:p>
      <w:pPr>
        <w:ind w:left="5540" w:right="2060" w:hanging="3473"/>
        <w:spacing w:after="0" w:line="532" w:lineRule="auto"/>
        <w:tabs>
          <w:tab w:leader="none" w:pos="256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left="1960" w:hanging="656"/>
        <w:spacing w:after="0" w:line="279" w:lineRule="auto"/>
        <w:tabs>
          <w:tab w:leader="none" w:pos="1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AD Pharma does not provide Acura with such written notice within twenty (20) business days or within such time provides notice to Acura electing not to exercise its rights conferred in Section 7.3, then at any time Acura may, but shall not be obligated, to provide AD Pharma written notice as to whether Acura will take steps to eliminate or minimize the consequences of such possible infringement to the commercialization of the Product or Product Line Extension.</w:t>
      </w:r>
    </w:p>
    <w:p>
      <w:pPr>
        <w:spacing w:after="0" w:line="171" w:lineRule="exact"/>
        <w:rPr>
          <w:rFonts w:ascii="Arial" w:cs="Arial" w:eastAsia="Arial" w:hAnsi="Arial"/>
          <w:sz w:val="17"/>
          <w:szCs w:val="17"/>
          <w:color w:val="auto"/>
        </w:rPr>
      </w:pPr>
    </w:p>
    <w:p>
      <w:pPr>
        <w:jc w:val="both"/>
        <w:ind w:left="1960" w:hanging="656"/>
        <w:spacing w:after="0" w:line="293" w:lineRule="auto"/>
        <w:tabs>
          <w:tab w:leader="none" w:pos="1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Acura elects, pursuant to Section 7.4(b), to take steps to eliminate or minimize the consequences of such possible infringement to the commercialization of a Product or Product Line Extension, the following shall apply: Acura shall have the exclusive right, at Acura’s own cost and expense, to take such steps as it shall determine, including legal action, to eliminate or minimize the consequences of such possible infringement to the commercialization of the Product or Product Line Extension. Acura shall be entitled to any judgement or settlement relating to such action. AD Pharma agrees to join as a named party and cooperate, upon reasonable request of Acura and at Acura’s cost and expense, in any such steps or legal proceeding.</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Third Party Challenges to LIMITx™ Patent Rights</w:t>
      </w:r>
      <w:r>
        <w:rPr>
          <w:rFonts w:ascii="Arial" w:cs="Arial" w:eastAsia="Arial" w:hAnsi="Arial"/>
          <w:sz w:val="17"/>
          <w:szCs w:val="17"/>
          <w:color w:val="auto"/>
        </w:rPr>
        <w:t>. Notwithstanding Section 7.3, each of AD Pharma and Acura shall notify the other Party no later than five (5) business days after receiving a Paragraph IV Certification, an Inter Parties or Post Grant review petition, or any other challenge that a LIMITx™ Patent Right is invalid or unenforceable, if such LIMITx™ Patent Right claims the Product or Product Line Extension, or the manufacture, or use thereof. AD Pharma has the right (after consultation with Acura), but not the obligation, at AD Pharma's own cost, to exclusively pursue any negotiations with such Third Party and exclusively control the enforcement or defense of any legal proceeding regarding such challenge. Acura agrees to cooperate, upon reasonable request of AD Pharma and at AD Pharma's cost, in such negotiations or legal proceeding. All proceeds realized upon any judgement or settlement in AD Pharma's favor regarding such negotiations or legal proceeding, net of direct out-of-pocket expenses of the Parties relating thereto, shall be for the benefit of AD Pharma, provided AD Pharma shall pay Acura the same royalty on the excess as it is required to pay on Net Sales. Notwithstanding the foregoing, Acura’s consent (which shall not be unreasonably withheld, delayed or conditioned) shall be required for any settlement that entails any license or covenant not to sue, relating to the LIMITx™ Patent Rights, or dedication to the public, admission of invalidity or unenforceability, or abandonment of the LIMITx™ Patent Rights.</w:t>
      </w:r>
    </w:p>
    <w:p>
      <w:pPr>
        <w:spacing w:after="0" w:line="18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Notice by AD Pharma to Defend; Acura’s Right to Defend</w:t>
      </w:r>
      <w:r>
        <w:rPr>
          <w:rFonts w:ascii="Arial" w:cs="Arial" w:eastAsia="Arial" w:hAnsi="Arial"/>
          <w:sz w:val="16"/>
          <w:szCs w:val="16"/>
          <w:color w:val="auto"/>
        </w:rPr>
        <w:t>.</w:t>
      </w:r>
    </w:p>
    <w:p>
      <w:pPr>
        <w:spacing w:after="0" w:line="225" w:lineRule="exact"/>
        <w:rPr>
          <w:sz w:val="20"/>
          <w:szCs w:val="20"/>
          <w:color w:val="auto"/>
        </w:rPr>
      </w:pPr>
    </w:p>
    <w:p>
      <w:pPr>
        <w:jc w:val="both"/>
        <w:ind w:left="1960" w:hanging="656"/>
        <w:spacing w:after="0" w:line="279" w:lineRule="auto"/>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Section 7.4, no later than five (5) business days after AD Pharma learns of a Paragraph IV Certification, an Inter Parties or Post Grant review petition, or any other challenge that an LIMITx™ Patent Right is invalid or unenforceable, which LIMITx™ Patent Right claims a Product or Product Line Extension, or the manufacture, or use thereof, AD Pharma shall provide written notice to Acura as to whether AD Pharma will exercise its rights conferred in Section 7.5.</w:t>
      </w:r>
    </w:p>
    <w:p>
      <w:pPr>
        <w:spacing w:after="0" w:line="383" w:lineRule="exact"/>
        <w:rPr>
          <w:sz w:val="20"/>
          <w:szCs w:val="20"/>
          <w:color w:val="auto"/>
        </w:rPr>
      </w:pPr>
    </w:p>
    <w:p>
      <w:pPr>
        <w:ind w:left="5540" w:right="2060" w:hanging="3473"/>
        <w:spacing w:after="0" w:line="532" w:lineRule="auto"/>
        <w:tabs>
          <w:tab w:leader="none" w:pos="256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left="1300" w:hanging="656"/>
        <w:spacing w:after="0" w:line="259"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AD Pharma does not provide Acura with such written notice within its ten (10) business day period of Section 7.6(a) or within such time provided notice to Acura electing not to exercise its rights conferred in Section 7.5, then Acura may at its option, but shall not be obligated to, notify AD Pharma in writing at any time thereafter whether Acura will undertake the enforcement or defense of any legal proceeding.</w:t>
      </w:r>
    </w:p>
    <w:p>
      <w:pPr>
        <w:spacing w:after="0" w:line="186" w:lineRule="exact"/>
        <w:rPr>
          <w:rFonts w:ascii="Arial" w:cs="Arial" w:eastAsia="Arial" w:hAnsi="Arial"/>
          <w:sz w:val="18"/>
          <w:szCs w:val="18"/>
          <w:color w:val="auto"/>
        </w:rPr>
      </w:pPr>
    </w:p>
    <w:p>
      <w:pPr>
        <w:jc w:val="both"/>
        <w:ind w:left="1300" w:hanging="656"/>
        <w:spacing w:after="0" w:line="291"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Acura undertakes such defense or enforcement pursuant to Section 7.6(b), the following paragraph shall apply: Acura shall be entitled, at Acura’s own cost and expense, to exclusively pursue any negotiations with such Third Party and exclusively control the enforcement or defense of any legal proceeding regarding such challenge. If Acura undertakes the defense or enforcement, Acura shall be entitled to any judgement or settlement relating to such action. AD Pharma agrees to join as a named party and cooperate, upon reasonable request of Acura and at AD Pharma's cost and expense, in any such steps or legal proceeding. Notwithstanding the foregoing, AD Pharma's consent (which shall not be unreasonably withheld, delayed or conditioned) shall be required for any settlement that would limit or restrict AD Pharma's rights conferred by this Agreement.</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Allegations of Infringement by Third Parties</w:t>
      </w:r>
      <w:r>
        <w:rPr>
          <w:rFonts w:ascii="Arial" w:cs="Arial" w:eastAsia="Arial" w:hAnsi="Arial"/>
          <w:sz w:val="16"/>
          <w:szCs w:val="16"/>
          <w:color w:val="auto"/>
        </w:rPr>
        <w:t>.</w:t>
      </w:r>
    </w:p>
    <w:p>
      <w:pPr>
        <w:spacing w:after="0" w:line="225" w:lineRule="exact"/>
        <w:rPr>
          <w:sz w:val="20"/>
          <w:szCs w:val="20"/>
          <w:color w:val="auto"/>
        </w:rPr>
      </w:pPr>
    </w:p>
    <w:p>
      <w:pPr>
        <w:jc w:val="both"/>
        <w:ind w:left="1300" w:hanging="656"/>
        <w:spacing w:after="0" w:line="25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AD Pharma and Acura will forthwith notify the other Party upon learning of any allegation by a Third Party that (i) a Product or Product Line Extension may infringe Third Party intellectual property rights, or (ii) any product that includes the LIMITx™ Technology other than a Product or Product Line Extension (a “</w:t>
      </w:r>
      <w:r>
        <w:rPr>
          <w:rFonts w:ascii="Arial" w:cs="Arial" w:eastAsia="Arial" w:hAnsi="Arial"/>
          <w:sz w:val="18"/>
          <w:szCs w:val="18"/>
          <w:b w:val="1"/>
          <w:bCs w:val="1"/>
          <w:color w:val="auto"/>
        </w:rPr>
        <w:t>Related LIMITx™ Technology Product</w:t>
      </w:r>
      <w:r>
        <w:rPr>
          <w:rFonts w:ascii="Arial" w:cs="Arial" w:eastAsia="Arial" w:hAnsi="Arial"/>
          <w:sz w:val="18"/>
          <w:szCs w:val="18"/>
          <w:color w:val="auto"/>
        </w:rPr>
        <w:t>”) may infringe Third Party intellectual property rights and the Parties shall in that event consult with each other, including a possible defense strategy.</w:t>
      </w:r>
    </w:p>
    <w:p>
      <w:pPr>
        <w:spacing w:after="0" w:line="187" w:lineRule="exact"/>
        <w:rPr>
          <w:rFonts w:ascii="Arial" w:cs="Arial" w:eastAsia="Arial" w:hAnsi="Arial"/>
          <w:sz w:val="18"/>
          <w:szCs w:val="18"/>
          <w:color w:val="auto"/>
        </w:rPr>
      </w:pPr>
    </w:p>
    <w:p>
      <w:pPr>
        <w:jc w:val="both"/>
        <w:ind w:left="1300" w:hanging="656"/>
        <w:spacing w:after="0" w:line="273"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infringement allegation against a Product or Product Line Extension is due to the LIMITx™ Technology, AD Pharma has the obligation to pursue any negotiations with the claimant and to control the defense of any legal proceeding regarding such infringement allegation against the Product at its own cost and expense (including the cost of defense, judgments, damages and settlements) and shall indemnify and hold Acura harmless from same. Acura shall, at AD Pharma's expense, reasonably collaborate with AD Pharma and render any reasonable assistance to AD Pharma in AD Pharma's negotiations with the claimant and defense of any such legal proceeding regarding such allegation of infringement.</w:t>
      </w:r>
    </w:p>
    <w:p>
      <w:pPr>
        <w:spacing w:after="0" w:line="177" w:lineRule="exact"/>
        <w:rPr>
          <w:rFonts w:ascii="Arial" w:cs="Arial" w:eastAsia="Arial" w:hAnsi="Arial"/>
          <w:sz w:val="17"/>
          <w:szCs w:val="17"/>
          <w:color w:val="auto"/>
        </w:rPr>
      </w:pPr>
    </w:p>
    <w:p>
      <w:pPr>
        <w:jc w:val="both"/>
        <w:ind w:left="1300" w:hanging="656"/>
        <w:spacing w:after="0" w:line="290"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infringement allegation is against a Related LIMITx™ Technology Product, Acura reserves the limited right to negotiate with the claimant solely in its own name and on its own behalf relating to the Related LIMITx™ Technology Product and defend only itself in any legal proceeding regarding such allegation of infringement as it may relate to the Related LIMITx™ Technology Product at its own cost and expense (including the cost of defense, judgments, damages, and settlements). AD Pharma shall, at AD Pharma's expense, reasonably collaborate with Acura and render any reasonable assistance to Acura in Acura’s negotiations with the claimant and Acura’s defense of any legal proceeding regarding such allegation of infringement as it may relate to the Related LIMITx™ Technology Product. If Acura elects to undertake negotiation or defense pursuant to this section, Acura is neither authorized nor obligated to negotiate on behalf of or defend AD Pharma.</w:t>
      </w:r>
    </w:p>
    <w:p>
      <w:pPr>
        <w:spacing w:after="0" w:line="377" w:lineRule="exact"/>
        <w:rPr>
          <w:sz w:val="20"/>
          <w:szCs w:val="20"/>
          <w:color w:val="auto"/>
        </w:rPr>
      </w:pPr>
    </w:p>
    <w:p>
      <w:pPr>
        <w:ind w:left="4880" w:right="2060" w:hanging="3473"/>
        <w:spacing w:after="0" w:line="532" w:lineRule="auto"/>
        <w:tabs>
          <w:tab w:leader="none" w:pos="1901"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3" w:name="page144"/>
    <w:bookmarkEnd w:id="143"/>
    <w:p>
      <w:pPr>
        <w:jc w:val="both"/>
        <w:ind w:firstLine="648"/>
        <w:spacing w:after="0" w:line="287"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Settlement of Allegations of Infringement</w:t>
      </w:r>
      <w:r>
        <w:rPr>
          <w:rFonts w:ascii="Arial" w:cs="Arial" w:eastAsia="Arial" w:hAnsi="Arial"/>
          <w:sz w:val="16"/>
          <w:szCs w:val="16"/>
          <w:color w:val="auto"/>
        </w:rPr>
        <w:t>. For purposes of Sections 7.7 and 7.8, the Party negotiating with the claimant or defending the legal proceeding is referred to as the “Defending Party” and the other Party is referred to as the “non-Defending Party.” The Defending Party shall have the right to exclusively control and manage such claim of infringement (including without limitation, control over the settlement of such action), provided, however, that any such settlement shall also release the non-Defending Party from the claims relating to the claim of infringement (provided that the non-Defending Party executes a mutual release in favor of the party releasing the non-Defending Party). The written consent of the non-Defending Party to the settlement is required if the settlement obligates the non-Defending Party to take or forgo any action (which consent shall not be unreasonably withheld, delayed or conditioned). Without limiting the foregoing, Acura’s consent (which shall not be unreasonably withheld, delayed or conditioned) shall be required for any settlement that entails any license, covenant not to sue relating to, dedication to the public, admission of non-infringement, invalidity or unenforceability or abandonment of Acura’s Intellectual Property Rights, including without limitation the LIMITx™ Technology, and AD Pharma's consent (which shall not be unreasonably withheld, delayed or conditioned) shall be required for any settlement that that would limit or restrict the ability of AD Pharma to have made, use, offer for sale, sell or otherwise commercialize the Product or Product Line Extension in the Field in the Territory</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540" w:type="dxa"/>
            <w:vAlign w:val="bottom"/>
          </w:tcPr>
          <w:p>
            <w:pPr>
              <w:spacing w:after="0"/>
              <w:rPr>
                <w:sz w:val="20"/>
                <w:szCs w:val="20"/>
                <w:color w:val="auto"/>
              </w:rPr>
            </w:pPr>
          </w:p>
        </w:tc>
        <w:tc>
          <w:tcPr>
            <w:tcW w:w="100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REPRESENTATIONS, WARRANTIES AND COVENANTS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8.1</w:t>
            </w:r>
          </w:p>
        </w:tc>
        <w:tc>
          <w:tcPr>
            <w:tcW w:w="10040" w:type="dxa"/>
            <w:vAlign w:val="bottom"/>
          </w:tcPr>
          <w:p>
            <w:pPr>
              <w:ind w:left="340"/>
              <w:spacing w:after="0"/>
              <w:rPr>
                <w:sz w:val="20"/>
                <w:szCs w:val="20"/>
                <w:color w:val="auto"/>
              </w:rPr>
            </w:pPr>
            <w:r>
              <w:rPr>
                <w:rFonts w:ascii="Arial" w:cs="Arial" w:eastAsia="Arial" w:hAnsi="Arial"/>
                <w:sz w:val="18"/>
                <w:szCs w:val="18"/>
                <w:u w:val="single" w:color="auto"/>
                <w:color w:val="auto"/>
                <w:w w:val="90"/>
              </w:rPr>
              <w:t>Cooperation.</w:t>
            </w:r>
            <w:r>
              <w:rPr>
                <w:rFonts w:ascii="Arial" w:cs="Arial" w:eastAsia="Arial" w:hAnsi="Arial"/>
                <w:sz w:val="18"/>
                <w:szCs w:val="18"/>
                <w:color w:val="auto"/>
                <w:w w:val="90"/>
              </w:rPr>
              <w:t xml:space="preserve"> From time to time, as and when requested by either party hereto, the other party shall execute and deliver, or cause to be</w:t>
            </w:r>
          </w:p>
        </w:tc>
      </w:tr>
    </w:tbl>
    <w:p>
      <w:pPr>
        <w:jc w:val="both"/>
        <w:spacing w:after="0" w:line="260" w:lineRule="auto"/>
        <w:rPr>
          <w:sz w:val="20"/>
          <w:szCs w:val="20"/>
          <w:color w:val="auto"/>
        </w:rPr>
      </w:pPr>
      <w:r>
        <w:rPr>
          <w:rFonts w:ascii="Arial" w:cs="Arial" w:eastAsia="Arial" w:hAnsi="Arial"/>
          <w:sz w:val="18"/>
          <w:szCs w:val="18"/>
          <w:color w:val="auto"/>
        </w:rPr>
        <w:t>executed and delivered, all such documents and instruments and shall take, or cause to be taken, all such further or other actions, as such other Party may reasonably deem necessary or desirable to consummate the transactions contemplated by this Agreement.</w:t>
      </w:r>
    </w:p>
    <w:p>
      <w:pPr>
        <w:spacing w:after="0" w:line="18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u w:val="single" w:color="auto"/>
          <w:color w:val="auto"/>
        </w:rPr>
        <w:t>Mutual Representations, Warranties and covenants</w:t>
      </w:r>
      <w:r>
        <w:rPr>
          <w:rFonts w:ascii="Arial" w:cs="Arial" w:eastAsia="Arial" w:hAnsi="Arial"/>
          <w:sz w:val="15"/>
          <w:szCs w:val="15"/>
          <w:color w:val="auto"/>
        </w:rPr>
        <w:t>. Each Party represents and warrants that</w:t>
      </w:r>
    </w:p>
    <w:p>
      <w:pPr>
        <w:spacing w:after="0" w:line="225"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has the full right, power and authority to enter into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5540" w:right="2060" w:hanging="3473"/>
        <w:spacing w:after="0" w:line="532" w:lineRule="auto"/>
        <w:tabs>
          <w:tab w:leader="none" w:pos="2561"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left="1300" w:hanging="644"/>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entering into and performing its obligations set forth in this Agreement does not conflict with any other agreement to which it is a party;</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at the Effective Date, there are no claims, judgments, litigations, suits, actions, disputes, arbitration, judicial or legal, administrative or other proceedings or governmental investigations pending or, to such Party’s knowledge, threatened against such Party or any of its Affiliates, and neither such Party nor its Affiliates is a party to any settlement agreement, which would be reasonably expected to materially affect or restrict the ability of such Party to consummate the transactions contemplated under this Agreement and to perform its obligations under this Agreement; and</w:t>
      </w:r>
    </w:p>
    <w:p>
      <w:pPr>
        <w:spacing w:after="0" w:line="18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neither Party has used or shall use any employee or consultant who has been debarred by any Regulatory Authority or, to such Party’s knowledge, is or has been the subject of debarment proceedings by a Regulatory Authority. Each Party shall notify the other Party promptly upon becoming aware that any of its employees or consultants has been debarred or is the subject of debarment proceedings by any Regulatory Authority.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Acura Representations, Warranties</w:t>
      </w:r>
      <w:r>
        <w:rPr>
          <w:rFonts w:ascii="Arial" w:cs="Arial" w:eastAsia="Arial" w:hAnsi="Arial"/>
          <w:sz w:val="16"/>
          <w:szCs w:val="16"/>
          <w:color w:val="auto"/>
        </w:rPr>
        <w:t xml:space="preserve">. Acura represents and warrants that: (i) it has all rights necessary to validly grant the licenses set forth in Section 2; (ii) the Patent Rights included in the LIMITx™ Technology and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have not expired and any maintenance fees have been paid when due or within any permitted extension; (iii) it is not subject to any court proceedings, judgment or order related to the subject matter of this Agreement; (iv) it has not received any written claim or allegation of infringement from a Third Party for the infringement of Third Party intellectual property rights based on the making, using, or selling of the Product; (v) it has not assigned and/or granted licenses, nor shall it assign and/or grant licenses, to the LIMITx™ Technology to any Third Party that would restrict or impair the rights granted hereunder, and it has not granted to anyone any rights that cover the Product or Product Line Extension in the Territory; (vi) the LIMITx™ Patent Rights are the only Patent Rights Controlled by Acura relating to Products or Product Line Extensions; (vii) to its actual knowledge the LIMITx™ Technology (a) does not infringe any valid claim in a granted patent known to Acura as of the Effective Date owned by a Third Party and (b) has not been misappropriated from a Third Party; (viii) the Nexafed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has not been terminated or cancelled; and (ix) Acura reaffirms that all Acura Representations and Warranties set forth in the Nexafed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Agreement are true and correct as of the Effective Date of this Agreement to the same degree and with the same force and effect as if they were on the date hereof.</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AD Pharma’s Representations Warranties and Covenants</w:t>
      </w:r>
      <w:r>
        <w:rPr>
          <w:rFonts w:ascii="Arial" w:cs="Arial" w:eastAsia="Arial" w:hAnsi="Arial"/>
          <w:sz w:val="18"/>
          <w:szCs w:val="18"/>
          <w:color w:val="auto"/>
        </w:rPr>
        <w:t>. AD Pharma represents, warrants and covenants that (i) it shall develop, manufacture and commercialize the Product and Product Line Extension in accordance with Applicable Law and (ii) neither AD Pharma nor its Affiliates shall engage in a Patent Challenge, or knowingly assist any Third Party to engage in a Patent Challenge with respect to any of the LIMITx™ Patent Rights or intentionally or willfully infringe the LIMITx™ Patent Rights.</w:t>
      </w:r>
    </w:p>
    <w:p>
      <w:pPr>
        <w:spacing w:after="0" w:line="399" w:lineRule="exact"/>
        <w:rPr>
          <w:sz w:val="20"/>
          <w:szCs w:val="20"/>
          <w:color w:val="auto"/>
        </w:rPr>
      </w:pPr>
    </w:p>
    <w:p>
      <w:pPr>
        <w:ind w:left="5540" w:right="2060" w:hanging="3473"/>
        <w:spacing w:after="0" w:line="532" w:lineRule="auto"/>
        <w:tabs>
          <w:tab w:leader="none" w:pos="2561"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520" w:type="dxa"/>
            <w:vAlign w:val="bottom"/>
          </w:tcPr>
          <w:p>
            <w:pPr>
              <w:ind w:left="66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20" w:type="dxa"/>
            <w:vAlign w:val="bottom"/>
            <w:gridSpan w:val="3"/>
          </w:tcPr>
          <w:p>
            <w:pPr>
              <w:jc w:val="right"/>
              <w:spacing w:after="0"/>
              <w:rPr>
                <w:sz w:val="20"/>
                <w:szCs w:val="20"/>
                <w:color w:val="auto"/>
              </w:rPr>
            </w:pPr>
            <w:r>
              <w:rPr>
                <w:rFonts w:ascii="Arial" w:cs="Arial" w:eastAsia="Arial" w:hAnsi="Arial"/>
                <w:sz w:val="18"/>
                <w:szCs w:val="18"/>
                <w:color w:val="auto"/>
                <w:w w:val="97"/>
              </w:rPr>
              <w:t>Disclaimers. EXCEPT AS EXPRESSLY STATED IN THIS AGREEMENT, NO REPRESENTATIONS OR WARRANTIES</w:t>
            </w: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22"/>
        </w:trPr>
        <w:tc>
          <w:tcPr>
            <w:tcW w:w="11240" w:type="dxa"/>
            <w:vAlign w:val="bottom"/>
            <w:gridSpan w:val="6"/>
          </w:tcPr>
          <w:p>
            <w:pPr>
              <w:spacing w:after="0"/>
              <w:rPr>
                <w:sz w:val="20"/>
                <w:szCs w:val="20"/>
                <w:color w:val="auto"/>
              </w:rPr>
            </w:pPr>
            <w:r>
              <w:rPr>
                <w:rFonts w:ascii="Arial" w:cs="Arial" w:eastAsia="Arial" w:hAnsi="Arial"/>
                <w:sz w:val="18"/>
                <w:szCs w:val="18"/>
                <w:color w:val="auto"/>
                <w:w w:val="99"/>
              </w:rPr>
              <w:t>WHATSOEVER, WHETHER EXPRESS OR IMPLIED, INCLUDING WARRANTIES OF MERCHANTABILITY, FITNESS FOR A PARTICULAR</w:t>
            </w: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w w:val="97"/>
              </w:rPr>
              <w:t>PURPOSE, NON-INFRINGEMENT, OR NON-MISAPPROPRIATION OF THIRD PARTY INTELLECTUAL PROPERTY RIGHTS, ARE MADE OR</w:t>
            </w: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w w:val="96"/>
              </w:rPr>
              <w:t>GIVEN BY OR ON BEHALF OF A PARTY, AND ALL REPRESENTATIONS AND WARRANTIES, WHETHER ARISING BY OPERATION OF LAW</w:t>
            </w:r>
          </w:p>
        </w:tc>
      </w:tr>
      <w:tr>
        <w:trPr>
          <w:trHeight w:val="230"/>
        </w:trPr>
        <w:tc>
          <w:tcPr>
            <w:tcW w:w="11240" w:type="dxa"/>
            <w:vAlign w:val="bottom"/>
            <w:gridSpan w:val="6"/>
          </w:tcPr>
          <w:p>
            <w:pPr>
              <w:spacing w:after="0"/>
              <w:rPr>
                <w:sz w:val="20"/>
                <w:szCs w:val="20"/>
                <w:color w:val="auto"/>
              </w:rPr>
            </w:pPr>
            <w:r>
              <w:rPr>
                <w:rFonts w:ascii="Arial" w:cs="Arial" w:eastAsia="Arial" w:hAnsi="Arial"/>
                <w:sz w:val="18"/>
                <w:szCs w:val="18"/>
                <w:color w:val="auto"/>
              </w:rPr>
              <w:t>OR OTHERWISE, ARE HEREBY EXPRESSLY EXCLUDED.</w:t>
            </w:r>
          </w:p>
        </w:tc>
      </w:tr>
      <w:tr>
        <w:trPr>
          <w:trHeight w:val="414"/>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40" w:type="dxa"/>
            <w:vAlign w:val="bottom"/>
          </w:tcPr>
          <w:p>
            <w:pPr>
              <w:jc w:val="right"/>
              <w:ind w:right="4990"/>
              <w:spacing w:after="0"/>
              <w:rPr>
                <w:sz w:val="20"/>
                <w:szCs w:val="20"/>
                <w:color w:val="auto"/>
              </w:rPr>
            </w:pPr>
            <w:r>
              <w:rPr>
                <w:rFonts w:ascii="Arial" w:cs="Arial" w:eastAsia="Arial" w:hAnsi="Arial"/>
                <w:sz w:val="18"/>
                <w:szCs w:val="18"/>
                <w:b w:val="1"/>
                <w:bCs w:val="1"/>
                <w:color w:val="auto"/>
              </w:rPr>
              <w:t>ARTICLE IX</w:t>
            </w:r>
          </w:p>
        </w:tc>
      </w:tr>
      <w:tr>
        <w:trPr>
          <w:trHeight w:val="234"/>
        </w:trPr>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40" w:type="dxa"/>
            <w:vAlign w:val="bottom"/>
          </w:tcPr>
          <w:p>
            <w:pPr>
              <w:jc w:val="right"/>
              <w:ind w:right="4350"/>
              <w:spacing w:after="0"/>
              <w:rPr>
                <w:sz w:val="20"/>
                <w:szCs w:val="20"/>
                <w:color w:val="auto"/>
              </w:rPr>
            </w:pPr>
            <w:r>
              <w:rPr>
                <w:rFonts w:ascii="Arial" w:cs="Arial" w:eastAsia="Arial" w:hAnsi="Arial"/>
                <w:sz w:val="18"/>
                <w:szCs w:val="18"/>
                <w:b w:val="1"/>
                <w:bCs w:val="1"/>
                <w:color w:val="auto"/>
              </w:rPr>
              <w:t>TERM AND TERMINATION</w:t>
            </w:r>
          </w:p>
        </w:tc>
      </w:tr>
      <w:tr>
        <w:trPr>
          <w:trHeight w:val="391"/>
        </w:trPr>
        <w:tc>
          <w:tcPr>
            <w:tcW w:w="1520" w:type="dxa"/>
            <w:vAlign w:val="bottom"/>
          </w:tcPr>
          <w:p>
            <w:pPr>
              <w:ind w:left="66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4"/>
                <w:szCs w:val="24"/>
                <w:color w:val="auto"/>
              </w:rPr>
            </w:pPr>
          </w:p>
        </w:tc>
        <w:tc>
          <w:tcPr>
            <w:tcW w:w="9480" w:type="dxa"/>
            <w:vAlign w:val="bottom"/>
            <w:gridSpan w:val="4"/>
          </w:tcPr>
          <w:p>
            <w:pPr>
              <w:jc w:val="right"/>
              <w:spacing w:after="0"/>
              <w:rPr>
                <w:sz w:val="20"/>
                <w:szCs w:val="20"/>
                <w:color w:val="auto"/>
              </w:rPr>
            </w:pPr>
            <w:r>
              <w:rPr>
                <w:rFonts w:ascii="Arial" w:cs="Arial" w:eastAsia="Arial" w:hAnsi="Arial"/>
                <w:sz w:val="18"/>
                <w:szCs w:val="18"/>
                <w:color w:val="auto"/>
                <w:w w:val="96"/>
              </w:rPr>
              <w:t>Term and Expiration. The “</w:t>
            </w:r>
            <w:r>
              <w:rPr>
                <w:rFonts w:ascii="Arial" w:cs="Arial" w:eastAsia="Arial" w:hAnsi="Arial"/>
                <w:sz w:val="18"/>
                <w:szCs w:val="18"/>
                <w:b w:val="1"/>
                <w:bCs w:val="1"/>
                <w:color w:val="auto"/>
                <w:w w:val="96"/>
              </w:rPr>
              <w:t>Term</w:t>
            </w:r>
            <w:r>
              <w:rPr>
                <w:rFonts w:ascii="Arial" w:cs="Arial" w:eastAsia="Arial" w:hAnsi="Arial"/>
                <w:sz w:val="18"/>
                <w:szCs w:val="18"/>
                <w:color w:val="auto"/>
                <w:w w:val="96"/>
              </w:rPr>
              <w:t>” of this Agreement shall be from the Effective Date until the earlier of (i) termination of this</w:t>
            </w:r>
          </w:p>
        </w:tc>
      </w:tr>
      <w:tr>
        <w:trPr>
          <w:trHeight w:val="20"/>
        </w:trPr>
        <w:tc>
          <w:tcPr>
            <w:tcW w:w="1760" w:type="dxa"/>
            <w:vAlign w:val="bottom"/>
            <w:gridSpan w:val="2"/>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8040" w:type="dxa"/>
            <w:vAlign w:val="bottom"/>
            <w:tcBorders>
              <w:left w:val="single" w:sz="8" w:color="auto"/>
            </w:tcBorders>
          </w:tcPr>
          <w:p>
            <w:pPr>
              <w:spacing w:after="0" w:line="20" w:lineRule="exact"/>
              <w:rPr>
                <w:sz w:val="1"/>
                <w:szCs w:val="1"/>
                <w:color w:val="auto"/>
              </w:rPr>
            </w:pPr>
          </w:p>
        </w:tc>
      </w:tr>
      <w:tr>
        <w:trPr>
          <w:trHeight w:val="237"/>
        </w:trPr>
        <w:tc>
          <w:tcPr>
            <w:tcW w:w="11240" w:type="dxa"/>
            <w:vAlign w:val="bottom"/>
            <w:gridSpan w:val="6"/>
          </w:tcPr>
          <w:p>
            <w:pPr>
              <w:spacing w:after="0"/>
              <w:rPr>
                <w:sz w:val="20"/>
                <w:szCs w:val="20"/>
                <w:color w:val="auto"/>
              </w:rPr>
            </w:pPr>
            <w:r>
              <w:rPr>
                <w:rFonts w:ascii="Arial" w:cs="Arial" w:eastAsia="Arial" w:hAnsi="Arial"/>
                <w:sz w:val="18"/>
                <w:szCs w:val="18"/>
                <w:color w:val="auto"/>
              </w:rPr>
              <w:t>Agreement pursuant to Section 9.2, 9.3, or 9.4, or (ii) the last to expire Royalty Term.</w:t>
            </w:r>
          </w:p>
        </w:tc>
      </w:tr>
      <w:tr>
        <w:trPr>
          <w:trHeight w:val="392"/>
        </w:trPr>
        <w:tc>
          <w:tcPr>
            <w:tcW w:w="1520" w:type="dxa"/>
            <w:vAlign w:val="bottom"/>
          </w:tcPr>
          <w:p>
            <w:pPr>
              <w:ind w:left="660"/>
              <w:spacing w:after="0"/>
              <w:rPr>
                <w:sz w:val="20"/>
                <w:szCs w:val="20"/>
                <w:color w:val="auto"/>
              </w:rPr>
            </w:pPr>
            <w:r>
              <w:rPr>
                <w:rFonts w:ascii="Arial" w:cs="Arial" w:eastAsia="Arial" w:hAnsi="Arial"/>
                <w:sz w:val="18"/>
                <w:szCs w:val="18"/>
                <w:color w:val="auto"/>
              </w:rPr>
              <w:t>9.2</w:t>
            </w:r>
          </w:p>
        </w:tc>
        <w:tc>
          <w:tcPr>
            <w:tcW w:w="9720" w:type="dxa"/>
            <w:vAlign w:val="bottom"/>
            <w:gridSpan w:val="5"/>
          </w:tcPr>
          <w:p>
            <w:pPr>
              <w:jc w:val="right"/>
              <w:ind w:right="7910"/>
              <w:spacing w:after="0"/>
              <w:rPr>
                <w:sz w:val="20"/>
                <w:szCs w:val="20"/>
                <w:color w:val="auto"/>
              </w:rPr>
            </w:pPr>
            <w:r>
              <w:rPr>
                <w:rFonts w:ascii="Arial" w:cs="Arial" w:eastAsia="Arial" w:hAnsi="Arial"/>
                <w:sz w:val="18"/>
                <w:szCs w:val="18"/>
                <w:color w:val="auto"/>
                <w:w w:val="90"/>
              </w:rPr>
              <w:t>Termination for Breach.</w:t>
            </w:r>
          </w:p>
        </w:tc>
      </w:tr>
      <w:tr>
        <w:trPr>
          <w:trHeight w:val="20"/>
        </w:trPr>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Either Party may terminate the Agreement in its entirety by giving written notice of termination at any time, if the other Party fails to fulfill or breaches any material term or condition of this Agreement, and does not remedy the failure or breach within thirty (30) days of receipt of written notice specifying such failure or breach given by the other Party.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7"/>
                <w:szCs w:val="17"/>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3"/>
              </w:rPr>
              <w:t>Termination for Convenience. At any time after the Effective Date, AD Pharma may terminate this Agreement in its entirety either</w:t>
            </w:r>
          </w:p>
        </w:tc>
      </w:tr>
      <w:tr>
        <w:trPr>
          <w:trHeight w:val="20"/>
        </w:trPr>
        <w:tc>
          <w:tcPr>
            <w:tcW w:w="1640" w:type="dxa"/>
            <w:vAlign w:val="bottom"/>
            <w:gridSpan w:val="2"/>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Arial" w:cs="Arial" w:eastAsia="Arial" w:hAnsi="Arial"/>
                <w:sz w:val="18"/>
                <w:szCs w:val="18"/>
                <w:color w:val="auto"/>
              </w:rPr>
              <w:t>with or without cause by providing thirty (30) days advance written notice to Acura.</w:t>
            </w:r>
          </w:p>
        </w:tc>
      </w:tr>
      <w:tr>
        <w:trPr>
          <w:trHeight w:val="392"/>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9.4</w:t>
            </w: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Termination for Patent Challenge.</w:t>
            </w:r>
          </w:p>
        </w:tc>
        <w:tc>
          <w:tcPr>
            <w:tcW w:w="728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Acura will be permitted to terminate this Agreement by written notice effective upon receipt if AD Pharma or its Affiliates, directly or indirectly through assistance granted to a Third Party, commence any interference or opposition proceeding, challenge in a legal or administrative proceeding the validity or enforceability of, or oppose in a legal or administrative proceeding any extension of or the grant of a supplementary protection certificate with respect to (i) any Patent Rights licensed hereunder (except as a defense against a patent infringement action initiated by Acura or its Affiliates or licensees against AD Pharma or its Affiliates) (each such action, a “</w:t>
      </w:r>
      <w:r>
        <w:rPr>
          <w:rFonts w:ascii="Arial" w:cs="Arial" w:eastAsia="Arial" w:hAnsi="Arial"/>
          <w:sz w:val="17"/>
          <w:szCs w:val="17"/>
          <w:b w:val="1"/>
          <w:bCs w:val="1"/>
          <w:color w:val="auto"/>
        </w:rPr>
        <w:t>Patent Challenge</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 Pharma will include provisions in all agreements granting sublicenses of AD Pharma's rights hereunder (other than agreements with manufacturers, services providers, distributors and other agents) providing that if the sublicensee or its Affiliates undertake a Patent Challenge with respect to any Patent Rights licensed hereunder under which the sublicensee is sublicensed, AD Pharma will be permitted to terminate such sublicense agreement. If a sublicensee of AD Pharma (or an Affiliate of such sublicensee) undertakes a Patent Challenge of any such Patent Right under which such sublicensee is sublicensed (other than sublicensees that are manufacturers, services providers, distributors and other agents), then AD Pharma upon receipt of notice from Acura of such Patent Challenge will terminate the applicable sublicense agreement. If AD Pharma fails to so terminate such sublicense agreement, Acura may terminate AD Pharma's right to sublicense in the country(ies) covered by such sublicense agreement and any sublicenses previously granted in such country(ies) shall automatically terminate. In connection with such sublicense termination, AD Pharma shall cooperate with Acura’s reasonable requests to cause such a terminated sublicensee to discontinue activities with respect to the Product and Product Line Extension in such country(ies).</w:t>
      </w:r>
    </w:p>
    <w:p>
      <w:pPr>
        <w:spacing w:after="0" w:line="378" w:lineRule="exact"/>
        <w:rPr>
          <w:sz w:val="20"/>
          <w:szCs w:val="20"/>
          <w:color w:val="auto"/>
        </w:rPr>
      </w:pPr>
    </w:p>
    <w:p>
      <w:pPr>
        <w:ind w:left="5540" w:right="2060" w:hanging="3473"/>
        <w:spacing w:after="0" w:line="532" w:lineRule="auto"/>
        <w:tabs>
          <w:tab w:leader="none" w:pos="2561"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6" w:name="page147"/>
    <w:bookmarkEnd w:id="146"/>
    <w:p>
      <w:pPr>
        <w:ind w:left="660"/>
        <w:spacing w:after="0"/>
        <w:tabs>
          <w:tab w:leader="none" w:pos="15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Consequences of Expiration and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9.5.1 Upon expiration of this Agreement with respect to a country, AD Pharma shall retain a non-exclusive, perpetual, irrevocable, fully paid-up and royalty-free license to, develop, have made, sell, promote, or otherwise exploit the Product and Product Line Extension in such country. AD Pharma shall be required to at all times post-expiration of the Agreement with respect to a country either maintain the Regulatory Approvals for the Products or transfer such Regulatory Approvals and associated Regulatory Documentation back to Acura (unless Acura declines such transfer in writing).</w:t>
      </w:r>
    </w:p>
    <w:p>
      <w:pPr>
        <w:spacing w:after="0" w:line="15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9.5.2 Upon termination of this Agreement: (i) all of AD Pharma's licenses with respect to Acura’s trademarks and the LIMITx™ Technology shall terminate; (ii) AD Pharma's non-compete contained in Section 2.9 shall terminate immediately; and (iii) all Regulatory Approvals, Regulatory Documentation and regulatory filings shall be transferred back to Acura; (iv) AD Pharma shall transfer to Acura the trademarks associated with Products and Product Line Extensions; and (v) at Acura’s request AD Pharma and Acura shall use Commercially Reasonable Efforts to transition the commercialization of the Product; and any Product Line Extension back to Acura so that, among other things, sales of the Product and Product Line Extension are not interrupted and which may include, by way of examples, assignment of any manufacturing and supply agreements to Acura or its designee and providing sales and marketing materials, inventory reports, regulatory communication and health care provider prescribers.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Termination, relinquishment or expiration of this Agreement for any reason shall be without prejudice to any rights that shall have accrued to the benefit of either Party prior to such termination, relinquishment or expiration. Such termination, relinquishment or expiration shall not relieve either Party from obligations that are expressly indicated to survive termination or expiration of this Agreement.</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9.5.3 All of the Parties’ rights and obligations under Sections 2.9, 2.13, 3.2, 3.3, 3.4, 3.6, 3.8,3.9, 3.10, 3.12, 3.13 and Articles 4, 5, 6, 7, 9, and 10, shall survive termination or expiration of this Agreement (unless such Section specifically states that it shall only survive expiration but not termination, in which case it shall survive as set forth therein), and all other provisions reasonably construed to survive shall also survive termination or expiration. Where a provision specifies a survival period, such provision shall survive only during such survival period.</w:t>
      </w:r>
    </w:p>
    <w:p>
      <w:pPr>
        <w:spacing w:after="0" w:line="200" w:lineRule="exact"/>
        <w:rPr>
          <w:sz w:val="20"/>
          <w:szCs w:val="20"/>
          <w:color w:val="auto"/>
        </w:rPr>
      </w:pPr>
    </w:p>
    <w:p>
      <w:pPr>
        <w:spacing w:after="0" w:line="399" w:lineRule="exact"/>
        <w:rPr>
          <w:sz w:val="20"/>
          <w:szCs w:val="20"/>
          <w:color w:val="auto"/>
        </w:rPr>
      </w:pPr>
    </w:p>
    <w:p>
      <w:pPr>
        <w:ind w:left="5540" w:right="2060" w:hanging="3473"/>
        <w:spacing w:after="0" w:line="532" w:lineRule="auto"/>
        <w:tabs>
          <w:tab w:leader="none" w:pos="2561"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AD Pharma and Acura agree to use good faith efforts to resolve any and all disputes arising out of or relating to this Agreement. If any dispute amongst the Parties remains unresolved after ten (10) business days, the chief executive officers of the Parties will meet to address the matter. If the chief executive officers cannot resolve the dispute after forty five (45) days following receipt of notice by one Party from the other of a dispute under this Agreement, then the matter shall by fully and finally resolved by arbitration. A Party that desires to arbitrate a dispute shall serve a written notice upon another requesting arbitration of a dispute pursuant to this Section 10.1. Any such arbitration shall be submitted to final and binding arbitration under the then current commercial arbitration rules of the American Arbitration Association (the “AAA”) in accordance with this Section 10.1. The place of arbitration of any dispute shall be New York, New York. Such arbitration shall be conducted by one (1) arbitrator mutually agreed by the Parties but if such agreement cannot be reached within ten (10) days of the commencement of the arbitration, then an arbitrator appointed by the AAA. The arbitrator shall be a person with relevant experience in the pharmaceutical industry. The arbitration proceeding shall be held as soon as practicable but in any event within ninety (90) days of appointment of the arbitrator. Any award rendered by the arbitrators shall be final and binding upon the Parties. Judgment upon any award rendered may be entered in any court having jurisdiction, or application may be made to such court for a judicial acceptance of the award and an order of enforcement, as the case may be. The arbitrator shall render a formal, binding, non-appealable resolution and award as expeditiously as possible, but not more than forty-five (45) days after the hearing. Each Party shall pay its own expenses of arbitration, and the expenses of the arbitrator shall be equally shared between the Parties unless the arbitrators assess as part of their award all or any part of the arbitration expenses of a Party (including reasonable attorneys’ fees) against the other Party. A Party may make application to the Arbitrator for the award and recovery of its fees and expenses (including reasonable attorneys’ fees). This Section 10.1 shall not prohibit a Party from seeking injunctive relief from a court of competent jurisdiction in the event of a breach or prospective breach of this Agreement by any other Party which would cause irreparable harm to the first Party.</w:t>
      </w:r>
    </w:p>
    <w:p>
      <w:pPr>
        <w:spacing w:after="0" w:line="17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Rights in Bankruptcy.</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10.2.1 All rights and licenses granted under or pursuant to this Agreement by one Party to the other are, for all purposes of Title 11 of the United States Code (“</w:t>
      </w:r>
      <w:r>
        <w:rPr>
          <w:rFonts w:ascii="Arial" w:cs="Arial" w:eastAsia="Arial" w:hAnsi="Arial"/>
          <w:sz w:val="16"/>
          <w:szCs w:val="16"/>
          <w:b w:val="1"/>
          <w:bCs w:val="1"/>
          <w:color w:val="auto"/>
        </w:rPr>
        <w:t>Title 11</w:t>
      </w:r>
      <w:r>
        <w:rPr>
          <w:rFonts w:ascii="Arial" w:cs="Arial" w:eastAsia="Arial" w:hAnsi="Arial"/>
          <w:sz w:val="16"/>
          <w:szCs w:val="16"/>
          <w:color w:val="auto"/>
        </w:rPr>
        <w:t>”), licenses of rights to “intellectual property” as defined in Title 11, and, in the event that a case under Title 11 is commenced by or against either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the other Party shall have all of the rights set forth in Section 365(n) of Title 11 to the maximum extent permitted thereby. During the Term, each Party shall create and maintain current copies to the extent practicable of all such intellectual property. Without limiting the Parties’ rights under Section 365(n) of Title 11, if a case under Title 11 is commenced by or against the Bankrupt Party, the other Party shall be entitled to a copy of any and all such intellectual property and all embodiments of such intellectual property, and the same, if not in the possession of such other Party, shall be promptly delivered to it (i) before this Agreement is rejected by or on behalf of the Bankrupt Party, within thirty</w:t>
      </w:r>
    </w:p>
    <w:p>
      <w:pPr>
        <w:spacing w:after="0" w:line="2" w:lineRule="exact"/>
        <w:rPr>
          <w:sz w:val="20"/>
          <w:szCs w:val="20"/>
          <w:color w:val="auto"/>
        </w:rPr>
      </w:pPr>
    </w:p>
    <w:p>
      <w:pPr>
        <w:jc w:val="both"/>
        <w:ind w:firstLine="8"/>
        <w:spacing w:after="0" w:line="290" w:lineRule="auto"/>
        <w:tabs>
          <w:tab w:leader="none" w:pos="3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days after the other Party’s written request, unless the Bankrupt Party, or its trustee or receiver, elects within thirty (30) days to continue to perform all of its obligations under this Agreement, or (ii) after any rejection of this Agreement by or on behalf of the Bankrupt Party, if not previously delivered as provided under clause (i) above. All rights of the Parties under this Section 10.2 and under Section 365(n) of Title 11 are in addition to and not in substitution of any and all other rights, powers, and remedies that each party may have under this Agreement, Title 11, and any other Applicable Laws. The non-Bankrupt Party may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200" w:lineRule="exact"/>
        <w:rPr>
          <w:sz w:val="20"/>
          <w:szCs w:val="20"/>
          <w:color w:val="auto"/>
        </w:rPr>
      </w:pPr>
    </w:p>
    <w:p>
      <w:pPr>
        <w:spacing w:after="0" w:line="392" w:lineRule="exact"/>
        <w:rPr>
          <w:sz w:val="20"/>
          <w:szCs w:val="20"/>
          <w:color w:val="auto"/>
        </w:rPr>
      </w:pPr>
    </w:p>
    <w:p>
      <w:pPr>
        <w:ind w:left="5540" w:right="2060" w:hanging="3473"/>
        <w:spacing w:after="0" w:line="532" w:lineRule="auto"/>
        <w:tabs>
          <w:tab w:leader="none" w:pos="2561"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56"/>
        <w:spacing w:after="0" w:line="286" w:lineRule="auto"/>
        <w:tabs>
          <w:tab w:leader="none" w:pos="1274"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Parties agree that they intend the foregoing non-Bankrupt Party rights to extend to the maximum extent permitted by law and any provisions of applicable contracts with Third Parties, including for purposes of Title 11, (i) the right of access to any intellectual property (including all embodiments thereof) of the Bankrupt Party or any Third Party with whom the Bankrupt Party contracts to perform an obligation of the Bankrupt Party under this Agreement, and, in the case of the Third Party, which is necessary for the development, Regulatory Approval and manufacture of Products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 to contract directly with any Third Party described in (i) in this sentence to complete the contracted work.</w:t>
      </w:r>
    </w:p>
    <w:p>
      <w:pPr>
        <w:spacing w:after="0" w:line="210" w:lineRule="exact"/>
        <w:rPr>
          <w:rFonts w:ascii="Arial" w:cs="Arial" w:eastAsia="Arial" w:hAnsi="Arial"/>
          <w:sz w:val="18"/>
          <w:szCs w:val="18"/>
          <w:color w:val="auto"/>
        </w:rPr>
      </w:pPr>
    </w:p>
    <w:p>
      <w:pPr>
        <w:ind w:right="20" w:firstLine="656"/>
        <w:spacing w:after="0" w:line="277" w:lineRule="auto"/>
        <w:tabs>
          <w:tab w:leader="none" w:pos="117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intellectual property provided pursuant to the provisions of this Section 10.2 shall be subject to the licenses set forth elsewhere in this Agreement and the payment obligations of this Agreement, which shall be deemed to be royalties for purposes of Title 11.</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Set-off.</w:t>
      </w:r>
      <w:r>
        <w:rPr>
          <w:rFonts w:ascii="Arial" w:cs="Arial" w:eastAsia="Arial" w:hAnsi="Arial"/>
          <w:sz w:val="18"/>
          <w:szCs w:val="18"/>
          <w:color w:val="auto"/>
        </w:rPr>
        <w:t xml:space="preserve"> Except as expressly set forth in this Agreement, neither Party may set-off or recoup against a payment owed to the other Party, without the consent of the other Party.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Waivers; Amendment</w:t>
      </w:r>
      <w:r>
        <w:rPr>
          <w:rFonts w:ascii="Arial" w:cs="Arial" w:eastAsia="Arial" w:hAnsi="Arial"/>
          <w:sz w:val="18"/>
          <w:szCs w:val="18"/>
          <w:color w:val="auto"/>
        </w:rPr>
        <w:t>. The failure of either Party to insist, in any one or more instances, upon the performance of any of the terms, covenants or conditions of this Agreement or to exercise any right hereunder, shall not be construed as a waiver or relinquishment of the future performance of any such term, covenant or conditions or the future exercise of such right, and the obligation of the other Party with respect to such future performance shall continue in full force and effect. No item or provision of this Agreement may be altered, amended or waived except by a writing signed by both Parties.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any of its rights or obligations under this Agreement, in whole or in part to any person, firm, partnership, or other entity, except to an Affiliate, without the prior written consent of the other Party, which consent shall not be unreasonably withheld, delayed or conditioned. Notwithstanding the foregoing, a Party may assign this Agreement in connection with (i) the transfer of all or substantially all of its assets or its LIMITx™ Technology assets (by merger, sale of assets or otherwise) to the transferee thereof or (ii) the sale of its line of business to which this Agreement relates; provided in each instance the transferee agrees to be bound by all obligations of the transferring Party to the other Party hereunder.</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Covenant of Further Assurances</w:t>
      </w:r>
      <w:r>
        <w:rPr>
          <w:rFonts w:ascii="Arial" w:cs="Arial" w:eastAsia="Arial" w:hAnsi="Arial"/>
          <w:sz w:val="18"/>
          <w:szCs w:val="18"/>
          <w:color w:val="auto"/>
        </w:rPr>
        <w:t>. AD Pharma and Acura covenant and agree that subsequent to the execution and delivery of this Agreement and without any additional consideration, each of AD Pharma and Acura shall execute and deliver any further legal instruments and perform such acts which are or may become necessary to effectuate the purposes of this Agreement.</w:t>
      </w:r>
    </w:p>
    <w:p>
      <w:pPr>
        <w:spacing w:after="0" w:line="396" w:lineRule="exact"/>
        <w:rPr>
          <w:sz w:val="20"/>
          <w:szCs w:val="20"/>
          <w:color w:val="auto"/>
        </w:rPr>
      </w:pPr>
    </w:p>
    <w:p>
      <w:pPr>
        <w:ind w:left="5540" w:right="2060" w:hanging="3473"/>
        <w:spacing w:after="0" w:line="532" w:lineRule="auto"/>
        <w:tabs>
          <w:tab w:leader="none" w:pos="2561"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firstLine="648"/>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 of the Articles and Sections used in this Agreement are included for convenience only and are not to be used in construing or interpreting this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Governing Law</w:t>
      </w:r>
      <w:r>
        <w:rPr>
          <w:rFonts w:ascii="Arial" w:cs="Arial" w:eastAsia="Arial" w:hAnsi="Arial"/>
          <w:sz w:val="18"/>
          <w:szCs w:val="18"/>
          <w:color w:val="auto"/>
        </w:rPr>
        <w:t>. Unless any competent governmental entity or any other applicable laws and regulations require otherwise, this Agreement shall be governed by and construed under the laws of the State of New York as applied to agreements executed and performed solely in New York, without regard to choice-of-law principles thereof.</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deemed separate. Accordingly, the invalidity or unenforceability of any particular provision of this Agreement shall not affect the other provisions, and this Agreement shall be construed in all respects as if such invalid or unenforceable provision were omitted, except in cases where such unenforceable provision is a basic prerequisite of any Party or both Parties to enter into this Agreement. The Parties shall in such an instance use their best efforts to replace the unenforceable provision(s) with valid, legal and enforceable provision(s) which, insofar as practical, implement the purposes of this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Exhibits and Schedules attached hereto constitutes the entire Agreement between AD Pharma and Acura with respect to the subject matter addressed herein and this Agreement supersedes all prior understandings and agreements, whether oral or written, between the AD Pharma and Acura with respect thereto. Any amendment to any provisions set forth in the Agreement must be in writing, signed by both AD Pharma and Acura and specifically state that it is an amendment.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multiple counterparts, each of which shall be deemed to be an original and of equal force and effect, but all of which taken together shall constitute one and the same instrument. A facsimile, digital, PDF, e-mail or other electronic copy hereof shall suffice as an original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Waiver of Rule of Construction</w:t>
      </w:r>
      <w:r>
        <w:rPr>
          <w:rFonts w:ascii="Arial" w:cs="Arial" w:eastAsia="Arial" w:hAnsi="Arial"/>
          <w:sz w:val="18"/>
          <w:szCs w:val="18"/>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396" w:lineRule="exact"/>
        <w:rPr>
          <w:sz w:val="20"/>
          <w:szCs w:val="20"/>
          <w:color w:val="auto"/>
        </w:rPr>
      </w:pPr>
    </w:p>
    <w:p>
      <w:pPr>
        <w:ind w:left="5540" w:right="2060" w:hanging="3473"/>
        <w:spacing w:after="0" w:line="532" w:lineRule="auto"/>
        <w:tabs>
          <w:tab w:leader="none" w:pos="256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AD Pharma and Acura have caused this Agreement to be executed by their duly authorized officers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ACURA PHARMACEUTICALS, INC.</w:t>
            </w:r>
          </w:p>
        </w:tc>
        <w:tc>
          <w:tcPr>
            <w:tcW w:w="5840" w:type="dxa"/>
            <w:vAlign w:val="bottom"/>
            <w:gridSpan w:val="2"/>
          </w:tcPr>
          <w:p>
            <w:pPr>
              <w:ind w:left="800"/>
              <w:spacing w:after="0"/>
              <w:rPr>
                <w:sz w:val="20"/>
                <w:szCs w:val="20"/>
                <w:color w:val="auto"/>
              </w:rPr>
            </w:pPr>
            <w:r>
              <w:rPr>
                <w:rFonts w:ascii="Arial" w:cs="Arial" w:eastAsia="Arial" w:hAnsi="Arial"/>
                <w:sz w:val="18"/>
                <w:szCs w:val="18"/>
                <w:b w:val="1"/>
                <w:bCs w:val="1"/>
                <w:color w:val="auto"/>
              </w:rPr>
              <w:t>ABUSE DETERRENT PHARMA, LLC</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 Robert B. Jones</w:t>
            </w:r>
          </w:p>
        </w:tc>
        <w:tc>
          <w:tcPr>
            <w:tcW w:w="1800" w:type="dxa"/>
            <w:vAlign w:val="bottom"/>
          </w:tcPr>
          <w:p>
            <w:pPr>
              <w:ind w:left="800"/>
              <w:spacing w:after="0"/>
              <w:rPr>
                <w:sz w:val="20"/>
                <w:szCs w:val="20"/>
                <w:color w:val="auto"/>
              </w:rPr>
            </w:pPr>
            <w:r>
              <w:rPr>
                <w:rFonts w:ascii="Arial" w:cs="Arial" w:eastAsia="Arial" w:hAnsi="Arial"/>
                <w:sz w:val="18"/>
                <w:szCs w:val="18"/>
                <w:color w:val="auto"/>
              </w:rPr>
              <w:t>By:</w:t>
            </w:r>
          </w:p>
        </w:tc>
        <w:tc>
          <w:tcPr>
            <w:tcW w:w="4040" w:type="dxa"/>
            <w:vAlign w:val="bottom"/>
          </w:tcPr>
          <w:p>
            <w:pPr>
              <w:spacing w:after="0"/>
              <w:rPr>
                <w:sz w:val="20"/>
                <w:szCs w:val="20"/>
                <w:color w:val="auto"/>
              </w:rPr>
            </w:pPr>
            <w:r>
              <w:rPr>
                <w:rFonts w:ascii="Arial" w:cs="Arial" w:eastAsia="Arial" w:hAnsi="Arial"/>
                <w:sz w:val="18"/>
                <w:szCs w:val="18"/>
                <w:color w:val="auto"/>
              </w:rPr>
              <w:t>/s/ John L. Schutte</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Robert B. Jones</w:t>
            </w:r>
          </w:p>
        </w:tc>
        <w:tc>
          <w:tcPr>
            <w:tcW w:w="1800" w:type="dxa"/>
            <w:vAlign w:val="bottom"/>
          </w:tcPr>
          <w:p>
            <w:pPr>
              <w:ind w:left="800"/>
              <w:spacing w:after="0"/>
              <w:rPr>
                <w:sz w:val="20"/>
                <w:szCs w:val="20"/>
                <w:color w:val="auto"/>
              </w:rPr>
            </w:pPr>
            <w:r>
              <w:rPr>
                <w:rFonts w:ascii="Arial" w:cs="Arial" w:eastAsia="Arial" w:hAnsi="Arial"/>
                <w:sz w:val="18"/>
                <w:szCs w:val="18"/>
                <w:color w:val="auto"/>
              </w:rPr>
              <w:t>Name:</w:t>
            </w:r>
          </w:p>
        </w:tc>
        <w:tc>
          <w:tcPr>
            <w:tcW w:w="4040" w:type="dxa"/>
            <w:vAlign w:val="bottom"/>
          </w:tcPr>
          <w:p>
            <w:pPr>
              <w:spacing w:after="0"/>
              <w:rPr>
                <w:sz w:val="20"/>
                <w:szCs w:val="20"/>
                <w:color w:val="auto"/>
              </w:rPr>
            </w:pPr>
            <w:r>
              <w:rPr>
                <w:rFonts w:ascii="Arial" w:cs="Arial" w:eastAsia="Arial" w:hAnsi="Arial"/>
                <w:sz w:val="18"/>
                <w:szCs w:val="18"/>
                <w:color w:val="auto"/>
              </w:rPr>
              <w:t>John L. Schutte</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President &amp; CEO</w:t>
            </w:r>
          </w:p>
        </w:tc>
        <w:tc>
          <w:tcPr>
            <w:tcW w:w="1800" w:type="dxa"/>
            <w:vAlign w:val="bottom"/>
          </w:tcPr>
          <w:p>
            <w:pPr>
              <w:ind w:left="800"/>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Manager</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June 28, 2019</w:t>
            </w:r>
          </w:p>
        </w:tc>
        <w:tc>
          <w:tcPr>
            <w:tcW w:w="1800" w:type="dxa"/>
            <w:vAlign w:val="bottom"/>
          </w:tcPr>
          <w:p>
            <w:pPr>
              <w:ind w:left="800"/>
              <w:spacing w:after="0"/>
              <w:rPr>
                <w:sz w:val="20"/>
                <w:szCs w:val="20"/>
                <w:color w:val="auto"/>
              </w:rPr>
            </w:pPr>
            <w:r>
              <w:rPr>
                <w:rFonts w:ascii="Arial" w:cs="Arial" w:eastAsia="Arial" w:hAnsi="Arial"/>
                <w:sz w:val="18"/>
                <w:szCs w:val="18"/>
                <w:color w:val="auto"/>
              </w:rPr>
              <w:t>Date:</w:t>
            </w:r>
          </w:p>
        </w:tc>
        <w:tc>
          <w:tcPr>
            <w:tcW w:w="4040" w:type="dxa"/>
            <w:vAlign w:val="bottom"/>
          </w:tcPr>
          <w:p>
            <w:pPr>
              <w:spacing w:after="0"/>
              <w:rPr>
                <w:sz w:val="20"/>
                <w:szCs w:val="20"/>
                <w:color w:val="auto"/>
              </w:rPr>
            </w:pPr>
            <w:r>
              <w:rPr>
                <w:rFonts w:ascii="Arial" w:cs="Arial" w:eastAsia="Arial" w:hAnsi="Arial"/>
                <w:sz w:val="18"/>
                <w:szCs w:val="18"/>
                <w:color w:val="auto"/>
              </w:rPr>
              <w:t>June 28, 2019</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540" w:right="2060" w:hanging="3473"/>
        <w:spacing w:after="0" w:line="532" w:lineRule="auto"/>
        <w:tabs>
          <w:tab w:leader="none" w:pos="2561"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LIMITx™ Regulatory Application Submission Timeline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comprise the LIMITx™ Regulatory Application Submission Timeline:</w:t>
      </w:r>
    </w:p>
    <w:p>
      <w:pPr>
        <w:spacing w:after="0" w:line="225" w:lineRule="exact"/>
        <w:rPr>
          <w:sz w:val="20"/>
          <w:szCs w:val="20"/>
          <w:color w:val="auto"/>
        </w:rPr>
      </w:pPr>
    </w:p>
    <w:p>
      <w:pPr>
        <w:ind w:firstLine="8"/>
        <w:spacing w:after="0" w:line="277" w:lineRule="auto"/>
        <w:tabs>
          <w:tab w:leader="none" w:pos="1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July 30, 2019 or before, Acura shall identify a contract research organization (“CRO”) to prepare and test batches of the Product as needed for FDA Regulatory Approval Application of the Product. AD Pharma has the right to approve or disapprove the CRO.</w:t>
      </w:r>
    </w:p>
    <w:p>
      <w:pPr>
        <w:spacing w:after="0" w:line="170" w:lineRule="exact"/>
        <w:rPr>
          <w:rFonts w:ascii="Arial" w:cs="Arial" w:eastAsia="Arial" w:hAnsi="Arial"/>
          <w:sz w:val="18"/>
          <w:szCs w:val="18"/>
          <w:color w:val="auto"/>
        </w:rPr>
      </w:pPr>
    </w:p>
    <w:p>
      <w:pPr>
        <w:jc w:val="both"/>
        <w:ind w:firstLine="8"/>
        <w:spacing w:after="0" w:line="286" w:lineRule="auto"/>
        <w:tabs>
          <w:tab w:leader="none" w:pos="183" w:val="left"/>
        </w:tabs>
        <w:numPr>
          <w:ilvl w:val="0"/>
          <w:numId w:val="91"/>
        </w:numPr>
        <w:rPr>
          <w:rFonts w:ascii="Arial" w:cs="Arial" w:eastAsia="Arial" w:hAnsi="Arial"/>
          <w:sz w:val="17"/>
          <w:szCs w:val="17"/>
          <w:color w:val="auto"/>
        </w:rPr>
      </w:pPr>
      <w:r>
        <w:rPr>
          <w:rFonts w:ascii="Arial" w:cs="Arial" w:eastAsia="Arial" w:hAnsi="Arial"/>
          <w:sz w:val="17"/>
          <w:szCs w:val="17"/>
          <w:color w:val="auto"/>
        </w:rPr>
        <w:t>By September 30, 2019 or before, Acura shall have entered into a CRO Agreement with the CRO identified and approved as set forth above, including a research protocol providing for preparation and testing of the Product necessary to gain timely filing acceptance by the FDA of a Regulatory Approval Application for the Product. AD Pharma has the right to approve or disapprove such Agreement and research protocol.</w:t>
      </w:r>
    </w:p>
    <w:p>
      <w:pPr>
        <w:spacing w:after="0" w:line="165" w:lineRule="exact"/>
        <w:rPr>
          <w:rFonts w:ascii="Arial" w:cs="Arial" w:eastAsia="Arial" w:hAnsi="Arial"/>
          <w:sz w:val="17"/>
          <w:szCs w:val="17"/>
          <w:color w:val="auto"/>
        </w:rPr>
      </w:pPr>
    </w:p>
    <w:p>
      <w:pPr>
        <w:ind w:firstLine="8"/>
        <w:spacing w:after="0" w:line="277" w:lineRule="auto"/>
        <w:tabs>
          <w:tab w:leader="none" w:pos="1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the last day of the calendar month when the last of the monthly payments for the Maximum Pre-Regulatory Application Submission Payment has occurred, or before, Acura must gain filing acceptance by the FDA of a Regulatory Approval Application for the Product.</w:t>
      </w:r>
    </w:p>
    <w:p>
      <w:pPr>
        <w:spacing w:after="0" w:line="382" w:lineRule="exact"/>
        <w:rPr>
          <w:sz w:val="20"/>
          <w:szCs w:val="20"/>
          <w:color w:val="auto"/>
        </w:rPr>
      </w:pPr>
    </w:p>
    <w:p>
      <w:pPr>
        <w:ind w:left="5540" w:right="2060" w:hanging="3473"/>
        <w:spacing w:after="0" w:line="532" w:lineRule="auto"/>
        <w:tabs>
          <w:tab w:leader="none" w:pos="2561"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LIMITx™ Patent Summary as of Effective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Case</w:t>
            </w:r>
          </w:p>
        </w:tc>
        <w:tc>
          <w:tcPr>
            <w:tcW w:w="158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Patent</w:t>
            </w:r>
          </w:p>
        </w:tc>
        <w:tc>
          <w:tcPr>
            <w:tcW w:w="20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File/Issue/Expire</w:t>
            </w:r>
          </w:p>
        </w:tc>
        <w:tc>
          <w:tcPr>
            <w:tcW w:w="436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Primary Subject</w:t>
            </w:r>
          </w:p>
        </w:tc>
        <w:tc>
          <w:tcPr>
            <w:tcW w:w="212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Status</w:t>
            </w:r>
          </w:p>
        </w:tc>
      </w:tr>
      <w:tr>
        <w:trPr>
          <w:trHeight w:val="195"/>
        </w:trPr>
        <w:tc>
          <w:tcPr>
            <w:tcW w:w="1160" w:type="dxa"/>
            <w:vAlign w:val="bottom"/>
            <w:tcBorders>
              <w:left w:val="single" w:sz="8" w:color="auto"/>
              <w:right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5018-00</w:t>
            </w:r>
          </w:p>
        </w:tc>
        <w:tc>
          <w:tcPr>
            <w:tcW w:w="15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US 9,101,636</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F-11/27/2013</w:t>
            </w:r>
          </w:p>
        </w:tc>
        <w:tc>
          <w:tcPr>
            <w:tcW w:w="4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Drug+acid soluble cationic copolymer+buffering agent to</w:t>
            </w:r>
          </w:p>
        </w:tc>
        <w:tc>
          <w:tcPr>
            <w:tcW w:w="2120" w:type="dxa"/>
            <w:vAlign w:val="bottom"/>
            <w:tcBorders>
              <w:right w:val="single" w:sz="8" w:color="auto"/>
            </w:tcBorders>
          </w:tcPr>
          <w:p>
            <w:pPr>
              <w:spacing w:after="0"/>
              <w:rPr>
                <w:sz w:val="16"/>
                <w:szCs w:val="16"/>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I-8/11/2015</w:t>
            </w:r>
          </w:p>
        </w:tc>
        <w:tc>
          <w:tcPr>
            <w:tcW w:w="4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retard release &gt;3 tabs (buffer limited)</w:t>
            </w:r>
          </w:p>
        </w:tc>
        <w:tc>
          <w:tcPr>
            <w:tcW w:w="2120" w:type="dxa"/>
            <w:vAlign w:val="bottom"/>
            <w:tcBorders>
              <w:right w:val="single" w:sz="8" w:color="auto"/>
            </w:tcBorders>
          </w:tcPr>
          <w:p>
            <w:pPr>
              <w:spacing w:after="0"/>
              <w:rPr>
                <w:sz w:val="18"/>
                <w:szCs w:val="18"/>
                <w:color w:val="auto"/>
              </w:rPr>
            </w:pPr>
          </w:p>
        </w:tc>
      </w:tr>
      <w:tr>
        <w:trPr>
          <w:trHeight w:val="230"/>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E-11/27/2033</w:t>
            </w:r>
          </w:p>
        </w:tc>
        <w:tc>
          <w:tcPr>
            <w:tcW w:w="43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195"/>
        </w:trPr>
        <w:tc>
          <w:tcPr>
            <w:tcW w:w="1160" w:type="dxa"/>
            <w:vAlign w:val="bottom"/>
            <w:tcBorders>
              <w:left w:val="single" w:sz="8" w:color="auto"/>
              <w:right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5018-01</w:t>
            </w:r>
          </w:p>
        </w:tc>
        <w:tc>
          <w:tcPr>
            <w:tcW w:w="15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US 9,320,796</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F-7/2/2015</w:t>
            </w:r>
          </w:p>
        </w:tc>
        <w:tc>
          <w:tcPr>
            <w:tcW w:w="4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Drug+acid soluble cationic copolymer+buffering agent to</w:t>
            </w:r>
          </w:p>
        </w:tc>
        <w:tc>
          <w:tcPr>
            <w:tcW w:w="2120" w:type="dxa"/>
            <w:vAlign w:val="bottom"/>
            <w:tcBorders>
              <w:right w:val="single" w:sz="8" w:color="auto"/>
            </w:tcBorders>
          </w:tcPr>
          <w:p>
            <w:pPr>
              <w:spacing w:after="0"/>
              <w:rPr>
                <w:sz w:val="16"/>
                <w:szCs w:val="16"/>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I-4/26/2016</w:t>
            </w:r>
          </w:p>
        </w:tc>
        <w:tc>
          <w:tcPr>
            <w:tcW w:w="4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retard release &gt;3 tabs (polymer limited)</w:t>
            </w:r>
          </w:p>
        </w:tc>
        <w:tc>
          <w:tcPr>
            <w:tcW w:w="2120" w:type="dxa"/>
            <w:vAlign w:val="bottom"/>
            <w:tcBorders>
              <w:right w:val="single" w:sz="8" w:color="auto"/>
            </w:tcBorders>
          </w:tcPr>
          <w:p>
            <w:pPr>
              <w:spacing w:after="0"/>
              <w:rPr>
                <w:sz w:val="18"/>
                <w:szCs w:val="18"/>
                <w:color w:val="auto"/>
              </w:rPr>
            </w:pPr>
          </w:p>
        </w:tc>
      </w:tr>
      <w:tr>
        <w:trPr>
          <w:trHeight w:val="230"/>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E-11/27/2033</w:t>
            </w:r>
          </w:p>
        </w:tc>
        <w:tc>
          <w:tcPr>
            <w:tcW w:w="43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195"/>
        </w:trPr>
        <w:tc>
          <w:tcPr>
            <w:tcW w:w="1160" w:type="dxa"/>
            <w:vAlign w:val="bottom"/>
            <w:tcBorders>
              <w:left w:val="single" w:sz="8" w:color="auto"/>
              <w:right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5018-02</w:t>
            </w:r>
          </w:p>
        </w:tc>
        <w:tc>
          <w:tcPr>
            <w:tcW w:w="15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US 9,662,393</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F-3/18/2016</w:t>
            </w:r>
          </w:p>
        </w:tc>
        <w:tc>
          <w:tcPr>
            <w:tcW w:w="4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Drug+acid soluble+buffering agent to retard release &gt;3</w:t>
            </w:r>
          </w:p>
        </w:tc>
        <w:tc>
          <w:tcPr>
            <w:tcW w:w="2120" w:type="dxa"/>
            <w:vAlign w:val="bottom"/>
            <w:tcBorders>
              <w:right w:val="single" w:sz="8" w:color="auto"/>
            </w:tcBorders>
          </w:tcPr>
          <w:p>
            <w:pPr>
              <w:spacing w:after="0"/>
              <w:rPr>
                <w:sz w:val="16"/>
                <w:szCs w:val="16"/>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I-5/30/2017</w:t>
            </w:r>
          </w:p>
        </w:tc>
        <w:tc>
          <w:tcPr>
            <w:tcW w:w="4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tabs (buffer limited)</w:t>
            </w:r>
          </w:p>
        </w:tc>
        <w:tc>
          <w:tcPr>
            <w:tcW w:w="2120" w:type="dxa"/>
            <w:vAlign w:val="bottom"/>
            <w:tcBorders>
              <w:right w:val="single" w:sz="8" w:color="auto"/>
            </w:tcBorders>
          </w:tcPr>
          <w:p>
            <w:pPr>
              <w:spacing w:after="0"/>
              <w:rPr>
                <w:sz w:val="18"/>
                <w:szCs w:val="18"/>
                <w:color w:val="auto"/>
              </w:rPr>
            </w:pPr>
          </w:p>
        </w:tc>
      </w:tr>
      <w:tr>
        <w:trPr>
          <w:trHeight w:val="230"/>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E-11/27/2033</w:t>
            </w:r>
          </w:p>
        </w:tc>
        <w:tc>
          <w:tcPr>
            <w:tcW w:w="43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195"/>
        </w:trPr>
        <w:tc>
          <w:tcPr>
            <w:tcW w:w="1160" w:type="dxa"/>
            <w:vAlign w:val="bottom"/>
            <w:tcBorders>
              <w:left w:val="single" w:sz="8" w:color="auto"/>
              <w:right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5018-03</w:t>
            </w:r>
          </w:p>
        </w:tc>
        <w:tc>
          <w:tcPr>
            <w:tcW w:w="15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15/588,982</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F-5/8/2017</w:t>
            </w:r>
          </w:p>
        </w:tc>
        <w:tc>
          <w:tcPr>
            <w:tcW w:w="4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Drug+acid soluble+buffer to retard release &gt;3 tabs –</w:t>
            </w:r>
          </w:p>
        </w:tc>
        <w:tc>
          <w:tcPr>
            <w:tcW w:w="21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Notice of Allowance</w:t>
            </w:r>
          </w:p>
        </w:tc>
      </w:tr>
      <w:tr>
        <w:trPr>
          <w:trHeight w:val="230"/>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Broad claims</w:t>
            </w: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mailed June 3, 2019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Patents and applications summarized in Exhibit A include all types of patents and applications set forth in the defined term, “Patent Rights”.</w:t>
      </w:r>
    </w:p>
    <w:p>
      <w:pPr>
        <w:spacing w:after="0" w:line="200" w:lineRule="exact"/>
        <w:rPr>
          <w:sz w:val="20"/>
          <w:szCs w:val="20"/>
          <w:color w:val="auto"/>
        </w:rPr>
      </w:pPr>
    </w:p>
    <w:p>
      <w:pPr>
        <w:spacing w:after="0" w:line="272" w:lineRule="exact"/>
        <w:rPr>
          <w:sz w:val="20"/>
          <w:szCs w:val="20"/>
          <w:color w:val="auto"/>
        </w:rPr>
      </w:pPr>
    </w:p>
    <w:p>
      <w:pPr>
        <w:ind w:left="5540" w:right="2060" w:hanging="3473"/>
        <w:spacing w:after="0" w:line="532" w:lineRule="auto"/>
        <w:tabs>
          <w:tab w:leader="none" w:pos="256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3" w:name="page154"/>
    <w:bookmarkEnd w:id="15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Royalty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ROYALTY REPORT</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Quarter Reported _________________</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ind w:left="100"/>
              <w:spacing w:after="0"/>
              <w:rPr>
                <w:sz w:val="20"/>
                <w:szCs w:val="20"/>
                <w:color w:val="auto"/>
              </w:rPr>
            </w:pPr>
            <w:r>
              <w:rPr>
                <w:rFonts w:ascii="Arial" w:cs="Arial" w:eastAsia="Arial" w:hAnsi="Arial"/>
                <w:sz w:val="18"/>
                <w:szCs w:val="18"/>
                <w:color w:val="auto"/>
              </w:rPr>
              <w:t>Licensee Name:</w:t>
            </w: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Property:</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Territory:</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Address:</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Contact:</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rPr>
              <w:t>Phone Number:</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00"/>
              <w:spacing w:after="0"/>
              <w:rPr>
                <w:sz w:val="20"/>
                <w:szCs w:val="20"/>
                <w:color w:val="auto"/>
              </w:rPr>
            </w:pPr>
            <w:r>
              <w:rPr>
                <w:rFonts w:ascii="Arial" w:cs="Arial" w:eastAsia="Arial" w:hAnsi="Arial"/>
                <w:sz w:val="18"/>
                <w:szCs w:val="18"/>
                <w:color w:val="auto"/>
              </w:rPr>
              <w:t>Fax Number:</w:t>
            </w: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FFFFCC"/>
          </w:tcPr>
          <w:p>
            <w:pPr>
              <w:spacing w:after="0"/>
              <w:rPr>
                <w:sz w:val="18"/>
                <w:szCs w:val="18"/>
                <w:color w:val="auto"/>
              </w:rPr>
            </w:pPr>
          </w:p>
        </w:tc>
        <w:tc>
          <w:tcPr>
            <w:tcW w:w="1460" w:type="dxa"/>
            <w:vAlign w:val="bottom"/>
            <w:shd w:val="clear" w:color="auto" w:fill="FFFFCC"/>
          </w:tcPr>
          <w:p>
            <w:pPr>
              <w:spacing w:after="0"/>
              <w:rPr>
                <w:sz w:val="18"/>
                <w:szCs w:val="18"/>
                <w:color w:val="auto"/>
              </w:rPr>
            </w:pPr>
          </w:p>
        </w:tc>
        <w:tc>
          <w:tcPr>
            <w:tcW w:w="1520" w:type="dxa"/>
            <w:vAlign w:val="bottom"/>
            <w:vMerge w:val="restart"/>
            <w:shd w:val="clear" w:color="auto" w:fill="FFFFCC"/>
          </w:tcPr>
          <w:p>
            <w:pPr>
              <w:jc w:val="center"/>
              <w:ind w:left="210"/>
              <w:spacing w:after="0"/>
              <w:rPr>
                <w:sz w:val="20"/>
                <w:szCs w:val="20"/>
                <w:color w:val="auto"/>
              </w:rPr>
            </w:pPr>
            <w:r>
              <w:rPr>
                <w:rFonts w:ascii="Arial" w:cs="Arial" w:eastAsia="Arial" w:hAnsi="Arial"/>
                <w:sz w:val="18"/>
                <w:szCs w:val="18"/>
                <w:b w:val="1"/>
                <w:bCs w:val="1"/>
                <w:color w:val="auto"/>
                <w:w w:val="80"/>
              </w:rPr>
              <w:t>Less:</w:t>
            </w:r>
          </w:p>
        </w:tc>
        <w:tc>
          <w:tcPr>
            <w:tcW w:w="2200" w:type="dxa"/>
            <w:vAlign w:val="bottom"/>
            <w:shd w:val="clear" w:color="auto" w:fill="FFFFCC"/>
          </w:tcPr>
          <w:p>
            <w:pPr>
              <w:jc w:val="right"/>
              <w:ind w:right="130"/>
              <w:spacing w:after="0"/>
              <w:rPr>
                <w:sz w:val="20"/>
                <w:szCs w:val="20"/>
                <w:color w:val="auto"/>
              </w:rPr>
            </w:pPr>
            <w:r>
              <w:rPr>
                <w:rFonts w:ascii="Arial" w:cs="Arial" w:eastAsia="Arial" w:hAnsi="Arial"/>
                <w:sz w:val="18"/>
                <w:szCs w:val="18"/>
                <w:b w:val="1"/>
                <w:bCs w:val="1"/>
                <w:color w:val="auto"/>
              </w:rPr>
              <w:t>CURRENT QUARTER</w:t>
            </w:r>
          </w:p>
        </w:tc>
        <w:tc>
          <w:tcPr>
            <w:tcW w:w="1440" w:type="dxa"/>
            <w:vAlign w:val="bottom"/>
            <w:shd w:val="clear" w:color="auto" w:fill="FFFFCC"/>
          </w:tcPr>
          <w:p>
            <w:pPr>
              <w:spacing w:after="0"/>
              <w:rPr>
                <w:sz w:val="18"/>
                <w:szCs w:val="18"/>
                <w:color w:val="auto"/>
              </w:rPr>
            </w:pPr>
          </w:p>
        </w:tc>
        <w:tc>
          <w:tcPr>
            <w:tcW w:w="1580" w:type="dxa"/>
            <w:vAlign w:val="bottom"/>
            <w:shd w:val="clear" w:color="auto" w:fill="FFFFCC"/>
          </w:tcPr>
          <w:p>
            <w:pPr>
              <w:spacing w:after="0"/>
              <w:rPr>
                <w:sz w:val="18"/>
                <w:szCs w:val="18"/>
                <w:color w:val="auto"/>
              </w:rPr>
            </w:pPr>
          </w:p>
        </w:tc>
        <w:tc>
          <w:tcPr>
            <w:tcW w:w="1460" w:type="dxa"/>
            <w:vAlign w:val="bottom"/>
            <w:shd w:val="clear" w:color="auto" w:fill="FF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FFFFCC"/>
          </w:tcPr>
          <w:p>
            <w:pPr>
              <w:spacing w:after="0"/>
              <w:rPr>
                <w:sz w:val="18"/>
                <w:szCs w:val="18"/>
                <w:color w:val="auto"/>
              </w:rPr>
            </w:pPr>
          </w:p>
        </w:tc>
        <w:tc>
          <w:tcPr>
            <w:tcW w:w="1460" w:type="dxa"/>
            <w:vAlign w:val="bottom"/>
            <w:shd w:val="clear" w:color="auto" w:fill="FFFFCC"/>
          </w:tcPr>
          <w:p>
            <w:pPr>
              <w:spacing w:after="0"/>
              <w:rPr>
                <w:sz w:val="18"/>
                <w:szCs w:val="18"/>
                <w:color w:val="auto"/>
              </w:rPr>
            </w:pPr>
          </w:p>
        </w:tc>
        <w:tc>
          <w:tcPr>
            <w:tcW w:w="1520" w:type="dxa"/>
            <w:vAlign w:val="bottom"/>
            <w:vMerge w:val="continue"/>
            <w:shd w:val="clear" w:color="auto" w:fill="FFFFCC"/>
          </w:tcPr>
          <w:p>
            <w:pPr>
              <w:spacing w:after="0"/>
              <w:rPr>
                <w:sz w:val="18"/>
                <w:szCs w:val="18"/>
                <w:color w:val="auto"/>
              </w:rPr>
            </w:pPr>
          </w:p>
        </w:tc>
        <w:tc>
          <w:tcPr>
            <w:tcW w:w="2200" w:type="dxa"/>
            <w:vAlign w:val="bottom"/>
            <w:shd w:val="clear" w:color="auto" w:fill="FFFFCC"/>
          </w:tcPr>
          <w:p>
            <w:pPr>
              <w:spacing w:after="0"/>
              <w:rPr>
                <w:sz w:val="18"/>
                <w:szCs w:val="18"/>
                <w:color w:val="auto"/>
              </w:rPr>
            </w:pPr>
          </w:p>
        </w:tc>
        <w:tc>
          <w:tcPr>
            <w:tcW w:w="1440" w:type="dxa"/>
            <w:vAlign w:val="bottom"/>
            <w:shd w:val="clear" w:color="auto" w:fill="FFFFCC"/>
          </w:tcPr>
          <w:p>
            <w:pPr>
              <w:spacing w:after="0"/>
              <w:rPr>
                <w:sz w:val="18"/>
                <w:szCs w:val="18"/>
                <w:color w:val="auto"/>
              </w:rPr>
            </w:pPr>
          </w:p>
        </w:tc>
        <w:tc>
          <w:tcPr>
            <w:tcW w:w="1580" w:type="dxa"/>
            <w:vAlign w:val="bottom"/>
            <w:shd w:val="clear" w:color="auto" w:fill="FFFFCC"/>
          </w:tcPr>
          <w:p>
            <w:pPr>
              <w:spacing w:after="0"/>
              <w:rPr>
                <w:sz w:val="18"/>
                <w:szCs w:val="18"/>
                <w:color w:val="auto"/>
              </w:rPr>
            </w:pPr>
          </w:p>
        </w:tc>
        <w:tc>
          <w:tcPr>
            <w:tcW w:w="1460" w:type="dxa"/>
            <w:vAlign w:val="bottom"/>
            <w:shd w:val="clear" w:color="auto" w:fill="FF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FFFFCC"/>
          </w:tcPr>
          <w:p>
            <w:pPr>
              <w:ind w:left="340"/>
              <w:spacing w:after="0" w:line="198" w:lineRule="exact"/>
              <w:rPr>
                <w:sz w:val="20"/>
                <w:szCs w:val="20"/>
                <w:color w:val="auto"/>
              </w:rPr>
            </w:pPr>
            <w:r>
              <w:rPr>
                <w:rFonts w:ascii="Arial" w:cs="Arial" w:eastAsia="Arial" w:hAnsi="Arial"/>
                <w:sz w:val="18"/>
                <w:szCs w:val="18"/>
                <w:b w:val="1"/>
                <w:bCs w:val="1"/>
                <w:color w:val="auto"/>
              </w:rPr>
              <w:t>Territory or</w:t>
            </w:r>
          </w:p>
        </w:tc>
        <w:tc>
          <w:tcPr>
            <w:tcW w:w="1460" w:type="dxa"/>
            <w:vAlign w:val="bottom"/>
            <w:shd w:val="clear" w:color="auto" w:fill="FFFFCC"/>
          </w:tcPr>
          <w:p>
            <w:pPr>
              <w:spacing w:after="0"/>
              <w:rPr>
                <w:sz w:val="17"/>
                <w:szCs w:val="17"/>
                <w:color w:val="auto"/>
              </w:rPr>
            </w:pPr>
          </w:p>
        </w:tc>
        <w:tc>
          <w:tcPr>
            <w:tcW w:w="1520" w:type="dxa"/>
            <w:vAlign w:val="bottom"/>
            <w:shd w:val="clear" w:color="auto" w:fill="FFFFCC"/>
          </w:tcPr>
          <w:p>
            <w:pPr>
              <w:jc w:val="center"/>
              <w:ind w:left="210"/>
              <w:spacing w:after="0" w:line="198" w:lineRule="exact"/>
              <w:rPr>
                <w:sz w:val="20"/>
                <w:szCs w:val="20"/>
                <w:color w:val="auto"/>
              </w:rPr>
            </w:pPr>
            <w:r>
              <w:rPr>
                <w:rFonts w:ascii="Arial" w:cs="Arial" w:eastAsia="Arial" w:hAnsi="Arial"/>
                <w:sz w:val="18"/>
                <w:szCs w:val="18"/>
                <w:b w:val="1"/>
                <w:bCs w:val="1"/>
                <w:color w:val="auto"/>
                <w:w w:val="87"/>
              </w:rPr>
              <w:t>Deductions/</w:t>
            </w:r>
          </w:p>
        </w:tc>
        <w:tc>
          <w:tcPr>
            <w:tcW w:w="2200" w:type="dxa"/>
            <w:vAlign w:val="bottom"/>
            <w:shd w:val="clear" w:color="auto" w:fill="FFFFCC"/>
          </w:tcPr>
          <w:p>
            <w:pPr>
              <w:spacing w:after="0"/>
              <w:rPr>
                <w:sz w:val="17"/>
                <w:szCs w:val="17"/>
                <w:color w:val="auto"/>
              </w:rPr>
            </w:pPr>
          </w:p>
        </w:tc>
        <w:tc>
          <w:tcPr>
            <w:tcW w:w="1440" w:type="dxa"/>
            <w:vAlign w:val="bottom"/>
            <w:shd w:val="clear" w:color="auto" w:fill="FFFFCC"/>
          </w:tcPr>
          <w:p>
            <w:pPr>
              <w:spacing w:after="0"/>
              <w:rPr>
                <w:sz w:val="17"/>
                <w:szCs w:val="17"/>
                <w:color w:val="auto"/>
              </w:rPr>
            </w:pPr>
          </w:p>
        </w:tc>
        <w:tc>
          <w:tcPr>
            <w:tcW w:w="1580" w:type="dxa"/>
            <w:vAlign w:val="bottom"/>
            <w:shd w:val="clear" w:color="auto" w:fill="FFFFCC"/>
          </w:tcPr>
          <w:p>
            <w:pPr>
              <w:spacing w:after="0"/>
              <w:rPr>
                <w:sz w:val="17"/>
                <w:szCs w:val="17"/>
                <w:color w:val="auto"/>
              </w:rPr>
            </w:pPr>
          </w:p>
        </w:tc>
        <w:tc>
          <w:tcPr>
            <w:tcW w:w="1460" w:type="dxa"/>
            <w:vAlign w:val="bottom"/>
            <w:shd w:val="clear" w:color="auto" w:fill="FF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FFFFCC"/>
          </w:tcPr>
          <w:p>
            <w:pPr>
              <w:ind w:left="380"/>
              <w:spacing w:after="0"/>
              <w:rPr>
                <w:sz w:val="20"/>
                <w:szCs w:val="20"/>
                <w:color w:val="auto"/>
              </w:rPr>
            </w:pPr>
            <w:r>
              <w:rPr>
                <w:rFonts w:ascii="Arial" w:cs="Arial" w:eastAsia="Arial" w:hAnsi="Arial"/>
                <w:sz w:val="18"/>
                <w:szCs w:val="18"/>
                <w:b w:val="1"/>
                <w:bCs w:val="1"/>
                <w:color w:val="auto"/>
              </w:rPr>
              <w:t>Territories</w:t>
            </w:r>
          </w:p>
        </w:tc>
        <w:tc>
          <w:tcPr>
            <w:tcW w:w="1460" w:type="dxa"/>
            <w:vAlign w:val="bottom"/>
            <w:shd w:val="clear" w:color="auto" w:fill="FFFFCC"/>
          </w:tcPr>
          <w:p>
            <w:pPr>
              <w:jc w:val="right"/>
              <w:ind w:right="130"/>
              <w:spacing w:after="0"/>
              <w:rPr>
                <w:sz w:val="20"/>
                <w:szCs w:val="20"/>
                <w:color w:val="auto"/>
              </w:rPr>
            </w:pPr>
            <w:r>
              <w:rPr>
                <w:rFonts w:ascii="Arial" w:cs="Arial" w:eastAsia="Arial" w:hAnsi="Arial"/>
                <w:sz w:val="18"/>
                <w:szCs w:val="18"/>
                <w:b w:val="1"/>
                <w:bCs w:val="1"/>
                <w:color w:val="auto"/>
              </w:rPr>
              <w:t>Gross Sales</w:t>
            </w:r>
          </w:p>
        </w:tc>
        <w:tc>
          <w:tcPr>
            <w:tcW w:w="1520" w:type="dxa"/>
            <w:vAlign w:val="bottom"/>
            <w:shd w:val="clear" w:color="auto" w:fill="FFFFCC"/>
          </w:tcPr>
          <w:p>
            <w:pPr>
              <w:jc w:val="center"/>
              <w:ind w:left="210"/>
              <w:spacing w:after="0"/>
              <w:rPr>
                <w:sz w:val="20"/>
                <w:szCs w:val="20"/>
                <w:color w:val="auto"/>
              </w:rPr>
            </w:pPr>
            <w:r>
              <w:rPr>
                <w:rFonts w:ascii="Arial" w:cs="Arial" w:eastAsia="Arial" w:hAnsi="Arial"/>
                <w:sz w:val="18"/>
                <w:szCs w:val="18"/>
                <w:b w:val="1"/>
                <w:bCs w:val="1"/>
                <w:color w:val="auto"/>
                <w:w w:val="93"/>
              </w:rPr>
              <w:t>Returns*</w:t>
            </w:r>
          </w:p>
        </w:tc>
        <w:tc>
          <w:tcPr>
            <w:tcW w:w="2200" w:type="dxa"/>
            <w:vAlign w:val="bottom"/>
            <w:shd w:val="clear" w:color="auto" w:fill="FFFFCC"/>
          </w:tcPr>
          <w:p>
            <w:pPr>
              <w:jc w:val="right"/>
              <w:ind w:right="490"/>
              <w:spacing w:after="0"/>
              <w:rPr>
                <w:sz w:val="20"/>
                <w:szCs w:val="20"/>
                <w:color w:val="auto"/>
              </w:rPr>
            </w:pPr>
            <w:r>
              <w:rPr>
                <w:rFonts w:ascii="Arial" w:cs="Arial" w:eastAsia="Arial" w:hAnsi="Arial"/>
                <w:sz w:val="18"/>
                <w:szCs w:val="18"/>
                <w:b w:val="1"/>
                <w:bCs w:val="1"/>
                <w:color w:val="auto"/>
              </w:rPr>
              <w:t>Discounts</w:t>
            </w:r>
          </w:p>
        </w:tc>
        <w:tc>
          <w:tcPr>
            <w:tcW w:w="1440" w:type="dxa"/>
            <w:vAlign w:val="bottom"/>
            <w:shd w:val="clear" w:color="auto" w:fill="FFFFCC"/>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580" w:type="dxa"/>
            <w:vAlign w:val="bottom"/>
            <w:shd w:val="clear" w:color="auto" w:fill="FFFFCC"/>
          </w:tcPr>
          <w:p>
            <w:pPr>
              <w:jc w:val="center"/>
              <w:ind w:left="30"/>
              <w:spacing w:after="0"/>
              <w:rPr>
                <w:sz w:val="20"/>
                <w:szCs w:val="20"/>
                <w:color w:val="auto"/>
              </w:rPr>
            </w:pPr>
            <w:r>
              <w:rPr>
                <w:rFonts w:ascii="Arial" w:cs="Arial" w:eastAsia="Arial" w:hAnsi="Arial"/>
                <w:sz w:val="18"/>
                <w:szCs w:val="18"/>
                <w:b w:val="1"/>
                <w:bCs w:val="1"/>
                <w:color w:val="auto"/>
                <w:w w:val="93"/>
              </w:rPr>
              <w:t>Royalty Rate %</w:t>
            </w:r>
          </w:p>
        </w:tc>
        <w:tc>
          <w:tcPr>
            <w:tcW w:w="1460" w:type="dxa"/>
            <w:vAlign w:val="bottom"/>
            <w:shd w:val="clear" w:color="auto" w:fill="FFFFCC"/>
          </w:tcPr>
          <w:p>
            <w:pPr>
              <w:jc w:val="right"/>
              <w:ind w:right="330"/>
              <w:spacing w:after="0"/>
              <w:rPr>
                <w:sz w:val="20"/>
                <w:szCs w:val="20"/>
                <w:color w:val="auto"/>
              </w:rPr>
            </w:pPr>
            <w:r>
              <w:rPr>
                <w:rFonts w:ascii="Arial" w:cs="Arial" w:eastAsia="Arial" w:hAnsi="Arial"/>
                <w:sz w:val="18"/>
                <w:szCs w:val="18"/>
                <w:b w:val="1"/>
                <w:bCs w:val="1"/>
                <w:color w:val="auto"/>
              </w:rPr>
              <w:t>Royalty</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1460" w:type="dxa"/>
            <w:vAlign w:val="bottom"/>
          </w:tcPr>
          <w:p>
            <w:pPr>
              <w:jc w:val="right"/>
              <w:ind w:right="1070"/>
              <w:spacing w:after="0" w:line="201" w:lineRule="exact"/>
              <w:rPr>
                <w:sz w:val="20"/>
                <w:szCs w:val="20"/>
                <w:color w:val="auto"/>
              </w:rPr>
            </w:pPr>
            <w:r>
              <w:rPr>
                <w:rFonts w:ascii="Arial" w:cs="Arial" w:eastAsia="Arial" w:hAnsi="Arial"/>
                <w:sz w:val="18"/>
                <w:szCs w:val="18"/>
                <w:color w:val="auto"/>
              </w:rPr>
              <w:t>$ -</w:t>
            </w:r>
          </w:p>
        </w:tc>
        <w:tc>
          <w:tcPr>
            <w:tcW w:w="1520" w:type="dxa"/>
            <w:vAlign w:val="bottom"/>
          </w:tcPr>
          <w:p>
            <w:pPr>
              <w:jc w:val="right"/>
              <w:ind w:right="1010"/>
              <w:spacing w:after="0" w:line="201" w:lineRule="exact"/>
              <w:rPr>
                <w:sz w:val="20"/>
                <w:szCs w:val="20"/>
                <w:color w:val="auto"/>
              </w:rPr>
            </w:pPr>
            <w:r>
              <w:rPr>
                <w:rFonts w:ascii="Arial" w:cs="Arial" w:eastAsia="Arial" w:hAnsi="Arial"/>
                <w:sz w:val="18"/>
                <w:szCs w:val="18"/>
                <w:color w:val="auto"/>
              </w:rPr>
              <w:t>$ -</w:t>
            </w:r>
          </w:p>
        </w:tc>
        <w:tc>
          <w:tcPr>
            <w:tcW w:w="2200" w:type="dxa"/>
            <w:vAlign w:val="bottom"/>
          </w:tcPr>
          <w:p>
            <w:pPr>
              <w:jc w:val="right"/>
              <w:ind w:right="1650"/>
              <w:spacing w:after="0" w:line="201" w:lineRule="exact"/>
              <w:rPr>
                <w:sz w:val="20"/>
                <w:szCs w:val="20"/>
                <w:color w:val="auto"/>
              </w:rPr>
            </w:pPr>
            <w:r>
              <w:rPr>
                <w:rFonts w:ascii="Arial" w:cs="Arial" w:eastAsia="Arial" w:hAnsi="Arial"/>
                <w:sz w:val="18"/>
                <w:szCs w:val="18"/>
                <w:color w:val="auto"/>
              </w:rPr>
              <w:t>$ -</w:t>
            </w:r>
          </w:p>
        </w:tc>
        <w:tc>
          <w:tcPr>
            <w:tcW w:w="1440" w:type="dxa"/>
            <w:vAlign w:val="bottom"/>
          </w:tcPr>
          <w:p>
            <w:pPr>
              <w:jc w:val="right"/>
              <w:ind w:right="950"/>
              <w:spacing w:after="0" w:line="201" w:lineRule="exact"/>
              <w:rPr>
                <w:sz w:val="20"/>
                <w:szCs w:val="20"/>
                <w:color w:val="auto"/>
              </w:rPr>
            </w:pPr>
            <w:r>
              <w:rPr>
                <w:rFonts w:ascii="Arial" w:cs="Arial" w:eastAsia="Arial" w:hAnsi="Arial"/>
                <w:sz w:val="18"/>
                <w:szCs w:val="18"/>
                <w:color w:val="auto"/>
              </w:rPr>
              <w:t>$ -</w:t>
            </w:r>
          </w:p>
        </w:tc>
        <w:tc>
          <w:tcPr>
            <w:tcW w:w="15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7"/>
              </w:rPr>
              <w:t>%</w:t>
            </w:r>
          </w:p>
        </w:tc>
        <w:tc>
          <w:tcPr>
            <w:tcW w:w="1460" w:type="dxa"/>
            <w:vAlign w:val="bottom"/>
          </w:tcPr>
          <w:p>
            <w:pPr>
              <w:jc w:val="right"/>
              <w:ind w:right="1070"/>
              <w:spacing w:after="0" w:line="201"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jc w:val="right"/>
              <w:ind w:right="1070"/>
              <w:spacing w:after="0"/>
              <w:rPr>
                <w:sz w:val="20"/>
                <w:szCs w:val="20"/>
                <w:color w:val="auto"/>
              </w:rPr>
            </w:pPr>
            <w:r>
              <w:rPr>
                <w:rFonts w:ascii="Arial" w:cs="Arial" w:eastAsia="Arial" w:hAnsi="Arial"/>
                <w:sz w:val="18"/>
                <w:szCs w:val="18"/>
                <w:color w:val="auto"/>
              </w:rPr>
              <w:t>$ -</w:t>
            </w:r>
          </w:p>
        </w:tc>
        <w:tc>
          <w:tcPr>
            <w:tcW w:w="1520" w:type="dxa"/>
            <w:vAlign w:val="bottom"/>
          </w:tcPr>
          <w:p>
            <w:pPr>
              <w:jc w:val="right"/>
              <w:ind w:right="1010"/>
              <w:spacing w:after="0"/>
              <w:rPr>
                <w:sz w:val="20"/>
                <w:szCs w:val="20"/>
                <w:color w:val="auto"/>
              </w:rPr>
            </w:pPr>
            <w:r>
              <w:rPr>
                <w:rFonts w:ascii="Arial" w:cs="Arial" w:eastAsia="Arial" w:hAnsi="Arial"/>
                <w:sz w:val="18"/>
                <w:szCs w:val="18"/>
                <w:color w:val="auto"/>
              </w:rPr>
              <w:t>$ -</w:t>
            </w:r>
          </w:p>
        </w:tc>
        <w:tc>
          <w:tcPr>
            <w:tcW w:w="2200" w:type="dxa"/>
            <w:vAlign w:val="bottom"/>
          </w:tcPr>
          <w:p>
            <w:pPr>
              <w:jc w:val="right"/>
              <w:ind w:right="1650"/>
              <w:spacing w:after="0"/>
              <w:rPr>
                <w:sz w:val="20"/>
                <w:szCs w:val="20"/>
                <w:color w:val="auto"/>
              </w:rPr>
            </w:pPr>
            <w:r>
              <w:rPr>
                <w:rFonts w:ascii="Arial" w:cs="Arial" w:eastAsia="Arial" w:hAnsi="Arial"/>
                <w:sz w:val="18"/>
                <w:szCs w:val="18"/>
                <w:color w:val="auto"/>
              </w:rPr>
              <w:t>$ -</w:t>
            </w:r>
          </w:p>
        </w:tc>
        <w:tc>
          <w:tcPr>
            <w:tcW w:w="1440" w:type="dxa"/>
            <w:vAlign w:val="bottom"/>
          </w:tcPr>
          <w:p>
            <w:pPr>
              <w:jc w:val="right"/>
              <w:ind w:right="950"/>
              <w:spacing w:after="0"/>
              <w:rPr>
                <w:sz w:val="20"/>
                <w:szCs w:val="20"/>
                <w:color w:val="auto"/>
              </w:rPr>
            </w:pPr>
            <w:r>
              <w:rPr>
                <w:rFonts w:ascii="Arial" w:cs="Arial" w:eastAsia="Arial" w:hAnsi="Arial"/>
                <w:sz w:val="18"/>
                <w:szCs w:val="18"/>
                <w:color w:val="auto"/>
              </w:rPr>
              <w:t>$ -</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7"/>
              </w:rPr>
              <w:t>%</w:t>
            </w:r>
          </w:p>
        </w:tc>
        <w:tc>
          <w:tcPr>
            <w:tcW w:w="1460" w:type="dxa"/>
            <w:vAlign w:val="bottom"/>
          </w:tcPr>
          <w:p>
            <w:pPr>
              <w:jc w:val="right"/>
              <w:ind w:right="10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jc w:val="right"/>
              <w:ind w:right="1070"/>
              <w:spacing w:after="0"/>
              <w:rPr>
                <w:sz w:val="20"/>
                <w:szCs w:val="20"/>
                <w:color w:val="auto"/>
              </w:rPr>
            </w:pPr>
            <w:r>
              <w:rPr>
                <w:rFonts w:ascii="Arial" w:cs="Arial" w:eastAsia="Arial" w:hAnsi="Arial"/>
                <w:sz w:val="18"/>
                <w:szCs w:val="18"/>
                <w:color w:val="auto"/>
              </w:rPr>
              <w:t>$ -</w:t>
            </w:r>
          </w:p>
        </w:tc>
        <w:tc>
          <w:tcPr>
            <w:tcW w:w="1520" w:type="dxa"/>
            <w:vAlign w:val="bottom"/>
          </w:tcPr>
          <w:p>
            <w:pPr>
              <w:jc w:val="right"/>
              <w:ind w:right="1010"/>
              <w:spacing w:after="0"/>
              <w:rPr>
                <w:sz w:val="20"/>
                <w:szCs w:val="20"/>
                <w:color w:val="auto"/>
              </w:rPr>
            </w:pPr>
            <w:r>
              <w:rPr>
                <w:rFonts w:ascii="Arial" w:cs="Arial" w:eastAsia="Arial" w:hAnsi="Arial"/>
                <w:sz w:val="18"/>
                <w:szCs w:val="18"/>
                <w:color w:val="auto"/>
              </w:rPr>
              <w:t>$ -</w:t>
            </w:r>
          </w:p>
        </w:tc>
        <w:tc>
          <w:tcPr>
            <w:tcW w:w="2200" w:type="dxa"/>
            <w:vAlign w:val="bottom"/>
          </w:tcPr>
          <w:p>
            <w:pPr>
              <w:jc w:val="right"/>
              <w:ind w:right="1650"/>
              <w:spacing w:after="0"/>
              <w:rPr>
                <w:sz w:val="20"/>
                <w:szCs w:val="20"/>
                <w:color w:val="auto"/>
              </w:rPr>
            </w:pPr>
            <w:r>
              <w:rPr>
                <w:rFonts w:ascii="Arial" w:cs="Arial" w:eastAsia="Arial" w:hAnsi="Arial"/>
                <w:sz w:val="18"/>
                <w:szCs w:val="18"/>
                <w:color w:val="auto"/>
              </w:rPr>
              <w:t>$ -</w:t>
            </w:r>
          </w:p>
        </w:tc>
        <w:tc>
          <w:tcPr>
            <w:tcW w:w="1440" w:type="dxa"/>
            <w:vAlign w:val="bottom"/>
          </w:tcPr>
          <w:p>
            <w:pPr>
              <w:jc w:val="right"/>
              <w:ind w:right="950"/>
              <w:spacing w:after="0"/>
              <w:rPr>
                <w:sz w:val="20"/>
                <w:szCs w:val="20"/>
                <w:color w:val="auto"/>
              </w:rPr>
            </w:pPr>
            <w:r>
              <w:rPr>
                <w:rFonts w:ascii="Arial" w:cs="Arial" w:eastAsia="Arial" w:hAnsi="Arial"/>
                <w:sz w:val="18"/>
                <w:szCs w:val="18"/>
                <w:color w:val="auto"/>
              </w:rPr>
              <w:t>$ -</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7"/>
              </w:rPr>
              <w:t>%</w:t>
            </w:r>
          </w:p>
        </w:tc>
        <w:tc>
          <w:tcPr>
            <w:tcW w:w="1460" w:type="dxa"/>
            <w:vAlign w:val="bottom"/>
          </w:tcPr>
          <w:p>
            <w:pPr>
              <w:jc w:val="right"/>
              <w:ind w:right="10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1580" w:type="dxa"/>
            <w:vAlign w:val="bottom"/>
          </w:tcPr>
          <w:p>
            <w:pPr>
              <w:ind w:left="10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1070"/>
              <w:spacing w:after="0"/>
              <w:rPr>
                <w:sz w:val="20"/>
                <w:szCs w:val="20"/>
                <w:color w:val="auto"/>
              </w:rPr>
            </w:pPr>
            <w:r>
              <w:rPr>
                <w:rFonts w:ascii="Arial" w:cs="Arial" w:eastAsia="Arial" w:hAnsi="Arial"/>
                <w:sz w:val="18"/>
                <w:szCs w:val="18"/>
                <w:color w:val="auto"/>
              </w:rPr>
              <w:t>$ -</w:t>
            </w:r>
          </w:p>
        </w:tc>
        <w:tc>
          <w:tcPr>
            <w:tcW w:w="1520" w:type="dxa"/>
            <w:vAlign w:val="bottom"/>
          </w:tcPr>
          <w:p>
            <w:pPr>
              <w:jc w:val="right"/>
              <w:ind w:right="1010"/>
              <w:spacing w:after="0"/>
              <w:rPr>
                <w:sz w:val="20"/>
                <w:szCs w:val="20"/>
                <w:color w:val="auto"/>
              </w:rPr>
            </w:pPr>
            <w:r>
              <w:rPr>
                <w:rFonts w:ascii="Arial" w:cs="Arial" w:eastAsia="Arial" w:hAnsi="Arial"/>
                <w:sz w:val="18"/>
                <w:szCs w:val="18"/>
                <w:color w:val="auto"/>
              </w:rPr>
              <w:t>$ -</w:t>
            </w:r>
          </w:p>
        </w:tc>
        <w:tc>
          <w:tcPr>
            <w:tcW w:w="2200" w:type="dxa"/>
            <w:vAlign w:val="bottom"/>
          </w:tcPr>
          <w:p>
            <w:pPr>
              <w:jc w:val="right"/>
              <w:ind w:right="1650"/>
              <w:spacing w:after="0"/>
              <w:rPr>
                <w:sz w:val="20"/>
                <w:szCs w:val="20"/>
                <w:color w:val="auto"/>
              </w:rPr>
            </w:pPr>
            <w:r>
              <w:rPr>
                <w:rFonts w:ascii="Arial" w:cs="Arial" w:eastAsia="Arial" w:hAnsi="Arial"/>
                <w:sz w:val="18"/>
                <w:szCs w:val="18"/>
                <w:color w:val="auto"/>
              </w:rPr>
              <w:t>$ -</w:t>
            </w:r>
          </w:p>
        </w:tc>
        <w:tc>
          <w:tcPr>
            <w:tcW w:w="1440" w:type="dxa"/>
            <w:vAlign w:val="bottom"/>
          </w:tcPr>
          <w:p>
            <w:pPr>
              <w:jc w:val="right"/>
              <w:ind w:right="950"/>
              <w:spacing w:after="0"/>
              <w:rPr>
                <w:sz w:val="20"/>
                <w:szCs w:val="20"/>
                <w:color w:val="auto"/>
              </w:rPr>
            </w:pPr>
            <w:r>
              <w:rPr>
                <w:rFonts w:ascii="Arial" w:cs="Arial" w:eastAsia="Arial" w:hAnsi="Arial"/>
                <w:sz w:val="18"/>
                <w:szCs w:val="18"/>
                <w:color w:val="auto"/>
              </w:rPr>
              <w:t>$ -</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7"/>
              </w:rPr>
              <w:t>%</w:t>
            </w:r>
          </w:p>
        </w:tc>
        <w:tc>
          <w:tcPr>
            <w:tcW w:w="1460" w:type="dxa"/>
            <w:vAlign w:val="bottom"/>
          </w:tcPr>
          <w:p>
            <w:pPr>
              <w:jc w:val="right"/>
              <w:ind w:right="10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540" w:right="2060" w:hanging="3473"/>
        <w:spacing w:after="0" w:line="532" w:lineRule="auto"/>
        <w:tabs>
          <w:tab w:leader="none" w:pos="2561"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Licenses LIMITx™ LTX-03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Provides For Completion of Development and Commercialization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Valued at up to $21.3 Million, not including Royalties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PALATINE, IL, July 1, 2019: Acura Pharmaceuticals, Inc. (OTC Pink: ACUR) today announced a License, Development and Commercialization Agreement (the "Agreement") with Abuse Deterrent Pharmaceuticals,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receive royalties and potential sales related milestones.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LTX-03 (hydrocodone with acetaminophen)</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Recent reports suggest growing numbers of legitimate pain patients are going undertreated as they can no longer find doctors willing to treat them due to new prescribing guidelines associated with the opioid epidemic. Suicide is increasingly seen as the only remedy for some of these patients through opioid overdose. Our goal with LIMITx is to develop a treatment for effective pain relief at a one or two tablet dose while providing overdose protection by limiting high peak levels of drug in the bloodstream (Cmax) that can lead to respiratory depression and death when more than the recommended dose is ingested. LIMITx works by neutralizing stomach acid with buffering ingredients as increasing numbers of tablets are swallowed thereby reducing the stomach acid available to cause the release and subsequent systemic absorption of the active ingredient from micro-particles contained in the LIMITx tablets. In a human clinical study, formulations of LTX-03 demonstrated, under fasted conditions, analgesic levels of hydrocodone in the blood when taken at a recommended one or two tablet dose but reduced the maximum blood level (Cmax) up to 34% when subjects were exposed to higher buffer ingredient levels. Hydrocodone with acetaminophen remains the single largest prescribed opioid in the U.S. with excess oral ingestion as the most prevalent method of misuse. Clinical studies with hydromorphone (LTX-04) demonstrated reductions in Cmax of up to 65% when up to 8 tablets were ingested. Analysis of forensic data associated with hydrocodone overdose death suggests a typical consumption of approximately 16 immediate-release tablets, well within the number of tablets in an average filled opioid prescription. The Company intends to demonstrate that a meaningful reduction in Cmax associated with oral overdose can mitigate the risk of respiratory depression and death. LTX-03 may </w:t>
      </w:r>
      <w:r>
        <w:rPr>
          <w:rFonts w:ascii="Arial" w:cs="Arial" w:eastAsia="Arial" w:hAnsi="Arial"/>
          <w:sz w:val="16"/>
          <w:szCs w:val="16"/>
          <w:color w:val="333333"/>
        </w:rPr>
        <w:t>offer safety advantages over existing opioid therapies consistent with the</w:t>
      </w:r>
      <w:r>
        <w:rPr>
          <w:rFonts w:ascii="Arial" w:cs="Arial" w:eastAsia="Arial" w:hAnsi="Arial"/>
          <w:sz w:val="16"/>
          <w:szCs w:val="16"/>
          <w:color w:val="auto"/>
        </w:rPr>
        <w:t xml:space="preserve"> </w:t>
      </w:r>
      <w:r>
        <w:rPr>
          <w:rFonts w:ascii="Arial" w:cs="Arial" w:eastAsia="Arial" w:hAnsi="Arial"/>
          <w:sz w:val="16"/>
          <w:szCs w:val="16"/>
          <w:color w:val="333333"/>
        </w:rPr>
        <w:t>Food and Drug Administration’s (FDA) recently proposed new standards for the approval of opioid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Terms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w:t>
      </w:r>
    </w:p>
    <w:p>
      <w:pPr>
        <w:spacing w:after="0" w:line="200" w:lineRule="exact"/>
        <w:rPr>
          <w:sz w:val="20"/>
          <w:szCs w:val="20"/>
          <w:color w:val="auto"/>
        </w:rPr>
      </w:pPr>
    </w:p>
    <w:p>
      <w:pPr>
        <w:spacing w:after="0" w:line="223" w:lineRule="exact"/>
        <w:rPr>
          <w:sz w:val="20"/>
          <w:szCs w:val="20"/>
          <w:color w:val="auto"/>
        </w:rPr>
      </w:pPr>
    </w:p>
    <w:p>
      <w:pPr>
        <w:ind w:left="5540" w:right="2060" w:hanging="3473"/>
        <w:spacing w:after="0" w:line="532" w:lineRule="auto"/>
        <w:tabs>
          <w:tab w:leader="none" w:pos="256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700" w:hanging="328"/>
        <w:spacing w:after="0" w:line="258"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Monthly license payments by AD Pharma of $350,000 up to the earlier of 18 months or FDA’s acceptance of a New Drug Application (“NDA”) for LTX-03;</w:t>
      </w:r>
    </w:p>
    <w:p>
      <w:pPr>
        <w:spacing w:after="0" w:line="1" w:lineRule="exact"/>
        <w:rPr>
          <w:rFonts w:ascii="Arial" w:cs="Arial" w:eastAsia="Arial" w:hAnsi="Arial"/>
          <w:sz w:val="18"/>
          <w:szCs w:val="18"/>
          <w:color w:val="auto"/>
        </w:rPr>
      </w:pPr>
    </w:p>
    <w:p>
      <w:pPr>
        <w:ind w:left="700" w:hanging="328"/>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jc w:val="both"/>
        <w:ind w:left="700" w:hanging="328"/>
        <w:spacing w:after="0" w:line="281" w:lineRule="auto"/>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$6 million loan which consolidates $5.25 million in prior loans from Mr. John Schutte plus an additional $750 thousand loan upon execution of the Agreement. Terms of the consolidated loan are amended to provide for a July 1, 2023 maturity date, interest at 7.5% with all payments of principle and interest deferred to maturity, conversion rights into Acura common stock at $0.16, the issuance of a warrant to AD Pharma to purchase 10 million shares of the Company’s common stock at a price of $0.01 per shares and a security interest in all Acura assets;</w:t>
      </w:r>
    </w:p>
    <w:p>
      <w:pPr>
        <w:spacing w:after="0" w:line="2" w:lineRule="exact"/>
        <w:rPr>
          <w:rFonts w:ascii="Arial" w:cs="Arial" w:eastAsia="Arial" w:hAnsi="Arial"/>
          <w:sz w:val="16"/>
          <w:szCs w:val="16"/>
          <w:color w:val="auto"/>
        </w:rPr>
      </w:pPr>
    </w:p>
    <w:p>
      <w:pPr>
        <w:ind w:left="700" w:hanging="328"/>
        <w:spacing w:after="0"/>
        <w:tabs>
          <w:tab w:leader="none" w:pos="7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commercialization of LTX-03, Acura receives stepped royalties on sales and is eligible for certain sales related milestones; and</w:t>
      </w:r>
    </w:p>
    <w:p>
      <w:pPr>
        <w:spacing w:after="0" w:line="20" w:lineRule="exact"/>
        <w:rPr>
          <w:rFonts w:ascii="Arial" w:cs="Arial" w:eastAsia="Arial" w:hAnsi="Arial"/>
          <w:sz w:val="17"/>
          <w:szCs w:val="17"/>
          <w:color w:val="auto"/>
        </w:rPr>
      </w:pPr>
    </w:p>
    <w:p>
      <w:pPr>
        <w:jc w:val="both"/>
        <w:ind w:left="700" w:hanging="328"/>
        <w:spacing w:after="0" w:line="255"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9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Acura Pharmaceuticals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Acura Pharmaceuticals is a specialty pharmaceutical company engaged in the research, development and commercialization of technologies and product candidates intended to mitigate the risk of outcomes associated with product misuse. The Company has three proprietary technologies: LIMITx™, AVERSION® and IMPEDE®.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LIMITx utilizes acid neutralizing ingredients to precisely control gastric acidity that limits the release of drug from tablets and its subsequent systemic absorption when multiple tablets are ingested. LIMITx is useful with products whose side effect risks can be mitigated by limiting exposure to a drug in overdose situations.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AVERSION, used in the FDA approved drug OXAYDO® (oxycodone HCl) marketed by Egalet Corporation, utilizes polymers designed to limit the abuse of the product by nasal snorting and injection. AVERSION is also licensed to Kempharm for use in certain of their products.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IMPEDE, used in NEXAFED® (pseudoephedrine HCl) and NEXAFED® Sinus (pseudoephedrine HCl/acetaminophen) marketed by MainPointe Pharmaceuticals, utilizes polymers and other ingredients to disrupt the extraction and processing of pseudoephedrine from the tablets into methamphetamine.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press release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200" w:lineRule="exact"/>
        <w:rPr>
          <w:sz w:val="20"/>
          <w:szCs w:val="20"/>
          <w:color w:val="auto"/>
        </w:rPr>
      </w:pPr>
    </w:p>
    <w:p>
      <w:pPr>
        <w:spacing w:after="0" w:line="205" w:lineRule="exact"/>
        <w:rPr>
          <w:sz w:val="20"/>
          <w:szCs w:val="20"/>
          <w:color w:val="auto"/>
        </w:rPr>
      </w:pPr>
    </w:p>
    <w:p>
      <w:pPr>
        <w:ind w:left="5540" w:right="2060" w:hanging="3473"/>
        <w:spacing w:after="0" w:line="532" w:lineRule="auto"/>
        <w:tabs>
          <w:tab w:leader="none" w:pos="2561"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500" w:hanging="168"/>
        <w:spacing w:after="0" w:line="258"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our licensees will terminate the license prior to commercialization;</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IMPEDE ER or any successor product candidate, the date by which such studies will complete and the results will be available and whether any product candidate will ultimately receive FDA approval;</w:t>
      </w: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ability of LTX-03 single tablets to achieve bioequivalence or to demonstrate efficacy in a clinical study;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our licensing partners will exercise their options to additional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mitigate respiratory depression risk will be determined sufficient by the FDA;</w:t>
      </w: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line="250"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an NDA and FDA approval of our product candidates;</w:t>
      </w: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00" w:hanging="168"/>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our product candidates will ultimately perform as intended in commercial settings.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cases, you can identify forward- looking statements by terms such as "may," “will”, "should," "could," "would," "expects," "plans," "anticipates," "believes," "estimates," “indicates”,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filings with the Securities and Exchange Commission.</w:t>
      </w:r>
    </w:p>
    <w:p>
      <w:pPr>
        <w:spacing w:after="0" w:line="400" w:lineRule="exact"/>
        <w:rPr>
          <w:sz w:val="20"/>
          <w:szCs w:val="20"/>
          <w:color w:val="auto"/>
        </w:rPr>
      </w:pPr>
    </w:p>
    <w:p>
      <w:pPr>
        <w:ind w:left="5540" w:right="2060" w:hanging="3473"/>
        <w:spacing w:after="0" w:line="532" w:lineRule="auto"/>
        <w:tabs>
          <w:tab w:leader="none" w:pos="256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Acura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investors@acurapharm.com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847-705-7709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right="959" w:hanging="3473"/>
        <w:spacing w:after="0" w:line="532" w:lineRule="auto"/>
        <w:tabs>
          <w:tab w:leader="none" w:pos="2561"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Portions of this information have been redacted pursuant to Reg S-K, items 601(b)(10) </w:t>
      </w: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158" w:name="page159"/>
    <w:bookmarkEnd w:id="158"/>
    <w:p>
      <w:pPr>
        <w:ind w:left="10220"/>
        <w:spacing w:after="0"/>
        <w:rPr>
          <w:sz w:val="20"/>
          <w:szCs w:val="20"/>
          <w:color w:val="auto"/>
        </w:rPr>
      </w:pPr>
      <w:r>
        <w:rPr>
          <w:rFonts w:ascii="Arial" w:cs="Arial" w:eastAsia="Arial" w:hAnsi="Arial"/>
          <w:sz w:val="16"/>
          <w:szCs w:val="16"/>
          <w:b w:val="1"/>
          <w:bCs w:val="1"/>
          <w:color w:val="auto"/>
        </w:rPr>
        <w:t>Exhibit 10.51</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 5.3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ectPr>
          <w:pgSz w:w="11900" w:h="16838" w:orient="portrait"/>
          <w:cols w:equalWidth="0" w:num="1">
            <w:col w:w="11240"/>
          </w:cols>
          <w:pgMar w:left="320" w:top="364"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 a New York corporation</w:t>
      </w:r>
    </w:p>
    <w:p>
      <w:pPr>
        <w:spacing w:after="0" w:line="200" w:lineRule="exact"/>
        <w:rPr>
          <w:sz w:val="20"/>
          <w:szCs w:val="20"/>
          <w:color w:val="auto"/>
        </w:rPr>
      </w:pPr>
    </w:p>
    <w:p>
      <w:pPr>
        <w:sectPr>
          <w:pgSz w:w="11900" w:h="16838" w:orient="portrait"/>
          <w:cols w:equalWidth="0" w:num="2">
            <w:col w:w="1240" w:space="720"/>
            <w:col w:w="9280"/>
          </w:cols>
          <w:pgMar w:left="320" w:top="36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10,000,000</w:t>
      </w:r>
    </w:p>
    <w:p>
      <w:pPr>
        <w:spacing w:after="0" w:line="211" w:lineRule="exact"/>
        <w:rPr>
          <w:sz w:val="20"/>
          <w:szCs w:val="20"/>
          <w:color w:val="auto"/>
        </w:rPr>
      </w:pPr>
    </w:p>
    <w:p>
      <w:pPr>
        <w:sectPr>
          <w:pgSz w:w="11900" w:h="16838" w:orient="portrait"/>
          <w:cols w:equalWidth="0" w:num="2">
            <w:col w:w="1360" w:space="600"/>
            <w:col w:w="9280"/>
          </w:cols>
          <w:pgMar w:left="320" w:top="36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0" w:lineRule="exact"/>
        <w:rPr>
          <w:sz w:val="20"/>
          <w:szCs w:val="20"/>
          <w:color w:val="auto"/>
        </w:rPr>
      </w:pPr>
    </w:p>
    <w:p>
      <w:pPr>
        <w:sectPr>
          <w:pgSz w:w="11900" w:h="16838" w:orient="portrait"/>
          <w:cols w:equalWidth="0" w:num="2">
            <w:col w:w="1560" w:space="400"/>
            <w:col w:w="9280"/>
          </w:cols>
          <w:pgMar w:left="320" w:top="36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$0.01 per share</w:t>
      </w:r>
    </w:p>
    <w:p>
      <w:pPr>
        <w:spacing w:after="0" w:line="211" w:lineRule="exact"/>
        <w:rPr>
          <w:sz w:val="20"/>
          <w:szCs w:val="20"/>
          <w:color w:val="auto"/>
        </w:rPr>
      </w:pPr>
    </w:p>
    <w:p>
      <w:pPr>
        <w:sectPr>
          <w:pgSz w:w="11900" w:h="16838" w:orient="portrait"/>
          <w:cols w:equalWidth="0" w:num="2">
            <w:col w:w="1240" w:space="720"/>
            <w:col w:w="9280"/>
          </w:cols>
          <w:pgMar w:left="320" w:top="36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June 28, 2019</w:t>
      </w:r>
    </w:p>
    <w:p>
      <w:pPr>
        <w:spacing w:after="0" w:line="211" w:lineRule="exact"/>
        <w:rPr>
          <w:sz w:val="20"/>
          <w:szCs w:val="20"/>
          <w:color w:val="auto"/>
        </w:rPr>
      </w:pPr>
    </w:p>
    <w:p>
      <w:pPr>
        <w:sectPr>
          <w:pgSz w:w="11900" w:h="16838" w:orient="portrait"/>
          <w:cols w:equalWidth="0" w:num="2">
            <w:col w:w="1240" w:space="720"/>
            <w:col w:w="9280"/>
          </w:cols>
          <w:pgMar w:left="320" w:top="36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June 28, 2024</w:t>
      </w:r>
    </w:p>
    <w:p>
      <w:pPr>
        <w:spacing w:after="0" w:line="211" w:lineRule="exact"/>
        <w:rPr>
          <w:sz w:val="20"/>
          <w:szCs w:val="20"/>
          <w:color w:val="auto"/>
        </w:rPr>
      </w:pPr>
    </w:p>
    <w:p>
      <w:pPr>
        <w:sectPr>
          <w:pgSz w:w="11900" w:h="16838" w:orient="portrait"/>
          <w:cols w:equalWidth="0" w:num="2">
            <w:col w:w="1240" w:space="720"/>
            <w:col w:w="9280"/>
          </w:cols>
          <w:pgMar w:left="320" w:top="364" w:right="339" w:bottom="1440" w:gutter="0" w:footer="0" w:header="0"/>
          <w:type w:val="continuous"/>
        </w:sectPr>
      </w:pPr>
    </w:p>
    <w:p>
      <w:pPr>
        <w:spacing w:after="0" w:line="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WARRANT CERTIFIES THAT, for good and valuable consideration, John Schutte c/o MainPointe Pharmaceuticals, LLC, 333 E. Main Street, Suite 200, Louisville, KY 40202 (“</w:t>
      </w:r>
      <w:r>
        <w:rPr>
          <w:rFonts w:ascii="Arial" w:cs="Arial" w:eastAsia="Arial" w:hAnsi="Arial"/>
          <w:sz w:val="17"/>
          <w:szCs w:val="17"/>
          <w:b w:val="1"/>
          <w:bCs w:val="1"/>
          <w:color w:val="auto"/>
        </w:rPr>
        <w:t>Investor</w:t>
      </w:r>
      <w:r>
        <w:rPr>
          <w:rFonts w:ascii="Arial" w:cs="Arial" w:eastAsia="Arial" w:hAnsi="Arial"/>
          <w:sz w:val="17"/>
          <w:szCs w:val="17"/>
          <w:color w:val="auto"/>
        </w:rPr>
        <w:t>” and,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 “</w:t>
      </w:r>
      <w:r>
        <w:rPr>
          <w:rFonts w:ascii="Arial" w:cs="Arial" w:eastAsia="Arial" w:hAnsi="Arial"/>
          <w:sz w:val="17"/>
          <w:szCs w:val="17"/>
          <w:b w:val="1"/>
          <w:bCs w:val="1"/>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w:t>
      </w:r>
    </w:p>
    <w:p>
      <w:pPr>
        <w:spacing w:after="0" w:line="176" w:lineRule="exact"/>
        <w:rPr>
          <w:sz w:val="20"/>
          <w:szCs w:val="20"/>
          <w:color w:val="auto"/>
        </w:rPr>
      </w:pPr>
    </w:p>
    <w:p>
      <w:pPr>
        <w:ind w:left="4480"/>
        <w:spacing w:after="0"/>
        <w:tabs>
          <w:tab w:leader="none" w:pos="58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EXERCISE.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exercise this Warrant, in whole or in part, by delivering to the Company the original of this Warrant together with a duly executed Notice of Exercise in substantially the form attached hereto as Appendix 1 and a check, wire transfer of same-day funds (to an account designated by the Company), or other form of payment acceptable to the Company for the aggregate Warrant Price for the Shares being purchased.</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a nationally recognized securities exchange, inter-dealer quotation system or over-the-counter market (a “</w:t>
      </w:r>
      <w:r>
        <w:rPr>
          <w:rFonts w:ascii="Arial" w:cs="Arial" w:eastAsia="Arial" w:hAnsi="Arial"/>
          <w:sz w:val="17"/>
          <w:szCs w:val="17"/>
          <w:b w:val="1"/>
          <w:bCs w:val="1"/>
          <w:color w:val="auto"/>
        </w:rPr>
        <w:t>Trading Market</w:t>
      </w:r>
      <w:r>
        <w:rPr>
          <w:rFonts w:ascii="Arial" w:cs="Arial" w:eastAsia="Arial" w:hAnsi="Arial"/>
          <w:sz w:val="17"/>
          <w:szCs w:val="17"/>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9" w:name="page160"/>
    <w:bookmarkEnd w:id="159"/>
    <w:p>
      <w:pPr>
        <w:ind w:left="1300"/>
        <w:spacing w:after="0"/>
        <w:tabs>
          <w:tab w:leader="none" w:pos="20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jc w:val="both"/>
        <w:ind w:firstLine="1304"/>
        <w:spacing w:after="0" w:line="254" w:lineRule="auto"/>
        <w:tabs>
          <w:tab w:leader="none" w:pos="199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200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9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20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6"/>
          <w:szCs w:val="16"/>
          <w:color w:val="auto"/>
        </w:rPr>
      </w:pPr>
    </w:p>
    <w:p>
      <w:pPr>
        <w:jc w:val="both"/>
        <w:ind w:firstLine="1304"/>
        <w:spacing w:after="0" w:line="272" w:lineRule="auto"/>
        <w:tabs>
          <w:tab w:leader="none" w:pos="21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and is then current in its filing of all required reports and other information under the Act and the Exchange Act; (ii) the class and series of shares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ind w:left="2600"/>
        <w:spacing w:after="0"/>
        <w:tabs>
          <w:tab w:leader="none" w:pos="39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both"/>
        <w:ind w:firstLine="129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1.2 above) of a full Share, less (ii) the then-effective Warrant Price.</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left="2520"/>
        <w:spacing w:after="0"/>
        <w:tabs>
          <w:tab w:leader="none" w:pos="39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REPRESENTATIONS AND COVENANTS OF THE COMPANY.</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that 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firstLine="1304"/>
        <w:spacing w:after="0" w:line="277" w:lineRule="auto"/>
        <w:tabs>
          <w:tab w:leader="none" w:pos="1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firstLine="1304"/>
        <w:spacing w:after="0" w:line="277" w:lineRule="auto"/>
        <w:tabs>
          <w:tab w:leader="none" w:pos="20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080" w:hanging="776"/>
        <w:spacing w:after="0"/>
        <w:tabs>
          <w:tab w:leader="none" w:pos="2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 or</w:t>
      </w:r>
    </w:p>
    <w:p>
      <w:pPr>
        <w:spacing w:after="0" w:line="210" w:lineRule="exact"/>
        <w:rPr>
          <w:rFonts w:ascii="Arial" w:cs="Arial" w:eastAsia="Arial" w:hAnsi="Arial"/>
          <w:sz w:val="16"/>
          <w:szCs w:val="16"/>
          <w:color w:val="auto"/>
        </w:rPr>
      </w:pPr>
    </w:p>
    <w:p>
      <w:pPr>
        <w:ind w:left="2000" w:hanging="696"/>
        <w:spacing w:after="0"/>
        <w:tabs>
          <w:tab w:leader="none" w:pos="2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952"/>
        <w:spacing w:after="0" w:line="263" w:lineRule="auto"/>
        <w:tabs>
          <w:tab w:leader="none" w:pos="26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5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4" w:lineRule="exact"/>
        <w:rPr>
          <w:sz w:val="20"/>
          <w:szCs w:val="20"/>
          <w:color w:val="auto"/>
        </w:rPr>
      </w:pPr>
    </w:p>
    <w:p>
      <w:pPr>
        <w:ind w:left="2740"/>
        <w:spacing w:after="0"/>
        <w:tabs>
          <w:tab w:leader="none" w:pos="41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left="1300"/>
        <w:spacing w:after="0"/>
        <w:tabs>
          <w:tab w:leader="none" w:pos="20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5" w:lineRule="exact"/>
        <w:rPr>
          <w:sz w:val="20"/>
          <w:szCs w:val="20"/>
          <w:color w:val="auto"/>
        </w:rPr>
      </w:pPr>
    </w:p>
    <w:p>
      <w:pPr>
        <w:ind w:left="4160"/>
        <w:spacing w:after="0"/>
        <w:tabs>
          <w:tab w:leader="none" w:pos="55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1.5 above, this Warrant is exercisable in whole or in part at any time and from time to time on or before 6:00 PM, Eastern time, on the Expiration Date and shall be void thereafter.</w:t>
      </w:r>
    </w:p>
    <w:p>
      <w:pPr>
        <w:spacing w:after="0" w:line="170"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the securities issued upon conversion of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if any) shall be imprinted with a legend in substantially the following form:</w:t>
      </w:r>
    </w:p>
    <w:p>
      <w:pPr>
        <w:spacing w:after="0" w:line="211"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INVESTOR DATED JUNE 28, 2019,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Investor of the executed Warrant, Investor may transfer all or part of this Warrant to one or more of Investor’s affiliates (each, an “</w:t>
      </w:r>
      <w:r>
        <w:rPr>
          <w:rFonts w:ascii="Arial" w:cs="Arial" w:eastAsia="Arial" w:hAnsi="Arial"/>
          <w:sz w:val="17"/>
          <w:szCs w:val="17"/>
          <w:b w:val="1"/>
          <w:bCs w:val="1"/>
          <w:color w:val="auto"/>
        </w:rPr>
        <w:t>Investor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Investor, any such Investor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Investor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17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left="1960"/>
        <w:spacing w:after="0"/>
        <w:rPr>
          <w:sz w:val="20"/>
          <w:szCs w:val="20"/>
          <w:color w:val="auto"/>
        </w:rPr>
      </w:pPr>
      <w:r>
        <w:rPr>
          <w:rFonts w:ascii="Arial" w:cs="Arial" w:eastAsia="Arial" w:hAnsi="Arial"/>
          <w:sz w:val="18"/>
          <w:szCs w:val="18"/>
          <w:color w:val="auto"/>
        </w:rPr>
        <w:t>John Schutte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MainPointe Pharmaceuticals,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E. Main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Louisville, Kentucky 40202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______________</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616 N. North Court,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Palatine, Illinois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A. Clemens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(847) 705-5399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pclemens@acurapharm.com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Sills Cummis &amp; Gross P.C.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 Jason Teele,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(973) 643-6500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steele@sillscummis.com</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which banks in the State of New York or Commonwealth of Virginia are 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SCHUTTE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w:t>
      </w:r>
    </w:p>
    <w:p>
      <w:pPr>
        <w:spacing w:after="0" w:line="225" w:lineRule="exact"/>
        <w:rPr>
          <w:sz w:val="20"/>
          <w:szCs w:val="20"/>
          <w:color w:val="auto"/>
        </w:rPr>
      </w:pPr>
    </w:p>
    <w:p>
      <w:pPr>
        <w:jc w:val="both"/>
        <w:ind w:left="-20" w:right="20" w:firstLine="656"/>
        <w:spacing w:after="0" w:line="263" w:lineRule="auto"/>
        <w:tabs>
          <w:tab w:leader="none" w:pos="19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purchase ___________ shares of the Common Stock of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4" w:lineRule="exact"/>
        <w:rPr>
          <w:sz w:val="20"/>
          <w:szCs w:val="20"/>
          <w:color w:val="auto"/>
        </w:rPr>
      </w:pPr>
    </w:p>
    <w:p>
      <w:pPr>
        <w:ind w:left="1280" w:hanging="644"/>
        <w:spacing w:after="0"/>
        <w:tabs>
          <w:tab w:leader="none" w:pos="1280"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check in the amount of $________ payable to order of the Company enclosed herewith</w:t>
      </w:r>
    </w:p>
    <w:p>
      <w:pPr>
        <w:spacing w:after="0" w:line="225" w:lineRule="exact"/>
        <w:rPr>
          <w:rFonts w:ascii="MS PGothic" w:cs="MS PGothic" w:eastAsia="MS PGothic" w:hAnsi="MS PGothic"/>
          <w:sz w:val="18"/>
          <w:szCs w:val="18"/>
          <w:color w:val="auto"/>
        </w:rPr>
      </w:pPr>
    </w:p>
    <w:p>
      <w:pPr>
        <w:ind w:left="1280" w:hanging="644"/>
        <w:spacing w:after="0"/>
        <w:tabs>
          <w:tab w:leader="none" w:pos="1280"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1280" w:hanging="644"/>
        <w:spacing w:after="0"/>
        <w:tabs>
          <w:tab w:leader="none" w:pos="1280"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225" w:lineRule="exact"/>
        <w:rPr>
          <w:sz w:val="20"/>
          <w:szCs w:val="20"/>
          <w:color w:val="auto"/>
        </w:rPr>
      </w:pPr>
    </w:p>
    <w:p>
      <w:pPr>
        <w:ind w:left="640" w:right="3340" w:hanging="4"/>
        <w:spacing w:after="0" w:line="794" w:lineRule="auto"/>
        <w:tabs>
          <w:tab w:leader="none" w:pos="1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-28575</wp:posOffset>
            </wp:positionV>
            <wp:extent cx="30861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-448310</wp:posOffset>
            </wp:positionV>
            <wp:extent cx="30861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-130175</wp:posOffset>
            </wp:positionV>
            <wp:extent cx="30861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5" w:lineRule="exact"/>
        <w:rPr>
          <w:sz w:val="20"/>
          <w:szCs w:val="20"/>
          <w:color w:val="auto"/>
        </w:rPr>
      </w:pPr>
    </w:p>
    <w:p>
      <w:pPr>
        <w:ind w:left="-20" w:firstLine="656"/>
        <w:spacing w:after="0" w:line="277" w:lineRule="auto"/>
        <w:tabs>
          <w:tab w:leader="none" w:pos="12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288925</wp:posOffset>
            </wp:positionV>
            <wp:extent cx="35572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32061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32061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color w:val="auto"/>
        </w:rPr>
        <w:t>Appendix 1</w:t>
      </w:r>
    </w:p>
    <w:p>
      <w:pPr>
        <w:spacing w:after="0" w:line="2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Holder hereby sells, assigns and transfers unto</w:t>
      </w:r>
    </w:p>
    <w:p>
      <w:pPr>
        <w:spacing w:after="0" w:line="22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ABUSE DETERRENT PHARMA, LLC</w:t>
            </w:r>
          </w:p>
        </w:tc>
      </w:tr>
      <w:tr>
        <w:trPr>
          <w:trHeight w:val="411"/>
        </w:trPr>
        <w:tc>
          <w:tcPr>
            <w:tcW w:w="1020" w:type="dxa"/>
            <w:vAlign w:val="bottom"/>
          </w:tcPr>
          <w:p>
            <w:pPr>
              <w:spacing w:after="0"/>
              <w:rPr>
                <w:sz w:val="20"/>
                <w:szCs w:val="20"/>
                <w:color w:val="auto"/>
              </w:rPr>
            </w:pPr>
            <w:r>
              <w:rPr>
                <w:rFonts w:ascii="Arial" w:cs="Arial" w:eastAsia="Arial" w:hAnsi="Arial"/>
                <w:sz w:val="18"/>
                <w:szCs w:val="18"/>
                <w:color w:val="auto"/>
              </w:rPr>
              <w:t>Address:</w:t>
            </w:r>
          </w:p>
        </w:tc>
        <w:tc>
          <w:tcPr>
            <w:tcW w:w="4020" w:type="dxa"/>
            <w:vAlign w:val="bottom"/>
          </w:tcPr>
          <w:p>
            <w:pPr>
              <w:spacing w:after="0"/>
              <w:rPr>
                <w:sz w:val="20"/>
                <w:szCs w:val="20"/>
                <w:color w:val="auto"/>
              </w:rPr>
            </w:pPr>
            <w:r>
              <w:rPr>
                <w:rFonts w:ascii="Arial" w:cs="Arial" w:eastAsia="Arial" w:hAnsi="Arial"/>
                <w:sz w:val="18"/>
                <w:szCs w:val="18"/>
                <w:color w:val="auto"/>
              </w:rPr>
              <w:t>333 East Main Street, Suite 200,</w:t>
            </w:r>
          </w:p>
        </w:tc>
      </w:tr>
      <w:tr>
        <w:trPr>
          <w:trHeight w:val="230"/>
        </w:trPr>
        <w:tc>
          <w:tcPr>
            <w:tcW w:w="102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Louisville, Kentucky 40202</w:t>
            </w:r>
          </w:p>
        </w:tc>
      </w:tr>
      <w:tr>
        <w:trPr>
          <w:trHeight w:val="425"/>
        </w:trPr>
        <w:tc>
          <w:tcPr>
            <w:tcW w:w="1020" w:type="dxa"/>
            <w:vAlign w:val="bottom"/>
          </w:tcPr>
          <w:p>
            <w:pPr>
              <w:spacing w:after="0"/>
              <w:rPr>
                <w:sz w:val="20"/>
                <w:szCs w:val="20"/>
                <w:color w:val="auto"/>
              </w:rPr>
            </w:pPr>
            <w:r>
              <w:rPr>
                <w:rFonts w:ascii="Arial" w:cs="Arial" w:eastAsia="Arial" w:hAnsi="Arial"/>
                <w:sz w:val="18"/>
                <w:szCs w:val="18"/>
                <w:color w:val="auto"/>
              </w:rPr>
              <w:t>Tax ID:</w:t>
            </w:r>
          </w:p>
        </w:tc>
        <w:tc>
          <w:tcPr>
            <w:tcW w:w="402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that certain Warrant to Purchase Stock issued by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on June 28, 2019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HOLDER</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its execution below, and for the benefit of the Company, ABUSE DETERRENT PHARMA, LLC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ABUSE DETERRENT PHARMA,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Promissory Note, Warrant and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value received, John Schutte (“</w:t>
      </w:r>
      <w:r>
        <w:rPr>
          <w:rFonts w:ascii="Arial" w:cs="Arial" w:eastAsia="Arial" w:hAnsi="Arial"/>
          <w:sz w:val="18"/>
          <w:szCs w:val="18"/>
          <w:b w:val="1"/>
          <w:bCs w:val="1"/>
          <w:color w:val="auto"/>
        </w:rPr>
        <w:t>Assignor</w:t>
      </w:r>
      <w:r>
        <w:rPr>
          <w:rFonts w:ascii="Arial" w:cs="Arial" w:eastAsia="Arial" w:hAnsi="Arial"/>
          <w:sz w:val="18"/>
          <w:szCs w:val="18"/>
          <w:color w:val="auto"/>
        </w:rPr>
        <w:t>”) hereby assigns and transfers to Abuse Deterrent Pharma, LLC, a Kentucky limited liability company (“</w:t>
      </w:r>
      <w:r>
        <w:rPr>
          <w:rFonts w:ascii="Arial" w:cs="Arial" w:eastAsia="Arial" w:hAnsi="Arial"/>
          <w:sz w:val="18"/>
          <w:szCs w:val="18"/>
          <w:b w:val="1"/>
          <w:bCs w:val="1"/>
          <w:color w:val="auto"/>
        </w:rPr>
        <w:t>Assignee</w:t>
      </w:r>
      <w:r>
        <w:rPr>
          <w:rFonts w:ascii="Arial" w:cs="Arial" w:eastAsia="Arial" w:hAnsi="Arial"/>
          <w:sz w:val="18"/>
          <w:szCs w:val="18"/>
          <w:color w:val="auto"/>
        </w:rPr>
        <w:t>”), all of the Assignor’s right, title and interest in and to (i) that certain Amended, Consolidated and Restated Convertible Secured Promissory Note (the “</w:t>
      </w:r>
      <w:r>
        <w:rPr>
          <w:rFonts w:ascii="Arial" w:cs="Arial" w:eastAsia="Arial" w:hAnsi="Arial"/>
          <w:sz w:val="18"/>
          <w:szCs w:val="18"/>
          <w:b w:val="1"/>
          <w:bCs w:val="1"/>
          <w:color w:val="auto"/>
        </w:rPr>
        <w:t>Note</w:t>
      </w:r>
      <w:r>
        <w:rPr>
          <w:rFonts w:ascii="Arial" w:cs="Arial" w:eastAsia="Arial" w:hAnsi="Arial"/>
          <w:sz w:val="18"/>
          <w:szCs w:val="18"/>
          <w:color w:val="auto"/>
        </w:rPr>
        <w:t>”) dated June 28, 2019 made and delivered by Acura Pharmaceuticals, Inc., a New York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to Assignor in the aggregate principal sum of </w:t>
      </w:r>
      <w:r>
        <w:rPr>
          <w:rFonts w:ascii="Arial" w:cs="Arial" w:eastAsia="Arial" w:hAnsi="Arial"/>
          <w:sz w:val="18"/>
          <w:szCs w:val="18"/>
          <w:b w:val="1"/>
          <w:bCs w:val="1"/>
          <w:color w:val="auto"/>
        </w:rPr>
        <w:t>SIX MILLION DOLLARS ($6,000,000)</w:t>
      </w:r>
      <w:r>
        <w:rPr>
          <w:rFonts w:ascii="Arial" w:cs="Arial" w:eastAsia="Arial" w:hAnsi="Arial"/>
          <w:sz w:val="18"/>
          <w:szCs w:val="18"/>
          <w:color w:val="auto"/>
        </w:rPr>
        <w:t>, (ii) that certain Warrant to purchase common stock dated June 28, 2019 made and delivered by the Company to Assignor, and (iii) that certain Security Agreement dated June 28, 2019 made by the Company in favor of Assignor, each without recourse or any warranty.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SCHUTTE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SCHUTTE</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BY ITS EXECUTION BELOW, AND FOR THE BENEFIT OF THE COMPANY, ASSIGNEE HEREBY MAKES EACH OF THE REPRESENTATIONS AND WARRANTIES SET FORTH IN SECTION 8 OF THE NOTE AND AGREES TO ALL OTHER PROVISIONS OF THE NOTE AND SECURITY AGREEMENT AS OF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ABUSE DETERRENT PHARMA,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John Schutte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John Schutte, Manager</w:t>
      </w:r>
    </w:p>
    <w:p>
      <w:pPr>
        <w:spacing w:after="0" w:line="200" w:lineRule="exact"/>
        <w:rPr>
          <w:sz w:val="20"/>
          <w:szCs w:val="20"/>
          <w:color w:val="auto"/>
        </w:rPr>
      </w:pPr>
    </w:p>
    <w:p>
      <w:pPr>
        <w:spacing w:after="0" w:line="22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BY ITS EXECUTION BELOW, ACURA PHARMACEUTICALS, INC. HEREBY ACKNOWLEDGES, AGREES AND CONSENTS TO THIS ASSIGNMENT: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Peter A. Clemens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Peter A. Clemens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333-210039, 333-146416 and 333-187075) and Form S-8 (Nos. 333-221645, 333-213017, 333-195612, 333-151653, 333-151620, 333-133172, 333-123615, 333-63288, and 33-98396) of Acura Pharmaceuticals, Inc. of our report dated March 30, 2020, relating to the consolidated financial statements which appear in this Form 10-K. Our report contains an explanatory paragraph regarding the Acura Pharmaceuticals, Inc.’s ability to continue as a going concern.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30,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2019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March 30, 2020</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By: /s/Robert B. Jones</w:t>
            </w:r>
          </w:p>
        </w:tc>
      </w:tr>
      <w:tr>
        <w:trPr>
          <w:trHeight w:val="195"/>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2019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March 30, 2020</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By: /s/Peter A. Clemens</w:t>
            </w:r>
          </w:p>
        </w:tc>
      </w:tr>
      <w:tr>
        <w:trPr>
          <w:trHeight w:val="195"/>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bullet"/>
      <w:start w:val="1"/>
    </w:lvl>
  </w:abstractNum>
  <w:abstractNum w:abstractNumId="5">
    <w:nsid w:val="235BA861"/>
    <w:multiLevelType w:val="hybridMultilevel"/>
    <w:lvl w:ilvl="0">
      <w:lvlJc w:val="left"/>
      <w:lvlText w:val="1"/>
      <w:numFmt w:val="bullet"/>
      <w:start w:val="1"/>
    </w:lvl>
  </w:abstractNum>
  <w:abstractNum w:abstractNumId="6">
    <w:nsid w:val="47398C89"/>
    <w:multiLevelType w:val="hybridMultilevel"/>
    <w:lvl w:ilvl="0">
      <w:lvlJc w:val="left"/>
      <w:lvlText w:val="1"/>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1)"/>
      <w:numFmt w:val="decimal"/>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1)"/>
      <w:numFmt w:val="decimal"/>
      <w:start w:val="1"/>
    </w:lvl>
  </w:abstractNum>
  <w:abstractNum w:abstractNumId="23">
    <w:nsid w:val="1F48EAA1"/>
    <w:multiLevelType w:val="hybridMultilevel"/>
    <w:lvl w:ilvl="0">
      <w:lvlJc w:val="left"/>
      <w:lvlText w:val="(%1)"/>
      <w:numFmt w:val="decimal"/>
      <w:start w:val="1"/>
    </w:lvl>
  </w:abstractNum>
  <w:abstractNum w:abstractNumId="24">
    <w:nsid w:val="1381823A"/>
    <w:multiLevelType w:val="hybridMultilevel"/>
    <w:lvl w:ilvl="0">
      <w:lvlJc w:val="left"/>
      <w:lvlText w:val="(%1)"/>
      <w:numFmt w:val="decimal"/>
      <w:start w:val="2"/>
    </w:lvl>
  </w:abstractNum>
  <w:abstractNum w:abstractNumId="25">
    <w:nsid w:val="5DB70AE5"/>
    <w:multiLevelType w:val="hybridMultilevel"/>
    <w:lvl w:ilvl="0">
      <w:lvlJc w:val="left"/>
      <w:lvlText w:val="·"/>
      <w:numFmt w:val="bullet"/>
      <w:start w:val="1"/>
    </w:lvl>
    <w:lvl w:ilvl="1">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lvl w:ilvl="1">
      <w:lvlJc w:val="left"/>
      <w:lvlText w:val="(%2)"/>
      <w:numFmt w:val="decimal"/>
      <w:start w:val="1"/>
    </w:lvl>
  </w:abstractNum>
  <w:abstractNum w:abstractNumId="28">
    <w:nsid w:val="15014ACB"/>
    <w:multiLevelType w:val="hybridMultilevel"/>
    <w:lvl w:ilvl="0">
      <w:lvlJc w:val="left"/>
      <w:lvlText w:val="(%1)"/>
      <w:numFmt w:val="decimal"/>
      <w:start w:val="6"/>
    </w:lvl>
  </w:abstractNum>
  <w:abstractNum w:abstractNumId="29">
    <w:nsid w:val="5F5E7FD0"/>
    <w:multiLevelType w:val="hybridMultilevel"/>
    <w:lvl w:ilvl="0">
      <w:lvlJc w:val="left"/>
      <w:lvlText w:val="(%1)"/>
      <w:numFmt w:val="lowerLetter"/>
      <w:start w:val="1"/>
    </w:lvl>
    <w:lvl w:ilvl="1">
      <w:lvlJc w:val="left"/>
      <w:lvlText w:val="%2."/>
      <w:numFmt w:val="decimal"/>
      <w:start w:val="1"/>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45"/>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1)"/>
      <w:numFmt w:val="lowerLetter"/>
      <w:start w:val="1"/>
    </w:lvl>
    <w:lvl w:ilvl="1">
      <w:lvlJc w:val="left"/>
      <w:lvlText w:val="(%2)"/>
      <w:numFmt w:val="lowerRoman"/>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lowerLetter"/>
      <w:start w:val="2"/>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1)"/>
      <w:numFmt w:val="lowerLetter"/>
      <w:start w:val="3"/>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1)"/>
      <w:numFmt w:val="decimal"/>
      <w:start w:val="45"/>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1)"/>
      <w:numFmt w:val="lowerLetter"/>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1)"/>
      <w:numFmt w:val="lowerLetter"/>
      <w:start w:val="4"/>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lowerLetter"/>
      <w:start w:val="3"/>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1)"/>
      <w:numFmt w:val="lowerLetter"/>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lowerLetter"/>
      <w:start w:val="2"/>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1)"/>
      <w:numFmt w:val="lowerLetter"/>
      <w:start w:val="2"/>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1)"/>
      <w:numFmt w:val="lowerRoman"/>
      <w:start w:val="1"/>
    </w:lvl>
    <w:lvl w:ilvl="1">
      <w:lvlJc w:val="left"/>
      <w:lvlText w:val="*****"/>
      <w:numFmt w:val="bullet"/>
      <w:start w:val="1"/>
    </w:lvl>
  </w:abstractNum>
  <w:abstractNum w:abstractNumId="79">
    <w:nsid w:val="7F01579B"/>
    <w:multiLevelType w:val="hybridMultilevel"/>
    <w:lvl w:ilvl="0">
      <w:lvlJc w:val="left"/>
      <w:lvlText w:val="(%1)"/>
      <w:numFmt w:val="lowerRoman"/>
      <w:start w:val="2"/>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1)"/>
      <w:numFmt w:val="decimal"/>
      <w:start w:val="30"/>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lowerLetter"/>
      <w:start w:val="1"/>
    </w:lvl>
    <w:lvl w:ilvl="1">
      <w:lvlJc w:val="left"/>
      <w:lvlText w:val="(%2)"/>
      <w:numFmt w:val="lowerLetter"/>
      <w:start w:val="2"/>
    </w:lvl>
  </w:abstractNum>
  <w:abstractNum w:abstractNumId="86">
    <w:nsid w:val="6AA78F7F"/>
    <w:multiLevelType w:val="hybridMultilevel"/>
    <w:lvl w:ilvl="0">
      <w:lvlJc w:val="left"/>
      <w:lvlText w:val="(%1)"/>
      <w:numFmt w:val="lowerLetter"/>
      <w:start w:val="35"/>
    </w:lvl>
    <w:lvl w:ilvl="1">
      <w:lvlJc w:val="left"/>
      <w:lvlText w:val="(%2)"/>
      <w:numFmt w:val="lowerLetter"/>
      <w:start w:val="3"/>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2"/>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decimal"/>
      <w:start w:val="2"/>
    </w:lvl>
  </w:abstractNum>
  <w:abstractNum w:abstractNumId="107">
    <w:nsid w:val="1D9F6E5F"/>
    <w:multiLevelType w:val="hybridMultilevel"/>
    <w:lvl w:ilvl="0">
      <w:lvlJc w:val="left"/>
      <w:lvlText w:val="%1."/>
      <w:numFmt w:val="decimal"/>
      <w:start w:val="3"/>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98" Type="http://schemas.openxmlformats.org/officeDocument/2006/relationships/hyperlink" Target="http://www.sec.gov/Archives/edgar/data/786947/000114420415040397/v414486_ex1-1.htm" TargetMode="External"/><Relationship Id="rId99" Type="http://schemas.openxmlformats.org/officeDocument/2006/relationships/hyperlink" Target="http://www.sec.gov/Archives/edgar/data/786947/000114420409034341/v153020_ex3-1.htm" TargetMode="External"/><Relationship Id="rId100" Type="http://schemas.openxmlformats.org/officeDocument/2006/relationships/hyperlink" Target="http://www.sec.gov/Archives/edgar/data/786947/000114420407065762/v096320_ex3-1.htm" TargetMode="External"/><Relationship Id="rId101" Type="http://schemas.openxmlformats.org/officeDocument/2006/relationships/hyperlink" Target="http://www.sec.gov/Archives/edgar/data/786947/000114420415052383/v419250_ex3-1.htm" TargetMode="External"/><Relationship Id="rId102" Type="http://schemas.openxmlformats.org/officeDocument/2006/relationships/hyperlink" Target="http://www.sec.gov/Archives/edgar/data/786947/000114420418028166/tv493947_ex3-2.htm" TargetMode="External"/><Relationship Id="rId103" Type="http://schemas.openxmlformats.org/officeDocument/2006/relationships/hyperlink" Target="http://www.sec.gov/Archives/edgar/data/786947/000114420416086913/v433718_ex4-1.htm" TargetMode="External"/><Relationship Id="rId104" Type="http://schemas.openxmlformats.org/officeDocument/2006/relationships/hyperlink" Target="http://www.sec.gov/Archives/edgar/data/786947/000114420415013292/v400005_ex10-9.htm" TargetMode="External"/><Relationship Id="rId105" Type="http://schemas.openxmlformats.org/officeDocument/2006/relationships/hyperlink" Target="http://www.sec.gov/Archives/edgar/data/786947/000114420415013292/v400005_ex10-10.htm" TargetMode="External"/><Relationship Id="rId106" Type="http://schemas.openxmlformats.org/officeDocument/2006/relationships/hyperlink" Target="http://www.sec.gov/Archives/edgar/data/786947/000114420415013292/v400005_ex10-11.htm" TargetMode="External"/><Relationship Id="rId107" Type="http://schemas.openxmlformats.org/officeDocument/2006/relationships/hyperlink" Target="http://www.sec.gov/Archives/edgar/data/786947/000114420417038822/v471679_ex4-1.htm" TargetMode="External"/><Relationship Id="rId108" Type="http://schemas.openxmlformats.org/officeDocument/2006/relationships/hyperlink" Target="http://www.sec.gov/Archives/edgar/data/786947/000114420411042215/v229537_ex10-1.htm" TargetMode="External"/><Relationship Id="rId109" Type="http://schemas.openxmlformats.org/officeDocument/2006/relationships/hyperlink" Target="http://www.sec.gov/Archives/edgar/data/786947/000114420407045483/v085726_ex10-1.htm" TargetMode="External"/><Relationship Id="rId110" Type="http://schemas.openxmlformats.org/officeDocument/2006/relationships/hyperlink" Target="http://www.sec.gov/Archives/edgar/data/786947/000114420417038822/v471679_ex10-1.htm" TargetMode="External"/><Relationship Id="rId111" Type="http://schemas.openxmlformats.org/officeDocument/2006/relationships/hyperlink" Target="http://www.sec.gov/Archives/edgar/data/786947/000114420414012919/v367838_ex10-6.htm" TargetMode="External"/><Relationship Id="rId112" Type="http://schemas.openxmlformats.org/officeDocument/2006/relationships/hyperlink" Target="http://www.sec.gov/Archives/edgar/data/786947/000114420415013292/v400005_ex10-8.htm" TargetMode="External"/><Relationship Id="rId113" Type="http://schemas.openxmlformats.org/officeDocument/2006/relationships/hyperlink" Target="http://www.sec.gov/Archives/edgar/data/786947/000114420417005960/v457956_ex10-6.htm" TargetMode="External"/><Relationship Id="rId114" Type="http://schemas.openxmlformats.org/officeDocument/2006/relationships/hyperlink" Target="http://www.sec.gov/Archives/edgar/data/786947/000114420414012919/v367838_ex10-8.htm" TargetMode="External"/><Relationship Id="rId115" Type="http://schemas.openxmlformats.org/officeDocument/2006/relationships/hyperlink" Target="http://www.sec.gov/Archives/edgar/data/786947/000114420415013292/v400005_ex10-13.htm" TargetMode="External"/><Relationship Id="rId116" Type="http://schemas.openxmlformats.org/officeDocument/2006/relationships/hyperlink" Target="http://www.sec.gov/Archives/edgar/data/786947/000114420416082837/v431764_ex10-1.htm" TargetMode="External"/><Relationship Id="rId117" Type="http://schemas.openxmlformats.org/officeDocument/2006/relationships/hyperlink" Target="http://www.sec.gov/Archives/edgar/data/786947/000095012304001491/y93872exv10w5.txt" TargetMode="External"/><Relationship Id="rId118" Type="http://schemas.openxmlformats.org/officeDocument/2006/relationships/hyperlink" Target="http://www.sec.gov/Archives/edgar/data/786947/000114420405034837/v028675_ex10-1.htm" TargetMode="External"/><Relationship Id="rId119" Type="http://schemas.openxmlformats.org/officeDocument/2006/relationships/hyperlink" Target="http://www.sec.gov/Archives/edgar/data/786947/000114420408004376/v100684_ex10-1.htm" TargetMode="External"/><Relationship Id="rId120" Type="http://schemas.openxmlformats.org/officeDocument/2006/relationships/hyperlink" Target="http://www.sec.gov/Archives/edgar/data/786947/000114420412054488/v324997_ex10-1.htm" TargetMode="External"/><Relationship Id="rId121" Type="http://schemas.openxmlformats.org/officeDocument/2006/relationships/hyperlink" Target="http://www.sec.gov/Archives/edgar/data/786947/000114420417039478/v471981_ex10-1.htm" TargetMode="External"/><Relationship Id="rId122" Type="http://schemas.openxmlformats.org/officeDocument/2006/relationships/hyperlink" Target="http://www.sec.gov/Archives/edgar/data/786947/000114420409025736/v148764_def14a.htm" TargetMode="External"/><Relationship Id="rId123" Type="http://schemas.openxmlformats.org/officeDocument/2006/relationships/hyperlink" Target="http://www.sec.gov/Archives/edgar/data/786947/000114420408020214/v109215_def14a.htm" TargetMode="External"/><Relationship Id="rId124" Type="http://schemas.openxmlformats.org/officeDocument/2006/relationships/hyperlink" Target="http://www.sec.gov/Archives/edgar/data/786947/000114420414015111/v370843_def14a.htm" TargetMode="External"/><Relationship Id="rId125" Type="http://schemas.openxmlformats.org/officeDocument/2006/relationships/hyperlink" Target="http://www.sec.gov/Archives/edgar/data/786947/000114420417058998/tv479450_ex10-1.htm" TargetMode="External"/><Relationship Id="rId126" Type="http://schemas.openxmlformats.org/officeDocument/2006/relationships/hyperlink" Target="http://www.sec.gov/Archives/edgar/data/786947/000114420416097159/v438308_ex10-1.htm" TargetMode="External"/><Relationship Id="rId127" Type="http://schemas.openxmlformats.org/officeDocument/2006/relationships/hyperlink" Target="http://www.sec.gov/Archives/edgar/data/786947/0000950123-98-003851.txt" TargetMode="External"/><Relationship Id="rId128" Type="http://schemas.openxmlformats.org/officeDocument/2006/relationships/hyperlink" Target="http://www.sec.gov/Archives/edgar/data/786947/000114420406007151/ex10-44.htm" TargetMode="External"/><Relationship Id="rId129" Type="http://schemas.openxmlformats.org/officeDocument/2006/relationships/hyperlink" Target="http://www.sec.gov/Archives/edgar/data/786947/000114420405002824/v011996_ex99-1.htm" TargetMode="External"/><Relationship Id="rId130" Type="http://schemas.openxmlformats.org/officeDocument/2006/relationships/hyperlink" Target="http://www.sec.gov/Archives/edgar/data/786947/000114420405040948/v031958_ex99-2.htm" TargetMode="External"/><Relationship Id="rId131" Type="http://schemas.openxmlformats.org/officeDocument/2006/relationships/hyperlink" Target="http://www.sec.gov/Archives/edgar/data/786947/000114420408013490/v105388_ex10-28.htm" TargetMode="External"/><Relationship Id="rId132" Type="http://schemas.openxmlformats.org/officeDocument/2006/relationships/hyperlink" Target="http://www.sec.gov/Archives/edgar/data/786947/000114420408039398/v119471_ex10-4.htm" TargetMode="External"/><Relationship Id="rId133" Type="http://schemas.openxmlformats.org/officeDocument/2006/relationships/hyperlink" Target="http://www.sec.gov/Archives/edgar/data/786947/000114420412068117/v330396_ex10-2.htm" TargetMode="External"/><Relationship Id="rId134" Type="http://schemas.openxmlformats.org/officeDocument/2006/relationships/hyperlink" Target="http://www.sec.gov/Archives/edgar/data/786947/000114420414012919/v367838_ex10-24.htm" TargetMode="External"/><Relationship Id="rId135" Type="http://schemas.openxmlformats.org/officeDocument/2006/relationships/hyperlink" Target="http://www.sec.gov/Archives/edgar/data/786947/000114420408016872/v107633_ex10-1.htm" TargetMode="External"/><Relationship Id="rId136" Type="http://schemas.openxmlformats.org/officeDocument/2006/relationships/hyperlink" Target="http://www.sec.gov/Archives/edgar/data/786947/000114420411042613/v227897_ex10-1.htm" TargetMode="External"/><Relationship Id="rId137" Type="http://schemas.openxmlformats.org/officeDocument/2006/relationships/hyperlink" Target="http://www.sec.gov/Archives/edgar/data/786947/000114420411042613/v227897_ex10-2.htm" TargetMode="External"/><Relationship Id="rId138" Type="http://schemas.openxmlformats.org/officeDocument/2006/relationships/hyperlink" Target="http://www.sec.gov/Archives/edgar/data/786947/000114420412068117/v330396_ex10-1.htm" TargetMode="External"/><Relationship Id="rId139" Type="http://schemas.openxmlformats.org/officeDocument/2006/relationships/hyperlink" Target="http://www.sec.gov/Archives/edgar/data/786947/000114420415040397/v414486_ex10-1.htm" TargetMode="External"/><Relationship Id="rId140" Type="http://schemas.openxmlformats.org/officeDocument/2006/relationships/hyperlink" Target="http://www.sec.gov/Archives/edgar/data/786947/000114420417026909/v464992_ex10-2.htm" TargetMode="External"/><Relationship Id="rId141" Type="http://schemas.openxmlformats.org/officeDocument/2006/relationships/hyperlink" Target="http://www.sec.gov/Archives/edgar/data/786947/000114420418033269/tv490022_ex10-34.htm" TargetMode="External"/><Relationship Id="rId142" Type="http://schemas.openxmlformats.org/officeDocument/2006/relationships/hyperlink" Target="http://www.sec.gov/Archives/edgar/data/786947/000114420418044691/tv500081_ex10-35.htm" TargetMode="External"/><Relationship Id="rId143" Type="http://schemas.openxmlformats.org/officeDocument/2006/relationships/hyperlink" Target="http://www.sec.gov/Archives/edgar/data/786947/000114420418044691/tv500081_ex10-36.htm" TargetMode="External"/><Relationship Id="rId144" Type="http://schemas.openxmlformats.org/officeDocument/2006/relationships/hyperlink" Target="http://www.sec.gov/Archives/edgar/data/786947/000114420418044691/tv500081_ex10-37.htm" TargetMode="External"/><Relationship Id="rId145" Type="http://schemas.openxmlformats.org/officeDocument/2006/relationships/hyperlink" Target="http://www.sec.gov/Archives/edgar/data/786947/000114420418044691/tv500081_ex10-38.htm" TargetMode="External"/><Relationship Id="rId146" Type="http://schemas.openxmlformats.org/officeDocument/2006/relationships/hyperlink" Target="http://www.sec.gov/Archives/edgar/data/786947/000114420418061732/tv506170_ex10-39.htm" TargetMode="External"/><Relationship Id="rId147" Type="http://schemas.openxmlformats.org/officeDocument/2006/relationships/hyperlink" Target="http://www.sec.gov/Archives/edgar/data/786947/000114420418061732/tv506170_ex10-40.htm" TargetMode="External"/><Relationship Id="rId148" Type="http://schemas.openxmlformats.org/officeDocument/2006/relationships/hyperlink" Target="http://www.sec.gov/Archives/edgar/data/786947/000114420419044723/tv528338_ex10-42.htm" TargetMode="External"/><Relationship Id="rId149" Type="http://schemas.openxmlformats.org/officeDocument/2006/relationships/hyperlink" Target="http://www.sec.gov/Archives/edgar/data/786947/000114420419044723/tv528338_ex10-43.htm" TargetMode="External"/><Relationship Id="rId150" Type="http://schemas.openxmlformats.org/officeDocument/2006/relationships/hyperlink" Target="http://www.sec.gov/Archives/edgar/data/786947/000114420419044723/tv528338_ex10-44.htm" TargetMode="External"/><Relationship Id="rId151" Type="http://schemas.openxmlformats.org/officeDocument/2006/relationships/hyperlink" Target="http://www.sec.gov/Archives/edgar/data/786947/000114420419044723/tv528338_ex10-45.htm" TargetMode="External"/><Relationship Id="rId152" Type="http://schemas.openxmlformats.org/officeDocument/2006/relationships/hyperlink" Target="http://www.sec.gov/Archives/edgar/data/786947/000114420419046746/tv529974_ex10-46.htm" TargetMode="External"/><Relationship Id="rId153" Type="http://schemas.openxmlformats.org/officeDocument/2006/relationships/hyperlink" Target="http://www.sec.gov/Archives/edgar/data/786947/000110465920013529/tm1928371d1_ex10-47.htm" TargetMode="External"/><Relationship Id="rId154" Type="http://schemas.openxmlformats.org/officeDocument/2006/relationships/hyperlink" Target="http://www.sec.gov/Archives/edgar/data/786947/000110465920013529/tm1928371d1_ex10-48.htm" TargetMode="External"/><Relationship Id="rId155" Type="http://schemas.openxmlformats.org/officeDocument/2006/relationships/hyperlink" Target="http://www.sec.gov/Archives/edgar/data/786947/000110465920026512/tm1919463d1_ex10-49.htm" TargetMode="External"/><Relationship Id="rId156" Type="http://schemas.openxmlformats.org/officeDocument/2006/relationships/hyperlink" Target="http://www.sec.gov/Archives/edgar/data/786947/000114420407066585/v096766_ex14-1.htm" TargetMode="External"/><Relationship Id="rId157" Type="http://schemas.openxmlformats.org/officeDocument/2006/relationships/hyperlink" Target="http://www.sec.gov/Archives/edgar/data/786947/000114420407012867/v06837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2020-03-31T05:19:27Z</dcterms:created>
  <dcterms:modified xsi:type="dcterms:W3CDTF">2020-03-31T05:19:27Z</dcterms:modified>
</cp:coreProperties>
</file>