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4"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10-Q</w:t>
      </w:r>
    </w:p>
    <w:p>
      <w:pPr>
        <w:spacing w:after="0" w:line="152" w:lineRule="exact"/>
        <w:rPr>
          <w:sz w:val="24"/>
          <w:szCs w:val="24"/>
          <w:color w:val="auto"/>
        </w:rPr>
      </w:pPr>
    </w:p>
    <w:p>
      <w:pPr>
        <w:ind w:left="8"/>
        <w:spacing w:after="0"/>
        <w:rPr>
          <w:sz w:val="20"/>
          <w:szCs w:val="20"/>
          <w:color w:val="auto"/>
        </w:rPr>
      </w:pPr>
      <w:r>
        <w:rPr>
          <w:rFonts w:ascii="Arial" w:cs="Arial" w:eastAsia="Arial" w:hAnsi="Arial"/>
          <w:sz w:val="12"/>
          <w:szCs w:val="12"/>
          <w:color w:val="auto"/>
        </w:rPr>
        <w:t>(Mark One)</w:t>
      </w:r>
    </w:p>
    <w:p>
      <w:pPr>
        <w:spacing w:after="0" w:line="15" w:lineRule="exact"/>
        <w:rPr>
          <w:sz w:val="24"/>
          <w:szCs w:val="24"/>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quarterly period ended March 31, 2020</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TRANSACTION REPORT PURSUANT TO SECTION 13 OR 15(D) OF THE SECURITIES EXCHANGE ACT OF 1934</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transition period from ___ to____</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Commission File Number 1-10113</w:t>
      </w:r>
    </w:p>
    <w:p>
      <w:pPr>
        <w:spacing w:after="0" w:line="148"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Acura Pharmaceuticals, Inc.</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i w:val="1"/>
          <w:iCs w:val="1"/>
          <w:color w:val="auto"/>
        </w:rPr>
        <w:t>(Exact Name of Registrant as Specified in its Charter)</w:t>
      </w:r>
    </w:p>
    <w:p>
      <w:pPr>
        <w:sectPr>
          <w:pgSz w:w="11900" w:h="16838" w:orient="portrait"/>
          <w:cols w:equalWidth="0" w:num="1">
            <w:col w:w="11308"/>
          </w:cols>
          <w:pgMar w:left="292" w:top="602" w:right="299" w:bottom="1440" w:gutter="0" w:footer="0" w:header="0"/>
        </w:sectPr>
      </w:pPr>
    </w:p>
    <w:p>
      <w:pPr>
        <w:spacing w:after="0" w:line="136" w:lineRule="exact"/>
        <w:rPr>
          <w:sz w:val="24"/>
          <w:szCs w:val="24"/>
          <w:color w:val="auto"/>
        </w:rPr>
      </w:pPr>
    </w:p>
    <w:p>
      <w:pPr>
        <w:jc w:val="center"/>
        <w:ind w:right="1432"/>
        <w:spacing w:after="0"/>
        <w:rPr>
          <w:sz w:val="20"/>
          <w:szCs w:val="20"/>
          <w:color w:val="auto"/>
        </w:rPr>
      </w:pPr>
      <w:r>
        <w:rPr>
          <w:rFonts w:ascii="Arial" w:cs="Arial" w:eastAsia="Arial" w:hAnsi="Arial"/>
          <w:sz w:val="12"/>
          <w:szCs w:val="12"/>
          <w:b w:val="1"/>
          <w:bCs w:val="1"/>
          <w:color w:val="auto"/>
        </w:rPr>
        <w:t>New York</w:t>
      </w:r>
    </w:p>
    <w:p>
      <w:pPr>
        <w:spacing w:after="0" w:line="19" w:lineRule="exact"/>
        <w:rPr>
          <w:sz w:val="24"/>
          <w:szCs w:val="24"/>
          <w:color w:val="auto"/>
        </w:rPr>
      </w:pPr>
    </w:p>
    <w:p>
      <w:pPr>
        <w:jc w:val="center"/>
        <w:ind w:right="1432"/>
        <w:spacing w:after="0"/>
        <w:rPr>
          <w:sz w:val="20"/>
          <w:szCs w:val="20"/>
          <w:color w:val="auto"/>
        </w:rPr>
      </w:pPr>
      <w:r>
        <w:rPr>
          <w:rFonts w:ascii="Arial" w:cs="Arial" w:eastAsia="Arial" w:hAnsi="Arial"/>
          <w:sz w:val="11"/>
          <w:szCs w:val="1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920"/>
        <w:spacing w:after="0"/>
        <w:rPr>
          <w:sz w:val="20"/>
          <w:szCs w:val="20"/>
          <w:color w:val="auto"/>
        </w:rPr>
      </w:pPr>
      <w:r>
        <w:rPr>
          <w:rFonts w:ascii="Arial" w:cs="Arial" w:eastAsia="Arial" w:hAnsi="Arial"/>
          <w:sz w:val="12"/>
          <w:szCs w:val="12"/>
          <w:b w:val="1"/>
          <w:bCs w:val="1"/>
          <w:color w:val="auto"/>
        </w:rPr>
        <w:t>11-0853640</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1"/>
          <w:szCs w:val="11"/>
          <w:i w:val="1"/>
          <w:iCs w:val="1"/>
          <w:color w:val="auto"/>
        </w:rPr>
        <w:t>(I.R.S. Employer Identification No.)</w:t>
      </w:r>
    </w:p>
    <w:p>
      <w:pPr>
        <w:spacing w:after="0" w:line="149" w:lineRule="exact"/>
        <w:rPr>
          <w:sz w:val="24"/>
          <w:szCs w:val="24"/>
          <w:color w:val="auto"/>
        </w:rPr>
      </w:pPr>
    </w:p>
    <w:p>
      <w:pPr>
        <w:sectPr>
          <w:pgSz w:w="11900" w:h="16838" w:orient="portrait"/>
          <w:cols w:equalWidth="0" w:num="2">
            <w:col w:w="6968" w:space="720"/>
            <w:col w:w="3620"/>
          </w:cols>
          <w:pgMar w:left="292" w:top="602" w:right="299" w:bottom="1440" w:gutter="0" w:footer="0" w:header="0"/>
          <w:type w:val="continuous"/>
        </w:sectPr>
      </w:pPr>
    </w:p>
    <w:p>
      <w:pPr>
        <w:jc w:val="center"/>
        <w:ind w:right="1992"/>
        <w:spacing w:after="0"/>
        <w:rPr>
          <w:sz w:val="20"/>
          <w:szCs w:val="20"/>
          <w:color w:val="auto"/>
        </w:rPr>
      </w:pPr>
      <w:r>
        <w:rPr>
          <w:rFonts w:ascii="Arial" w:cs="Arial" w:eastAsia="Arial" w:hAnsi="Arial"/>
          <w:sz w:val="11"/>
          <w:szCs w:val="11"/>
          <w:b w:val="1"/>
          <w:bCs w:val="1"/>
          <w:color w:val="auto"/>
        </w:rPr>
        <w:t>616 N. North Court, Suite 120, Palatine, Illinois</w:t>
      </w:r>
    </w:p>
    <w:p>
      <w:pPr>
        <w:spacing w:after="0" w:line="30" w:lineRule="exact"/>
        <w:rPr>
          <w:sz w:val="24"/>
          <w:szCs w:val="24"/>
          <w:color w:val="auto"/>
        </w:rPr>
      </w:pPr>
    </w:p>
    <w:p>
      <w:pPr>
        <w:jc w:val="center"/>
        <w:ind w:right="1992"/>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Arial" w:cs="Arial" w:eastAsia="Arial" w:hAnsi="Arial"/>
          <w:sz w:val="12"/>
          <w:szCs w:val="12"/>
          <w:b w:val="1"/>
          <w:bCs w:val="1"/>
          <w:color w:val="auto"/>
        </w:rPr>
        <w:t>60067</w:t>
      </w:r>
    </w:p>
    <w:p>
      <w:pPr>
        <w:spacing w:after="0" w:line="19" w:lineRule="exact"/>
        <w:rPr>
          <w:sz w:val="24"/>
          <w:szCs w:val="24"/>
          <w:color w:val="auto"/>
        </w:rPr>
      </w:pPr>
    </w:p>
    <w:p>
      <w:pPr>
        <w:jc w:val="center"/>
        <w:ind w:right="2520"/>
        <w:spacing w:after="0"/>
        <w:rPr>
          <w:sz w:val="20"/>
          <w:szCs w:val="20"/>
          <w:color w:val="auto"/>
        </w:rPr>
      </w:pPr>
      <w:r>
        <w:rPr>
          <w:rFonts w:ascii="Arial" w:cs="Arial" w:eastAsia="Arial" w:hAnsi="Arial"/>
          <w:sz w:val="10"/>
          <w:szCs w:val="10"/>
          <w:i w:val="1"/>
          <w:iCs w:val="1"/>
          <w:color w:val="auto"/>
        </w:rPr>
        <w:t>(Zip Code)</w:t>
      </w:r>
    </w:p>
    <w:p>
      <w:pPr>
        <w:spacing w:after="0" w:line="159" w:lineRule="exact"/>
        <w:rPr>
          <w:sz w:val="24"/>
          <w:szCs w:val="24"/>
          <w:color w:val="auto"/>
        </w:rPr>
      </w:pPr>
    </w:p>
    <w:p>
      <w:pPr>
        <w:sectPr>
          <w:pgSz w:w="11900" w:h="16838" w:orient="portrait"/>
          <w:cols w:equalWidth="0" w:num="2">
            <w:col w:w="7548" w:space="720"/>
            <w:col w:w="3040"/>
          </w:cols>
          <w:pgMar w:left="292" w:top="602" w:right="299" w:bottom="1440" w:gutter="0" w:footer="0" w:header="0"/>
          <w:type w:val="continuous"/>
        </w:sectPr>
      </w:pPr>
    </w:p>
    <w:p>
      <w:pPr>
        <w:jc w:val="center"/>
        <w:ind w:right="-7"/>
        <w:spacing w:after="0"/>
        <w:rPr>
          <w:sz w:val="20"/>
          <w:szCs w:val="20"/>
          <w:color w:val="auto"/>
        </w:rPr>
      </w:pPr>
      <w:r>
        <w:rPr>
          <w:rFonts w:ascii="Arial" w:cs="Arial" w:eastAsia="Arial" w:hAnsi="Arial"/>
          <w:sz w:val="12"/>
          <w:szCs w:val="12"/>
          <w:i w:val="1"/>
          <w:iCs w:val="1"/>
          <w:color w:val="auto"/>
        </w:rPr>
        <w:t>(Registrant's telephone number, including area code: (</w:t>
      </w:r>
      <w:r>
        <w:rPr>
          <w:rFonts w:ascii="Arial" w:cs="Arial" w:eastAsia="Arial" w:hAnsi="Arial"/>
          <w:sz w:val="12"/>
          <w:szCs w:val="12"/>
          <w:b w:val="1"/>
          <w:bCs w:val="1"/>
          <w:color w:val="auto"/>
        </w:rPr>
        <w:t>847) 705-7709</w:t>
      </w:r>
    </w:p>
    <w:p>
      <w:pPr>
        <w:spacing w:after="0" w:line="154" w:lineRule="exact"/>
        <w:rPr>
          <w:sz w:val="24"/>
          <w:szCs w:val="24"/>
          <w:color w:val="auto"/>
        </w:rPr>
      </w:pPr>
    </w:p>
    <w:p>
      <w:pPr>
        <w:ind w:left="8" w:right="20"/>
        <w:spacing w:after="0" w:line="25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ind w:left="8"/>
        <w:spacing w:after="0" w:line="138" w:lineRule="exact"/>
        <w:rPr>
          <w:sz w:val="20"/>
          <w:szCs w:val="20"/>
          <w:color w:val="auto"/>
        </w:rPr>
      </w:pPr>
      <w:r>
        <w:rPr>
          <w:rFonts w:ascii="Arial" w:cs="Arial" w:eastAsia="Arial" w:hAnsi="Arial"/>
          <w:sz w:val="12"/>
          <w:szCs w:val="12"/>
          <w:color w:val="auto"/>
        </w:rPr>
        <w:t xml:space="preserve">Yes þ No </w:t>
      </w:r>
      <w:r>
        <w:rPr>
          <w:rFonts w:ascii="MS PGothic" w:cs="MS PGothic" w:eastAsia="MS PGothic" w:hAnsi="MS PGothic"/>
          <w:sz w:val="12"/>
          <w:szCs w:val="12"/>
          <w:color w:val="auto"/>
        </w:rPr>
        <w:t>☐</w:t>
      </w:r>
    </w:p>
    <w:p>
      <w:pPr>
        <w:spacing w:after="0" w:line="144" w:lineRule="exact"/>
        <w:rPr>
          <w:sz w:val="24"/>
          <w:szCs w:val="24"/>
          <w:color w:val="auto"/>
        </w:rPr>
      </w:pPr>
    </w:p>
    <w:p>
      <w:pPr>
        <w:ind w:left="8"/>
        <w:spacing w:after="0" w:line="25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w:t>
      </w:r>
    </w:p>
    <w:p>
      <w:pPr>
        <w:ind w:left="8"/>
        <w:spacing w:after="0" w:line="138" w:lineRule="exact"/>
        <w:rPr>
          <w:sz w:val="20"/>
          <w:szCs w:val="20"/>
          <w:color w:val="auto"/>
        </w:rPr>
      </w:pPr>
      <w:r>
        <w:rPr>
          <w:rFonts w:ascii="Arial" w:cs="Arial" w:eastAsia="Arial" w:hAnsi="Arial"/>
          <w:sz w:val="12"/>
          <w:szCs w:val="12"/>
          <w:color w:val="auto"/>
        </w:rPr>
        <w:t xml:space="preserve">Yes þ No </w:t>
      </w:r>
      <w:r>
        <w:rPr>
          <w:rFonts w:ascii="MS PGothic" w:cs="MS PGothic" w:eastAsia="MS PGothic" w:hAnsi="MS PGothic"/>
          <w:sz w:val="12"/>
          <w:szCs w:val="12"/>
          <w:color w:val="auto"/>
        </w:rPr>
        <w:t>☐</w:t>
      </w:r>
    </w:p>
    <w:p>
      <w:pPr>
        <w:spacing w:after="0" w:line="144"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128" w:lineRule="exact"/>
        <w:rPr>
          <w:sz w:val="24"/>
          <w:szCs w:val="24"/>
          <w:color w:val="auto"/>
        </w:rPr>
      </w:pPr>
    </w:p>
    <w:tbl>
      <w:tblPr>
        <w:tblLayout w:type="fixed"/>
        <w:tblInd w:w="8" w:type="dxa"/>
        <w:tblCellMar>
          <w:top w:w="0" w:type="dxa"/>
          <w:left w:w="0" w:type="dxa"/>
          <w:bottom w:w="0" w:type="dxa"/>
          <w:right w:w="0" w:type="dxa"/>
        </w:tblCellMar>
      </w:tblPr>
      <w:tr>
        <w:trPr>
          <w:trHeight w:val="166"/>
        </w:trPr>
        <w:tc>
          <w:tcPr>
            <w:tcW w:w="22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1880" w:type="dxa"/>
            <w:vAlign w:val="bottom"/>
          </w:tcPr>
          <w:p>
            <w:pPr>
              <w:ind w:left="100"/>
              <w:spacing w:after="0"/>
              <w:rPr>
                <w:sz w:val="20"/>
                <w:szCs w:val="20"/>
                <w:color w:val="auto"/>
              </w:rPr>
            </w:pPr>
            <w:r>
              <w:rPr>
                <w:rFonts w:ascii="Arial" w:cs="Arial" w:eastAsia="Arial" w:hAnsi="Arial"/>
                <w:sz w:val="12"/>
                <w:szCs w:val="12"/>
                <w:color w:val="auto"/>
              </w:rPr>
              <w:t>Large accelerated filer</w:t>
            </w:r>
          </w:p>
        </w:tc>
        <w:tc>
          <w:tcPr>
            <w:tcW w:w="92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2020" w:type="dxa"/>
            <w:vAlign w:val="bottom"/>
          </w:tcPr>
          <w:p>
            <w:pPr>
              <w:ind w:left="120"/>
              <w:spacing w:after="0"/>
              <w:rPr>
                <w:sz w:val="20"/>
                <w:szCs w:val="20"/>
                <w:color w:val="auto"/>
              </w:rPr>
            </w:pPr>
            <w:r>
              <w:rPr>
                <w:rFonts w:ascii="Arial" w:cs="Arial" w:eastAsia="Arial" w:hAnsi="Arial"/>
                <w:sz w:val="12"/>
                <w:szCs w:val="12"/>
                <w:color w:val="auto"/>
              </w:rPr>
              <w:t>Accelerated filer</w:t>
            </w:r>
          </w:p>
        </w:tc>
        <w:tc>
          <w:tcPr>
            <w:tcW w:w="800" w:type="dxa"/>
            <w:vAlign w:val="bottom"/>
            <w:vMerge w:val="restart"/>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20"/>
                <w:szCs w:val="20"/>
                <w:color w:val="auto"/>
              </w:rPr>
            </w:pPr>
            <w:r>
              <w:rPr>
                <w:rFonts w:ascii="Arial" w:cs="Arial" w:eastAsia="Arial" w:hAnsi="Arial"/>
                <w:sz w:val="12"/>
                <w:szCs w:val="12"/>
                <w:color w:val="auto"/>
              </w:rPr>
              <w:t>þ</w:t>
            </w:r>
          </w:p>
        </w:tc>
        <w:tc>
          <w:tcPr>
            <w:tcW w:w="1880" w:type="dxa"/>
            <w:vAlign w:val="bottom"/>
          </w:tcPr>
          <w:p>
            <w:pPr>
              <w:ind w:left="100"/>
              <w:spacing w:after="0"/>
              <w:rPr>
                <w:sz w:val="20"/>
                <w:szCs w:val="20"/>
                <w:color w:val="auto"/>
              </w:rPr>
            </w:pPr>
            <w:r>
              <w:rPr>
                <w:rFonts w:ascii="Arial" w:cs="Arial" w:eastAsia="Arial" w:hAnsi="Arial"/>
                <w:sz w:val="12"/>
                <w:szCs w:val="12"/>
                <w:color w:val="auto"/>
              </w:rPr>
              <w:t>Non-accelerated filer</w:t>
            </w:r>
          </w:p>
        </w:tc>
        <w:tc>
          <w:tcPr>
            <w:tcW w:w="920" w:type="dxa"/>
            <w:vAlign w:val="bottom"/>
          </w:tcPr>
          <w:p>
            <w:pPr>
              <w:ind w:left="700"/>
              <w:spacing w:after="0"/>
              <w:rPr>
                <w:sz w:val="20"/>
                <w:szCs w:val="20"/>
                <w:color w:val="auto"/>
              </w:rPr>
            </w:pPr>
            <w:r>
              <w:rPr>
                <w:rFonts w:ascii="Arial" w:cs="Arial" w:eastAsia="Arial" w:hAnsi="Arial"/>
                <w:sz w:val="12"/>
                <w:szCs w:val="12"/>
                <w:color w:val="auto"/>
              </w:rPr>
              <w:t>þ</w:t>
            </w:r>
          </w:p>
        </w:tc>
        <w:tc>
          <w:tcPr>
            <w:tcW w:w="2020" w:type="dxa"/>
            <w:vAlign w:val="bottom"/>
          </w:tcPr>
          <w:p>
            <w:pPr>
              <w:ind w:left="120"/>
              <w:spacing w:after="0"/>
              <w:rPr>
                <w:sz w:val="20"/>
                <w:szCs w:val="20"/>
                <w:color w:val="auto"/>
              </w:rPr>
            </w:pPr>
            <w:r>
              <w:rPr>
                <w:rFonts w:ascii="Arial" w:cs="Arial" w:eastAsia="Arial" w:hAnsi="Arial"/>
                <w:sz w:val="12"/>
                <w:szCs w:val="12"/>
                <w:color w:val="auto"/>
              </w:rPr>
              <w:t>Smaller reporting company</w:t>
            </w:r>
          </w:p>
        </w:tc>
        <w:tc>
          <w:tcPr>
            <w:tcW w:w="800" w:type="dxa"/>
            <w:vAlign w:val="bottom"/>
            <w:vMerge w:val="continue"/>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2"/>
                <w:szCs w:val="12"/>
                <w:color w:val="auto"/>
                <w:w w:val="89"/>
              </w:rPr>
              <w:t>Emerging growth company</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þ</w:t>
      </w:r>
    </w:p>
    <w:p>
      <w:pPr>
        <w:spacing w:after="0" w:line="144"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 w:lineRule="exact"/>
        <w:rPr>
          <w:sz w:val="24"/>
          <w:szCs w:val="24"/>
          <w:color w:val="auto"/>
        </w:rPr>
      </w:pPr>
    </w:p>
    <w:tbl>
      <w:tblPr>
        <w:tblLayout w:type="fixed"/>
        <w:tblInd w:w="18" w:type="dxa"/>
        <w:tblCellMar>
          <w:top w:w="0" w:type="dxa"/>
          <w:left w:w="0" w:type="dxa"/>
          <w:bottom w:w="0" w:type="dxa"/>
          <w:right w:w="0" w:type="dxa"/>
        </w:tblCellMar>
      </w:tblPr>
      <w:tr>
        <w:trPr>
          <w:trHeight w:val="163"/>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66"/>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Common Stock, $0.01 par value</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ACUR</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OTCQB Market</w:t>
            </w:r>
          </w:p>
        </w:tc>
      </w:tr>
      <w:tr>
        <w:trPr>
          <w:trHeight w:val="277"/>
        </w:trPr>
        <w:tc>
          <w:tcPr>
            <w:tcW w:w="7020" w:type="dxa"/>
            <w:vAlign w:val="bottom"/>
            <w:gridSpan w:val="2"/>
          </w:tcPr>
          <w:p>
            <w:pPr>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practical date:</w:t>
            </w:r>
          </w:p>
        </w:tc>
        <w:tc>
          <w:tcPr>
            <w:tcW w:w="4280" w:type="dxa"/>
            <w:vAlign w:val="bottom"/>
          </w:tcPr>
          <w:p>
            <w:pPr>
              <w:spacing w:after="0"/>
              <w:rPr>
                <w:sz w:val="24"/>
                <w:szCs w:val="24"/>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Common Stock, $0.01 par value</w:t>
            </w:r>
          </w:p>
        </w:tc>
        <w:tc>
          <w:tcPr>
            <w:tcW w:w="3620" w:type="dxa"/>
            <w:vAlign w:val="bottom"/>
          </w:tcPr>
          <w:p>
            <w:pPr>
              <w:ind w:left="200"/>
              <w:spacing w:after="0"/>
              <w:rPr>
                <w:sz w:val="20"/>
                <w:szCs w:val="20"/>
                <w:color w:val="auto"/>
              </w:rPr>
            </w:pPr>
            <w:r>
              <w:rPr>
                <w:rFonts w:ascii="Arial" w:cs="Arial" w:eastAsia="Arial" w:hAnsi="Arial"/>
                <w:sz w:val="12"/>
                <w:szCs w:val="12"/>
                <w:color w:val="auto"/>
              </w:rPr>
              <w:t>Shares outstanding as of June 26, 2020: 21,650,294</w:t>
            </w:r>
          </w:p>
        </w:tc>
        <w:tc>
          <w:tcPr>
            <w:tcW w:w="4280" w:type="dxa"/>
            <w:vAlign w:val="bottom"/>
          </w:tcPr>
          <w:p>
            <w:pPr>
              <w:spacing w:after="0"/>
              <w:rPr>
                <w:sz w:val="13"/>
                <w:szCs w:val="13"/>
                <w:color w:val="auto"/>
              </w:rPr>
            </w:pPr>
          </w:p>
        </w:tc>
      </w:tr>
      <w:tr>
        <w:trPr>
          <w:trHeight w:val="205"/>
        </w:trPr>
        <w:tc>
          <w:tcPr>
            <w:tcW w:w="34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r>
      <w:tr>
        <w:trPr>
          <w:trHeight w:val="450"/>
        </w:trPr>
        <w:tc>
          <w:tcPr>
            <w:tcW w:w="3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0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ACURA PHARMACEUTICALS,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10-Q FOR THE QUARTERLY PERIOD ENDED MARCH 31,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60" w:type="dxa"/>
            <w:vAlign w:val="bottom"/>
            <w:gridSpan w:val="2"/>
          </w:tcPr>
          <w:p>
            <w:pPr>
              <w:spacing w:after="0"/>
              <w:rPr>
                <w:sz w:val="20"/>
                <w:szCs w:val="20"/>
                <w:color w:val="auto"/>
              </w:rPr>
            </w:pPr>
            <w:r>
              <w:rPr>
                <w:rFonts w:ascii="Arial" w:cs="Arial" w:eastAsia="Arial" w:hAnsi="Arial"/>
                <w:sz w:val="12"/>
                <w:szCs w:val="12"/>
                <w:b w:val="1"/>
                <w:bCs w:val="1"/>
                <w:color w:val="auto"/>
              </w:rPr>
              <w:t>Part 1. FINANCIAL INFORMATION</w:t>
            </w:r>
          </w:p>
        </w:tc>
        <w:tc>
          <w:tcPr>
            <w:tcW w:w="2540" w:type="dxa"/>
            <w:vAlign w:val="bottom"/>
            <w:vMerge w:val="restart"/>
          </w:tcPr>
          <w:p>
            <w:pPr>
              <w:ind w:left="2060"/>
              <w:spacing w:after="0"/>
              <w:rPr>
                <w:sz w:val="20"/>
                <w:szCs w:val="20"/>
                <w:color w:val="auto"/>
              </w:rPr>
            </w:pPr>
            <w:r>
              <w:rPr>
                <w:rFonts w:ascii="Arial" w:cs="Arial" w:eastAsia="Arial" w:hAnsi="Arial"/>
                <w:sz w:val="12"/>
                <w:szCs w:val="12"/>
                <w:b w:val="1"/>
                <w:bCs w:val="1"/>
                <w:color w:val="auto"/>
                <w:w w:val="89"/>
              </w:rPr>
              <w:t>Page No.</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Item 1.</w:t>
              </w:r>
            </w:hyperlink>
          </w:p>
        </w:tc>
        <w:tc>
          <w:tcPr>
            <w:tcW w:w="8080" w:type="dxa"/>
            <w:vAlign w:val="bottom"/>
            <w:shd w:val="clear" w:color="auto" w:fill="CCEEFF"/>
          </w:tcPr>
          <w:p>
            <w:pPr>
              <w:ind w:left="18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Financial Statements (Unaudited):</w:t>
              </w:r>
            </w:hyperlink>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sz w:val="12"/>
                <w:szCs w:val="12"/>
                <w:color w:val="auto"/>
              </w:rPr>
            </w:pPr>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Consolidated Balance Sheets as of March 31, 2020 and December 31, 2019</w:t>
              </w:r>
            </w:hyperlink>
          </w:p>
        </w:tc>
        <w:tc>
          <w:tcPr>
            <w:tcW w:w="2540" w:type="dxa"/>
            <w:vAlign w:val="bottom"/>
            <w:shd w:val="clear" w:color="auto" w:fill="CCEEFF"/>
          </w:tcPr>
          <w:p>
            <w:pPr>
              <w:jc w:val="center"/>
              <w:ind w:left="1940"/>
              <w:spacing w:after="0"/>
              <w:rPr>
                <w:rFonts w:ascii="Arial" w:cs="Arial" w:eastAsia="Arial" w:hAnsi="Arial"/>
                <w:sz w:val="12"/>
                <w:szCs w:val="12"/>
                <w:u w:val="single" w:color="auto"/>
                <w:color w:val="0000EE"/>
                <w:w w:val="89"/>
              </w:rPr>
            </w:pPr>
            <w:hyperlink w:anchor="page3">
              <w:r>
                <w:rPr>
                  <w:rFonts w:ascii="Arial" w:cs="Arial" w:eastAsia="Arial" w:hAnsi="Arial"/>
                  <w:sz w:val="12"/>
                  <w:szCs w:val="12"/>
                  <w:u w:val="single" w:color="auto"/>
                  <w:color w:val="0000EE"/>
                  <w:w w:val="89"/>
                </w:rPr>
                <w:t>2</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sz w:val="12"/>
                <w:szCs w:val="12"/>
                <w:color w:val="auto"/>
              </w:rPr>
            </w:pPr>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Consolidated Statements of Operations for the Three months Ended March 31, 2020 and 2019</w:t>
              </w:r>
            </w:hyperlink>
          </w:p>
        </w:tc>
        <w:tc>
          <w:tcPr>
            <w:tcW w:w="2540" w:type="dxa"/>
            <w:vAlign w:val="bottom"/>
            <w:shd w:val="clear" w:color="auto" w:fill="CCEEFF"/>
          </w:tcPr>
          <w:p>
            <w:pPr>
              <w:jc w:val="center"/>
              <w:ind w:left="1940"/>
              <w:spacing w:after="0"/>
              <w:rPr>
                <w:rFonts w:ascii="Arial" w:cs="Arial" w:eastAsia="Arial" w:hAnsi="Arial"/>
                <w:sz w:val="12"/>
                <w:szCs w:val="12"/>
                <w:u w:val="single" w:color="auto"/>
                <w:color w:val="0000EE"/>
                <w:w w:val="89"/>
              </w:rPr>
            </w:pPr>
            <w:hyperlink w:anchor="page4">
              <w:r>
                <w:rPr>
                  <w:rFonts w:ascii="Arial" w:cs="Arial" w:eastAsia="Arial" w:hAnsi="Arial"/>
                  <w:sz w:val="12"/>
                  <w:szCs w:val="12"/>
                  <w:u w:val="single" w:color="auto"/>
                  <w:color w:val="0000EE"/>
                  <w:w w:val="89"/>
                </w:rPr>
                <w:t>3</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sz w:val="12"/>
                <w:szCs w:val="12"/>
                <w:color w:val="auto"/>
              </w:rPr>
            </w:pPr>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Consolidated Statement of Changes in Accumulated Stockholders’ Deficit for the Three months Ended March 31, 2020</w:t>
              </w:r>
            </w:hyperlink>
          </w:p>
        </w:tc>
        <w:tc>
          <w:tcPr>
            <w:tcW w:w="2540" w:type="dxa"/>
            <w:vAlign w:val="bottom"/>
            <w:shd w:val="clear" w:color="auto" w:fill="CCEEFF"/>
          </w:tcPr>
          <w:p>
            <w:pPr>
              <w:jc w:val="center"/>
              <w:ind w:left="1940"/>
              <w:spacing w:after="0"/>
              <w:rPr>
                <w:rFonts w:ascii="Arial" w:cs="Arial" w:eastAsia="Arial" w:hAnsi="Arial"/>
                <w:sz w:val="12"/>
                <w:szCs w:val="12"/>
                <w:u w:val="single" w:color="auto"/>
                <w:color w:val="0000EE"/>
                <w:w w:val="89"/>
              </w:rPr>
            </w:pPr>
            <w:hyperlink w:anchor="page5">
              <w:r>
                <w:rPr>
                  <w:rFonts w:ascii="Arial" w:cs="Arial" w:eastAsia="Arial" w:hAnsi="Arial"/>
                  <w:sz w:val="12"/>
                  <w:szCs w:val="12"/>
                  <w:u w:val="single" w:color="auto"/>
                  <w:color w:val="0000EE"/>
                  <w:w w:val="89"/>
                </w:rPr>
                <w:t>4</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sz w:val="12"/>
                <w:szCs w:val="12"/>
                <w:color w:val="auto"/>
              </w:rPr>
            </w:pPr>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Consolidated Statements of Cash Flows for the Three months Ended March 31, 2020 and 2019</w:t>
              </w:r>
            </w:hyperlink>
          </w:p>
        </w:tc>
        <w:tc>
          <w:tcPr>
            <w:tcW w:w="2540" w:type="dxa"/>
            <w:vAlign w:val="bottom"/>
            <w:shd w:val="clear" w:color="auto" w:fill="CCEEFF"/>
          </w:tcPr>
          <w:p>
            <w:pPr>
              <w:jc w:val="center"/>
              <w:ind w:left="1940"/>
              <w:spacing w:after="0"/>
              <w:rPr>
                <w:rFonts w:ascii="Arial" w:cs="Arial" w:eastAsia="Arial" w:hAnsi="Arial"/>
                <w:sz w:val="12"/>
                <w:szCs w:val="12"/>
                <w:u w:val="single" w:color="auto"/>
                <w:color w:val="0000EE"/>
                <w:w w:val="89"/>
              </w:rPr>
            </w:pPr>
            <w:hyperlink w:anchor="page6">
              <w:r>
                <w:rPr>
                  <w:rFonts w:ascii="Arial" w:cs="Arial" w:eastAsia="Arial" w:hAnsi="Arial"/>
                  <w:sz w:val="12"/>
                  <w:szCs w:val="12"/>
                  <w:u w:val="single" w:color="auto"/>
                  <w:color w:val="0000EE"/>
                  <w:w w:val="89"/>
                </w:rPr>
                <w:t>5</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sz w:val="12"/>
                <w:szCs w:val="12"/>
                <w:color w:val="auto"/>
              </w:rPr>
            </w:pPr>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Notes to Consolidated Financial Statements</w:t>
              </w:r>
            </w:hyperlink>
          </w:p>
        </w:tc>
        <w:tc>
          <w:tcPr>
            <w:tcW w:w="2540" w:type="dxa"/>
            <w:vAlign w:val="bottom"/>
            <w:shd w:val="clear" w:color="auto" w:fill="CCEEFF"/>
          </w:tcPr>
          <w:p>
            <w:pPr>
              <w:jc w:val="center"/>
              <w:ind w:left="1940"/>
              <w:spacing w:after="0"/>
              <w:rPr>
                <w:rFonts w:ascii="Arial" w:cs="Arial" w:eastAsia="Arial" w:hAnsi="Arial"/>
                <w:sz w:val="12"/>
                <w:szCs w:val="12"/>
                <w:u w:val="single" w:color="auto"/>
                <w:color w:val="0000EE"/>
                <w:w w:val="89"/>
              </w:rPr>
            </w:pPr>
            <w:hyperlink w:anchor="page7">
              <w:r>
                <w:rPr>
                  <w:rFonts w:ascii="Arial" w:cs="Arial" w:eastAsia="Arial" w:hAnsi="Arial"/>
                  <w:sz w:val="12"/>
                  <w:szCs w:val="12"/>
                  <w:u w:val="single" w:color="auto"/>
                  <w:color w:val="0000EE"/>
                  <w:w w:val="89"/>
                </w:rPr>
                <w:t>6</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Item 2.</w:t>
              </w:r>
            </w:hyperlink>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Management's Discussion and Analysis of Financial Condition and Results of Operations</w:t>
              </w:r>
            </w:hyperlink>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23">
              <w:r>
                <w:rPr>
                  <w:rFonts w:ascii="Arial" w:cs="Arial" w:eastAsia="Arial" w:hAnsi="Arial"/>
                  <w:sz w:val="12"/>
                  <w:szCs w:val="12"/>
                  <w:u w:val="single" w:color="auto"/>
                  <w:color w:val="0000EE"/>
                  <w:w w:val="89"/>
                </w:rPr>
                <w:t>22</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Item 4.</w:t>
              </w:r>
            </w:hyperlink>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Controls and Procedures</w:t>
              </w:r>
            </w:hyperlink>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43">
              <w:r>
                <w:rPr>
                  <w:rFonts w:ascii="Arial" w:cs="Arial" w:eastAsia="Arial" w:hAnsi="Arial"/>
                  <w:sz w:val="12"/>
                  <w:szCs w:val="12"/>
                  <w:u w:val="single" w:color="auto"/>
                  <w:color w:val="0000EE"/>
                  <w:w w:val="89"/>
                </w:rPr>
                <w:t>42</w:t>
              </w:r>
            </w:hyperlink>
          </w:p>
        </w:tc>
        <w:tc>
          <w:tcPr>
            <w:tcW w:w="0" w:type="dxa"/>
            <w:vAlign w:val="bottom"/>
          </w:tcPr>
          <w:p>
            <w:pPr>
              <w:spacing w:after="0"/>
              <w:rPr>
                <w:sz w:val="1"/>
                <w:szCs w:val="1"/>
                <w:color w:val="auto"/>
              </w:rPr>
            </w:pPr>
          </w:p>
        </w:tc>
      </w:tr>
      <w:tr>
        <w:trPr>
          <w:trHeight w:val="144"/>
        </w:trPr>
        <w:tc>
          <w:tcPr>
            <w:tcW w:w="8760" w:type="dxa"/>
            <w:vAlign w:val="bottom"/>
            <w:gridSpan w:val="2"/>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60" w:type="dxa"/>
            <w:vAlign w:val="bottom"/>
            <w:gridSpan w:val="2"/>
            <w:shd w:val="clear" w:color="auto" w:fill="CCEEFF"/>
          </w:tcPr>
          <w:p>
            <w:pPr>
              <w:spacing w:after="0"/>
              <w:rPr>
                <w:rFonts w:ascii="Arial" w:cs="Arial" w:eastAsia="Arial" w:hAnsi="Arial"/>
                <w:sz w:val="12"/>
                <w:szCs w:val="12"/>
                <w:b w:val="1"/>
                <w:bCs w:val="1"/>
                <w:u w:val="single" w:color="auto"/>
                <w:color w:val="0000EE"/>
              </w:rPr>
            </w:pPr>
            <w:hyperlink w:anchor="page44">
              <w:r>
                <w:rPr>
                  <w:rFonts w:ascii="Arial" w:cs="Arial" w:eastAsia="Arial" w:hAnsi="Arial"/>
                  <w:sz w:val="12"/>
                  <w:szCs w:val="12"/>
                  <w:b w:val="1"/>
                  <w:bCs w:val="1"/>
                  <w:u w:val="single" w:color="auto"/>
                  <w:color w:val="0000EE"/>
                </w:rPr>
                <w:t>Part II. OTHER INFORMATION</w:t>
              </w:r>
            </w:hyperlink>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Item 1.</w:t>
              </w:r>
            </w:hyperlink>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Legal Proceedings</w:t>
              </w:r>
            </w:hyperlink>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44">
              <w:r>
                <w:rPr>
                  <w:rFonts w:ascii="Arial" w:cs="Arial" w:eastAsia="Arial" w:hAnsi="Arial"/>
                  <w:sz w:val="12"/>
                  <w:szCs w:val="12"/>
                  <w:u w:val="single" w:color="auto"/>
                  <w:color w:val="0000EE"/>
                  <w:w w:val="89"/>
                </w:rPr>
                <w:t>43</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color w:val="0000EE"/>
              </w:rPr>
            </w:pPr>
            <w:hyperlink w:anchor="page44">
              <w:r>
                <w:rPr>
                  <w:rFonts w:ascii="Arial" w:cs="Arial" w:eastAsia="Arial" w:hAnsi="Arial"/>
                  <w:sz w:val="12"/>
                  <w:szCs w:val="12"/>
                  <w:u w:val="single" w:color="auto"/>
                  <w:color w:val="0000EE"/>
                </w:rPr>
                <w:t>Item 1A</w:t>
              </w:r>
              <w:r>
                <w:rPr>
                  <w:rFonts w:ascii="Arial" w:cs="Arial" w:eastAsia="Arial" w:hAnsi="Arial"/>
                  <w:sz w:val="12"/>
                  <w:szCs w:val="12"/>
                  <w:color w:val="0000EE"/>
                </w:rPr>
                <w:t>.</w:t>
              </w:r>
            </w:hyperlink>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Risk Factors</w:t>
              </w:r>
            </w:hyperlink>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44">
              <w:r>
                <w:rPr>
                  <w:rFonts w:ascii="Arial" w:cs="Arial" w:eastAsia="Arial" w:hAnsi="Arial"/>
                  <w:sz w:val="12"/>
                  <w:szCs w:val="12"/>
                  <w:u w:val="single" w:color="auto"/>
                  <w:color w:val="0000EE"/>
                  <w:w w:val="89"/>
                </w:rPr>
                <w:t>43</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46">
              <w:r>
                <w:rPr>
                  <w:rFonts w:ascii="Arial" w:cs="Arial" w:eastAsia="Arial" w:hAnsi="Arial"/>
                  <w:sz w:val="12"/>
                  <w:szCs w:val="12"/>
                  <w:u w:val="single" w:color="auto"/>
                  <w:color w:val="0000EE"/>
                </w:rPr>
                <w:t>Item 6.</w:t>
              </w:r>
            </w:hyperlink>
          </w:p>
        </w:tc>
        <w:tc>
          <w:tcPr>
            <w:tcW w:w="8080" w:type="dxa"/>
            <w:vAlign w:val="bottom"/>
            <w:shd w:val="clear" w:color="auto" w:fill="CCEEFF"/>
          </w:tcPr>
          <w:p>
            <w:pPr>
              <w:ind w:left="280"/>
              <w:spacing w:after="0"/>
              <w:rPr>
                <w:rFonts w:ascii="Arial" w:cs="Arial" w:eastAsia="Arial" w:hAnsi="Arial"/>
                <w:sz w:val="12"/>
                <w:szCs w:val="12"/>
                <w:u w:val="single" w:color="auto"/>
                <w:color w:val="0000EE"/>
              </w:rPr>
            </w:pPr>
            <w:hyperlink w:anchor="page46">
              <w:r>
                <w:rPr>
                  <w:rFonts w:ascii="Arial" w:cs="Arial" w:eastAsia="Arial" w:hAnsi="Arial"/>
                  <w:sz w:val="12"/>
                  <w:szCs w:val="12"/>
                  <w:u w:val="single" w:color="auto"/>
                  <w:color w:val="0000EE"/>
                </w:rPr>
                <w:t>Exhibits</w:t>
              </w:r>
            </w:hyperlink>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46">
              <w:r>
                <w:rPr>
                  <w:rFonts w:ascii="Arial" w:cs="Arial" w:eastAsia="Arial" w:hAnsi="Arial"/>
                  <w:sz w:val="12"/>
                  <w:szCs w:val="12"/>
                  <w:u w:val="single" w:color="auto"/>
                  <w:color w:val="0000EE"/>
                  <w:w w:val="89"/>
                </w:rPr>
                <w:t>45</w:t>
              </w:r>
            </w:hyperlink>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shd w:val="clear" w:color="auto" w:fill="CCEEFF"/>
          </w:tcPr>
          <w:p>
            <w:pPr>
              <w:spacing w:after="0"/>
              <w:rPr>
                <w:rFonts w:ascii="Arial" w:cs="Arial" w:eastAsia="Arial" w:hAnsi="Arial"/>
                <w:sz w:val="12"/>
                <w:szCs w:val="12"/>
                <w:u w:val="single" w:color="auto"/>
                <w:color w:val="0000EE"/>
              </w:rPr>
            </w:pPr>
            <w:hyperlink w:anchor="page47">
              <w:r>
                <w:rPr>
                  <w:rFonts w:ascii="Arial" w:cs="Arial" w:eastAsia="Arial" w:hAnsi="Arial"/>
                  <w:sz w:val="12"/>
                  <w:szCs w:val="12"/>
                  <w:u w:val="single" w:color="auto"/>
                  <w:color w:val="0000EE"/>
                </w:rPr>
                <w:t>Signatures</w:t>
              </w:r>
            </w:hyperlink>
          </w:p>
        </w:tc>
        <w:tc>
          <w:tcPr>
            <w:tcW w:w="8080" w:type="dxa"/>
            <w:vAlign w:val="bottom"/>
            <w:shd w:val="clear" w:color="auto" w:fill="CCEEFF"/>
          </w:tcPr>
          <w:p>
            <w:pPr>
              <w:spacing w:after="0"/>
              <w:rPr>
                <w:sz w:val="12"/>
                <w:szCs w:val="12"/>
                <w:color w:val="auto"/>
              </w:rPr>
            </w:pPr>
          </w:p>
        </w:tc>
        <w:tc>
          <w:tcPr>
            <w:tcW w:w="2540" w:type="dxa"/>
            <w:vAlign w:val="bottom"/>
            <w:shd w:val="clear" w:color="auto" w:fill="CCEEFF"/>
          </w:tcPr>
          <w:p>
            <w:pPr>
              <w:jc w:val="center"/>
              <w:ind w:left="1960"/>
              <w:spacing w:after="0"/>
              <w:rPr>
                <w:rFonts w:ascii="Arial" w:cs="Arial" w:eastAsia="Arial" w:hAnsi="Arial"/>
                <w:sz w:val="12"/>
                <w:szCs w:val="12"/>
                <w:u w:val="single" w:color="auto"/>
                <w:color w:val="0000EE"/>
                <w:w w:val="89"/>
              </w:rPr>
            </w:pPr>
            <w:hyperlink w:anchor="page47">
              <w:r>
                <w:rPr>
                  <w:rFonts w:ascii="Arial" w:cs="Arial" w:eastAsia="Arial" w:hAnsi="Arial"/>
                  <w:sz w:val="12"/>
                  <w:szCs w:val="12"/>
                  <w:u w:val="single" w:color="auto"/>
                  <w:color w:val="0000EE"/>
                  <w:w w:val="89"/>
                </w:rPr>
                <w:t>46</w:t>
              </w:r>
            </w:hyperlink>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 On May 13, 2020, relying on the SEC’s Order under Section 36 of the Securities Exchange Act of 1934, Modifying Exemptions from the Reporting and Proxy Delivery Requirements for Public Companies, dated March 25, 2020 (Release No. 34-88465), the registrant filed a Form 8-K extending the Form 10-Q’s filing deadline by 45 days to June 29, 2020.</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i w:val="1"/>
                <w:iCs w:val="1"/>
                <w:color w:val="auto"/>
              </w:rPr>
              <w:t>Item 1. Financial Statements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8480" w:type="dxa"/>
            <w:vAlign w:val="bottom"/>
          </w:tcPr>
          <w:p>
            <w:pPr>
              <w:jc w:val="center"/>
              <w:ind w:left="2760"/>
              <w:spacing w:after="0"/>
              <w:rPr>
                <w:sz w:val="20"/>
                <w:szCs w:val="20"/>
                <w:color w:val="auto"/>
              </w:rPr>
            </w:pPr>
            <w:r>
              <w:rPr>
                <w:rFonts w:ascii="Arial" w:cs="Arial" w:eastAsia="Arial" w:hAnsi="Arial"/>
                <w:sz w:val="12"/>
                <w:szCs w:val="12"/>
                <w:b w:val="1"/>
                <w:bCs w:val="1"/>
                <w:color w:val="auto"/>
              </w:rPr>
              <w:t>ACURA PHARMACEUTICALS,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480" w:type="dxa"/>
            <w:vAlign w:val="bottom"/>
          </w:tcPr>
          <w:p>
            <w:pPr>
              <w:jc w:val="center"/>
              <w:ind w:left="2740"/>
              <w:spacing w:after="0"/>
              <w:rPr>
                <w:sz w:val="20"/>
                <w:szCs w:val="20"/>
                <w:color w:val="auto"/>
              </w:rPr>
            </w:pPr>
            <w:r>
              <w:rPr>
                <w:rFonts w:ascii="Arial" w:cs="Arial" w:eastAsia="Arial" w:hAnsi="Arial"/>
                <w:sz w:val="12"/>
                <w:szCs w:val="12"/>
                <w:b w:val="1"/>
                <w:bCs w:val="1"/>
                <w:color w:val="auto"/>
                <w:w w:val="99"/>
              </w:rPr>
              <w:t>CONSOLIDATED BALANCE SHEETS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80" w:type="dxa"/>
            <w:vAlign w:val="bottom"/>
          </w:tcPr>
          <w:p>
            <w:pPr>
              <w:jc w:val="center"/>
              <w:ind w:left="2740"/>
              <w:spacing w:after="0"/>
              <w:rPr>
                <w:sz w:val="20"/>
                <w:szCs w:val="20"/>
                <w:color w:val="auto"/>
              </w:rPr>
            </w:pPr>
            <w:r>
              <w:rPr>
                <w:rFonts w:ascii="Arial" w:cs="Arial" w:eastAsia="Arial" w:hAnsi="Arial"/>
                <w:sz w:val="12"/>
                <w:szCs w:val="12"/>
                <w:b w:val="1"/>
                <w:bCs w:val="1"/>
                <w:color w:val="auto"/>
                <w:w w:val="89"/>
              </w:rPr>
              <w:t>(Unaudited; in thousands except par value)</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9"/>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2"/>
                <w:szCs w:val="12"/>
                <w:color w:val="auto"/>
              </w:rPr>
              <w:t>March 31,</w:t>
            </w:r>
          </w:p>
        </w:tc>
        <w:tc>
          <w:tcPr>
            <w:tcW w:w="16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2"/>
                <w:szCs w:val="12"/>
                <w:color w:val="auto"/>
              </w:rPr>
              <w:t>December 31,</w:t>
            </w:r>
          </w:p>
        </w:tc>
      </w:tr>
      <w:tr>
        <w:trPr>
          <w:trHeight w:val="153"/>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2020</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2019</w:t>
            </w:r>
          </w:p>
        </w:tc>
        <w:tc>
          <w:tcPr>
            <w:tcW w:w="120" w:type="dxa"/>
            <w:vAlign w:val="bottom"/>
            <w:tcBorders>
              <w:bottom w:val="single" w:sz="8" w:color="CCEEFF"/>
            </w:tcBorders>
          </w:tcPr>
          <w:p>
            <w:pPr>
              <w:spacing w:after="0"/>
              <w:rPr>
                <w:sz w:val="13"/>
                <w:szCs w:val="13"/>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Cash</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1,210</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862</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Royalty receivable</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Collaboration revenue receivable from related party</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122</w:t>
            </w: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Income tax receivable</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68</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34</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assets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1,388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1,178</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Arial" w:cs="Arial" w:eastAsia="Arial" w:hAnsi="Arial"/>
                <w:sz w:val="12"/>
                <w:szCs w:val="12"/>
                <w:color w:val="auto"/>
              </w:rPr>
              <w:t>Income tax receivable</w:t>
            </w:r>
          </w:p>
        </w:tc>
        <w:tc>
          <w:tcPr>
            <w:tcW w:w="22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34</w:t>
            </w: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 (Note 6)</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540</w:t>
            </w: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Intangible asset, net (Note 3)</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91</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810</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assets</w:t>
            </w: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2,004</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2,562</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108</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237</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 (Note 7)</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585</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Other current liabilities (Note 11)</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29</w:t>
            </w: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Sales returns liability</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Convertible debt to related party, net of discounts (Note 8)</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 to related party (Note 8)</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341</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848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Total current liabilities</w:t>
            </w: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7,309</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1,074</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Convertible debt to related party, net of discounts (Note 8)</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6,000</w:t>
            </w:r>
          </w:p>
        </w:tc>
        <w:tc>
          <w:tcPr>
            <w:tcW w:w="120" w:type="dxa"/>
            <w:vAlign w:val="bottom"/>
            <w:shd w:val="clear" w:color="auto" w:fill="CCEEFF"/>
          </w:tcPr>
          <w:p>
            <w:pPr>
              <w:spacing w:after="0"/>
              <w:rPr>
                <w:sz w:val="11"/>
                <w:szCs w:val="1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Accrued interest to related party (Note 8)</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229</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liabilities</w:t>
            </w: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7,309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7,303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Stockholders’ deficit:</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8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w w:val="94"/>
              </w:rPr>
              <w:t>Common stock - $0.01 par value per share; 100,000 shares authorized, 21,650 and 21,300 shares issued and outstanding at March 31, 2020 and December 31, 2019,</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respectively</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213</w:t>
            </w: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383,070</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383,042</w:t>
            </w: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(388,591)</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(387,996)</w:t>
            </w:r>
          </w:p>
        </w:tc>
      </w:tr>
      <w:tr>
        <w:trPr>
          <w:trHeight w:val="133"/>
        </w:trPr>
        <w:tc>
          <w:tcPr>
            <w:tcW w:w="848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Total stockholders’ deficit</w:t>
            </w: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(5,305)</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(4,741)</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8480" w:type="dxa"/>
            <w:vAlign w:val="bottom"/>
          </w:tcPr>
          <w:p>
            <w:pPr>
              <w:ind w:left="200"/>
              <w:spacing w:after="0"/>
              <w:rPr>
                <w:sz w:val="20"/>
                <w:szCs w:val="20"/>
                <w:color w:val="auto"/>
              </w:rPr>
            </w:pPr>
            <w:r>
              <w:rPr>
                <w:rFonts w:ascii="Arial" w:cs="Arial" w:eastAsia="Arial" w:hAnsi="Arial"/>
                <w:sz w:val="12"/>
                <w:szCs w:val="12"/>
                <w:color w:val="auto"/>
              </w:rPr>
              <w:t>Total liabilities and stockholders’ deficit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2,004</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2,562</w:t>
            </w:r>
          </w:p>
        </w:tc>
      </w:tr>
      <w:tr>
        <w:trPr>
          <w:trHeight w:val="277"/>
        </w:trPr>
        <w:tc>
          <w:tcPr>
            <w:tcW w:w="8480" w:type="dxa"/>
            <w:vAlign w:val="bottom"/>
          </w:tcPr>
          <w:p>
            <w:pPr>
              <w:jc w:val="center"/>
              <w:ind w:left="2760"/>
              <w:spacing w:after="0"/>
              <w:rPr>
                <w:sz w:val="20"/>
                <w:szCs w:val="20"/>
                <w:color w:val="auto"/>
              </w:rPr>
            </w:pPr>
            <w:r>
              <w:rPr>
                <w:rFonts w:ascii="Arial" w:cs="Arial" w:eastAsia="Arial" w:hAnsi="Arial"/>
                <w:sz w:val="12"/>
                <w:szCs w:val="12"/>
                <w:color w:val="auto"/>
                <w:w w:val="89"/>
              </w:rPr>
              <w:t>See accompanying notes to unaudited consolidated financial statements.</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480" w:type="dxa"/>
            <w:vAlign w:val="bottom"/>
            <w:tcBorders>
              <w:bottom w:val="single" w:sz="8" w:color="auto"/>
            </w:tcBorders>
          </w:tcPr>
          <w:p>
            <w:pPr>
              <w:jc w:val="center"/>
              <w:ind w:left="2760"/>
              <w:spacing w:after="0"/>
              <w:rPr>
                <w:sz w:val="20"/>
                <w:szCs w:val="20"/>
                <w:color w:val="auto"/>
              </w:rPr>
            </w:pPr>
            <w:r>
              <w:rPr>
                <w:rFonts w:ascii="Arial" w:cs="Arial" w:eastAsia="Arial" w:hAnsi="Arial"/>
                <w:sz w:val="12"/>
                <w:szCs w:val="12"/>
                <w:color w:val="auto"/>
                <w:w w:val="89"/>
              </w:rPr>
              <w:t>2</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23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2"/>
                <w:szCs w:val="12"/>
                <w:color w:val="auto"/>
              </w:rPr>
              <w:t>Three months Ended March 31,</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color w:val="auto"/>
              </w:rPr>
              <w:t>2020</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Royalties</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33</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Collaboration</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w:t>
            </w:r>
          </w:p>
        </w:tc>
        <w:tc>
          <w:tcPr>
            <w:tcW w:w="8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License fees</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1,050</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Total revenues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1,091</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67</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Research and development</w:t>
            </w:r>
          </w:p>
        </w:tc>
        <w:tc>
          <w:tcPr>
            <w:tcW w:w="8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387</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313</w:t>
            </w:r>
          </w:p>
        </w:tc>
        <w:tc>
          <w:tcPr>
            <w:tcW w:w="100" w:type="dxa"/>
            <w:vAlign w:val="bottom"/>
          </w:tcPr>
          <w:p>
            <w:pPr>
              <w:spacing w:after="0"/>
              <w:rPr>
                <w:sz w:val="12"/>
                <w:szCs w:val="12"/>
                <w:color w:val="auto"/>
              </w:rPr>
            </w:pP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1,187</w:t>
            </w:r>
          </w:p>
        </w:tc>
        <w:tc>
          <w:tcPr>
            <w:tcW w:w="8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100" w:type="dxa"/>
            <w:vAlign w:val="bottom"/>
            <w:shd w:val="clear" w:color="auto" w:fill="CCEEFF"/>
          </w:tcPr>
          <w:p>
            <w:pPr>
              <w:spacing w:after="0"/>
              <w:rPr>
                <w:sz w:val="13"/>
                <w:szCs w:val="13"/>
                <w:color w:val="auto"/>
              </w:rPr>
            </w:pPr>
          </w:p>
        </w:tc>
      </w:tr>
      <w:tr>
        <w:trPr>
          <w:trHeight w:val="133"/>
        </w:trPr>
        <w:tc>
          <w:tcPr>
            <w:tcW w:w="8480" w:type="dxa"/>
            <w:vAlign w:val="bottom"/>
            <w:tcBorders>
              <w:bottom w:val="single" w:sz="8" w:color="CCEEFF"/>
            </w:tcBorders>
          </w:tcPr>
          <w:p>
            <w:pPr>
              <w:ind w:left="320"/>
              <w:spacing w:after="0" w:line="133" w:lineRule="exact"/>
              <w:rPr>
                <w:sz w:val="20"/>
                <w:szCs w:val="20"/>
                <w:color w:val="auto"/>
              </w:rPr>
            </w:pPr>
            <w:r>
              <w:rPr>
                <w:rFonts w:ascii="Arial" w:cs="Arial" w:eastAsia="Arial" w:hAnsi="Arial"/>
                <w:sz w:val="12"/>
                <w:szCs w:val="12"/>
                <w:color w:val="auto"/>
              </w:rPr>
              <w:t>Total operating expenses</w:t>
            </w:r>
          </w:p>
        </w:tc>
        <w:tc>
          <w:tcPr>
            <w:tcW w:w="8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1,574</w:t>
            </w:r>
          </w:p>
        </w:tc>
        <w:tc>
          <w:tcPr>
            <w:tcW w:w="2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750</w:t>
            </w:r>
          </w:p>
        </w:tc>
        <w:tc>
          <w:tcPr>
            <w:tcW w:w="10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Operating loss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(483)</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1"/>
                <w:szCs w:val="11"/>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Interest expense – related party (Note 8)</w:t>
            </w:r>
          </w:p>
        </w:tc>
        <w:tc>
          <w:tcPr>
            <w:tcW w:w="8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(112)</w:t>
            </w:r>
          </w:p>
        </w:tc>
        <w:tc>
          <w:tcPr>
            <w:tcW w:w="8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(105)</w:t>
            </w:r>
          </w:p>
        </w:tc>
      </w:tr>
      <w:tr>
        <w:trPr>
          <w:trHeight w:val="133"/>
        </w:trPr>
        <w:tc>
          <w:tcPr>
            <w:tcW w:w="84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Loss before provision for income taxes</w:t>
            </w:r>
          </w:p>
        </w:tc>
        <w:tc>
          <w:tcPr>
            <w:tcW w:w="8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(788)</w:t>
            </w: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848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Net loss</w:t>
            </w:r>
          </w:p>
        </w:tc>
        <w:tc>
          <w:tcPr>
            <w:tcW w:w="84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per share (Note 13):</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200"/>
              <w:spacing w:after="0"/>
              <w:rPr>
                <w:sz w:val="20"/>
                <w:szCs w:val="20"/>
                <w:color w:val="auto"/>
              </w:rPr>
            </w:pPr>
            <w:r>
              <w:rPr>
                <w:rFonts w:ascii="Arial" w:cs="Arial" w:eastAsia="Arial" w:hAnsi="Arial"/>
                <w:sz w:val="12"/>
                <w:szCs w:val="12"/>
                <w:color w:val="auto"/>
              </w:rPr>
              <w:t>Basic</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(0.02)</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(0.04)</w:t>
            </w:r>
          </w:p>
        </w:tc>
      </w:tr>
      <w:tr>
        <w:trPr>
          <w:trHeight w:val="153"/>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(0.02)</w:t>
            </w:r>
          </w:p>
        </w:tc>
        <w:tc>
          <w:tcPr>
            <w:tcW w:w="820" w:type="dxa"/>
            <w:vAlign w:val="bottom"/>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(0.04)</w:t>
            </w:r>
          </w:p>
        </w:tc>
      </w:tr>
      <w:tr>
        <w:trPr>
          <w:trHeight w:val="133"/>
        </w:trPr>
        <w:tc>
          <w:tcPr>
            <w:tcW w:w="8480" w:type="dxa"/>
            <w:vAlign w:val="bottom"/>
          </w:tcPr>
          <w:p>
            <w:pPr>
              <w:ind w:left="20"/>
              <w:spacing w:after="0" w:line="133" w:lineRule="exact"/>
              <w:rPr>
                <w:sz w:val="20"/>
                <w:szCs w:val="20"/>
                <w:color w:val="auto"/>
              </w:rPr>
            </w:pPr>
            <w:r>
              <w:rPr>
                <w:rFonts w:ascii="Arial" w:cs="Arial" w:eastAsia="Arial" w:hAnsi="Arial"/>
                <w:sz w:val="12"/>
                <w:szCs w:val="12"/>
                <w:color w:val="auto"/>
              </w:rPr>
              <w:t>Weighted average number of shares outstanding:</w:t>
            </w: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Basic</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32,270</w:t>
            </w:r>
          </w:p>
        </w:tc>
        <w:tc>
          <w:tcPr>
            <w:tcW w:w="8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21,493</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200"/>
              <w:spacing w:after="0"/>
              <w:rPr>
                <w:sz w:val="20"/>
                <w:szCs w:val="20"/>
                <w:color w:val="auto"/>
              </w:rPr>
            </w:pPr>
            <w:r>
              <w:rPr>
                <w:rFonts w:ascii="Arial" w:cs="Arial" w:eastAsia="Arial" w:hAnsi="Arial"/>
                <w:sz w:val="12"/>
                <w:szCs w:val="12"/>
                <w:color w:val="auto"/>
              </w:rPr>
              <w:t>Diluted</w:t>
            </w:r>
          </w:p>
        </w:tc>
        <w:tc>
          <w:tcPr>
            <w:tcW w:w="8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32,270</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21,493</w:t>
            </w:r>
          </w:p>
        </w:tc>
        <w:tc>
          <w:tcPr>
            <w:tcW w:w="10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CONSOLIDATED STATEMENT OF CHANGES IN ACCUMULATED STOCKHOLDERS' DEFICIT</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 in thousands)</w:t>
      </w:r>
    </w:p>
    <w:p>
      <w:pPr>
        <w:sectPr>
          <w:pgSz w:w="11900" w:h="16838" w:orient="portrait"/>
          <w:cols w:equalWidth="0" w:num="1">
            <w:col w:w="11220"/>
          </w:cols>
          <w:pgMar w:left="300" w:top="64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Balance at January 1, 2020</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Net loss</w:t>
      </w:r>
    </w:p>
    <w:p>
      <w:pPr>
        <w:spacing w:after="0" w:line="15" w:lineRule="exact"/>
        <w:rPr>
          <w:sz w:val="20"/>
          <w:szCs w:val="20"/>
          <w:color w:val="auto"/>
        </w:rPr>
      </w:pPr>
    </w:p>
    <w:p>
      <w:pPr>
        <w:ind w:right="760"/>
        <w:spacing w:after="0" w:line="250" w:lineRule="auto"/>
        <w:rPr>
          <w:sz w:val="20"/>
          <w:szCs w:val="20"/>
          <w:color w:val="auto"/>
        </w:rPr>
      </w:pPr>
      <w:r>
        <w:rPr>
          <w:rFonts w:ascii="Arial" w:cs="Arial" w:eastAsia="Arial" w:hAnsi="Arial"/>
          <w:sz w:val="12"/>
          <w:szCs w:val="12"/>
          <w:color w:val="auto"/>
        </w:rPr>
        <w:t>Net distribution of common stock pursuant to restricted stock unit award plan Non-cash share-based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Balance at March 31, 2020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6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2"/>
                <w:szCs w:val="12"/>
                <w:color w:val="auto"/>
              </w:rPr>
              <w:t>Common Stock</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2"/>
                <w:szCs w:val="12"/>
                <w:color w:val="auto"/>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Number</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2"/>
                <w:szCs w:val="12"/>
                <w:color w:val="auto"/>
              </w:rPr>
              <w:t>Paid-in</w:t>
            </w:r>
          </w:p>
        </w:tc>
        <w:tc>
          <w:tcPr>
            <w:tcW w:w="12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520"/>
              <w:spacing w:after="0"/>
              <w:rPr>
                <w:sz w:val="20"/>
                <w:szCs w:val="20"/>
                <w:color w:val="auto"/>
              </w:rPr>
            </w:pPr>
            <w:r>
              <w:rPr>
                <w:rFonts w:ascii="Arial" w:cs="Arial" w:eastAsia="Arial" w:hAnsi="Arial"/>
                <w:sz w:val="12"/>
                <w:szCs w:val="12"/>
                <w:color w:val="auto"/>
              </w:rPr>
              <w:t>of Shares</w:t>
            </w:r>
          </w:p>
        </w:tc>
        <w:tc>
          <w:tcPr>
            <w:tcW w:w="800" w:type="dxa"/>
            <w:vAlign w:val="bottom"/>
          </w:tcPr>
          <w:p>
            <w:pPr>
              <w:jc w:val="right"/>
              <w:ind w:right="6"/>
              <w:spacing w:after="0"/>
              <w:rPr>
                <w:sz w:val="20"/>
                <w:szCs w:val="20"/>
                <w:color w:val="auto"/>
              </w:rPr>
            </w:pPr>
            <w:r>
              <w:rPr>
                <w:rFonts w:ascii="Arial" w:cs="Arial" w:eastAsia="Arial" w:hAnsi="Arial"/>
                <w:sz w:val="12"/>
                <w:szCs w:val="12"/>
                <w:color w:val="auto"/>
              </w:rPr>
              <w:t>Par Value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2"/>
                <w:szCs w:val="12"/>
                <w:color w:val="auto"/>
              </w:rPr>
              <w:t>Capital</w:t>
            </w:r>
          </w:p>
        </w:tc>
        <w:tc>
          <w:tcPr>
            <w:tcW w:w="12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2"/>
                <w:szCs w:val="12"/>
                <w:color w:val="auto"/>
              </w:rPr>
              <w:t>Deficit</w:t>
            </w:r>
          </w:p>
        </w:tc>
        <w:tc>
          <w:tcPr>
            <w:tcW w:w="220" w:type="dxa"/>
            <w:vAlign w:val="bottom"/>
          </w:tcPr>
          <w:p>
            <w:pPr>
              <w:spacing w:after="0"/>
              <w:rPr>
                <w:sz w:val="13"/>
                <w:szCs w:val="13"/>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21,300</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213</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383,042</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(387,996)</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(4,741)</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2"/>
                <w:szCs w:val="12"/>
                <w:color w:val="auto"/>
              </w:rPr>
              <w:t>(595)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Arial" w:cs="Arial" w:eastAsia="Arial" w:hAnsi="Arial"/>
                <w:sz w:val="12"/>
                <w:szCs w:val="12"/>
                <w:color w:val="auto"/>
              </w:rPr>
              <w:t>(595)</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350</w:t>
            </w:r>
          </w:p>
        </w:tc>
        <w:tc>
          <w:tcPr>
            <w:tcW w:w="8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21,650</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216</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383,070</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(388,591)</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(5,305)</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-485140</wp:posOffset>
            </wp:positionV>
            <wp:extent cx="7178040" cy="9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-290830</wp:posOffset>
            </wp:positionV>
            <wp:extent cx="7178040"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-102235</wp:posOffset>
            </wp:positionV>
            <wp:extent cx="7178040"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480" w:space="720"/>
            <w:col w:w="6020"/>
          </w:cols>
          <w:pgMar w:left="300" w:top="649" w:right="37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Balance at January 1, 2019</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Net loss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Non-cash share-based compensation</w:t>
      </w:r>
    </w:p>
    <w:p>
      <w:pPr>
        <w:spacing w:after="0" w:line="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Net distribution of common stock pursuant to restricted stock unit award plan Balance at March31,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80" w:type="dxa"/>
        <w:tblCellMar>
          <w:top w:w="0" w:type="dxa"/>
          <w:left w:w="0" w:type="dxa"/>
          <w:bottom w:w="0" w:type="dxa"/>
          <w:right w:w="0" w:type="dxa"/>
        </w:tblCellMar>
      </w:tblPr>
      <w:tr>
        <w:trPr>
          <w:trHeight w:val="153"/>
        </w:trPr>
        <w:tc>
          <w:tcPr>
            <w:tcW w:w="206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2"/>
                <w:szCs w:val="12"/>
                <w:color w:val="auto"/>
              </w:rPr>
              <w:t>Common Stock</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2"/>
                <w:szCs w:val="12"/>
                <w:color w:val="auto"/>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Number</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2"/>
                <w:szCs w:val="12"/>
                <w:color w:val="auto"/>
              </w:rPr>
              <w:t>Paid-in</w:t>
            </w:r>
          </w:p>
        </w:tc>
        <w:tc>
          <w:tcPr>
            <w:tcW w:w="12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520"/>
              <w:spacing w:after="0"/>
              <w:rPr>
                <w:sz w:val="20"/>
                <w:szCs w:val="20"/>
                <w:color w:val="auto"/>
              </w:rPr>
            </w:pPr>
            <w:r>
              <w:rPr>
                <w:rFonts w:ascii="Arial" w:cs="Arial" w:eastAsia="Arial" w:hAnsi="Arial"/>
                <w:sz w:val="12"/>
                <w:szCs w:val="12"/>
                <w:color w:val="auto"/>
              </w:rPr>
              <w:t>of Shares</w:t>
            </w:r>
          </w:p>
        </w:tc>
        <w:tc>
          <w:tcPr>
            <w:tcW w:w="800" w:type="dxa"/>
            <w:vAlign w:val="bottom"/>
          </w:tcPr>
          <w:p>
            <w:pPr>
              <w:jc w:val="right"/>
              <w:ind w:right="6"/>
              <w:spacing w:after="0"/>
              <w:rPr>
                <w:sz w:val="20"/>
                <w:szCs w:val="20"/>
                <w:color w:val="auto"/>
              </w:rPr>
            </w:pPr>
            <w:r>
              <w:rPr>
                <w:rFonts w:ascii="Arial" w:cs="Arial" w:eastAsia="Arial" w:hAnsi="Arial"/>
                <w:sz w:val="12"/>
                <w:szCs w:val="12"/>
                <w:color w:val="auto"/>
              </w:rPr>
              <w:t>Par Value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2"/>
                <w:szCs w:val="12"/>
                <w:color w:val="auto"/>
              </w:rPr>
              <w:t>Capital</w:t>
            </w:r>
          </w:p>
        </w:tc>
        <w:tc>
          <w:tcPr>
            <w:tcW w:w="12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2"/>
                <w:szCs w:val="12"/>
                <w:color w:val="auto"/>
              </w:rPr>
              <w:t>Deficit</w:t>
            </w:r>
          </w:p>
        </w:tc>
        <w:tc>
          <w:tcPr>
            <w:tcW w:w="220" w:type="dxa"/>
            <w:vAlign w:val="bottom"/>
          </w:tcPr>
          <w:p>
            <w:pPr>
              <w:spacing w:after="0"/>
              <w:rPr>
                <w:sz w:val="13"/>
                <w:szCs w:val="13"/>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21,034</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210</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380,395</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(384,2220</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(3,617)</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2"/>
                <w:szCs w:val="12"/>
                <w:color w:val="auto"/>
              </w:rPr>
              <w:t>(788)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Arial" w:cs="Arial" w:eastAsia="Arial" w:hAnsi="Arial"/>
                <w:sz w:val="12"/>
                <w:szCs w:val="12"/>
                <w:color w:val="auto"/>
              </w:rPr>
              <w:t>(788)</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266</w:t>
            </w:r>
          </w:p>
        </w:tc>
        <w:tc>
          <w:tcPr>
            <w:tcW w:w="8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21,300</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213</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380,436</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(385,010)</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(4,361)</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-485140</wp:posOffset>
            </wp:positionV>
            <wp:extent cx="717804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-290830</wp:posOffset>
            </wp:positionV>
            <wp:extent cx="717804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-102235</wp:posOffset>
            </wp:positionV>
            <wp:extent cx="717804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00" w:lineRule="exact"/>
        <w:rPr>
          <w:sz w:val="20"/>
          <w:szCs w:val="20"/>
          <w:color w:val="auto"/>
        </w:rPr>
      </w:pPr>
    </w:p>
    <w:p>
      <w:pPr>
        <w:sectPr>
          <w:pgSz w:w="11900" w:h="16838" w:orient="portrait"/>
          <w:cols w:equalWidth="0" w:num="2">
            <w:col w:w="3720" w:space="200"/>
            <w:col w:w="7300"/>
          </w:cols>
          <w:pgMar w:left="300" w:top="649" w:right="379" w:bottom="1440" w:gutter="0" w:footer="0" w:header="0"/>
          <w:type w:val="continuous"/>
        </w:sectPr>
      </w:pP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2"/>
                <w:szCs w:val="12"/>
                <w:color w:val="auto"/>
              </w:rPr>
              <w:t>Three months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040" w:type="dxa"/>
            <w:vAlign w:val="bottom"/>
          </w:tcPr>
          <w:p>
            <w:pPr>
              <w:spacing w:after="0"/>
              <w:rPr>
                <w:sz w:val="12"/>
                <w:szCs w:val="12"/>
                <w:color w:val="auto"/>
              </w:rPr>
            </w:pPr>
          </w:p>
        </w:tc>
        <w:tc>
          <w:tcPr>
            <w:tcW w:w="5300" w:type="dxa"/>
            <w:vAlign w:val="bottom"/>
            <w:gridSpan w:val="2"/>
          </w:tcPr>
          <w:p>
            <w:pPr>
              <w:jc w:val="right"/>
              <w:ind w:right="66"/>
              <w:spacing w:after="0"/>
              <w:rPr>
                <w:sz w:val="20"/>
                <w:szCs w:val="20"/>
                <w:color w:val="auto"/>
              </w:rPr>
            </w:pPr>
            <w:r>
              <w:rPr>
                <w:rFonts w:ascii="Arial" w:cs="Arial" w:eastAsia="Arial" w:hAnsi="Arial"/>
                <w:sz w:val="12"/>
                <w:szCs w:val="12"/>
                <w:color w:val="auto"/>
              </w:rPr>
              <w:t>2020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2"/>
                <w:szCs w:val="12"/>
                <w:color w:val="auto"/>
              </w:rPr>
              <w:t>2019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44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040" w:type="dxa"/>
            <w:vAlign w:val="bottom"/>
          </w:tcPr>
          <w:p>
            <w:pPr>
              <w:ind w:left="100"/>
              <w:spacing w:after="0"/>
              <w:rPr>
                <w:sz w:val="20"/>
                <w:szCs w:val="20"/>
                <w:color w:val="auto"/>
              </w:rPr>
            </w:pPr>
            <w:r>
              <w:rPr>
                <w:rFonts w:ascii="Arial" w:cs="Arial" w:eastAsia="Arial" w:hAnsi="Arial"/>
                <w:sz w:val="12"/>
                <w:szCs w:val="12"/>
                <w:color w:val="auto"/>
              </w:rPr>
              <w:t>Net loss</w:t>
            </w:r>
          </w:p>
        </w:tc>
        <w:tc>
          <w:tcPr>
            <w:tcW w:w="5300" w:type="dxa"/>
            <w:vAlign w:val="bottom"/>
            <w:gridSpan w:val="2"/>
          </w:tcPr>
          <w:p>
            <w:pPr>
              <w:jc w:val="right"/>
              <w:ind w:right="746"/>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(595)</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(788)</w:t>
            </w:r>
          </w:p>
        </w:tc>
      </w:tr>
      <w:tr>
        <w:trPr>
          <w:trHeight w:val="144"/>
        </w:trPr>
        <w:tc>
          <w:tcPr>
            <w:tcW w:w="93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Depreciation</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Non-cash share-based compensation</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w:t>
            </w: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Capitalized debt discount</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(9)</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Amortization of debt discount and deferred debt issue costs</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w:t>
            </w: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Amortization of intangible asset</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51</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Impairment charge on intangible asset</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668</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040" w:type="dxa"/>
            <w:vAlign w:val="bottom"/>
          </w:tcPr>
          <w:p>
            <w:pPr>
              <w:ind w:left="100"/>
              <w:spacing w:after="0"/>
              <w:rPr>
                <w:sz w:val="20"/>
                <w:szCs w:val="20"/>
                <w:color w:val="auto"/>
              </w:rPr>
            </w:pPr>
            <w:r>
              <w:rPr>
                <w:rFonts w:ascii="Arial" w:cs="Arial" w:eastAsia="Arial" w:hAnsi="Arial"/>
                <w:sz w:val="12"/>
                <w:szCs w:val="12"/>
                <w:color w:val="auto"/>
              </w:rPr>
              <w:t>Changes in assets and liabilities:</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Royalty receivable</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Collaboration revenue receivable from related party</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73</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Accounts payable</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(129)</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w:t>
            </w:r>
          </w:p>
        </w:tc>
      </w:tr>
      <w:tr>
        <w:trPr>
          <w:trHeight w:val="144"/>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Accrued expenses</w:t>
            </w:r>
          </w:p>
        </w:tc>
        <w:tc>
          <w:tcPr>
            <w:tcW w:w="4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040" w:type="dxa"/>
            <w:vAlign w:val="bottom"/>
          </w:tcPr>
          <w:p>
            <w:pPr>
              <w:ind w:left="320"/>
              <w:spacing w:after="0"/>
              <w:rPr>
                <w:sz w:val="20"/>
                <w:szCs w:val="20"/>
                <w:color w:val="auto"/>
              </w:rPr>
            </w:pPr>
            <w:r>
              <w:rPr>
                <w:rFonts w:ascii="Arial" w:cs="Arial" w:eastAsia="Arial" w:hAnsi="Arial"/>
                <w:sz w:val="12"/>
                <w:szCs w:val="12"/>
                <w:color w:val="auto"/>
              </w:rPr>
              <w:t>Accrued interest on related party loans</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112</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80</w:t>
            </w:r>
          </w:p>
        </w:tc>
      </w:tr>
      <w:tr>
        <w:trPr>
          <w:trHeight w:val="153"/>
        </w:trPr>
        <w:tc>
          <w:tcPr>
            <w:tcW w:w="40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current liabilities</w:t>
            </w:r>
          </w:p>
        </w:tc>
        <w:tc>
          <w:tcPr>
            <w:tcW w:w="4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w:t>
            </w:r>
          </w:p>
        </w:tc>
        <w:tc>
          <w:tcPr>
            <w:tcW w:w="8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r>
      <w:tr>
        <w:trPr>
          <w:trHeight w:val="133"/>
        </w:trPr>
        <w:tc>
          <w:tcPr>
            <w:tcW w:w="4040" w:type="dxa"/>
            <w:vAlign w:val="bottom"/>
            <w:tcBorders>
              <w:bottom w:val="single" w:sz="8" w:color="CCEEFF"/>
            </w:tcBorders>
          </w:tcPr>
          <w:p>
            <w:pPr>
              <w:ind w:left="420"/>
              <w:spacing w:after="0" w:line="133" w:lineRule="exact"/>
              <w:rPr>
                <w:sz w:val="20"/>
                <w:szCs w:val="20"/>
                <w:color w:val="auto"/>
              </w:rPr>
            </w:pPr>
            <w:r>
              <w:rPr>
                <w:rFonts w:ascii="Arial" w:cs="Arial" w:eastAsia="Arial" w:hAnsi="Arial"/>
                <w:sz w:val="12"/>
                <w:szCs w:val="12"/>
                <w:color w:val="auto"/>
              </w:rPr>
              <w:t>Net cash provided by (used in) operating activities</w:t>
            </w:r>
          </w:p>
        </w:tc>
        <w:tc>
          <w:tcPr>
            <w:tcW w:w="4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347</w:t>
            </w:r>
          </w:p>
        </w:tc>
        <w:tc>
          <w:tcPr>
            <w:tcW w:w="2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(399)</w:t>
            </w:r>
          </w:p>
        </w:tc>
        <w:tc>
          <w:tcPr>
            <w:tcW w:w="120" w:type="dxa"/>
            <w:vAlign w:val="bottom"/>
            <w:tcBorders>
              <w:bottom w:val="single" w:sz="8" w:color="CCEEFF"/>
            </w:tcBorders>
          </w:tcPr>
          <w:p>
            <w:pPr>
              <w:spacing w:after="0"/>
              <w:rPr>
                <w:sz w:val="11"/>
                <w:szCs w:val="11"/>
                <w:color w:val="auto"/>
              </w:rPr>
            </w:pPr>
          </w:p>
        </w:tc>
      </w:tr>
      <w:tr>
        <w:trPr>
          <w:trHeight w:val="133"/>
        </w:trPr>
        <w:tc>
          <w:tcPr>
            <w:tcW w:w="4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4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040" w:type="dxa"/>
            <w:vAlign w:val="bottom"/>
          </w:tcPr>
          <w:p>
            <w:pPr>
              <w:ind w:left="200"/>
              <w:spacing w:after="0"/>
              <w:rPr>
                <w:sz w:val="20"/>
                <w:szCs w:val="20"/>
                <w:color w:val="auto"/>
              </w:rPr>
            </w:pPr>
            <w:r>
              <w:rPr>
                <w:rFonts w:ascii="Arial" w:cs="Arial" w:eastAsia="Arial" w:hAnsi="Arial"/>
                <w:sz w:val="12"/>
                <w:szCs w:val="12"/>
                <w:color w:val="auto"/>
              </w:rPr>
              <w:t>Proceeds from distribution of restricted stock units</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r>
      <w:tr>
        <w:trPr>
          <w:trHeight w:val="144"/>
        </w:trPr>
        <w:tc>
          <w:tcPr>
            <w:tcW w:w="40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2"/>
              </w:rPr>
              <w:t>Statutory minimum payroll withholding taxes paid on the distribution of shares</w:t>
            </w:r>
          </w:p>
        </w:tc>
        <w:tc>
          <w:tcPr>
            <w:tcW w:w="5300" w:type="dxa"/>
            <w:vAlign w:val="bottom"/>
            <w:gridSpan w:val="2"/>
            <w:shd w:val="clear" w:color="auto" w:fill="CCEEFF"/>
          </w:tcPr>
          <w:p>
            <w:pPr>
              <w:jc w:val="right"/>
              <w:ind w:right="3866"/>
              <w:spacing w:after="0"/>
              <w:rPr>
                <w:sz w:val="20"/>
                <w:szCs w:val="20"/>
                <w:color w:val="auto"/>
              </w:rPr>
            </w:pPr>
            <w:r>
              <w:rPr>
                <w:rFonts w:ascii="Arial" w:cs="Arial" w:eastAsia="Arial" w:hAnsi="Arial"/>
                <w:sz w:val="12"/>
                <w:szCs w:val="12"/>
                <w:color w:val="auto"/>
                <w:w w:val="90"/>
              </w:rPr>
              <w:t>pursuant to RSU award plan</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tcPr>
          <w:p>
            <w:pPr>
              <w:ind w:left="200"/>
              <w:spacing w:after="0"/>
              <w:rPr>
                <w:sz w:val="20"/>
                <w:szCs w:val="20"/>
                <w:color w:val="auto"/>
              </w:rPr>
            </w:pPr>
            <w:r>
              <w:rPr>
                <w:rFonts w:ascii="Arial" w:cs="Arial" w:eastAsia="Arial" w:hAnsi="Arial"/>
                <w:sz w:val="12"/>
                <w:szCs w:val="12"/>
                <w:color w:val="auto"/>
              </w:rPr>
              <w:t>Proceeds from related party loans</w:t>
            </w:r>
          </w:p>
        </w:tc>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400</w:t>
            </w:r>
          </w:p>
        </w:tc>
      </w:tr>
      <w:tr>
        <w:trPr>
          <w:trHeight w:val="133"/>
        </w:trPr>
        <w:tc>
          <w:tcPr>
            <w:tcW w:w="4040" w:type="dxa"/>
            <w:vAlign w:val="bottom"/>
            <w:tcBorders>
              <w:top w:val="single" w:sz="8" w:color="CCEEFF"/>
            </w:tcBorders>
            <w:shd w:val="clear" w:color="auto" w:fill="CCEEFF"/>
          </w:tcPr>
          <w:p>
            <w:pPr>
              <w:ind w:left="420"/>
              <w:spacing w:after="0" w:line="133" w:lineRule="exact"/>
              <w:rPr>
                <w:sz w:val="20"/>
                <w:szCs w:val="20"/>
                <w:color w:val="auto"/>
              </w:rPr>
            </w:pPr>
            <w:r>
              <w:rPr>
                <w:rFonts w:ascii="Arial" w:cs="Arial" w:eastAsia="Arial" w:hAnsi="Arial"/>
                <w:sz w:val="12"/>
                <w:szCs w:val="12"/>
                <w:color w:val="auto"/>
              </w:rPr>
              <w:t>Net cash provided by financing activities</w:t>
            </w:r>
          </w:p>
        </w:tc>
        <w:tc>
          <w:tcPr>
            <w:tcW w:w="44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040" w:type="dxa"/>
            <w:vAlign w:val="bottom"/>
          </w:tcPr>
          <w:p>
            <w:pPr>
              <w:spacing w:after="0" w:line="133" w:lineRule="exact"/>
              <w:rPr>
                <w:sz w:val="20"/>
                <w:szCs w:val="20"/>
                <w:color w:val="auto"/>
              </w:rPr>
            </w:pPr>
            <w:r>
              <w:rPr>
                <w:rFonts w:ascii="Arial" w:cs="Arial" w:eastAsia="Arial" w:hAnsi="Arial"/>
                <w:sz w:val="12"/>
                <w:szCs w:val="12"/>
                <w:color w:val="auto"/>
              </w:rPr>
              <w:t>Net increase in cash</w:t>
            </w:r>
          </w:p>
        </w:tc>
        <w:tc>
          <w:tcPr>
            <w:tcW w:w="4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348</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120" w:type="dxa"/>
            <w:vAlign w:val="bottom"/>
          </w:tcPr>
          <w:p>
            <w:pPr>
              <w:spacing w:after="0"/>
              <w:rPr>
                <w:sz w:val="11"/>
                <w:szCs w:val="11"/>
                <w:color w:val="auto"/>
              </w:rPr>
            </w:pPr>
          </w:p>
        </w:tc>
      </w:tr>
      <w:tr>
        <w:trPr>
          <w:trHeight w:val="153"/>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Cash at beginning of period</w:t>
            </w:r>
          </w:p>
        </w:tc>
        <w:tc>
          <w:tcPr>
            <w:tcW w:w="4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862</w:t>
            </w:r>
          </w:p>
        </w:tc>
        <w:tc>
          <w:tcPr>
            <w:tcW w:w="8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w:t>
            </w:r>
          </w:p>
        </w:tc>
      </w:tr>
      <w:tr>
        <w:trPr>
          <w:trHeight w:val="133"/>
        </w:trPr>
        <w:tc>
          <w:tcPr>
            <w:tcW w:w="40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Cash at end of end of period</w:t>
            </w:r>
          </w:p>
        </w:tc>
        <w:tc>
          <w:tcPr>
            <w:tcW w:w="4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1,210</w:t>
            </w:r>
          </w:p>
        </w:tc>
        <w:tc>
          <w:tcPr>
            <w:tcW w:w="2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tcBorders>
          </w:tcPr>
          <w:p>
            <w:pPr>
              <w:spacing w:after="0"/>
              <w:rPr>
                <w:sz w:val="11"/>
                <w:szCs w:val="11"/>
                <w:color w:val="auto"/>
              </w:rPr>
            </w:pPr>
          </w:p>
        </w:tc>
      </w:tr>
      <w:tr>
        <w:trPr>
          <w:trHeight w:val="133"/>
        </w:trPr>
        <w:tc>
          <w:tcPr>
            <w:tcW w:w="4040" w:type="dxa"/>
            <w:vAlign w:val="bottom"/>
            <w:shd w:val="clear" w:color="auto" w:fill="CCEEFF"/>
          </w:tcPr>
          <w:p>
            <w:pPr>
              <w:spacing w:after="0"/>
              <w:rPr>
                <w:sz w:val="11"/>
                <w:szCs w:val="11"/>
                <w:color w:val="auto"/>
              </w:rPr>
            </w:pPr>
          </w:p>
        </w:tc>
        <w:tc>
          <w:tcPr>
            <w:tcW w:w="4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12"/>
                <w:szCs w:val="12"/>
                <w:color w:val="auto"/>
              </w:rPr>
              <w:t>Supplemental Disclosures of Cash Flow Information:</w:t>
            </w: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interest payments on loan</w:t>
            </w:r>
          </w:p>
        </w:tc>
        <w:tc>
          <w:tcPr>
            <w:tcW w:w="5300" w:type="dxa"/>
            <w:vAlign w:val="bottom"/>
            <w:gridSpan w:val="2"/>
            <w:shd w:val="clear" w:color="auto" w:fill="CCEEFF"/>
          </w:tcPr>
          <w:p>
            <w:pPr>
              <w:jc w:val="right"/>
              <w:ind w:right="746"/>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ACURA PHARMACEUTICALS,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MARCH 31, 2020 AND MARCH 31, 2019</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OPERATIONS AND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Principal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28" w:lineRule="exact"/>
        <w:rPr>
          <w:sz w:val="20"/>
          <w:szCs w:val="20"/>
          <w:color w:val="auto"/>
        </w:rPr>
      </w:pPr>
    </w:p>
    <w:p>
      <w:pPr>
        <w:jc w:val="both"/>
        <w:ind w:left="420" w:hanging="212"/>
        <w:spacing w:after="0" w:line="298"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p>
      <w:pPr>
        <w:spacing w:after="0" w:line="104" w:lineRule="exact"/>
        <w:rPr>
          <w:rFonts w:ascii="Arial" w:cs="Arial" w:eastAsia="Arial" w:hAnsi="Arial"/>
          <w:sz w:val="11"/>
          <w:szCs w:val="11"/>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14"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 MainPointe subsequently assigned its interest in the license to Abuse Deterrent Pharma, LLC but continues to market the products.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Liquidity and Substantial Doubt in Going Concern</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March 31, 2020, we had cash of $1.2 million, working capital deficit of $5.9 million and an accumulated deficit of $388.6 million. We had a loss from operations of $483 thousand and a net loss of $595 thousand for the three months ended March 31, 2020, and had a loss from operations of $725 thousand and a net loss of $3.8 million for the year ended December 31, 2019. We have suffered recurring losses from operations and have not generated positive cash flows from operations. We anticipate operating losses to continue for the foreseeable future.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1"/>
          <w:szCs w:val="11"/>
          <w:color w:val="auto"/>
        </w:rPr>
        <w:t>On June 28, 2019, we entered into a License, Development and Commercialization Agreement with Abuse Deterrent Pharma, LLC (“AD Pharma”) (the “AD Pharma Agreement”). AD Pharma has the right to terminate the AD Pharma Agreement for “convenience on 30 days prior written notice”. Under the AD Pharma Agreement, the required monthly license payments by AD Pharma will only continue until November 2020 if AD Pharma does not exercise their right to terminate the AD Pharma Agreement. To fund further operations,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ongoing COVID-19 pandemic.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We have therefore reclassified the $6.0 million note from noncurrent to current liability. The Parties are in negotiations to amend the AD Pharma Agreement to extend the date of the FDA acceptance of the NDA for LTX-03 which would allow for these unforeseen delays. AD Pharma has deferred the remittance of the required monthly license payments for May and June, 2020 pending the completion of these negotiations.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COVID-19</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example, as further discussed throughout the notes to financial statements, our contract manufacturer has delayed the installation of the auxiliary manufacturing equipment needed for LTX-03 development for several weeks due to COVID-19 risk mitigation strategies implemented in New Jersey which is needed to further our NDA application submission for LTX-03.</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ultimate impact of coronavirus is highly uncertain and subject to change. The Company does not yet know the full extent of potential delays or impacts on its business, financing</w:t>
      </w:r>
      <w:r>
        <w:rPr>
          <w:rFonts w:ascii="Arial" w:cs="Arial" w:eastAsia="Arial" w:hAnsi="Arial"/>
          <w:sz w:val="12"/>
          <w:szCs w:val="12"/>
          <w:color w:val="FF0000"/>
        </w:rPr>
        <w:t>,</w:t>
      </w:r>
      <w:r>
        <w:rPr>
          <w:rFonts w:ascii="Arial" w:cs="Arial" w:eastAsia="Arial" w:hAnsi="Arial"/>
          <w:sz w:val="12"/>
          <w:szCs w:val="12"/>
          <w:color w:val="auto"/>
        </w:rPr>
        <w:t xml:space="preserve">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NOTE 2 – RECENT ANNOUNCING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New accounting standards which have been adopted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 Measurements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August 2018, the FASB issued ASU 2018-13</w:t>
      </w:r>
      <w:r>
        <w:rPr>
          <w:rFonts w:ascii="Arial" w:cs="Arial" w:eastAsia="Arial" w:hAnsi="Arial"/>
          <w:sz w:val="11"/>
          <w:szCs w:val="11"/>
          <w:i w:val="1"/>
          <w:iCs w:val="1"/>
          <w:color w:val="auto"/>
        </w:rPr>
        <w:t>, Fair Value Measurement (Topic 820): Disclosure Framework – Changes to the Disclosure Requirements for Fair Value Measurement</w:t>
      </w:r>
      <w:r>
        <w:rPr>
          <w:rFonts w:ascii="Arial" w:cs="Arial" w:eastAsia="Arial" w:hAnsi="Arial"/>
          <w:sz w:val="11"/>
          <w:szCs w:val="11"/>
          <w:color w:val="auto"/>
        </w:rPr>
        <w:t>. ASU 2018-13 eliminates certain disclosure requirements for fair value measurements for all entities, requires public entities to disclose certain new information and modifies some disclosure requirements. This standard is effective for fiscal years beginning after December 15, 2019, including interim reporting periods within those years, with early adoption permitted. The Company’s adoption of ASU 2018-13 did not have a material impact on the financial statements and related footnote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LICENSE AND COLLABORATION AGREEMENTS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June 28, 2019 we entered into a License, Development and Commercialization Agreement (“the AD Pharma Agreement”) with Abuse Deterrent Pharma, LLC (AD Pharma”, for the development and license of LTX-03 (hydrocodone bitartrate with acetaminophen) immediate-release tablets utilizing Acura’s patented LIMITx™. Acura will receive a monthly license payment of $350 thousand by AD Pharma for 18 months until November 2020. The first license payment was received July 2, 2019. AD Pharma will pay for and reimburse Acura for all outside development costs on LTX-03. If the NDA filing for LTX-03 is not accepted by the FDA by November 30, 2020,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AD Pharma retains commercialization rights from which Acura will receive stepped royalties on sales and potential sales related milestones.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28, 2019 Mr. John Schutte assigned and transferred to AD Pharma his $6.0 million promissory note, the common stock purchase warrant for 10.0 million common shares, and the security agreement granting a security interest in all of the Company’s assets. Mr. Schutte is our largest shareholder and directly owns approximately 45.7% of our common stock (after giving effect to the exercise of remaining common stock purchase warrants he holds). Mr. Schutte controls MainPointe and is the principal investor in AD Pharma.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Zyla Agreement covering Oxaydo</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Zyla royalty revenues to us. We have recorded amortization expense of $51 thousand in each of the three month periods ending March 31, 2020 and 2019. For the three month period ending March 31, 2020, a triggering event has occurred with the decline in royalty cash flows from Zyla and we performed and impairment test which indicated that the carrying value is greater than the fair value. The impairment-test resulted to a $668 thousand impairment charge against the intangible asset, which was determined using our estimate of discounted royalty cash flows remaining under our license agreement with Zyla, and recorded a like amount to general and administrative expense. Amortization of the patent for its remaining life is expected to approximate $6 thousand per quarter.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The Aversion intangible asset is summarized as follows (in thousands):</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jc w:val="center"/>
              <w:ind w:left="286"/>
              <w:spacing w:after="0"/>
              <w:rPr>
                <w:sz w:val="20"/>
                <w:szCs w:val="20"/>
                <w:color w:val="auto"/>
              </w:rPr>
            </w:pPr>
            <w:r>
              <w:rPr>
                <w:rFonts w:ascii="Arial" w:cs="Arial" w:eastAsia="Arial" w:hAnsi="Arial"/>
                <w:sz w:val="12"/>
                <w:szCs w:val="12"/>
                <w:color w:val="auto"/>
                <w:w w:val="89"/>
              </w:rPr>
              <w:t>March 31,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color w:val="auto"/>
              </w:rPr>
              <w:t>December 31,</w:t>
            </w:r>
          </w:p>
        </w:tc>
      </w:tr>
      <w:tr>
        <w:trPr>
          <w:trHeight w:val="153"/>
        </w:trPr>
        <w:tc>
          <w:tcPr>
            <w:tcW w:w="17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660" w:type="dxa"/>
            <w:vAlign w:val="bottom"/>
            <w:gridSpan w:val="2"/>
          </w:tcPr>
          <w:p>
            <w:pPr>
              <w:jc w:val="right"/>
              <w:ind w:right="86"/>
              <w:spacing w:after="0"/>
              <w:rPr>
                <w:sz w:val="20"/>
                <w:szCs w:val="20"/>
                <w:color w:val="auto"/>
              </w:rPr>
            </w:pPr>
            <w:r>
              <w:rPr>
                <w:rFonts w:ascii="Arial" w:cs="Arial" w:eastAsia="Arial" w:hAnsi="Arial"/>
                <w:sz w:val="12"/>
                <w:szCs w:val="12"/>
                <w:color w:val="auto"/>
              </w:rPr>
              <w:t>2020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0"/>
              <w:spacing w:after="0"/>
              <w:rPr>
                <w:sz w:val="20"/>
                <w:szCs w:val="20"/>
                <w:color w:val="auto"/>
              </w:rPr>
            </w:pPr>
            <w:r>
              <w:rPr>
                <w:rFonts w:ascii="Arial" w:cs="Arial" w:eastAsia="Arial" w:hAnsi="Arial"/>
                <w:sz w:val="12"/>
                <w:szCs w:val="12"/>
                <w:color w:val="auto"/>
              </w:rPr>
              <w:t>2019</w:t>
            </w:r>
          </w:p>
        </w:tc>
        <w:tc>
          <w:tcPr>
            <w:tcW w:w="6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5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Intangible asset – Aversion</w:t>
            </w:r>
          </w:p>
        </w:tc>
        <w:tc>
          <w:tcPr>
            <w:tcW w:w="18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2,000</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1700" w:type="dxa"/>
            <w:vAlign w:val="bottom"/>
          </w:tcPr>
          <w:p>
            <w:pPr>
              <w:spacing w:after="0"/>
              <w:rPr>
                <w:sz w:val="12"/>
                <w:szCs w:val="12"/>
                <w:color w:val="auto"/>
              </w:rPr>
            </w:pPr>
          </w:p>
        </w:tc>
        <w:tc>
          <w:tcPr>
            <w:tcW w:w="3500" w:type="dxa"/>
            <w:vAlign w:val="bottom"/>
          </w:tcPr>
          <w:p>
            <w:pPr>
              <w:ind w:left="100"/>
              <w:spacing w:after="0"/>
              <w:rPr>
                <w:sz w:val="20"/>
                <w:szCs w:val="20"/>
                <w:color w:val="auto"/>
              </w:rPr>
            </w:pPr>
            <w:r>
              <w:rPr>
                <w:rFonts w:ascii="Arial" w:cs="Arial" w:eastAsia="Arial" w:hAnsi="Arial"/>
                <w:sz w:val="12"/>
                <w:szCs w:val="12"/>
                <w:color w:val="auto"/>
              </w:rPr>
              <w:t>Less: accumulated amortization</w:t>
            </w:r>
          </w:p>
        </w:tc>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4"/>
              </w:rPr>
              <w:t>(1,241)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2"/>
                <w:szCs w:val="12"/>
                <w:color w:val="auto"/>
              </w:rPr>
              <w:t>(1,190)</w:t>
            </w:r>
          </w:p>
        </w:tc>
      </w:tr>
      <w:tr>
        <w:trPr>
          <w:trHeight w:val="153"/>
        </w:trPr>
        <w:tc>
          <w:tcPr>
            <w:tcW w:w="1700" w:type="dxa"/>
            <w:vAlign w:val="bottom"/>
          </w:tcPr>
          <w:p>
            <w:pPr>
              <w:spacing w:after="0"/>
              <w:rPr>
                <w:sz w:val="13"/>
                <w:szCs w:val="13"/>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reserve for impairment</w:t>
            </w:r>
          </w:p>
        </w:tc>
        <w:tc>
          <w:tcPr>
            <w:tcW w:w="1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500" w:type="dxa"/>
            <w:vAlign w:val="bottom"/>
          </w:tcPr>
          <w:p>
            <w:pPr>
              <w:spacing w:after="0" w:line="133" w:lineRule="exact"/>
              <w:rPr>
                <w:sz w:val="20"/>
                <w:szCs w:val="20"/>
                <w:color w:val="auto"/>
              </w:rPr>
            </w:pPr>
            <w:r>
              <w:rPr>
                <w:rFonts w:ascii="Arial" w:cs="Arial" w:eastAsia="Arial" w:hAnsi="Arial"/>
                <w:sz w:val="12"/>
                <w:szCs w:val="12"/>
                <w:color w:val="auto"/>
              </w:rPr>
              <w:t>Net</w:t>
            </w:r>
          </w:p>
        </w:tc>
        <w:tc>
          <w:tcPr>
            <w:tcW w:w="18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91</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810</w:t>
            </w:r>
          </w:p>
        </w:tc>
        <w:tc>
          <w:tcPr>
            <w:tcW w:w="60" w:type="dxa"/>
            <w:vAlign w:val="bottom"/>
          </w:tcPr>
          <w:p>
            <w:pPr>
              <w:spacing w:after="0"/>
              <w:rPr>
                <w:sz w:val="11"/>
                <w:szCs w:val="11"/>
                <w:color w:val="auto"/>
              </w:rPr>
            </w:pPr>
          </w:p>
        </w:tc>
      </w:tr>
    </w:tbl>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January 2015, we and Egalet US, Inc. and Egalet Ltd., each a subsidiary of Egalet Corporation (now known as Zyla Life Sciences), or collectively Zyla, entered into a Collaboration and License Agreement (the “Zyla Agreement”) to commercialize Aversion Oxycodone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accordance with the Zyla Agreement Zyla is responsible for the fees and expenses relating to the product line extensions of Oxaydo, provided that Zyla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 w:name="page11"/>
    <w:bookmarkEnd w:id="10"/>
    <w:p>
      <w:pPr>
        <w:ind w:left="8"/>
        <w:spacing w:after="0" w:line="276" w:lineRule="auto"/>
        <w:rPr>
          <w:sz w:val="20"/>
          <w:szCs w:val="20"/>
          <w:color w:val="auto"/>
        </w:rPr>
      </w:pPr>
      <w:r>
        <w:rPr>
          <w:rFonts w:ascii="Arial" w:cs="Arial" w:eastAsia="Arial" w:hAnsi="Arial"/>
          <w:sz w:val="12"/>
          <w:szCs w:val="12"/>
          <w:color w:val="auto"/>
        </w:rPr>
        <w:t>On March 16, 2020, Zyla announced its intent to merge with Assertio Therapeutics, Inc. (“Assertio”) with Assertio becoming the surviving entity. On May 20, 2020 the merger was completed and and the Zyla Agreement was automatically assigned to Assertio under the terms.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MainPointe Agreement covering Nexafed Products and assignment thereof to AD Pharma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March 2017, we and MainPointe entered into the MainPointe Agreement, pursuant to which we granted MainPointe an exclusive license to our Impede Technology to commercialize both of our Nexafed and Nexafed Sinus Pressure</w:t>
      </w:r>
    </w:p>
    <w:p>
      <w:pPr>
        <w:spacing w:after="0" w:line="38" w:lineRule="exact"/>
        <w:rPr>
          <w:sz w:val="20"/>
          <w:szCs w:val="20"/>
          <w:color w:val="auto"/>
        </w:rPr>
      </w:pPr>
    </w:p>
    <w:p>
      <w:pPr>
        <w:ind w:left="8" w:right="20" w:hanging="8"/>
        <w:spacing w:after="0" w:line="260" w:lineRule="auto"/>
        <w:tabs>
          <w:tab w:leader="none" w:pos="108" w:val="left"/>
        </w:tabs>
        <w:numPr>
          <w:ilvl w:val="0"/>
          <w:numId w:val="4"/>
        </w:numPr>
        <w:rPr>
          <w:rFonts w:ascii="Arial" w:cs="Arial" w:eastAsia="Arial" w:hAnsi="Arial"/>
          <w:sz w:val="12"/>
          <w:szCs w:val="12"/>
          <w:color w:val="auto"/>
        </w:rPr>
      </w:pPr>
      <w:r>
        <w:rPr>
          <w:rFonts w:ascii="Arial" w:cs="Arial" w:eastAsia="Arial" w:hAnsi="Arial"/>
          <w:sz w:val="12"/>
          <w:szCs w:val="12"/>
          <w:color w:val="auto"/>
        </w:rPr>
        <w:t>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2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2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2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 2020, MainPointe assigned to AD Pharma, with Acura’s consent, all of its right, title and interest in the MainPointe Agreement between MainPointe and Acura.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KemPharm Agreement Covering Certain Opioid Prodrugs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22"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7" w:right="299" w:bottom="1440" w:gutter="0" w:footer="0" w:header="0"/>
        </w:sectPr>
      </w:pPr>
    </w:p>
    <w:bookmarkStart w:id="11" w:name="page12"/>
    <w:bookmarkEnd w:id="11"/>
    <w:p>
      <w:pPr>
        <w:jc w:val="both"/>
        <w:spacing w:after="0" w:line="289" w:lineRule="auto"/>
        <w:rPr>
          <w:sz w:val="20"/>
          <w:szCs w:val="20"/>
          <w:color w:val="auto"/>
        </w:rPr>
      </w:pPr>
      <w:r>
        <w:rPr>
          <w:rFonts w:ascii="Arial" w:cs="Arial" w:eastAsia="Arial" w:hAnsi="Arial"/>
          <w:sz w:val="11"/>
          <w:szCs w:val="11"/>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REVENUE FROM CONTRACTS WITH CUSTOMERS</w:t>
      </w:r>
    </w:p>
    <w:p>
      <w:pPr>
        <w:spacing w:after="0" w:line="154"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March 31, 2020 or December 31, 2019.</w:t>
      </w:r>
    </w:p>
    <w:p>
      <w:pPr>
        <w:spacing w:after="0" w:line="9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Sales-based Milestones and Royalty Revenues</w:t>
      </w:r>
    </w:p>
    <w:p>
      <w:pPr>
        <w:spacing w:after="0" w:line="15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and Collaboration Agreement Revenues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2"/>
          <w:szCs w:val="12"/>
          <w:color w:val="auto"/>
        </w:rPr>
        <w:t>On June 28, 2019 we entered into an agreement with AD Pharma for the development and license of LTX-03 (hydrocodone bitartrate with acetaminophen) immediate-release tablets utilizing Acura’s patented LIMITx™ having a monthly license payment of $350 thousand from AD Pharma to us for a period of up to 18 months until November 2020. AD Pharma will pay directly for or reimburse Acura to the extent Acura pay’s for, all out-of-pocket development expenses. The first license payment was received July 2,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Disaggregation of Total Revenues</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Company has two license agreements for currently marketed products containing its technologies; the Oxaydo product containing the Aversion Technology has been licensed to Zyla and the Nexafed products containing the Impede Technology which have been licensed to MainPointe. 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sectPr>
          <w:pgSz w:w="11900" w:h="16838" w:orient="portrait"/>
          <w:cols w:equalWidth="0" w:num="1">
            <w:col w:w="11300"/>
          </w:cols>
          <w:pgMar w:left="300" w:top="653" w:right="29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Royalty revenues by licensee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Zyla (Oxaydo)</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MainPointe (Nexafed)</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Royalty revenues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Balance and Performance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2320"/>
        <w:spacing w:after="0"/>
        <w:rPr>
          <w:sz w:val="20"/>
          <w:szCs w:val="20"/>
          <w:color w:val="auto"/>
        </w:rPr>
      </w:pPr>
      <w:r>
        <w:rPr>
          <w:rFonts w:ascii="Arial" w:cs="Arial" w:eastAsia="Arial" w:hAnsi="Arial"/>
          <w:sz w:val="12"/>
          <w:szCs w:val="12"/>
          <w:color w:val="auto"/>
        </w:rPr>
        <w:t>For the Three Months Ended</w:t>
      </w:r>
    </w:p>
    <w:p>
      <w:pPr>
        <w:spacing w:after="0" w:line="15" w:lineRule="exact"/>
        <w:rPr>
          <w:sz w:val="20"/>
          <w:szCs w:val="20"/>
          <w:color w:val="auto"/>
        </w:rPr>
      </w:pPr>
    </w:p>
    <w:p>
      <w:pPr>
        <w:jc w:val="center"/>
        <w:ind w:right="2320"/>
        <w:spacing w:after="0"/>
        <w:rPr>
          <w:sz w:val="20"/>
          <w:szCs w:val="20"/>
          <w:color w:val="auto"/>
        </w:rPr>
      </w:pPr>
      <w:r>
        <w:rPr>
          <w:rFonts w:ascii="Arial" w:cs="Arial" w:eastAsia="Arial" w:hAnsi="Arial"/>
          <w:sz w:val="12"/>
          <w:szCs w:val="12"/>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2019</w:t>
            </w:r>
          </w:p>
        </w:tc>
      </w:tr>
      <w:tr>
        <w:trPr>
          <w:trHeight w:val="133"/>
        </w:trPr>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420"/>
              <w:spacing w:after="0" w:line="133" w:lineRule="exact"/>
              <w:rPr>
                <w:sz w:val="20"/>
                <w:szCs w:val="20"/>
                <w:color w:val="auto"/>
              </w:rPr>
            </w:pPr>
            <w:r>
              <w:rPr>
                <w:rFonts w:ascii="Arial" w:cs="Arial" w:eastAsia="Arial" w:hAnsi="Arial"/>
                <w:sz w:val="12"/>
                <w:szCs w:val="12"/>
                <w:color w:val="auto"/>
              </w:rPr>
              <w:t>(in thousands)</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140" w:type="dxa"/>
            <w:vAlign w:val="bottom"/>
          </w:tcPr>
          <w:p>
            <w:pPr>
              <w:spacing w:after="0"/>
              <w:rPr>
                <w:sz w:val="11"/>
                <w:szCs w:val="11"/>
                <w:color w:val="auto"/>
              </w:rPr>
            </w:pPr>
          </w:p>
        </w:tc>
        <w:tc>
          <w:tcPr>
            <w:tcW w:w="140" w:type="dxa"/>
            <w:vAlign w:val="bottom"/>
            <w:gridSpan w:val="2"/>
          </w:tcPr>
          <w:p>
            <w:pPr>
              <w:jc w:val="right"/>
              <w:ind w:right="5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55</w:t>
            </w:r>
          </w:p>
        </w:tc>
      </w:tr>
      <w:tr>
        <w:trPr>
          <w:trHeight w:val="153"/>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r>
      <w:tr>
        <w:trPr>
          <w:trHeight w:val="133"/>
        </w:trPr>
        <w:tc>
          <w:tcPr>
            <w:tcW w:w="20" w:type="dxa"/>
            <w:vAlign w:val="bottom"/>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-296545</wp:posOffset>
            </wp:positionV>
            <wp:extent cx="430339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03395" cy="9715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-102235</wp:posOffset>
            </wp:positionV>
            <wp:extent cx="430339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03395" cy="971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720"/>
            <w:col w:w="3960"/>
          </w:cols>
          <w:pgMar w:left="300" w:top="653" w:right="299" w:bottom="1440" w:gutter="0" w:footer="0" w:header="0"/>
          <w:type w:val="continuous"/>
        </w:sectPr>
      </w:pPr>
    </w:p>
    <w:p>
      <w:pPr>
        <w:jc w:val="both"/>
        <w:spacing w:after="0" w:line="276" w:lineRule="auto"/>
        <w:rPr>
          <w:sz w:val="20"/>
          <w:szCs w:val="20"/>
          <w:color w:val="auto"/>
        </w:rPr>
      </w:pPr>
      <w:r>
        <w:rPr>
          <w:rFonts w:ascii="Arial" w:cs="Arial" w:eastAsia="Arial" w:hAnsi="Arial"/>
          <w:sz w:val="12"/>
          <w:szCs w:val="12"/>
          <w:color w:val="auto"/>
        </w:rPr>
        <w:t>The Company had no contract assets and contract liability balances under the license and collaboration agreements at either March 31, 2020 or 2019.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RESEARCH AND DEVELOPMENT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March 31, 2020 and 2019.</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our development and scale-up of LTX-03 under the AD Pharma Agreement (See Note 3) we entered into obligations under non-cancelable arrangements at March 31, 2020 aggregating $502 thousand.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57"/>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NOTE 6 – PROPERTY, PLANT AND EQUIPMENT</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7340" w:type="dxa"/>
            <w:vAlign w:val="bottom"/>
            <w:gridSpan w:val="2"/>
          </w:tcPr>
          <w:p>
            <w:pPr>
              <w:spacing w:after="0"/>
              <w:rPr>
                <w:sz w:val="20"/>
                <w:szCs w:val="20"/>
                <w:color w:val="auto"/>
              </w:rPr>
            </w:pPr>
            <w:r>
              <w:rPr>
                <w:rFonts w:ascii="Arial" w:cs="Arial" w:eastAsia="Arial" w:hAnsi="Arial"/>
                <w:sz w:val="12"/>
                <w:szCs w:val="12"/>
                <w:color w:val="auto"/>
              </w:rPr>
              <w:t>Property, plant and equipment is summarized as follows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19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auto"/>
              </w:rPr>
              <w:t>March 31,</w:t>
            </w:r>
          </w:p>
        </w:tc>
        <w:tc>
          <w:tcPr>
            <w:tcW w:w="8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2"/>
                <w:szCs w:val="12"/>
                <w:color w:val="auto"/>
                <w:w w:val="87"/>
              </w:rPr>
              <w:t>December 31,</w:t>
            </w:r>
          </w:p>
        </w:tc>
      </w:tr>
      <w:tr>
        <w:trPr>
          <w:trHeight w:val="153"/>
        </w:trPr>
        <w:tc>
          <w:tcPr>
            <w:tcW w:w="19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2019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3"/>
        </w:trPr>
        <w:tc>
          <w:tcPr>
            <w:tcW w:w="1980" w:type="dxa"/>
            <w:vAlign w:val="bottom"/>
          </w:tcPr>
          <w:p>
            <w:pPr>
              <w:spacing w:after="0"/>
              <w:rPr>
                <w:sz w:val="11"/>
                <w:szCs w:val="11"/>
                <w:color w:val="auto"/>
              </w:rPr>
            </w:pPr>
          </w:p>
        </w:tc>
        <w:tc>
          <w:tcPr>
            <w:tcW w:w="53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tcPr>
          <w:p>
            <w:pPr>
              <w:jc w:val="right"/>
              <w:ind w:right="540"/>
              <w:spacing w:after="0" w:line="133" w:lineRule="exact"/>
              <w:rPr>
                <w:sz w:val="20"/>
                <w:szCs w:val="20"/>
                <w:color w:val="auto"/>
              </w:rPr>
            </w:pPr>
            <w:r>
              <w:rPr>
                <w:rFonts w:ascii="Arial" w:cs="Arial" w:eastAsia="Arial" w:hAnsi="Arial"/>
                <w:sz w:val="12"/>
                <w:szCs w:val="12"/>
                <w:color w:val="auto"/>
              </w:rPr>
              <w:t>(in thousands)</w:t>
            </w:r>
          </w:p>
        </w:tc>
        <w:tc>
          <w:tcPr>
            <w:tcW w:w="80" w:type="dxa"/>
            <w:vAlign w:val="bottom"/>
            <w:tcBorders>
              <w:bottom w:val="single" w:sz="8" w:color="CCEEFF"/>
            </w:tcBorders>
            <w:gridSpan w:val="2"/>
          </w:tcPr>
          <w:p>
            <w:pPr>
              <w:spacing w:after="0"/>
              <w:rPr>
                <w:sz w:val="11"/>
                <w:szCs w:val="11"/>
                <w:color w:val="auto"/>
              </w:rPr>
            </w:pPr>
          </w:p>
        </w:tc>
      </w:tr>
      <w:tr>
        <w:trPr>
          <w:trHeight w:val="133"/>
        </w:trPr>
        <w:tc>
          <w:tcPr>
            <w:tcW w:w="1980" w:type="dxa"/>
            <w:vAlign w:val="bottom"/>
          </w:tcPr>
          <w:p>
            <w:pPr>
              <w:spacing w:after="0"/>
              <w:rPr>
                <w:sz w:val="11"/>
                <w:szCs w:val="11"/>
                <w:color w:val="auto"/>
              </w:rPr>
            </w:pPr>
          </w:p>
        </w:tc>
        <w:tc>
          <w:tcPr>
            <w:tcW w:w="5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Building and improvements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1,273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1,273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198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Scientific equipment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597</w:t>
            </w:r>
          </w:p>
        </w:tc>
        <w:tc>
          <w:tcPr>
            <w:tcW w:w="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597</w:t>
            </w:r>
          </w:p>
        </w:tc>
        <w:tc>
          <w:tcPr>
            <w:tcW w:w="60" w:type="dxa"/>
            <w:vAlign w:val="bottom"/>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Computer hardware and software</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106</w:t>
            </w:r>
          </w:p>
        </w:tc>
        <w:tc>
          <w:tcPr>
            <w:tcW w:w="60" w:type="dxa"/>
            <w:vAlign w:val="bottom"/>
            <w:shd w:val="clear" w:color="auto" w:fill="CCEEFF"/>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5360" w:type="dxa"/>
            <w:vAlign w:val="bottom"/>
          </w:tcPr>
          <w:p>
            <w:pPr>
              <w:ind w:left="20"/>
              <w:spacing w:after="0"/>
              <w:rPr>
                <w:sz w:val="20"/>
                <w:szCs w:val="20"/>
                <w:color w:val="auto"/>
              </w:rPr>
            </w:pPr>
            <w:r>
              <w:rPr>
                <w:rFonts w:ascii="Arial" w:cs="Arial" w:eastAsia="Arial" w:hAnsi="Arial"/>
                <w:sz w:val="12"/>
                <w:szCs w:val="12"/>
                <w:color w:val="auto"/>
              </w:rPr>
              <w:t>Machinery and equipment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274</w:t>
            </w:r>
          </w:p>
        </w:tc>
        <w:tc>
          <w:tcPr>
            <w:tcW w:w="60" w:type="dxa"/>
            <w:vAlign w:val="bottom"/>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 and improvements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162</w:t>
            </w:r>
          </w:p>
        </w:tc>
        <w:tc>
          <w:tcPr>
            <w:tcW w:w="60" w:type="dxa"/>
            <w:vAlign w:val="bottom"/>
            <w:shd w:val="clear" w:color="auto" w:fill="CCEEFF"/>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5360" w:type="dxa"/>
            <w:vAlign w:val="bottom"/>
          </w:tcPr>
          <w:p>
            <w:pPr>
              <w:ind w:left="20"/>
              <w:spacing w:after="0"/>
              <w:rPr>
                <w:sz w:val="20"/>
                <w:szCs w:val="20"/>
                <w:color w:val="auto"/>
              </w:rPr>
            </w:pPr>
            <w:r>
              <w:rPr>
                <w:rFonts w:ascii="Arial" w:cs="Arial" w:eastAsia="Arial" w:hAnsi="Arial"/>
                <w:sz w:val="12"/>
                <w:szCs w:val="12"/>
                <w:color w:val="auto"/>
              </w:rPr>
              <w:t>Other personal property</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c>
          <w:tcPr>
            <w:tcW w:w="60" w:type="dxa"/>
            <w:vAlign w:val="bottom"/>
          </w:tcPr>
          <w:p>
            <w:pPr>
              <w:spacing w:after="0"/>
              <w:rPr>
                <w:sz w:val="12"/>
                <w:szCs w:val="12"/>
                <w:color w:val="auto"/>
              </w:rPr>
            </w:pPr>
          </w:p>
        </w:tc>
      </w:tr>
      <w:tr>
        <w:trPr>
          <w:trHeight w:val="153"/>
        </w:trPr>
        <w:tc>
          <w:tcPr>
            <w:tcW w:w="1980" w:type="dxa"/>
            <w:vAlign w:val="bottom"/>
          </w:tcPr>
          <w:p>
            <w:pPr>
              <w:spacing w:after="0"/>
              <w:rPr>
                <w:sz w:val="13"/>
                <w:szCs w:val="13"/>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Office equipment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3"/>
                <w:szCs w:val="13"/>
                <w:color w:val="auto"/>
              </w:rPr>
            </w:pPr>
          </w:p>
        </w:tc>
      </w:tr>
      <w:tr>
        <w:trPr>
          <w:trHeight w:val="133"/>
        </w:trPr>
        <w:tc>
          <w:tcPr>
            <w:tcW w:w="1980" w:type="dxa"/>
            <w:vAlign w:val="bottom"/>
          </w:tcPr>
          <w:p>
            <w:pPr>
              <w:spacing w:after="0"/>
              <w:rPr>
                <w:sz w:val="11"/>
                <w:szCs w:val="11"/>
                <w:color w:val="auto"/>
              </w:rPr>
            </w:pPr>
          </w:p>
        </w:tc>
        <w:tc>
          <w:tcPr>
            <w:tcW w:w="5360" w:type="dxa"/>
            <w:vAlign w:val="bottom"/>
          </w:tcPr>
          <w:p>
            <w:pPr>
              <w:ind w:left="100"/>
              <w:spacing w:after="0" w:line="133" w:lineRule="exact"/>
              <w:rPr>
                <w:sz w:val="20"/>
                <w:szCs w:val="20"/>
                <w:color w:val="auto"/>
              </w:rPr>
            </w:pPr>
            <w:r>
              <w:rPr>
                <w:rFonts w:ascii="Arial" w:cs="Arial" w:eastAsia="Arial" w:hAnsi="Arial"/>
                <w:sz w:val="12"/>
                <w:szCs w:val="12"/>
                <w:color w:val="auto"/>
              </w:rPr>
              <w:t>Total</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2,509</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2,509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98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(1,984)</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(1,969)</w:t>
            </w:r>
          </w:p>
        </w:tc>
      </w:tr>
      <w:tr>
        <w:trPr>
          <w:trHeight w:val="133"/>
        </w:trPr>
        <w:tc>
          <w:tcPr>
            <w:tcW w:w="1980" w:type="dxa"/>
            <w:vAlign w:val="bottom"/>
          </w:tcPr>
          <w:p>
            <w:pPr>
              <w:spacing w:after="0"/>
              <w:rPr>
                <w:sz w:val="11"/>
                <w:szCs w:val="11"/>
                <w:color w:val="auto"/>
              </w:rPr>
            </w:pPr>
          </w:p>
        </w:tc>
        <w:tc>
          <w:tcPr>
            <w:tcW w:w="5360" w:type="dxa"/>
            <w:vAlign w:val="bottom"/>
          </w:tcPr>
          <w:p>
            <w:pPr>
              <w:ind w:left="80"/>
              <w:spacing w:after="0" w:line="133" w:lineRule="exact"/>
              <w:rPr>
                <w:sz w:val="20"/>
                <w:szCs w:val="20"/>
                <w:color w:val="auto"/>
              </w:rPr>
            </w:pPr>
            <w:r>
              <w:rPr>
                <w:rFonts w:ascii="Arial" w:cs="Arial" w:eastAsia="Arial" w:hAnsi="Arial"/>
                <w:sz w:val="12"/>
                <w:szCs w:val="12"/>
                <w:color w:val="auto"/>
              </w:rPr>
              <w:t>Net property, plant and equipment</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525</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540</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gridSpan w:val="2"/>
          </w:tcPr>
          <w:p>
            <w:pPr>
              <w:spacing w:after="0"/>
              <w:rPr>
                <w:sz w:val="20"/>
                <w:szCs w:val="20"/>
                <w:color w:val="auto"/>
              </w:rPr>
            </w:pPr>
            <w:r>
              <w:rPr>
                <w:rFonts w:ascii="Arial" w:cs="Arial" w:eastAsia="Arial" w:hAnsi="Arial"/>
                <w:sz w:val="12"/>
                <w:szCs w:val="12"/>
                <w:color w:val="auto"/>
              </w:rPr>
              <w:t>Depreciation expense was $15 thousand and $17 thousand for each of the three month periods ended March 31, 2020 and 2019, respectively.</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7600" w:type="dxa"/>
            <w:vAlign w:val="bottom"/>
            <w:gridSpan w:val="2"/>
          </w:tcPr>
          <w:p>
            <w:pPr>
              <w:spacing w:after="0"/>
              <w:rPr>
                <w:sz w:val="20"/>
                <w:szCs w:val="20"/>
                <w:color w:val="auto"/>
              </w:rPr>
            </w:pPr>
            <w:r>
              <w:rPr>
                <w:rFonts w:ascii="Arial" w:cs="Arial" w:eastAsia="Arial" w:hAnsi="Arial"/>
                <w:sz w:val="12"/>
                <w:szCs w:val="12"/>
                <w:b w:val="1"/>
                <w:bCs w:val="1"/>
                <w:color w:val="auto"/>
              </w:rPr>
              <w:t>NOTE 7 – ACCRUED EXPENSES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7600" w:type="dxa"/>
            <w:vAlign w:val="bottom"/>
            <w:gridSpan w:val="2"/>
          </w:tcPr>
          <w:p>
            <w:pPr>
              <w:spacing w:after="0"/>
              <w:rPr>
                <w:sz w:val="20"/>
                <w:szCs w:val="20"/>
                <w:color w:val="auto"/>
              </w:rPr>
            </w:pPr>
            <w:r>
              <w:rPr>
                <w:rFonts w:ascii="Arial" w:cs="Arial" w:eastAsia="Arial" w:hAnsi="Arial"/>
                <w:sz w:val="12"/>
                <w:szCs w:val="12"/>
                <w:color w:val="auto"/>
              </w:rPr>
              <w:t>Accrued expenses are summarized as follows (in thousands):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14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March 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December 31,</w:t>
            </w:r>
          </w:p>
        </w:tc>
      </w:tr>
      <w:tr>
        <w:trPr>
          <w:trHeight w:val="153"/>
        </w:trPr>
        <w:tc>
          <w:tcPr>
            <w:tcW w:w="140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8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2020</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3"/>
        </w:trPr>
        <w:tc>
          <w:tcPr>
            <w:tcW w:w="1400" w:type="dxa"/>
            <w:vAlign w:val="bottom"/>
          </w:tcPr>
          <w:p>
            <w:pPr>
              <w:spacing w:after="0"/>
              <w:rPr>
                <w:sz w:val="11"/>
                <w:szCs w:val="11"/>
                <w:color w:val="auto"/>
              </w:rPr>
            </w:pPr>
          </w:p>
        </w:tc>
        <w:tc>
          <w:tcPr>
            <w:tcW w:w="6200" w:type="dxa"/>
            <w:vAlign w:val="bottom"/>
            <w:tcBorders>
              <w:bottom w:val="single" w:sz="8" w:color="CCEEFF"/>
            </w:tcBorders>
          </w:tcPr>
          <w:p>
            <w:pPr>
              <w:spacing w:after="0"/>
              <w:rPr>
                <w:sz w:val="11"/>
                <w:szCs w:val="11"/>
                <w:color w:val="auto"/>
              </w:rPr>
            </w:pPr>
          </w:p>
        </w:tc>
        <w:tc>
          <w:tcPr>
            <w:tcW w:w="2200" w:type="dxa"/>
            <w:vAlign w:val="bottom"/>
            <w:tcBorders>
              <w:bottom w:val="single" w:sz="8" w:color="auto"/>
            </w:tcBorders>
            <w:gridSpan w:val="5"/>
          </w:tcPr>
          <w:p>
            <w:pPr>
              <w:jc w:val="right"/>
              <w:ind w:right="700"/>
              <w:spacing w:after="0" w:line="133" w:lineRule="exact"/>
              <w:rPr>
                <w:sz w:val="20"/>
                <w:szCs w:val="20"/>
                <w:color w:val="auto"/>
              </w:rPr>
            </w:pPr>
            <w:r>
              <w:rPr>
                <w:rFonts w:ascii="Arial" w:cs="Arial" w:eastAsia="Arial" w:hAnsi="Arial"/>
                <w:sz w:val="12"/>
                <w:szCs w:val="12"/>
                <w:color w:val="auto"/>
              </w:rPr>
              <w:t>(in thousands)</w:t>
            </w:r>
          </w:p>
        </w:tc>
        <w:tc>
          <w:tcPr>
            <w:tcW w:w="80" w:type="dxa"/>
            <w:vAlign w:val="bottom"/>
            <w:tcBorders>
              <w:bottom w:val="single" w:sz="8" w:color="CCEEFF"/>
            </w:tcBorders>
            <w:gridSpan w:val="2"/>
          </w:tcPr>
          <w:p>
            <w:pPr>
              <w:spacing w:after="0"/>
              <w:rPr>
                <w:sz w:val="11"/>
                <w:szCs w:val="11"/>
                <w:color w:val="auto"/>
              </w:rPr>
            </w:pPr>
          </w:p>
        </w:tc>
      </w:tr>
      <w:tr>
        <w:trPr>
          <w:trHeight w:val="133"/>
        </w:trPr>
        <w:tc>
          <w:tcPr>
            <w:tcW w:w="1400" w:type="dxa"/>
            <w:vAlign w:val="bottom"/>
          </w:tcPr>
          <w:p>
            <w:pPr>
              <w:spacing w:after="0"/>
              <w:rPr>
                <w:sz w:val="11"/>
                <w:szCs w:val="11"/>
                <w:color w:val="auto"/>
              </w:rPr>
            </w:pPr>
          </w:p>
        </w:tc>
        <w:tc>
          <w:tcPr>
            <w:tcW w:w="6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Cost sharing expenses under license agreement</w:t>
            </w:r>
          </w:p>
        </w:tc>
        <w:tc>
          <w:tcPr>
            <w:tcW w:w="800" w:type="dxa"/>
            <w:vAlign w:val="bottom"/>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363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140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Arial" w:cs="Arial" w:eastAsia="Arial" w:hAnsi="Arial"/>
                <w:sz w:val="12"/>
                <w:szCs w:val="12"/>
                <w:color w:val="auto"/>
              </w:rPr>
              <w:t>Other fees and services</w:t>
            </w:r>
          </w:p>
        </w:tc>
        <w:tc>
          <w:tcPr>
            <w:tcW w:w="8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15</w:t>
            </w:r>
          </w:p>
        </w:tc>
        <w:tc>
          <w:tcPr>
            <w:tcW w:w="60" w:type="dxa"/>
            <w:vAlign w:val="bottom"/>
          </w:tcPr>
          <w:p>
            <w:pPr>
              <w:spacing w:after="0"/>
              <w:rPr>
                <w:sz w:val="12"/>
                <w:szCs w:val="12"/>
                <w:color w:val="auto"/>
              </w:rPr>
            </w:pPr>
          </w:p>
        </w:tc>
      </w:tr>
      <w:tr>
        <w:trPr>
          <w:trHeight w:val="144"/>
        </w:trPr>
        <w:tc>
          <w:tcPr>
            <w:tcW w:w="140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Payroll, payroll taxes and benefits</w:t>
            </w:r>
          </w:p>
        </w:tc>
        <w:tc>
          <w:tcPr>
            <w:tcW w:w="8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2"/>
                <w:szCs w:val="12"/>
                <w:color w:val="auto"/>
              </w:rPr>
            </w:pPr>
          </w:p>
        </w:tc>
      </w:tr>
      <w:tr>
        <w:trPr>
          <w:trHeight w:val="144"/>
        </w:trPr>
        <w:tc>
          <w:tcPr>
            <w:tcW w:w="140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Arial" w:cs="Arial" w:eastAsia="Arial" w:hAnsi="Arial"/>
                <w:sz w:val="12"/>
                <w:szCs w:val="12"/>
                <w:color w:val="auto"/>
              </w:rPr>
              <w:t>Professional services</w:t>
            </w:r>
          </w:p>
        </w:tc>
        <w:tc>
          <w:tcPr>
            <w:tcW w:w="8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151</w:t>
            </w:r>
          </w:p>
        </w:tc>
        <w:tc>
          <w:tcPr>
            <w:tcW w:w="60" w:type="dxa"/>
            <w:vAlign w:val="bottom"/>
          </w:tcPr>
          <w:p>
            <w:pPr>
              <w:spacing w:after="0"/>
              <w:rPr>
                <w:sz w:val="12"/>
                <w:szCs w:val="12"/>
                <w:color w:val="auto"/>
              </w:rPr>
            </w:pPr>
          </w:p>
        </w:tc>
      </w:tr>
      <w:tr>
        <w:trPr>
          <w:trHeight w:val="144"/>
        </w:trPr>
        <w:tc>
          <w:tcPr>
            <w:tcW w:w="140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Clinical, non-clinical and regulatory services</w:t>
            </w:r>
          </w:p>
        </w:tc>
        <w:tc>
          <w:tcPr>
            <w:tcW w:w="8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2"/>
                <w:szCs w:val="12"/>
                <w:color w:val="auto"/>
              </w:rPr>
            </w:pPr>
          </w:p>
        </w:tc>
      </w:tr>
      <w:tr>
        <w:trPr>
          <w:trHeight w:val="144"/>
        </w:trPr>
        <w:tc>
          <w:tcPr>
            <w:tcW w:w="140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Arial" w:cs="Arial" w:eastAsia="Arial" w:hAnsi="Arial"/>
                <w:sz w:val="12"/>
                <w:szCs w:val="12"/>
                <w:color w:val="auto"/>
              </w:rPr>
              <w:t>Property taxes</w:t>
            </w:r>
          </w:p>
        </w:tc>
        <w:tc>
          <w:tcPr>
            <w:tcW w:w="8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2"/>
                <w:szCs w:val="12"/>
                <w:color w:val="auto"/>
              </w:rPr>
            </w:pPr>
          </w:p>
        </w:tc>
      </w:tr>
      <w:tr>
        <w:trPr>
          <w:trHeight w:val="153"/>
        </w:trPr>
        <w:tc>
          <w:tcPr>
            <w:tcW w:w="1400" w:type="dxa"/>
            <w:vAlign w:val="bottom"/>
          </w:tcPr>
          <w:p>
            <w:pPr>
              <w:spacing w:after="0"/>
              <w:rPr>
                <w:sz w:val="13"/>
                <w:szCs w:val="1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Franchise taxes</w:t>
            </w:r>
          </w:p>
        </w:tc>
        <w:tc>
          <w:tcPr>
            <w:tcW w:w="8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3"/>
                <w:szCs w:val="13"/>
                <w:color w:val="auto"/>
              </w:rPr>
            </w:pPr>
          </w:p>
        </w:tc>
      </w:tr>
      <w:tr>
        <w:trPr>
          <w:trHeight w:val="133"/>
        </w:trPr>
        <w:tc>
          <w:tcPr>
            <w:tcW w:w="1400" w:type="dxa"/>
            <w:vAlign w:val="bottom"/>
          </w:tcPr>
          <w:p>
            <w:pPr>
              <w:spacing w:after="0"/>
              <w:rPr>
                <w:sz w:val="11"/>
                <w:szCs w:val="11"/>
                <w:color w:val="auto"/>
              </w:rPr>
            </w:pPr>
          </w:p>
        </w:tc>
        <w:tc>
          <w:tcPr>
            <w:tcW w:w="6200" w:type="dxa"/>
            <w:vAlign w:val="bottom"/>
          </w:tcPr>
          <w:p>
            <w:pPr>
              <w:ind w:left="120"/>
              <w:spacing w:after="0" w:line="133" w:lineRule="exact"/>
              <w:rPr>
                <w:sz w:val="20"/>
                <w:szCs w:val="20"/>
                <w:color w:val="auto"/>
              </w:rPr>
            </w:pPr>
            <w:r>
              <w:rPr>
                <w:rFonts w:ascii="Arial" w:cs="Arial" w:eastAsia="Arial" w:hAnsi="Arial"/>
                <w:sz w:val="12"/>
                <w:szCs w:val="12"/>
                <w:color w:val="auto"/>
              </w:rPr>
              <w:t>Total</w:t>
            </w:r>
          </w:p>
        </w:tc>
        <w:tc>
          <w:tcPr>
            <w:tcW w:w="80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631</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585</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DEBT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Related Party Convertible Loan</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At December 31, 2018, we had borrowed an aggregate of $4.350 million from Mr. Schutte, a related-party. From January 1, 2019 and through June 27, 2019, we borrowed additional amounts from Mr. Schutte for $650 thousand and issued various promissory notes to him with the same terms and conditions from the previous loans (the Schutte Notes). The Schutte Notes bear interest at prime plus 2.0%, and were to mature on January 2, 2020, at which time all principal and interest was to be due. The Schutte Notes were unsecured until all obligations to Oxford were satisfied at which time we were required to grant a security interest to Mr. Schutte in all of our assets, including our intellectual property. Because we believed the Schutte Notes’ rate of interest was below current market rates for us, we imputed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was $126 thousand and the accrued interest balance was $110 thousand. We recorded a $13 thousand benefit to interest income during 2019 from the $650 thousand borrowings from Mr. Schutte. At June 27, 2019, the unamortized debt discount balance was $73 thousand and the accrued interest balance was $275 thousand. The events of default under the Schutte Notes are limited to bankruptcy defaults and failure to pay interest and principal when due on January 2, 2020. The Schutte Notes could be prepaid at any time in whole or in part.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 w:name="page15"/>
    <w:bookmarkEnd w:id="14"/>
    <w:p>
      <w:pPr>
        <w:jc w:val="both"/>
        <w:ind w:right="20"/>
        <w:spacing w:after="0" w:line="276" w:lineRule="auto"/>
        <w:rPr>
          <w:sz w:val="20"/>
          <w:szCs w:val="20"/>
          <w:color w:val="auto"/>
        </w:rPr>
      </w:pPr>
      <w:r>
        <w:rPr>
          <w:rFonts w:ascii="Arial" w:cs="Arial" w:eastAsia="Arial" w:hAnsi="Arial"/>
          <w:sz w:val="12"/>
          <w:szCs w:val="12"/>
          <w:color w:val="auto"/>
        </w:rPr>
        <w:t>Included in the $4.350 million loan outstanding from Mr. Schutte as of December 31, 2018 was a borrowing of $1.8 million completed on October 5, 2018 of which we used $1.5 million to fully pay-off the debt outstanding under the Oxford Loan Agreement. All our assets are pledged as collateral under the Schutte Notes, including our intellectual property.</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June 27, 2019 the aggregate amount of the loans made to the Company by Mr. Schutte aggregated $5.0 million. On June 28, 2019 we restructured the $5.0 million loan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loan restructuring was accounted for as debt extinguishment. We obtained a valuation of fair value on the modified loan and warrant and the method of accounting for the loan changes resulted in a $2.6 million loss on debt extinguishment. Of the loss on debt extinguishment, $1.145 million was allocated to the warrant, $1.382 million was related to the premium on the convertible loan, and $73 thousand was assignable to write-off of the original loan’s remaining unamortized debt discount. The $6.0 million promissory note, the common stock purchase warrant and the security agreement were all assigned and transferred by Mr. Schutte to AD Pharma on June 28, 2019. The accrued interest balance at March 31, 2020 and December 31, 2019 was $341 thousand and $229 thousand, respectively.</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events of default under the $6.0 million note are limited to bankruptcy defaults, failure to pay interest and principal when due on July 1, 2023 or upon failure to meet certain timelines in the AD Pharma Agreement as defined in the loan agreement. The $6.0 million note may be prepaid at any time in whole or in part but only with the consent of the noteholder.</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At March 31, 2020 we have reclassified the $6.0 million note as a current liability. The Parties are in negotiations to amend the AD Pharma Agreement to extend the date of the FDA acceptance of the NDA for LTX-03 which would allow for these unforeseen delays.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Our interest expense consisted of the following:</w:t>
            </w:r>
          </w:p>
        </w:tc>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79"/>
        </w:trPr>
        <w:tc>
          <w:tcPr>
            <w:tcW w:w="1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gridSpan w:val="4"/>
          </w:tcPr>
          <w:p>
            <w:pPr>
              <w:jc w:val="right"/>
              <w:ind w:right="108"/>
              <w:spacing w:after="0"/>
              <w:rPr>
                <w:sz w:val="20"/>
                <w:szCs w:val="20"/>
                <w:color w:val="auto"/>
              </w:rPr>
            </w:pPr>
            <w:r>
              <w:rPr>
                <w:rFonts w:ascii="Arial" w:cs="Arial" w:eastAsia="Arial" w:hAnsi="Arial"/>
                <w:sz w:val="12"/>
                <w:szCs w:val="12"/>
                <w:color w:val="auto"/>
              </w:rPr>
              <w:t>Three Months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53"/>
        </w:trPr>
        <w:tc>
          <w:tcPr>
            <w:tcW w:w="19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2"/>
                <w:szCs w:val="12"/>
                <w:color w:val="auto"/>
              </w:rPr>
              <w:t>March 31,</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42"/>
        </w:trPr>
        <w:tc>
          <w:tcPr>
            <w:tcW w:w="1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920" w:type="dxa"/>
            <w:vAlign w:val="bottom"/>
            <w:gridSpan w:val="2"/>
          </w:tcPr>
          <w:p>
            <w:pPr>
              <w:jc w:val="right"/>
              <w:spacing w:after="0"/>
              <w:rPr>
                <w:sz w:val="20"/>
                <w:szCs w:val="20"/>
                <w:color w:val="auto"/>
              </w:rPr>
            </w:pPr>
            <w:r>
              <w:rPr>
                <w:rFonts w:ascii="Arial" w:cs="Arial" w:eastAsia="Arial" w:hAnsi="Arial"/>
                <w:sz w:val="12"/>
                <w:szCs w:val="12"/>
                <w:color w:val="auto"/>
              </w:rPr>
              <w:t>2020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Arial" w:cs="Arial" w:eastAsia="Arial" w:hAnsi="Arial"/>
                <w:sz w:val="12"/>
                <w:szCs w:val="12"/>
                <w:color w:val="auto"/>
              </w:rPr>
              <w:t>2019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33"/>
        </w:trPr>
        <w:tc>
          <w:tcPr>
            <w:tcW w:w="1980" w:type="dxa"/>
            <w:vAlign w:val="bottom"/>
          </w:tcPr>
          <w:p>
            <w:pPr>
              <w:spacing w:after="0"/>
              <w:rPr>
                <w:sz w:val="11"/>
                <w:szCs w:val="11"/>
                <w:color w:val="auto"/>
              </w:rPr>
            </w:pPr>
          </w:p>
        </w:tc>
        <w:tc>
          <w:tcPr>
            <w:tcW w:w="31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Related party term loans</w:t>
            </w:r>
          </w:p>
        </w:tc>
        <w:tc>
          <w:tcPr>
            <w:tcW w:w="23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112</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w:t>
            </w:r>
          </w:p>
        </w:tc>
        <w:tc>
          <w:tcPr>
            <w:tcW w:w="80" w:type="dxa"/>
            <w:vAlign w:val="bottom"/>
            <w:tcBorders>
              <w:top w:val="single" w:sz="8" w:color="CCEEFF"/>
            </w:tcBorders>
            <w:shd w:val="clear" w:color="auto" w:fill="CCEEFF"/>
          </w:tcPr>
          <w:p>
            <w:pPr>
              <w:spacing w:after="0"/>
              <w:rPr>
                <w:sz w:val="11"/>
                <w:szCs w:val="11"/>
                <w:color w:val="auto"/>
              </w:rPr>
            </w:pPr>
          </w:p>
        </w:tc>
        <w:tc>
          <w:tcPr>
            <w:tcW w:w="1980" w:type="dxa"/>
            <w:vAlign w:val="bottom"/>
          </w:tcPr>
          <w:p>
            <w:pPr>
              <w:spacing w:after="0"/>
              <w:rPr>
                <w:sz w:val="11"/>
                <w:szCs w:val="11"/>
                <w:color w:val="auto"/>
              </w:rPr>
            </w:pPr>
          </w:p>
        </w:tc>
      </w:tr>
      <w:tr>
        <w:trPr>
          <w:trHeight w:val="144"/>
        </w:trPr>
        <w:tc>
          <w:tcPr>
            <w:tcW w:w="198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Debt discount</w:t>
            </w: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32</w:t>
            </w:r>
          </w:p>
        </w:tc>
        <w:tc>
          <w:tcPr>
            <w:tcW w:w="1980" w:type="dxa"/>
            <w:vAlign w:val="bottom"/>
          </w:tcPr>
          <w:p>
            <w:pPr>
              <w:spacing w:after="0"/>
              <w:rPr>
                <w:sz w:val="12"/>
                <w:szCs w:val="12"/>
                <w:color w:val="auto"/>
              </w:rPr>
            </w:pPr>
          </w:p>
        </w:tc>
      </w:tr>
      <w:tr>
        <w:trPr>
          <w:trHeight w:val="153"/>
        </w:trPr>
        <w:tc>
          <w:tcPr>
            <w:tcW w:w="198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Financed insurance premiums</w:t>
            </w:r>
          </w:p>
        </w:tc>
        <w:tc>
          <w:tcPr>
            <w:tcW w:w="2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1980" w:type="dxa"/>
            <w:vAlign w:val="bottom"/>
          </w:tcPr>
          <w:p>
            <w:pPr>
              <w:spacing w:after="0"/>
              <w:rPr>
                <w:sz w:val="13"/>
                <w:szCs w:val="13"/>
                <w:color w:val="auto"/>
              </w:rPr>
            </w:pPr>
          </w:p>
        </w:tc>
      </w:tr>
      <w:tr>
        <w:trPr>
          <w:trHeight w:val="133"/>
        </w:trPr>
        <w:tc>
          <w:tcPr>
            <w:tcW w:w="1980" w:type="dxa"/>
            <w:vAlign w:val="bottom"/>
          </w:tcPr>
          <w:p>
            <w:pPr>
              <w:spacing w:after="0"/>
              <w:rPr>
                <w:sz w:val="11"/>
                <w:szCs w:val="11"/>
                <w:color w:val="auto"/>
              </w:rPr>
            </w:pPr>
          </w:p>
        </w:tc>
        <w:tc>
          <w:tcPr>
            <w:tcW w:w="3160" w:type="dxa"/>
            <w:vAlign w:val="bottom"/>
          </w:tcPr>
          <w:p>
            <w:pPr>
              <w:ind w:left="100"/>
              <w:spacing w:after="0" w:line="133" w:lineRule="exact"/>
              <w:rPr>
                <w:sz w:val="20"/>
                <w:szCs w:val="20"/>
                <w:color w:val="auto"/>
              </w:rPr>
            </w:pPr>
            <w:r>
              <w:rPr>
                <w:rFonts w:ascii="Arial" w:cs="Arial" w:eastAsia="Arial" w:hAnsi="Arial"/>
                <w:sz w:val="12"/>
                <w:szCs w:val="12"/>
                <w:color w:val="auto"/>
              </w:rPr>
              <w:t>Total interest expense</w:t>
            </w:r>
          </w:p>
        </w:tc>
        <w:tc>
          <w:tcPr>
            <w:tcW w:w="2340" w:type="dxa"/>
            <w:vAlign w:val="bottom"/>
          </w:tcPr>
          <w:p>
            <w:pPr>
              <w:spacing w:after="0"/>
              <w:rPr>
                <w:sz w:val="11"/>
                <w:szCs w:val="11"/>
                <w:color w:val="auto"/>
              </w:rPr>
            </w:pPr>
          </w:p>
        </w:tc>
        <w:tc>
          <w:tcPr>
            <w:tcW w:w="580" w:type="dxa"/>
            <w:vAlign w:val="bottom"/>
            <w:tcBorders>
              <w:top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112</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114</w:t>
            </w: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53"/>
        </w:trPr>
        <w:tc>
          <w:tcPr>
            <w:tcW w:w="1980" w:type="dxa"/>
            <w:vAlign w:val="bottom"/>
          </w:tcPr>
          <w:p>
            <w:pPr>
              <w:spacing w:after="0"/>
              <w:rPr>
                <w:sz w:val="13"/>
                <w:szCs w:val="13"/>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Less: imputed interest income on related party loans</w:t>
            </w:r>
          </w:p>
        </w:tc>
        <w:tc>
          <w:tcPr>
            <w:tcW w:w="2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1980" w:type="dxa"/>
            <w:vAlign w:val="bottom"/>
          </w:tcPr>
          <w:p>
            <w:pPr>
              <w:spacing w:after="0"/>
              <w:rPr>
                <w:sz w:val="13"/>
                <w:szCs w:val="13"/>
                <w:color w:val="auto"/>
              </w:rPr>
            </w:pPr>
          </w:p>
        </w:tc>
      </w:tr>
      <w:tr>
        <w:trPr>
          <w:trHeight w:val="133"/>
        </w:trPr>
        <w:tc>
          <w:tcPr>
            <w:tcW w:w="1980" w:type="dxa"/>
            <w:vAlign w:val="bottom"/>
          </w:tcPr>
          <w:p>
            <w:pPr>
              <w:spacing w:after="0"/>
              <w:rPr>
                <w:sz w:val="11"/>
                <w:szCs w:val="11"/>
                <w:color w:val="auto"/>
              </w:rPr>
            </w:pPr>
          </w:p>
        </w:tc>
        <w:tc>
          <w:tcPr>
            <w:tcW w:w="3160" w:type="dxa"/>
            <w:vAlign w:val="bottom"/>
          </w:tcPr>
          <w:p>
            <w:pPr>
              <w:ind w:left="100"/>
              <w:spacing w:after="0" w:line="133" w:lineRule="exact"/>
              <w:rPr>
                <w:sz w:val="20"/>
                <w:szCs w:val="20"/>
                <w:color w:val="auto"/>
              </w:rPr>
            </w:pPr>
            <w:r>
              <w:rPr>
                <w:rFonts w:ascii="Arial" w:cs="Arial" w:eastAsia="Arial" w:hAnsi="Arial"/>
                <w:sz w:val="12"/>
                <w:szCs w:val="12"/>
                <w:color w:val="auto"/>
              </w:rPr>
              <w:t>Total interest expense</w:t>
            </w:r>
          </w:p>
        </w:tc>
        <w:tc>
          <w:tcPr>
            <w:tcW w:w="23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112</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105</w:t>
            </w: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421"/>
        </w:trPr>
        <w:tc>
          <w:tcPr>
            <w:tcW w:w="19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720"/>
              <w:spacing w:after="0"/>
              <w:rPr>
                <w:sz w:val="20"/>
                <w:szCs w:val="20"/>
                <w:color w:val="auto"/>
              </w:rPr>
            </w:pPr>
            <w:r>
              <w:rPr>
                <w:rFonts w:ascii="Arial" w:cs="Arial" w:eastAsia="Arial" w:hAnsi="Arial"/>
                <w:sz w:val="12"/>
                <w:szCs w:val="12"/>
                <w:color w:val="auto"/>
              </w:rPr>
              <w:t>14</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NOTE 9 – RELATED PARTY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Private Placement with Mr. John Schutte</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MainPointe Pharmaceuticals LLC</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years ended 2019 and 2018 is $21 thousand and $24 thousand, respectively, of royalty revenue from MainPointe (See Note 3). On January 1, 2020, MainPointe assigned to AD Pharma, with Acura’s consent, all of its right, title and interest in the MainPointe Agreement between MainPointe and Acura.</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Loans with Mr. John Schutte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June 28, 2019, we entered into a License, Development and Commercialization Agreement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Financial arrangements include:</w:t>
      </w:r>
    </w:p>
    <w:p>
      <w:pPr>
        <w:spacing w:after="0" w:line="124" w:lineRule="exact"/>
        <w:rPr>
          <w:sz w:val="20"/>
          <w:szCs w:val="20"/>
          <w:color w:val="auto"/>
        </w:rPr>
      </w:pPr>
    </w:p>
    <w:p>
      <w:pPr>
        <w:ind w:left="460" w:hanging="225"/>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Monthly license payments to Acura by AD Pharma of $350 thousand up to the earlier of 18 months or FDA’s acceptance of a New Drug Application (“NDA”) for LTX-03;</w:t>
      </w:r>
    </w:p>
    <w:p>
      <w:pPr>
        <w:spacing w:after="0" w:line="14" w:lineRule="exact"/>
        <w:rPr>
          <w:rFonts w:ascii="Arial" w:cs="Arial" w:eastAsia="Arial" w:hAnsi="Arial"/>
          <w:sz w:val="12"/>
          <w:szCs w:val="12"/>
          <w:color w:val="auto"/>
        </w:rPr>
      </w:pPr>
    </w:p>
    <w:p>
      <w:pPr>
        <w:ind w:left="460" w:hanging="225"/>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Reimbursement by AP Pharma of Acura’s LTX-03 outside development expenses;</w:t>
      </w:r>
    </w:p>
    <w:p>
      <w:pPr>
        <w:spacing w:after="0" w:line="6" w:lineRule="exact"/>
        <w:rPr>
          <w:rFonts w:ascii="Arial" w:cs="Arial" w:eastAsia="Arial" w:hAnsi="Arial"/>
          <w:sz w:val="12"/>
          <w:szCs w:val="12"/>
          <w:color w:val="auto"/>
        </w:rPr>
      </w:pPr>
    </w:p>
    <w:p>
      <w:pPr>
        <w:ind w:left="460" w:hanging="225"/>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Upon commercialization of LTX-03, Acura receives stepped royalties on sales and is eligible for certain sales related milestones; and</w:t>
      </w:r>
    </w:p>
    <w:p>
      <w:pPr>
        <w:spacing w:after="0" w:line="6" w:lineRule="exact"/>
        <w:rPr>
          <w:rFonts w:ascii="Arial" w:cs="Arial" w:eastAsia="Arial" w:hAnsi="Arial"/>
          <w:sz w:val="12"/>
          <w:szCs w:val="12"/>
          <w:color w:val="auto"/>
        </w:rPr>
      </w:pPr>
    </w:p>
    <w:p>
      <w:pPr>
        <w:ind w:left="460" w:right="20" w:hanging="225"/>
        <w:spacing w:after="0" w:line="260" w:lineRule="auto"/>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AD Pharma may terminate the AD Pharma Agreement at any time. Additionally, if the NDA for LTX-03 is not accepted by the FDA by November 30, 2020, AD Pharma has the option to terminate the AD Pharma Agreement and take ownership of the intellectual property. Should AD Pharma choose not to exercise this option to terminate and the NDA for LTX-03 is subsequently accepted by the FDA, such option expires.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and June, 2020 pending the completion of these negotiations.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COMMON STOCK PURCHASE WARRANTS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warrant activity during the three month periods ended March 31, 2020 and 2019 is shown below (in thousands except price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color w:val="auto"/>
              </w:rPr>
              <w:t>December 31,</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r>
      <w:tr>
        <w:trPr>
          <w:trHeight w:val="142"/>
        </w:trPr>
        <w:tc>
          <w:tcPr>
            <w:tcW w:w="1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2"/>
                <w:szCs w:val="12"/>
                <w:color w:val="auto"/>
              </w:rPr>
              <w:t>2020</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2019</w:t>
            </w:r>
          </w:p>
        </w:tc>
        <w:tc>
          <w:tcPr>
            <w:tcW w:w="780" w:type="dxa"/>
            <w:vAlign w:val="bottom"/>
            <w:tcBorders>
              <w:bottom w:val="single" w:sz="8" w:color="auto"/>
            </w:tcBorders>
          </w:tcPr>
          <w:p>
            <w:pPr>
              <w:spacing w:after="0"/>
              <w:rPr>
                <w:sz w:val="12"/>
                <w:szCs w:val="12"/>
                <w:color w:val="auto"/>
              </w:rPr>
            </w:pPr>
          </w:p>
        </w:tc>
        <w:tc>
          <w:tcPr>
            <w:tcW w:w="1700" w:type="dxa"/>
            <w:vAlign w:val="bottom"/>
          </w:tcPr>
          <w:p>
            <w:pPr>
              <w:spacing w:after="0"/>
              <w:rPr>
                <w:sz w:val="12"/>
                <w:szCs w:val="12"/>
                <w:color w:val="auto"/>
              </w:rPr>
            </w:pPr>
          </w:p>
        </w:tc>
      </w:tr>
      <w:tr>
        <w:trPr>
          <w:trHeight w:val="124"/>
        </w:trPr>
        <w:tc>
          <w:tcPr>
            <w:tcW w:w="17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80"/>
              <w:spacing w:after="0" w:line="124" w:lineRule="exact"/>
              <w:rPr>
                <w:sz w:val="20"/>
                <w:szCs w:val="20"/>
                <w:color w:val="auto"/>
              </w:rPr>
            </w:pPr>
            <w:r>
              <w:rPr>
                <w:rFonts w:ascii="Arial" w:cs="Arial" w:eastAsia="Arial" w:hAnsi="Arial"/>
                <w:sz w:val="12"/>
                <w:szCs w:val="12"/>
                <w:color w:val="auto"/>
                <w:w w:val="87"/>
              </w:rPr>
              <w:t>WAvg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60"/>
              <w:spacing w:after="0" w:line="124" w:lineRule="exact"/>
              <w:rPr>
                <w:sz w:val="20"/>
                <w:szCs w:val="20"/>
                <w:color w:val="auto"/>
              </w:rPr>
            </w:pPr>
            <w:r>
              <w:rPr>
                <w:rFonts w:ascii="Arial" w:cs="Arial" w:eastAsia="Arial" w:hAnsi="Arial"/>
                <w:sz w:val="12"/>
                <w:szCs w:val="12"/>
                <w:color w:val="auto"/>
                <w:w w:val="87"/>
              </w:rPr>
              <w:t>WAvg</w:t>
            </w:r>
          </w:p>
        </w:tc>
        <w:tc>
          <w:tcPr>
            <w:tcW w:w="1700" w:type="dxa"/>
            <w:vAlign w:val="bottom"/>
          </w:tcPr>
          <w:p>
            <w:pPr>
              <w:spacing w:after="0"/>
              <w:rPr>
                <w:sz w:val="10"/>
                <w:szCs w:val="10"/>
                <w:color w:val="auto"/>
              </w:rPr>
            </w:pPr>
          </w:p>
        </w:tc>
      </w:tr>
      <w:tr>
        <w:trPr>
          <w:trHeight w:val="144"/>
        </w:trPr>
        <w:tc>
          <w:tcPr>
            <w:tcW w:w="1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Exercise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60"/>
              <w:spacing w:after="0"/>
              <w:rPr>
                <w:sz w:val="20"/>
                <w:szCs w:val="20"/>
                <w:color w:val="auto"/>
              </w:rPr>
            </w:pPr>
            <w:r>
              <w:rPr>
                <w:rFonts w:ascii="Arial" w:cs="Arial" w:eastAsia="Arial" w:hAnsi="Arial"/>
                <w:sz w:val="12"/>
                <w:szCs w:val="12"/>
                <w:color w:val="auto"/>
                <w:w w:val="86"/>
              </w:rPr>
              <w:t>Exercise</w:t>
            </w:r>
          </w:p>
        </w:tc>
        <w:tc>
          <w:tcPr>
            <w:tcW w:w="170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60" w:type="dxa"/>
            <w:vAlign w:val="bottom"/>
          </w:tcPr>
          <w:p>
            <w:pPr>
              <w:jc w:val="right"/>
              <w:ind w:right="180"/>
              <w:spacing w:after="0"/>
              <w:rPr>
                <w:sz w:val="20"/>
                <w:szCs w:val="20"/>
                <w:color w:val="auto"/>
              </w:rPr>
            </w:pPr>
            <w:r>
              <w:rPr>
                <w:rFonts w:ascii="Arial" w:cs="Arial" w:eastAsia="Arial" w:hAnsi="Arial"/>
                <w:sz w:val="12"/>
                <w:szCs w:val="12"/>
                <w:color w:val="auto"/>
              </w:rPr>
              <w:t>Number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Price</w:t>
            </w: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Number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160"/>
              <w:spacing w:after="0"/>
              <w:rPr>
                <w:sz w:val="20"/>
                <w:szCs w:val="20"/>
                <w:color w:val="auto"/>
              </w:rPr>
            </w:pPr>
            <w:r>
              <w:rPr>
                <w:rFonts w:ascii="Arial" w:cs="Arial" w:eastAsia="Arial" w:hAnsi="Arial"/>
                <w:sz w:val="12"/>
                <w:szCs w:val="12"/>
                <w:color w:val="auto"/>
                <w:w w:val="87"/>
              </w:rPr>
              <w:t>Price</w:t>
            </w:r>
          </w:p>
        </w:tc>
        <w:tc>
          <w:tcPr>
            <w:tcW w:w="170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11,842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0.10</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1,842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0.59</w:t>
            </w:r>
          </w:p>
        </w:tc>
        <w:tc>
          <w:tcPr>
            <w:tcW w:w="1700" w:type="dxa"/>
            <w:vAlign w:val="bottom"/>
          </w:tcPr>
          <w:p>
            <w:pPr>
              <w:spacing w:after="0"/>
              <w:rPr>
                <w:sz w:val="11"/>
                <w:szCs w:val="11"/>
                <w:color w:val="auto"/>
              </w:rPr>
            </w:pPr>
          </w:p>
        </w:tc>
      </w:tr>
      <w:tr>
        <w:trPr>
          <w:trHeight w:val="133"/>
        </w:trPr>
        <w:tc>
          <w:tcPr>
            <w:tcW w:w="1700" w:type="dxa"/>
            <w:vAlign w:val="bottom"/>
          </w:tcPr>
          <w:p>
            <w:pPr>
              <w:spacing w:after="0"/>
              <w:rPr>
                <w:sz w:val="11"/>
                <w:szCs w:val="11"/>
                <w:color w:val="auto"/>
              </w:rPr>
            </w:pPr>
          </w:p>
        </w:tc>
        <w:tc>
          <w:tcPr>
            <w:tcW w:w="3880" w:type="dxa"/>
            <w:vAlign w:val="bottom"/>
          </w:tcPr>
          <w:p>
            <w:pPr>
              <w:ind w:left="200"/>
              <w:spacing w:after="0" w:line="133" w:lineRule="exact"/>
              <w:rPr>
                <w:sz w:val="20"/>
                <w:szCs w:val="20"/>
                <w:color w:val="auto"/>
              </w:rPr>
            </w:pPr>
            <w:r>
              <w:rPr>
                <w:rFonts w:ascii="Arial" w:cs="Arial" w:eastAsia="Arial" w:hAnsi="Arial"/>
                <w:sz w:val="12"/>
                <w:szCs w:val="12"/>
                <w:color w:val="auto"/>
              </w:rPr>
              <w:t>Issued</w:t>
            </w: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700" w:type="dxa"/>
            <w:vAlign w:val="bottom"/>
          </w:tcPr>
          <w:p>
            <w:pPr>
              <w:spacing w:after="0"/>
              <w:rPr>
                <w:sz w:val="11"/>
                <w:szCs w:val="11"/>
                <w:color w:val="auto"/>
              </w:rPr>
            </w:pPr>
          </w:p>
        </w:tc>
      </w:tr>
      <w:tr>
        <w:trPr>
          <w:trHeight w:val="144"/>
        </w:trPr>
        <w:tc>
          <w:tcPr>
            <w:tcW w:w="1700" w:type="dxa"/>
            <w:vAlign w:val="bottom"/>
          </w:tcPr>
          <w:p>
            <w:pPr>
              <w:spacing w:after="0"/>
              <w:rPr>
                <w:sz w:val="12"/>
                <w:szCs w:val="12"/>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3880" w:type="dxa"/>
            <w:vAlign w:val="bottom"/>
          </w:tcPr>
          <w:p>
            <w:pPr>
              <w:ind w:left="200"/>
              <w:spacing w:after="0"/>
              <w:rPr>
                <w:sz w:val="20"/>
                <w:szCs w:val="20"/>
                <w:color w:val="auto"/>
              </w:rPr>
            </w:pPr>
            <w:r>
              <w:rPr>
                <w:rFonts w:ascii="Arial" w:cs="Arial" w:eastAsia="Arial" w:hAnsi="Arial"/>
                <w:sz w:val="12"/>
                <w:szCs w:val="12"/>
                <w:color w:val="auto"/>
              </w:rPr>
              <w:t>Expired</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Modification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Arial" w:cs="Arial" w:eastAsia="Arial" w:hAnsi="Arial"/>
                <w:sz w:val="12"/>
                <w:szCs w:val="12"/>
                <w:color w:val="auto"/>
              </w:rPr>
              <w:t>Outstanding, Mar. 31</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11,842</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0.10</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1,842</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0.59</w:t>
            </w:r>
          </w:p>
        </w:tc>
        <w:tc>
          <w:tcPr>
            <w:tcW w:w="1700" w:type="dxa"/>
            <w:vAlign w:val="bottom"/>
          </w:tcPr>
          <w:p>
            <w:pPr>
              <w:spacing w:after="0"/>
              <w:rPr>
                <w:sz w:val="11"/>
                <w:szCs w:val="11"/>
                <w:color w:val="auto"/>
              </w:rPr>
            </w:pPr>
          </w:p>
        </w:tc>
      </w:tr>
      <w:tr>
        <w:trPr>
          <w:trHeight w:val="421"/>
        </w:trPr>
        <w:tc>
          <w:tcPr>
            <w:tcW w:w="1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74"/>
              </w:rPr>
              <w:t>16</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2"/>
          <w:szCs w:val="12"/>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11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As part of our July 2017 private placement transaction with Mr.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for these warrants as equity.</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We obtained a valuation of fair value on the warrant and $1.145 million was allocated to the warrant and accounted for as equity. (See Note 8 and Note 9). The warrant was assigned and transferred by Mr. Schutte to AD Pharma on June 28, 2019.</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SHARE-BASED COMPENSATION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several share-based compensation plans covering stock options and RSUs for our employees and directors.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Our total share-based compensation expense recognized in the Company’s results of operations from non-cash and cash-portioned instruments issued to our employees and directors comprised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gridSpan w:val="4"/>
          </w:tcPr>
          <w:p>
            <w:pPr>
              <w:jc w:val="right"/>
              <w:ind w:right="72"/>
              <w:spacing w:after="0"/>
              <w:rPr>
                <w:sz w:val="20"/>
                <w:szCs w:val="20"/>
                <w:color w:val="auto"/>
              </w:rPr>
            </w:pPr>
            <w:r>
              <w:rPr>
                <w:rFonts w:ascii="Arial" w:cs="Arial" w:eastAsia="Arial" w:hAnsi="Arial"/>
                <w:sz w:val="12"/>
                <w:szCs w:val="12"/>
                <w:color w:val="auto"/>
              </w:rPr>
              <w:t>Three Months Ended</w:t>
            </w:r>
          </w:p>
        </w:tc>
        <w:tc>
          <w:tcPr>
            <w:tcW w:w="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2"/>
                <w:szCs w:val="12"/>
                <w:color w:val="auto"/>
                <w:w w:val="93"/>
              </w:rPr>
              <w:t>March 31,</w:t>
            </w:r>
          </w:p>
        </w:tc>
        <w:tc>
          <w:tcPr>
            <w:tcW w:w="26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980" w:type="dxa"/>
            <w:vAlign w:val="bottom"/>
            <w:gridSpan w:val="2"/>
          </w:tcPr>
          <w:p>
            <w:pPr>
              <w:jc w:val="right"/>
              <w:ind w:right="4"/>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2"/>
                <w:szCs w:val="12"/>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2"/>
                <w:szCs w:val="12"/>
                <w:color w:val="auto"/>
              </w:rPr>
              <w:t>2019</w:t>
            </w:r>
          </w:p>
        </w:tc>
        <w:tc>
          <w:tcPr>
            <w:tcW w:w="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2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w:t>
            </w:r>
          </w:p>
        </w:tc>
        <w:tc>
          <w:tcPr>
            <w:tcW w:w="24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right w:val="single" w:sz="8" w:color="CCEEFF"/>
            </w:tcBorders>
            <w:shd w:val="clear" w:color="auto" w:fill="CCEEFF"/>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640" w:type="dxa"/>
            <w:vAlign w:val="bottom"/>
          </w:tcPr>
          <w:p>
            <w:pPr>
              <w:ind w:left="100"/>
              <w:spacing w:after="0"/>
              <w:rPr>
                <w:sz w:val="20"/>
                <w:szCs w:val="20"/>
                <w:color w:val="auto"/>
              </w:rPr>
            </w:pPr>
            <w:r>
              <w:rPr>
                <w:rFonts w:ascii="Arial" w:cs="Arial" w:eastAsia="Arial" w:hAnsi="Arial"/>
                <w:sz w:val="12"/>
                <w:szCs w:val="12"/>
                <w:color w:val="auto"/>
              </w:rPr>
              <w:t>Stock option awards</w:t>
            </w:r>
          </w:p>
        </w:tc>
        <w:tc>
          <w:tcPr>
            <w:tcW w:w="2980" w:type="dxa"/>
            <w:vAlign w:val="bottom"/>
            <w:gridSpan w:val="2"/>
          </w:tcPr>
          <w:p>
            <w:pPr>
              <w:jc w:val="right"/>
              <w:ind w:right="444"/>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3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RSU awards</w:t>
            </w:r>
          </w:p>
        </w:tc>
        <w:tc>
          <w:tcPr>
            <w:tcW w:w="24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444"/>
              <w:spacing w:after="0"/>
              <w:rPr>
                <w:sz w:val="20"/>
                <w:szCs w:val="20"/>
                <w:color w:val="auto"/>
              </w:rPr>
            </w:pPr>
            <w:r>
              <w:rPr>
                <w:rFonts w:ascii="Arial" w:cs="Arial" w:eastAsia="Arial" w:hAnsi="Arial"/>
                <w:sz w:val="5"/>
                <w:szCs w:val="5"/>
                <w:color w:val="auto"/>
                <w:w w:val="70"/>
              </w:rPr>
              <w:t>$</w:t>
            </w:r>
          </w:p>
        </w:tc>
        <w:tc>
          <w:tcPr>
            <w:tcW w:w="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6</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60" w:type="dxa"/>
            <w:vAlign w:val="bottom"/>
            <w:vMerge w:val="restart"/>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60" w:type="dxa"/>
            <w:vAlign w:val="bottom"/>
            <w:vMerge w:val="continue"/>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General and administrative expense:</w:t>
            </w:r>
          </w:p>
        </w:tc>
        <w:tc>
          <w:tcPr>
            <w:tcW w:w="2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 option awards</w:t>
            </w:r>
          </w:p>
        </w:tc>
        <w:tc>
          <w:tcPr>
            <w:tcW w:w="2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6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RSU awards</w:t>
            </w:r>
          </w:p>
        </w:tc>
        <w:tc>
          <w:tcPr>
            <w:tcW w:w="24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5"/>
                <w:szCs w:val="5"/>
                <w:color w:val="auto"/>
                <w:w w:val="70"/>
              </w:rPr>
              <w:t>$</w:t>
            </w:r>
          </w:p>
        </w:tc>
        <w:tc>
          <w:tcPr>
            <w:tcW w:w="2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w:t>
            </w:r>
          </w:p>
        </w:tc>
        <w:tc>
          <w:tcPr>
            <w:tcW w:w="14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right w:val="single" w:sz="8" w:color="CCEEFF"/>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29</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60" w:type="dxa"/>
            <w:vAlign w:val="bottom"/>
            <w:vMerge w:val="restart"/>
          </w:tcPr>
          <w:p>
            <w:pPr>
              <w:spacing w:after="0"/>
              <w:rPr>
                <w:sz w:val="11"/>
                <w:szCs w:val="11"/>
                <w:color w:val="auto"/>
              </w:rPr>
            </w:pPr>
          </w:p>
        </w:tc>
        <w:tc>
          <w:tcPr>
            <w:tcW w:w="26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vMerge w:val="continue"/>
          </w:tcPr>
          <w:p>
            <w:pPr>
              <w:spacing w:after="0"/>
              <w:rPr>
                <w:sz w:val="13"/>
                <w:szCs w:val="13"/>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Total share-based compensation expense</w:t>
            </w:r>
          </w:p>
        </w:tc>
        <w:tc>
          <w:tcPr>
            <w:tcW w:w="2980" w:type="dxa"/>
            <w:vAlign w:val="bottom"/>
            <w:gridSpan w:val="2"/>
            <w:shd w:val="clear" w:color="auto" w:fill="CCEEFF"/>
          </w:tcPr>
          <w:p>
            <w:pPr>
              <w:jc w:val="right"/>
              <w:ind w:right="444"/>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80" w:type="dxa"/>
            <w:vAlign w:val="bottom"/>
            <w:gridSpan w:val="2"/>
            <w:shd w:val="clear" w:color="auto" w:fill="CCEEFF"/>
          </w:tcPr>
          <w:p>
            <w:pPr>
              <w:jc w:val="right"/>
              <w:ind w:right="432"/>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2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600"/>
              <w:spacing w:after="0"/>
              <w:rPr>
                <w:sz w:val="20"/>
                <w:szCs w:val="20"/>
                <w:color w:val="auto"/>
              </w:rPr>
            </w:pPr>
            <w:r>
              <w:rPr>
                <w:rFonts w:ascii="Arial" w:cs="Arial" w:eastAsia="Arial" w:hAnsi="Arial"/>
                <w:sz w:val="12"/>
                <w:szCs w:val="12"/>
                <w:color w:val="auto"/>
              </w:rPr>
              <w:t>17</w:t>
            </w:r>
          </w:p>
        </w:tc>
        <w:tc>
          <w:tcPr>
            <w:tcW w:w="5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3"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Stock Option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maintain various stock option plans. A summary of our stock option plans as of March 31, 2020 and 2019 and for the three months then ended consisted of the following (in thousands except exercise price):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2"/>
                <w:szCs w:val="12"/>
                <w:color w:val="auto"/>
                <w:w w:val="93"/>
              </w:rPr>
              <w:t>Three Months ended March 31,</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r>
      <w:tr>
        <w:trPr>
          <w:trHeight w:val="142"/>
        </w:trPr>
        <w:tc>
          <w:tcPr>
            <w:tcW w:w="1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2"/>
                <w:szCs w:val="12"/>
                <w:color w:val="auto"/>
              </w:rPr>
              <w:t>2020</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2"/>
                <w:szCs w:val="12"/>
                <w:color w:val="auto"/>
              </w:rPr>
              <w:t>2019</w:t>
            </w:r>
          </w:p>
        </w:tc>
        <w:tc>
          <w:tcPr>
            <w:tcW w:w="800" w:type="dxa"/>
            <w:vAlign w:val="bottom"/>
            <w:tcBorders>
              <w:bottom w:val="single" w:sz="8" w:color="auto"/>
            </w:tcBorders>
          </w:tcPr>
          <w:p>
            <w:pPr>
              <w:spacing w:after="0"/>
              <w:rPr>
                <w:sz w:val="12"/>
                <w:szCs w:val="12"/>
                <w:color w:val="auto"/>
              </w:rPr>
            </w:pPr>
          </w:p>
        </w:tc>
        <w:tc>
          <w:tcPr>
            <w:tcW w:w="1700" w:type="dxa"/>
            <w:vAlign w:val="bottom"/>
          </w:tcPr>
          <w:p>
            <w:pPr>
              <w:spacing w:after="0"/>
              <w:rPr>
                <w:sz w:val="12"/>
                <w:szCs w:val="12"/>
                <w:color w:val="auto"/>
              </w:rPr>
            </w:pPr>
          </w:p>
        </w:tc>
      </w:tr>
      <w:tr>
        <w:trPr>
          <w:trHeight w:val="124"/>
        </w:trPr>
        <w:tc>
          <w:tcPr>
            <w:tcW w:w="17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24" w:lineRule="exact"/>
              <w:rPr>
                <w:sz w:val="20"/>
                <w:szCs w:val="20"/>
                <w:color w:val="auto"/>
              </w:rPr>
            </w:pPr>
            <w:r>
              <w:rPr>
                <w:rFonts w:ascii="Arial" w:cs="Arial" w:eastAsia="Arial" w:hAnsi="Arial"/>
                <w:sz w:val="12"/>
                <w:szCs w:val="12"/>
                <w:color w:val="auto"/>
                <w:w w:val="86"/>
              </w:rPr>
              <w:t>Weighted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40"/>
              <w:spacing w:after="0" w:line="124" w:lineRule="exact"/>
              <w:rPr>
                <w:sz w:val="20"/>
                <w:szCs w:val="20"/>
                <w:color w:val="auto"/>
              </w:rPr>
            </w:pPr>
            <w:r>
              <w:rPr>
                <w:rFonts w:ascii="Arial" w:cs="Arial" w:eastAsia="Arial" w:hAnsi="Arial"/>
                <w:sz w:val="12"/>
                <w:szCs w:val="12"/>
                <w:color w:val="auto"/>
                <w:w w:val="86"/>
              </w:rPr>
              <w:t>Weighted</w:t>
            </w:r>
          </w:p>
        </w:tc>
        <w:tc>
          <w:tcPr>
            <w:tcW w:w="1700" w:type="dxa"/>
            <w:vAlign w:val="bottom"/>
          </w:tcPr>
          <w:p>
            <w:pPr>
              <w:spacing w:after="0"/>
              <w:rPr>
                <w:sz w:val="10"/>
                <w:szCs w:val="10"/>
                <w:color w:val="auto"/>
              </w:rPr>
            </w:pPr>
          </w:p>
        </w:tc>
      </w:tr>
      <w:tr>
        <w:trPr>
          <w:trHeight w:val="144"/>
        </w:trPr>
        <w:tc>
          <w:tcPr>
            <w:tcW w:w="1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color w:val="auto"/>
                <w:w w:val="93"/>
              </w:rPr>
              <w:t>Number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Average</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Number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9"/>
              </w:rPr>
              <w:t>Average</w:t>
            </w:r>
          </w:p>
        </w:tc>
        <w:tc>
          <w:tcPr>
            <w:tcW w:w="170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Exercise</w:t>
            </w:r>
          </w:p>
        </w:tc>
        <w:tc>
          <w:tcPr>
            <w:tcW w:w="9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6"/>
              </w:rPr>
              <w:t>Exercise</w:t>
            </w:r>
          </w:p>
        </w:tc>
        <w:tc>
          <w:tcPr>
            <w:tcW w:w="170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Options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Price</w:t>
            </w:r>
          </w:p>
        </w:tc>
        <w:tc>
          <w:tcPr>
            <w:tcW w:w="9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Options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7"/>
              </w:rPr>
              <w:t>Price</w:t>
            </w:r>
          </w:p>
        </w:tc>
        <w:tc>
          <w:tcPr>
            <w:tcW w:w="170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1,356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4.45</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1,560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7.38</w:t>
            </w:r>
          </w:p>
        </w:tc>
        <w:tc>
          <w:tcPr>
            <w:tcW w:w="1700" w:type="dxa"/>
            <w:vAlign w:val="bottom"/>
          </w:tcPr>
          <w:p>
            <w:pPr>
              <w:spacing w:after="0"/>
              <w:rPr>
                <w:sz w:val="11"/>
                <w:szCs w:val="11"/>
                <w:color w:val="auto"/>
              </w:rPr>
            </w:pPr>
          </w:p>
        </w:tc>
      </w:tr>
      <w:tr>
        <w:trPr>
          <w:trHeight w:val="133"/>
        </w:trPr>
        <w:tc>
          <w:tcPr>
            <w:tcW w:w="1700" w:type="dxa"/>
            <w:vAlign w:val="bottom"/>
          </w:tcPr>
          <w:p>
            <w:pPr>
              <w:spacing w:after="0"/>
              <w:rPr>
                <w:sz w:val="11"/>
                <w:szCs w:val="11"/>
                <w:color w:val="auto"/>
              </w:rPr>
            </w:pPr>
          </w:p>
        </w:tc>
        <w:tc>
          <w:tcPr>
            <w:tcW w:w="3880" w:type="dxa"/>
            <w:vAlign w:val="bottom"/>
          </w:tcPr>
          <w:p>
            <w:pPr>
              <w:ind w:left="200"/>
              <w:spacing w:after="0" w:line="133" w:lineRule="exact"/>
              <w:rPr>
                <w:sz w:val="20"/>
                <w:szCs w:val="20"/>
                <w:color w:val="auto"/>
              </w:rPr>
            </w:pPr>
            <w:r>
              <w:rPr>
                <w:rFonts w:ascii="Arial" w:cs="Arial" w:eastAsia="Arial" w:hAnsi="Arial"/>
                <w:sz w:val="12"/>
                <w:szCs w:val="12"/>
                <w:color w:val="auto"/>
              </w:rPr>
              <w:t>Granted</w:t>
            </w: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700" w:type="dxa"/>
            <w:vAlign w:val="bottom"/>
          </w:tcPr>
          <w:p>
            <w:pPr>
              <w:spacing w:after="0"/>
              <w:rPr>
                <w:sz w:val="11"/>
                <w:szCs w:val="11"/>
                <w:color w:val="auto"/>
              </w:rPr>
            </w:pPr>
          </w:p>
        </w:tc>
      </w:tr>
      <w:tr>
        <w:trPr>
          <w:trHeight w:val="144"/>
        </w:trPr>
        <w:tc>
          <w:tcPr>
            <w:tcW w:w="1700" w:type="dxa"/>
            <w:vAlign w:val="bottom"/>
          </w:tcPr>
          <w:p>
            <w:pPr>
              <w:spacing w:after="0"/>
              <w:rPr>
                <w:sz w:val="12"/>
                <w:szCs w:val="12"/>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3880" w:type="dxa"/>
            <w:vAlign w:val="bottom"/>
          </w:tcPr>
          <w:p>
            <w:pPr>
              <w:ind w:left="200"/>
              <w:spacing w:after="0"/>
              <w:rPr>
                <w:sz w:val="20"/>
                <w:szCs w:val="20"/>
                <w:color w:val="auto"/>
              </w:rPr>
            </w:pPr>
            <w:r>
              <w:rPr>
                <w:rFonts w:ascii="Arial" w:cs="Arial" w:eastAsia="Arial" w:hAnsi="Arial"/>
                <w:sz w:val="12"/>
                <w:szCs w:val="12"/>
                <w:color w:val="auto"/>
              </w:rPr>
              <w:t>Forfeited</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Expired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28.06</w:t>
            </w:r>
          </w:p>
        </w:tc>
        <w:tc>
          <w:tcPr>
            <w:tcW w:w="170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8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Outstanding, Mar. 31</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1,344</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4.24</w:t>
            </w:r>
          </w:p>
        </w:tc>
        <w:tc>
          <w:tcPr>
            <w:tcW w:w="1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1,528</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6.88</w:t>
            </w:r>
          </w:p>
        </w:tc>
        <w:tc>
          <w:tcPr>
            <w:tcW w:w="1700" w:type="dxa"/>
            <w:vAlign w:val="bottom"/>
          </w:tcPr>
          <w:p>
            <w:pPr>
              <w:spacing w:after="0"/>
              <w:rPr>
                <w:sz w:val="11"/>
                <w:szCs w:val="11"/>
                <w:color w:val="auto"/>
              </w:rPr>
            </w:pPr>
          </w:p>
        </w:tc>
      </w:tr>
      <w:tr>
        <w:trPr>
          <w:trHeight w:val="133"/>
        </w:trPr>
        <w:tc>
          <w:tcPr>
            <w:tcW w:w="170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Exercisable, Mar. 31</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1,344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4.24</w:t>
            </w:r>
          </w:p>
        </w:tc>
        <w:tc>
          <w:tcPr>
            <w:tcW w:w="1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1,296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8.09</w:t>
            </w:r>
          </w:p>
        </w:tc>
        <w:tc>
          <w:tcPr>
            <w:tcW w:w="1700" w:type="dxa"/>
            <w:vAlign w:val="bottom"/>
          </w:tcPr>
          <w:p>
            <w:pPr>
              <w:spacing w:after="0"/>
              <w:rPr>
                <w:sz w:val="11"/>
                <w:szCs w:val="11"/>
                <w:color w:val="auto"/>
              </w:rPr>
            </w:pPr>
          </w:p>
        </w:tc>
      </w:tr>
      <w:tr>
        <w:trPr>
          <w:trHeight w:val="421"/>
        </w:trPr>
        <w:tc>
          <w:tcPr>
            <w:tcW w:w="1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74"/>
              </w:rPr>
              <w:t>18</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2"/>
          <w:szCs w:val="12"/>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There was no intrinsic value contained in the stock option awards which are vested and outstanding at March 31,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Unit Award Plans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$6 thousand and $29 thousand at March 31, 2020 and December 31, 2019, respectively.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grants under the RSU Plans as of March 31, 2020 and 2019, and for the three months then ended consisted of the following (in thousands):</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Three Months Ended March 31,</w:t>
      </w:r>
    </w:p>
    <w:p>
      <w:pPr>
        <w:spacing w:after="0" w:line="15" w:lineRule="exact"/>
        <w:rPr>
          <w:sz w:val="20"/>
          <w:szCs w:val="20"/>
          <w:color w:val="auto"/>
        </w:rPr>
      </w:pPr>
    </w:p>
    <w:tbl>
      <w:tblPr>
        <w:tblLayout w:type="fixed"/>
        <w:tblInd w:w="16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2020</w:t>
            </w: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2019</w:t>
            </w: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40"/>
              <w:spacing w:after="0" w:line="124" w:lineRule="exact"/>
              <w:rPr>
                <w:sz w:val="20"/>
                <w:szCs w:val="20"/>
                <w:color w:val="auto"/>
              </w:rPr>
            </w:pPr>
            <w:r>
              <w:rPr>
                <w:rFonts w:ascii="Arial" w:cs="Arial" w:eastAsia="Arial" w:hAnsi="Arial"/>
                <w:sz w:val="12"/>
                <w:szCs w:val="12"/>
                <w:color w:val="auto"/>
                <w:w w:val="92"/>
              </w:rPr>
              <w:t>Number of</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60"/>
              <w:spacing w:after="0" w:line="124" w:lineRule="exact"/>
              <w:rPr>
                <w:sz w:val="20"/>
                <w:szCs w:val="20"/>
                <w:color w:val="auto"/>
              </w:rPr>
            </w:pPr>
            <w:r>
              <w:rPr>
                <w:rFonts w:ascii="Arial" w:cs="Arial" w:eastAsia="Arial" w:hAnsi="Arial"/>
                <w:sz w:val="12"/>
                <w:szCs w:val="12"/>
                <w:color w:val="auto"/>
                <w:w w:val="92"/>
              </w:rPr>
              <w:t>Number of</w:t>
            </w:r>
          </w:p>
        </w:tc>
        <w:tc>
          <w:tcPr>
            <w:tcW w:w="6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2"/>
                <w:szCs w:val="12"/>
                <w:color w:val="auto"/>
                <w:w w:val="92"/>
              </w:rPr>
              <w:t>Number of</w:t>
            </w:r>
          </w:p>
        </w:tc>
        <w:tc>
          <w:tcPr>
            <w:tcW w:w="94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Vested</w:t>
            </w:r>
          </w:p>
        </w:tc>
        <w:tc>
          <w:tcPr>
            <w:tcW w:w="1140" w:type="dxa"/>
            <w:vAlign w:val="bottom"/>
            <w:gridSpan w:val="3"/>
          </w:tcPr>
          <w:p>
            <w:pPr>
              <w:jc w:val="center"/>
              <w:ind w:right="260"/>
              <w:spacing w:after="0"/>
              <w:rPr>
                <w:sz w:val="20"/>
                <w:szCs w:val="20"/>
                <w:color w:val="auto"/>
              </w:rPr>
            </w:pPr>
            <w:r>
              <w:rPr>
                <w:rFonts w:ascii="Arial" w:cs="Arial" w:eastAsia="Arial" w:hAnsi="Arial"/>
                <w:sz w:val="12"/>
                <w:szCs w:val="12"/>
                <w:color w:val="auto"/>
                <w:w w:val="92"/>
              </w:rPr>
              <w:t>Number of</w:t>
            </w:r>
          </w:p>
        </w:tc>
        <w:tc>
          <w:tcPr>
            <w:tcW w:w="82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Vested</w:t>
            </w:r>
          </w:p>
        </w:tc>
      </w:t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2"/>
                <w:szCs w:val="12"/>
                <w:color w:val="auto"/>
                <w:w w:val="89"/>
              </w:rPr>
              <w:t>RSUs</w:t>
            </w:r>
          </w:p>
        </w:tc>
        <w:tc>
          <w:tcPr>
            <w:tcW w:w="94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RSUs</w:t>
            </w:r>
          </w:p>
        </w:tc>
        <w:tc>
          <w:tcPr>
            <w:tcW w:w="1140" w:type="dxa"/>
            <w:vAlign w:val="bottom"/>
            <w:gridSpan w:val="3"/>
          </w:tcPr>
          <w:p>
            <w:pPr>
              <w:jc w:val="center"/>
              <w:ind w:right="260"/>
              <w:spacing w:after="0"/>
              <w:rPr>
                <w:sz w:val="20"/>
                <w:szCs w:val="20"/>
                <w:color w:val="auto"/>
              </w:rPr>
            </w:pPr>
            <w:r>
              <w:rPr>
                <w:rFonts w:ascii="Arial" w:cs="Arial" w:eastAsia="Arial" w:hAnsi="Arial"/>
                <w:sz w:val="12"/>
                <w:szCs w:val="12"/>
                <w:color w:val="auto"/>
                <w:w w:val="89"/>
              </w:rPr>
              <w:t>RSUs</w:t>
            </w:r>
          </w:p>
        </w:tc>
        <w:tc>
          <w:tcPr>
            <w:tcW w:w="82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RSUs</w:t>
            </w:r>
          </w:p>
        </w:tc>
      </w:tr>
      <w:tr>
        <w:trPr>
          <w:trHeight w:val="133"/>
        </w:trPr>
        <w:tc>
          <w:tcPr>
            <w:tcW w:w="20" w:type="dxa"/>
            <w:vAlign w:val="bottom"/>
          </w:tcPr>
          <w:p>
            <w:pPr>
              <w:spacing w:after="0"/>
              <w:rPr>
                <w:sz w:val="11"/>
                <w:szCs w:val="11"/>
                <w:color w:val="auto"/>
              </w:rPr>
            </w:pPr>
          </w:p>
        </w:tc>
        <w:tc>
          <w:tcPr>
            <w:tcW w:w="3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Jan. 1</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1,017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1,017</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951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200"/>
              <w:spacing w:after="0" w:line="133" w:lineRule="exact"/>
              <w:rPr>
                <w:sz w:val="20"/>
                <w:szCs w:val="20"/>
                <w:color w:val="auto"/>
              </w:rPr>
            </w:pPr>
            <w:r>
              <w:rPr>
                <w:rFonts w:ascii="Arial" w:cs="Arial" w:eastAsia="Arial" w:hAnsi="Arial"/>
                <w:sz w:val="12"/>
                <w:szCs w:val="12"/>
                <w:color w:val="auto"/>
              </w:rPr>
              <w:t>Granted</w:t>
            </w: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219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333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Distributed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(267)</w:t>
            </w:r>
          </w:p>
        </w:tc>
      </w:tr>
      <w:tr>
        <w:trPr>
          <w:trHeight w:val="144"/>
        </w:trPr>
        <w:tc>
          <w:tcPr>
            <w:tcW w:w="20" w:type="dxa"/>
            <w:vAlign w:val="bottom"/>
          </w:tcPr>
          <w:p>
            <w:pPr>
              <w:spacing w:after="0"/>
              <w:rPr>
                <w:sz w:val="12"/>
                <w:szCs w:val="12"/>
                <w:color w:val="auto"/>
              </w:rPr>
            </w:pPr>
          </w:p>
        </w:tc>
        <w:tc>
          <w:tcPr>
            <w:tcW w:w="3880" w:type="dxa"/>
            <w:vAlign w:val="bottom"/>
          </w:tcPr>
          <w:p>
            <w:pPr>
              <w:ind w:left="200"/>
              <w:spacing w:after="0"/>
              <w:rPr>
                <w:sz w:val="20"/>
                <w:szCs w:val="20"/>
                <w:color w:val="auto"/>
              </w:rPr>
            </w:pPr>
            <w:r>
              <w:rPr>
                <w:rFonts w:ascii="Arial" w:cs="Arial" w:eastAsia="Arial" w:hAnsi="Arial"/>
                <w:sz w:val="12"/>
                <w:szCs w:val="12"/>
                <w:color w:val="auto"/>
              </w:rPr>
              <w:t>Vested</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w:t>
            </w:r>
          </w:p>
        </w:tc>
        <w:tc>
          <w:tcPr>
            <w:tcW w:w="6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Arial" w:cs="Arial" w:eastAsia="Arial" w:hAnsi="Arial"/>
                <w:sz w:val="12"/>
                <w:szCs w:val="12"/>
                <w:color w:val="auto"/>
              </w:rPr>
              <w:t>Outstanding, Mar. 31</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839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675</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1,017</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275</w:t>
            </w:r>
          </w:p>
        </w:tc>
        <w:tc>
          <w:tcPr>
            <w:tcW w:w="60" w:type="dxa"/>
            <w:vAlign w:val="bottom"/>
          </w:tcPr>
          <w:p>
            <w:pPr>
              <w:spacing w:after="0"/>
              <w:rPr>
                <w:sz w:val="11"/>
                <w:szCs w:val="11"/>
                <w:color w:val="auto"/>
              </w:rPr>
            </w:pP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2017 Restricted Stock Unit Award Plan</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2017 RSU Plan was approved by shareholders in November 2017 and permits the grant of up to 1.5 million shares of our common stock pursuant to awards under the 2017 RSU Plan. As of March 31, 2020, no shares remain available for award under the 2017 RSU Plan.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Information about the awards under the 2017 RSU Plan is as follows:</w:t>
      </w:r>
    </w:p>
    <w:p>
      <w:pPr>
        <w:spacing w:after="0" w:line="150" w:lineRule="exact"/>
        <w:rPr>
          <w:sz w:val="20"/>
          <w:szCs w:val="20"/>
          <w:color w:val="auto"/>
        </w:rPr>
      </w:pPr>
    </w:p>
    <w:p>
      <w:pPr>
        <w:ind w:left="320" w:hanging="112"/>
        <w:spacing w:after="0" w:line="258"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December 2017, we awarded 200 thousand RSUs to our employees. Such RSU awards vested 100% after one full year of service. Distributions of the vested RSU awards to the employees will be made in three equal installments on the first business day of each of January 2020, 2021, and 2022 or earlier upon a qualifying change of control.</w:t>
      </w:r>
    </w:p>
    <w:p>
      <w:pPr>
        <w:jc w:val="both"/>
        <w:ind w:left="320" w:hanging="112"/>
        <w:spacing w:after="0" w:line="250"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2018, we awarded approximately 67 thousand RSUs to each of our four non-employee directors which also allow for them to receive payment in cash, instead of stock, for up to 40% of each RSU award. Such awards vest 25% at the end of each calendar quarter in 2018. Settlement of this RSU award occurred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 w:lineRule="exact"/>
        <w:rPr>
          <w:rFonts w:ascii="Arial" w:cs="Arial" w:eastAsia="Arial" w:hAnsi="Arial"/>
          <w:sz w:val="12"/>
          <w:szCs w:val="12"/>
          <w:color w:val="auto"/>
        </w:rPr>
      </w:pPr>
    </w:p>
    <w:p>
      <w:pPr>
        <w:ind w:left="320" w:hanging="112"/>
        <w:spacing w:after="0" w:line="250"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December 2018, we awarded 488 thousand RSUs to our employees. Such RSU awards vested 100% after one full year of service. Distributions of the vested RSU awards to the employees will be made in three equal installments on the first business day of each of January 2021, 2022, and 2023 or earlier upon a qualifying change of control.</w:t>
      </w:r>
    </w:p>
    <w:p>
      <w:pPr>
        <w:jc w:val="both"/>
        <w:ind w:left="320" w:hanging="112"/>
        <w:spacing w:after="0" w:line="250"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1" w:lineRule="exact"/>
        <w:rPr>
          <w:rFonts w:ascii="Arial" w:cs="Arial" w:eastAsia="Arial" w:hAnsi="Arial"/>
          <w:sz w:val="12"/>
          <w:szCs w:val="12"/>
          <w:color w:val="auto"/>
        </w:rPr>
      </w:pPr>
    </w:p>
    <w:p>
      <w:pPr>
        <w:jc w:val="both"/>
        <w:ind w:left="320" w:hanging="112"/>
        <w:spacing w:after="0" w:line="253"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will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Information about the distribution of shares under the 2017 RSU Plan is as follows:</w:t>
      </w:r>
    </w:p>
    <w:p>
      <w:pPr>
        <w:spacing w:after="0" w:line="15" w:lineRule="exact"/>
        <w:rPr>
          <w:sz w:val="20"/>
          <w:szCs w:val="20"/>
          <w:color w:val="auto"/>
        </w:rPr>
      </w:pPr>
    </w:p>
    <w:p>
      <w:pPr>
        <w:ind w:left="320" w:hanging="1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January 2019, 267 thousand RSUs were distributed to our non-employee directors from their January 2018 award and settled in common stock.</w:t>
      </w:r>
    </w:p>
    <w:p>
      <w:pPr>
        <w:spacing w:after="0" w:line="6" w:lineRule="exact"/>
        <w:rPr>
          <w:rFonts w:ascii="Arial" w:cs="Arial" w:eastAsia="Arial" w:hAnsi="Arial"/>
          <w:sz w:val="12"/>
          <w:szCs w:val="12"/>
          <w:color w:val="auto"/>
        </w:rPr>
      </w:pPr>
    </w:p>
    <w:p>
      <w:pPr>
        <w:ind w:left="320" w:right="20" w:hanging="112"/>
        <w:spacing w:after="0" w:line="250"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ind w:left="320" w:hanging="112"/>
        <w:spacing w:after="0" w:line="260"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2014 Restricted Stock Unit Award Plan</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2014 RSU Plan was approved by shareholders in May 2014 and permits the grant of up to 400 thousand shares of our common stock pursuant to awards under the 2014 RSU Plan. As of December 31, 2019, there were no longer shares available for award under the 2014 RSU Plan.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INCOME TAXES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 w:name="page22"/>
    <w:bookmarkEnd w:id="21"/>
    <w:p>
      <w:pPr>
        <w:jc w:val="both"/>
        <w:spacing w:after="0" w:line="280" w:lineRule="auto"/>
        <w:rPr>
          <w:sz w:val="20"/>
          <w:szCs w:val="20"/>
          <w:color w:val="auto"/>
        </w:rPr>
      </w:pPr>
      <w:r>
        <w:rPr>
          <w:rFonts w:ascii="Arial" w:cs="Arial" w:eastAsia="Arial" w:hAnsi="Arial"/>
          <w:sz w:val="11"/>
          <w:szCs w:val="11"/>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$167.8 million gross Federal NOLs at March 31, 2020 (of which approximately $160.2 million was generated prior to January 1,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March 31, 2020 and December 31, 2019,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NET EARNINGS (LOSS) PER SHARE</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Basic earnings (loss) per share (“EPS”) is computed by dividing net income or loss by the weighted average common shares outstanding during a period, including shares weighted related to both the vested Restricted Stock Units (“RSUs”) which settle in shares (See Note 11) and the stock warrant exercisable for 10.0 million shares having an exercise price of $0.01 per share (See Note 10).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a net loss for each of the three month periods ended March 31, 2020 and 2019, including the effects of the common stock equivalents in the diluted EPS calculations for these periods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numerators and denominators of basic and diluted earnings (loss) per share (“EPS”) consisted of the following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2"/>
                <w:szCs w:val="12"/>
                <w:color w:val="auto"/>
                <w:w w:val="92"/>
              </w:rPr>
              <w:t>Three Months 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1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2"/>
                <w:szCs w:val="12"/>
                <w:color w:val="auto"/>
              </w:rPr>
              <w:t>March 31,</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100" w:type="dxa"/>
            <w:vAlign w:val="bottom"/>
          </w:tcPr>
          <w:p>
            <w:pPr>
              <w:spacing w:after="0"/>
              <w:rPr>
                <w:sz w:val="12"/>
                <w:szCs w:val="12"/>
                <w:color w:val="auto"/>
              </w:rPr>
            </w:pPr>
          </w:p>
        </w:tc>
        <w:tc>
          <w:tcPr>
            <w:tcW w:w="5160" w:type="dxa"/>
            <w:vAlign w:val="bottom"/>
            <w:gridSpan w:val="2"/>
          </w:tcPr>
          <w:p>
            <w:pPr>
              <w:jc w:val="right"/>
              <w:spacing w:after="0"/>
              <w:rPr>
                <w:sz w:val="20"/>
                <w:szCs w:val="20"/>
                <w:color w:val="auto"/>
              </w:rPr>
            </w:pPr>
            <w:r>
              <w:rPr>
                <w:rFonts w:ascii="Arial" w:cs="Arial" w:eastAsia="Arial" w:hAnsi="Arial"/>
                <w:sz w:val="12"/>
                <w:szCs w:val="12"/>
                <w:color w:val="auto"/>
              </w:rPr>
              <w:t>2020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2019</w:t>
            </w:r>
          </w:p>
        </w:tc>
        <w:tc>
          <w:tcPr>
            <w:tcW w:w="120" w:type="dxa"/>
            <w:vAlign w:val="bottom"/>
          </w:tcPr>
          <w:p>
            <w:pPr>
              <w:spacing w:after="0"/>
              <w:rPr>
                <w:sz w:val="12"/>
                <w:szCs w:val="12"/>
                <w:color w:val="auto"/>
              </w:rPr>
            </w:pP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Earnings (loss) per share – basic and diluted</w:t>
            </w:r>
          </w:p>
        </w:tc>
        <w:tc>
          <w:tcPr>
            <w:tcW w:w="4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4100" w:type="dxa"/>
            <w:vAlign w:val="bottom"/>
          </w:tcPr>
          <w:p>
            <w:pPr>
              <w:ind w:left="140"/>
              <w:spacing w:after="0"/>
              <w:rPr>
                <w:sz w:val="20"/>
                <w:szCs w:val="20"/>
                <w:color w:val="auto"/>
              </w:rPr>
            </w:pPr>
            <w:r>
              <w:rPr>
                <w:rFonts w:ascii="Arial" w:cs="Arial" w:eastAsia="Arial" w:hAnsi="Arial"/>
                <w:sz w:val="12"/>
                <w:szCs w:val="12"/>
                <w:color w:val="auto"/>
              </w:rPr>
              <w:t>Numerator: net loss</w:t>
            </w:r>
          </w:p>
        </w:tc>
        <w:tc>
          <w:tcPr>
            <w:tcW w:w="5160" w:type="dxa"/>
            <w:vAlign w:val="bottom"/>
            <w:gridSpan w:val="2"/>
          </w:tcPr>
          <w:p>
            <w:pPr>
              <w:jc w:val="right"/>
              <w:ind w:right="67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(595)</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(788)</w:t>
            </w: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Denominator (weighted):</w:t>
            </w:r>
          </w:p>
        </w:tc>
        <w:tc>
          <w:tcPr>
            <w:tcW w:w="4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100" w:type="dxa"/>
            <w:vAlign w:val="bottom"/>
          </w:tcPr>
          <w:p>
            <w:pPr>
              <w:ind w:left="200"/>
              <w:spacing w:after="0"/>
              <w:rPr>
                <w:sz w:val="20"/>
                <w:szCs w:val="20"/>
                <w:color w:val="auto"/>
              </w:rPr>
            </w:pPr>
            <w:r>
              <w:rPr>
                <w:rFonts w:ascii="Arial" w:cs="Arial" w:eastAsia="Arial" w:hAnsi="Arial"/>
                <w:sz w:val="12"/>
                <w:szCs w:val="12"/>
                <w:color w:val="auto"/>
              </w:rPr>
              <w:t>Common shares</w:t>
            </w:r>
          </w:p>
        </w:tc>
        <w:tc>
          <w:tcPr>
            <w:tcW w:w="4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21,650</w:t>
            </w:r>
          </w:p>
        </w:tc>
        <w:tc>
          <w:tcPr>
            <w:tcW w:w="4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21,300</w:t>
            </w:r>
          </w:p>
        </w:tc>
      </w:tr>
      <w:tr>
        <w:trPr>
          <w:trHeight w:val="144"/>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RSUs - vested</w:t>
            </w:r>
          </w:p>
        </w:tc>
        <w:tc>
          <w:tcPr>
            <w:tcW w:w="4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620</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w:t>
            </w:r>
          </w:p>
        </w:tc>
      </w:tr>
      <w:tr>
        <w:trPr>
          <w:trHeight w:val="153"/>
        </w:trPr>
        <w:tc>
          <w:tcPr>
            <w:tcW w:w="4100" w:type="dxa"/>
            <w:vAlign w:val="bottom"/>
          </w:tcPr>
          <w:p>
            <w:pPr>
              <w:ind w:left="200"/>
              <w:spacing w:after="0"/>
              <w:rPr>
                <w:sz w:val="20"/>
                <w:szCs w:val="20"/>
                <w:color w:val="auto"/>
              </w:rPr>
            </w:pPr>
            <w:r>
              <w:rPr>
                <w:rFonts w:ascii="Arial" w:cs="Arial" w:eastAsia="Arial" w:hAnsi="Arial"/>
                <w:sz w:val="12"/>
                <w:szCs w:val="12"/>
                <w:color w:val="auto"/>
              </w:rPr>
              <w:t>Common stock purchase warrant</w:t>
            </w:r>
          </w:p>
        </w:tc>
        <w:tc>
          <w:tcPr>
            <w:tcW w:w="4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10,000</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Basic and diluted weighted average shares outstanding</w:t>
            </w:r>
          </w:p>
        </w:tc>
        <w:tc>
          <w:tcPr>
            <w:tcW w:w="4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32,270</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21,493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100" w:type="dxa"/>
            <w:vAlign w:val="bottom"/>
          </w:tcPr>
          <w:p>
            <w:pPr>
              <w:spacing w:after="0" w:line="133" w:lineRule="exact"/>
              <w:rPr>
                <w:sz w:val="20"/>
                <w:szCs w:val="20"/>
                <w:color w:val="auto"/>
              </w:rPr>
            </w:pPr>
            <w:r>
              <w:rPr>
                <w:rFonts w:ascii="Arial" w:cs="Arial" w:eastAsia="Arial" w:hAnsi="Arial"/>
                <w:sz w:val="12"/>
                <w:szCs w:val="12"/>
                <w:color w:val="auto"/>
              </w:rPr>
              <w:t>Loss per share – basic and diluted</w:t>
            </w:r>
          </w:p>
        </w:tc>
        <w:tc>
          <w:tcPr>
            <w:tcW w:w="4380" w:type="dxa"/>
            <w:vAlign w:val="bottom"/>
          </w:tcPr>
          <w:p>
            <w:pPr>
              <w:spacing w:after="0"/>
              <w:rPr>
                <w:sz w:val="11"/>
                <w:szCs w:val="11"/>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(0.02)</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(0.04)</w:t>
            </w: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Excluded securities (non-weighted):</w:t>
            </w:r>
          </w:p>
        </w:tc>
        <w:tc>
          <w:tcPr>
            <w:tcW w:w="4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100" w:type="dxa"/>
            <w:vAlign w:val="bottom"/>
          </w:tcPr>
          <w:p>
            <w:pPr>
              <w:spacing w:after="0"/>
              <w:rPr>
                <w:sz w:val="20"/>
                <w:szCs w:val="20"/>
                <w:color w:val="auto"/>
              </w:rPr>
            </w:pPr>
            <w:r>
              <w:rPr>
                <w:rFonts w:ascii="Arial" w:cs="Arial" w:eastAsia="Arial" w:hAnsi="Arial"/>
                <w:sz w:val="12"/>
                <w:szCs w:val="12"/>
                <w:color w:val="auto"/>
              </w:rPr>
              <w:t>Common shares issuable:</w:t>
            </w:r>
          </w:p>
        </w:tc>
        <w:tc>
          <w:tcPr>
            <w:tcW w:w="4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RSUs – nonvested</w:t>
            </w:r>
          </w:p>
        </w:tc>
        <w:tc>
          <w:tcPr>
            <w:tcW w:w="4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742</w:t>
            </w:r>
          </w:p>
        </w:tc>
      </w:tr>
      <w:tr>
        <w:trPr>
          <w:trHeight w:val="144"/>
        </w:trPr>
        <w:tc>
          <w:tcPr>
            <w:tcW w:w="4100" w:type="dxa"/>
            <w:vAlign w:val="bottom"/>
          </w:tcPr>
          <w:p>
            <w:pPr>
              <w:ind w:left="200"/>
              <w:spacing w:after="0"/>
              <w:rPr>
                <w:sz w:val="20"/>
                <w:szCs w:val="20"/>
                <w:color w:val="auto"/>
              </w:rPr>
            </w:pPr>
            <w:r>
              <w:rPr>
                <w:rFonts w:ascii="Arial" w:cs="Arial" w:eastAsia="Arial" w:hAnsi="Arial"/>
                <w:sz w:val="12"/>
                <w:szCs w:val="12"/>
                <w:color w:val="auto"/>
              </w:rPr>
              <w:t>Stock options – vested and nonvested</w:t>
            </w:r>
          </w:p>
        </w:tc>
        <w:tc>
          <w:tcPr>
            <w:tcW w:w="4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1,344</w:t>
            </w:r>
          </w:p>
        </w:tc>
        <w:tc>
          <w:tcPr>
            <w:tcW w:w="4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1,528</w:t>
            </w:r>
          </w:p>
        </w:tc>
      </w:tr>
      <w:tr>
        <w:trPr>
          <w:trHeight w:val="144"/>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Common stock purchase warrants</w:t>
            </w:r>
          </w:p>
        </w:tc>
        <w:tc>
          <w:tcPr>
            <w:tcW w:w="4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1,842</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1,842</w:t>
            </w:r>
          </w:p>
        </w:tc>
      </w:tr>
      <w:tr>
        <w:trPr>
          <w:trHeight w:val="153"/>
        </w:trPr>
        <w:tc>
          <w:tcPr>
            <w:tcW w:w="4100" w:type="dxa"/>
            <w:vAlign w:val="bottom"/>
          </w:tcPr>
          <w:p>
            <w:pPr>
              <w:ind w:left="200"/>
              <w:spacing w:after="0"/>
              <w:rPr>
                <w:sz w:val="20"/>
                <w:szCs w:val="20"/>
                <w:color w:val="auto"/>
              </w:rPr>
            </w:pPr>
            <w:r>
              <w:rPr>
                <w:rFonts w:ascii="Arial" w:cs="Arial" w:eastAsia="Arial" w:hAnsi="Arial"/>
                <w:sz w:val="12"/>
                <w:szCs w:val="12"/>
                <w:color w:val="auto"/>
              </w:rPr>
              <w:t>Convertible loan</w:t>
            </w:r>
          </w:p>
        </w:tc>
        <w:tc>
          <w:tcPr>
            <w:tcW w:w="4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37,500</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4100" w:type="dxa"/>
            <w:vAlign w:val="bottom"/>
            <w:tcBorders>
              <w:top w:val="single" w:sz="8" w:color="CCEEFF"/>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Total excluded common shares</w:t>
            </w:r>
          </w:p>
        </w:tc>
        <w:tc>
          <w:tcPr>
            <w:tcW w:w="4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40,784</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4,112</w:t>
            </w:r>
          </w:p>
        </w:tc>
        <w:tc>
          <w:tcPr>
            <w:tcW w:w="120" w:type="dxa"/>
            <w:vAlign w:val="bottom"/>
            <w:tcBorders>
              <w:top w:val="single" w:sz="8" w:color="CCEEFF"/>
            </w:tcBorders>
            <w:shd w:val="clear" w:color="auto" w:fill="CCEEFF"/>
          </w:tcPr>
          <w:p>
            <w:pPr>
              <w:spacing w:after="0"/>
              <w:rPr>
                <w:sz w:val="11"/>
                <w:szCs w:val="11"/>
                <w:color w:val="auto"/>
              </w:rPr>
            </w:pPr>
          </w:p>
        </w:tc>
      </w:tr>
      <w:tr>
        <w:trPr>
          <w:trHeight w:val="421"/>
        </w:trPr>
        <w:tc>
          <w:tcPr>
            <w:tcW w:w="4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2720"/>
              <w:spacing w:after="0"/>
              <w:rPr>
                <w:sz w:val="20"/>
                <w:szCs w:val="20"/>
                <w:color w:val="auto"/>
              </w:rPr>
            </w:pPr>
            <w:r>
              <w:rPr>
                <w:rFonts w:ascii="Arial" w:cs="Arial" w:eastAsia="Arial" w:hAnsi="Arial"/>
                <w:sz w:val="12"/>
                <w:szCs w:val="12"/>
                <w:color w:val="auto"/>
              </w:rPr>
              <w:t>21</w:t>
            </w: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NOTE 14 – SUBSEQUENT EVENTS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April 13, 2020, the Company was granted a loan (the “Loan”) from JP Morgan Chase Bank in the aggregate amount of $268 thousand, pursuant to the Paycheck Protection Program under Division A, Title I of the CARES Act, which was enacted March 27, 2020. Under the terms of the Paycheck Protection Program (“PPP”), certain amounts of the Loan may be forgiven if they are used for qualifying expenses as described in the CARES Act. The Company is continuing to evaluate the criteria and new guidance put out by the Small Business Administration regarding qualifications of loans under the PPP and criteria for meeting loan conditions. No assurance is provided that forgiveness for any portion of the Loan will be obtained.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Item 2. Management’s Discussion and Analysis of Financial Condition and Results of Operations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Forward-Looking Statements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22"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obtain funding for our continuing operations, including the development of our products utilizing our LIMITx™ and Impede® technologies;</w:t>
      </w:r>
    </w:p>
    <w:p>
      <w:pPr>
        <w:spacing w:after="0" w:line="14" w:lineRule="exact"/>
        <w:rPr>
          <w:rFonts w:ascii="Arial" w:cs="Arial" w:eastAsia="Arial" w:hAnsi="Arial"/>
          <w:sz w:val="12"/>
          <w:szCs w:val="12"/>
          <w:color w:val="auto"/>
        </w:rPr>
      </w:pPr>
    </w:p>
    <w:p>
      <w:pPr>
        <w:ind w:left="420" w:right="20" w:hanging="212"/>
        <w:spacing w:after="0" w:line="250"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ind w:left="420" w:hanging="212"/>
        <w:spacing w:after="0" w:line="250"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whether LIMITx will retard the release of opioid active ingredients as dose levels increase;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color w:val="auto"/>
        </w:rPr>
        <w:t>whether the extent to which products formulated with the LIMITx Technology deter abuse or overdose will be determined sufficient by the FDA to support approval or labelling describing safety and/or abuse deterrent features;</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whether our LIMITx Technology can be expanded into extended-release formulations;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and our licensee’s ability to successfully launch and commercialize our products and technologies, including Oxaydo® Tablets and our Nexafed®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pricing and price discounting that may be offered by Zyla Life Sciences for Oxaydo;</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results and timing of our development of our LIMITx Technology, including, but not limited to, the submission of a New Drug Application;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or our licensees’ ability to obtain necessary regulatory approvals and commercialize products utilizing our technologies;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market acceptance of, timing of commercial launch and competitive environment for any of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expectations regarding potential market share for our products;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3" w:name="page24"/>
    <w:bookmarkEnd w:id="23"/>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ability to develop and enter into additional license agreements for our product candidates using our technologies;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exposure to product liability and other lawsuits in connection with the commercialization of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increasing cost of insurance and the availability of product liability insurance coverage;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ability to avoid infringement of patents, trademarks and other proprietary rights of third parties;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ability of our patents to protect our products from generic competition and our ability to protect and enforce our patent rights in any paragraph IV patent infringement litigation;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the FDA will agree with or accept the results of our studies for our product candidates;</w:t>
      </w:r>
    </w:p>
    <w:p>
      <w:pPr>
        <w:spacing w:after="0" w:line="6" w:lineRule="exact"/>
        <w:rPr>
          <w:rFonts w:ascii="Arial" w:cs="Arial" w:eastAsia="Arial" w:hAnsi="Arial"/>
          <w:sz w:val="12"/>
          <w:szCs w:val="12"/>
          <w:color w:val="auto"/>
        </w:rPr>
      </w:pPr>
    </w:p>
    <w:p>
      <w:pPr>
        <w:jc w:val="both"/>
        <w:ind w:left="420" w:hanging="212"/>
        <w:spacing w:after="0" w:line="250"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adequacy of the development program for our product candidates, including whether additional clinical studies will be required to support FDA approval of our product candidates;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regulatory requirements;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adverse safety findings relating to our commercialized products or product candidates in development;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the FDA will agree with our analysis of our clinical and laboratory studies;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further studies of our product candidates will be required to support FDA approval;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or when we are able to obtain FDA approval of labeling for our product candidates for the proposed indications and whether we will be able to promote the features of our technologies; and</w:t>
      </w:r>
    </w:p>
    <w:p>
      <w:pPr>
        <w:spacing w:after="0" w:line="6" w:lineRule="exact"/>
        <w:rPr>
          <w:rFonts w:ascii="Arial" w:cs="Arial" w:eastAsia="Arial" w:hAnsi="Arial"/>
          <w:sz w:val="12"/>
          <w:szCs w:val="12"/>
          <w:color w:val="auto"/>
        </w:rPr>
      </w:pPr>
    </w:p>
    <w:p>
      <w:pPr>
        <w:ind w:left="420" w:hanging="212"/>
        <w:spacing w:after="0" w:line="260"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Oxaydo or our Aversion, Impede and LIMITx products will ultimately deter abuse in commercial settings and whether our Nexafed products and Impede Technology product candidates will disrupt the processing of pseudoephedrine into methamphetamine.</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2019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4" w:name="page25"/>
    <w:bookmarkEnd w:id="24"/>
    <w:p>
      <w:pPr>
        <w:jc w:val="both"/>
        <w:spacing w:after="0" w:line="278" w:lineRule="auto"/>
        <w:rPr>
          <w:sz w:val="20"/>
          <w:szCs w:val="20"/>
          <w:color w:val="auto"/>
        </w:rPr>
      </w:pPr>
      <w:r>
        <w:rPr>
          <w:rFonts w:ascii="Arial" w:cs="Arial" w:eastAsia="Arial" w:hAnsi="Arial"/>
          <w:sz w:val="11"/>
          <w:szCs w:val="11"/>
          <w:color w:val="auto"/>
        </w:rPr>
        <w:t>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1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through November 2020 and reimburse us for development of LTX-03. The Agreement grants AD Pharma exclusive commercialization rights in the United States to LTX-03.</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January 7, 2015, we entered into a Collaboration and License Agreement with Zyla US, Inc. and Zyla Ltd., each a subsidiary of Zyla Corporation, or collectively Zyla, pursuant to which we exclusively licensed to Zyla worldwide rights to manufacture and commercialize our Aversion Technology product Oxaydo. Oxaydo is currently approved by the U. S. Food and Drug Administration, or FDA, for marketing in the United States in 5mg and 7.5mg strengths. Zyla launched Oxaydo in the United States late in the third quarter of 2015. We are not actively developing product candidates utilizing our Aversion Technology.</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with Acura’s consent, all of its right, title and interest in the Agreement between MainPointe and Acura.</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2"/>
          <w:szCs w:val="12"/>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22"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Misuse or Abuse of Prescription Opioid Products and Development of Risk Mitigation Formulations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spacing w:after="0" w:line="122"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Oral Excessive Tablet Abuse (ETA). Generally recognized as the most prevalent route of administration by abusers, the abuser simply orally ingests more tablets (or capsules) than is recommended for pain relief.</w:t>
      </w:r>
    </w:p>
    <w:p>
      <w:pPr>
        <w:spacing w:after="0" w:line="26" w:lineRule="exact"/>
        <w:rPr>
          <w:rFonts w:ascii="Arial" w:cs="Arial" w:eastAsia="Arial" w:hAnsi="Arial"/>
          <w:sz w:val="11"/>
          <w:szCs w:val="11"/>
          <w:color w:val="auto"/>
        </w:rPr>
      </w:pPr>
    </w:p>
    <w:p>
      <w:pPr>
        <w:ind w:left="420" w:right="2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Nasal snorting. Crushed tablets are insufflated for absorption of the drug through the nasal tissues.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Injection. The opioid is physically or chemically removed from the dosage and injected into the vein using a syringe.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Poly-pharmacy. Opioids are sometimes used in conjunction with alcohol, methamphetamine, or other drugs to accentuate the high.</w:t>
      </w:r>
    </w:p>
    <w:p>
      <w:pPr>
        <w:spacing w:after="0" w:line="6" w:lineRule="exact"/>
        <w:rPr>
          <w:rFonts w:ascii="Arial" w:cs="Arial" w:eastAsia="Arial" w:hAnsi="Arial"/>
          <w:sz w:val="12"/>
          <w:szCs w:val="12"/>
          <w:color w:val="auto"/>
        </w:rPr>
      </w:pPr>
    </w:p>
    <w:p>
      <w:pPr>
        <w:ind w:left="420" w:right="20" w:hanging="212"/>
        <w:spacing w:after="0" w:line="26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Overdose. Drug abusers may accidentally introduce excessive quantities of drugs in their systems or combine drugs that may heighten the chance of adverse effects of drugs. Some patients may over ingest drugs accidentally or with the express intent of suicide.</w:t>
      </w:r>
    </w:p>
    <w:p>
      <w:pPr>
        <w:spacing w:after="0" w:line="12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development products will be dependent on the results of and the acceptance by the FDA of our and our licensees’ studies for each product.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2"/>
          <w:szCs w:val="12"/>
          <w:color w:val="auto"/>
        </w:rPr>
        <w:t>Because our products use known active ingredients in approved dosage strengths, the safety and efficacy of the opioid will need to be established by a series of pharmacokinetic studies demonstrating: (a) bioequivalence to an approved reference drug, (b) food effect of our formulations, (c) dose proportionality of our formulation, and (d) other external impacts to our unique formulations. A product candidate that does not achieve satisfactory pharmacokinetic results may require a phase III clinical efficacy study.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Overdose Risk Mitigation - Products and Development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LIMITx™ Technology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LIMITx Technology Products in Development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products in development utilizing our LIMITx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680" w:type="dxa"/>
            <w:vAlign w:val="bottom"/>
            <w:tcBorders>
              <w:top w:val="single" w:sz="8" w:color="auto"/>
              <w:left w:val="single" w:sz="8" w:color="auto"/>
              <w:bottom w:val="single" w:sz="8" w:color="auto"/>
            </w:tcBorders>
          </w:tcPr>
          <w:p>
            <w:pPr>
              <w:ind w:left="2240"/>
              <w:spacing w:after="0"/>
              <w:rPr>
                <w:sz w:val="20"/>
                <w:szCs w:val="20"/>
                <w:color w:val="auto"/>
              </w:rPr>
            </w:pPr>
            <w:r>
              <w:rPr>
                <w:rFonts w:ascii="Arial" w:cs="Arial" w:eastAsia="Arial" w:hAnsi="Arial"/>
                <w:sz w:val="12"/>
                <w:szCs w:val="12"/>
                <w:b w:val="1"/>
                <w:bCs w:val="1"/>
                <w:color w:val="auto"/>
              </w:rPr>
              <w:t>LIMITx Technology Products</w:t>
            </w:r>
          </w:p>
        </w:tc>
        <w:tc>
          <w:tcPr>
            <w:tcW w:w="1320" w:type="dxa"/>
            <w:vAlign w:val="bottom"/>
            <w:tcBorders>
              <w:top w:val="single" w:sz="8" w:color="auto"/>
              <w:bottom w:val="single" w:sz="8" w:color="auto"/>
              <w:right w:val="single" w:sz="8" w:color="auto"/>
            </w:tcBorders>
          </w:tcPr>
          <w:p>
            <w:pPr>
              <w:spacing w:after="0"/>
              <w:rPr>
                <w:sz w:val="19"/>
                <w:szCs w:val="19"/>
                <w:color w:val="auto"/>
              </w:rPr>
            </w:pPr>
          </w:p>
        </w:tc>
        <w:tc>
          <w:tcPr>
            <w:tcW w:w="5300" w:type="dxa"/>
            <w:vAlign w:val="bottom"/>
            <w:tcBorders>
              <w:top w:val="single" w:sz="8" w:color="auto"/>
              <w:bottom w:val="single" w:sz="8" w:color="auto"/>
              <w:right w:val="single" w:sz="8" w:color="auto"/>
            </w:tcBorders>
          </w:tcPr>
          <w:p>
            <w:pPr>
              <w:ind w:left="2480"/>
              <w:spacing w:after="0"/>
              <w:rPr>
                <w:sz w:val="20"/>
                <w:szCs w:val="20"/>
                <w:color w:val="auto"/>
              </w:rPr>
            </w:pPr>
            <w:r>
              <w:rPr>
                <w:rFonts w:ascii="Arial" w:cs="Arial" w:eastAsia="Arial" w:hAnsi="Arial"/>
                <w:sz w:val="12"/>
                <w:szCs w:val="12"/>
                <w:b w:val="1"/>
                <w:bCs w:val="1"/>
                <w:color w:val="auto"/>
              </w:rPr>
              <w:t>Status</w:t>
            </w:r>
          </w:p>
        </w:tc>
        <w:tc>
          <w:tcPr>
            <w:tcW w:w="0" w:type="dxa"/>
            <w:vAlign w:val="bottom"/>
          </w:tcPr>
          <w:p>
            <w:pPr>
              <w:spacing w:after="0"/>
              <w:rPr>
                <w:sz w:val="1"/>
                <w:szCs w:val="1"/>
                <w:color w:val="auto"/>
              </w:rPr>
            </w:pPr>
          </w:p>
        </w:tc>
      </w:tr>
      <w:tr>
        <w:trPr>
          <w:trHeight w:val="142"/>
        </w:trPr>
        <w:tc>
          <w:tcPr>
            <w:tcW w:w="4680" w:type="dxa"/>
            <w:vAlign w:val="bottom"/>
            <w:tcBorders>
              <w:left w:val="single" w:sz="8" w:color="auto"/>
            </w:tcBorders>
            <w:vMerge w:val="restart"/>
            <w:shd w:val="clear" w:color="auto" w:fill="CCEEFF"/>
          </w:tcPr>
          <w:p>
            <w:pPr>
              <w:ind w:left="60"/>
              <w:spacing w:after="0"/>
              <w:rPr>
                <w:sz w:val="20"/>
                <w:szCs w:val="20"/>
                <w:color w:val="auto"/>
              </w:rPr>
            </w:pPr>
            <w:r>
              <w:rPr>
                <w:rFonts w:ascii="Arial" w:cs="Arial" w:eastAsia="Arial" w:hAnsi="Arial"/>
                <w:sz w:val="12"/>
                <w:szCs w:val="12"/>
                <w:color w:val="auto"/>
              </w:rPr>
              <w:t>Immediate-release hydrocodone bitartrate with acetaminophen (LTX-03)</w:t>
            </w:r>
          </w:p>
        </w:tc>
        <w:tc>
          <w:tcPr>
            <w:tcW w:w="1320" w:type="dxa"/>
            <w:vAlign w:val="bottom"/>
            <w:tcBorders>
              <w:right w:val="single" w:sz="8" w:color="auto"/>
            </w:tcBorders>
            <w:shd w:val="clear" w:color="auto" w:fill="CCEEFF"/>
          </w:tcPr>
          <w:p>
            <w:pPr>
              <w:spacing w:after="0"/>
              <w:rPr>
                <w:sz w:val="12"/>
                <w:szCs w:val="12"/>
                <w:color w:val="auto"/>
              </w:rPr>
            </w:pPr>
          </w:p>
        </w:tc>
        <w:tc>
          <w:tcPr>
            <w:tcW w:w="53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Initial buffer dose ranging study completed October 2017</w:t>
            </w:r>
          </w:p>
        </w:tc>
        <w:tc>
          <w:tcPr>
            <w:tcW w:w="0" w:type="dxa"/>
            <w:vAlign w:val="bottom"/>
          </w:tcPr>
          <w:p>
            <w:pPr>
              <w:spacing w:after="0"/>
              <w:rPr>
                <w:sz w:val="1"/>
                <w:szCs w:val="1"/>
                <w:color w:val="auto"/>
              </w:rPr>
            </w:pPr>
          </w:p>
        </w:tc>
      </w:tr>
      <w:tr>
        <w:trPr>
          <w:trHeight w:val="63"/>
        </w:trPr>
        <w:tc>
          <w:tcPr>
            <w:tcW w:w="4680" w:type="dxa"/>
            <w:vAlign w:val="bottom"/>
            <w:tcBorders>
              <w:left w:val="single" w:sz="8" w:color="auto"/>
            </w:tcBorders>
            <w:vMerge w:val="continue"/>
            <w:shd w:val="clear" w:color="auto" w:fill="CCEEFF"/>
          </w:tcPr>
          <w:p>
            <w:pPr>
              <w:spacing w:after="0"/>
              <w:rPr>
                <w:sz w:val="5"/>
                <w:szCs w:val="5"/>
                <w:color w:val="auto"/>
              </w:rPr>
            </w:pPr>
          </w:p>
        </w:tc>
        <w:tc>
          <w:tcPr>
            <w:tcW w:w="1320" w:type="dxa"/>
            <w:vAlign w:val="bottom"/>
            <w:tcBorders>
              <w:right w:val="single" w:sz="8" w:color="auto"/>
            </w:tcBorders>
            <w:shd w:val="clear" w:color="auto" w:fill="CCEEFF"/>
          </w:tcPr>
          <w:p>
            <w:pPr>
              <w:spacing w:after="0"/>
              <w:rPr>
                <w:sz w:val="5"/>
                <w:szCs w:val="5"/>
                <w:color w:val="auto"/>
              </w:rPr>
            </w:pPr>
          </w:p>
        </w:tc>
        <w:tc>
          <w:tcPr>
            <w:tcW w:w="530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80" w:type="dxa"/>
            <w:vAlign w:val="bottom"/>
            <w:tcBorders>
              <w:lef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53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Follow on dose ranging study completed in January 2018</w:t>
            </w:r>
          </w:p>
        </w:tc>
        <w:tc>
          <w:tcPr>
            <w:tcW w:w="0" w:type="dxa"/>
            <w:vAlign w:val="bottom"/>
          </w:tcPr>
          <w:p>
            <w:pPr>
              <w:spacing w:after="0"/>
              <w:rPr>
                <w:sz w:val="1"/>
                <w:szCs w:val="1"/>
                <w:color w:val="auto"/>
              </w:rPr>
            </w:pPr>
          </w:p>
        </w:tc>
      </w:tr>
      <w:tr>
        <w:trPr>
          <w:trHeight w:val="279"/>
        </w:trPr>
        <w:tc>
          <w:tcPr>
            <w:tcW w:w="4680" w:type="dxa"/>
            <w:vAlign w:val="bottom"/>
            <w:tcBorders>
              <w:left w:val="single" w:sz="8" w:color="auto"/>
            </w:tcBorders>
            <w:shd w:val="clear" w:color="auto" w:fill="CCEEFF"/>
          </w:tcPr>
          <w:p>
            <w:pPr>
              <w:spacing w:after="0"/>
              <w:rPr>
                <w:sz w:val="24"/>
                <w:szCs w:val="24"/>
                <w:color w:val="auto"/>
              </w:rPr>
            </w:pPr>
          </w:p>
        </w:tc>
        <w:tc>
          <w:tcPr>
            <w:tcW w:w="1320" w:type="dxa"/>
            <w:vAlign w:val="bottom"/>
            <w:tcBorders>
              <w:right w:val="single" w:sz="8" w:color="auto"/>
            </w:tcBorders>
            <w:shd w:val="clear" w:color="auto" w:fill="CCEEFF"/>
          </w:tcPr>
          <w:p>
            <w:pPr>
              <w:spacing w:after="0"/>
              <w:rPr>
                <w:sz w:val="24"/>
                <w:szCs w:val="24"/>
                <w:color w:val="auto"/>
              </w:rPr>
            </w:pPr>
          </w:p>
        </w:tc>
        <w:tc>
          <w:tcPr>
            <w:tcW w:w="53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w w:val="93"/>
              </w:rPr>
              <w:t>Manufacturing scale-up initiated. Formulation and manufacturing process optimized for commercial scale.</w:t>
            </w:r>
          </w:p>
        </w:tc>
        <w:tc>
          <w:tcPr>
            <w:tcW w:w="0" w:type="dxa"/>
            <w:vAlign w:val="bottom"/>
          </w:tcPr>
          <w:p>
            <w:pPr>
              <w:spacing w:after="0"/>
              <w:rPr>
                <w:sz w:val="1"/>
                <w:szCs w:val="1"/>
                <w:color w:val="auto"/>
              </w:rPr>
            </w:pPr>
          </w:p>
        </w:tc>
      </w:tr>
      <w:tr>
        <w:trPr>
          <w:trHeight w:val="153"/>
        </w:trPr>
        <w:tc>
          <w:tcPr>
            <w:tcW w:w="4680" w:type="dxa"/>
            <w:vAlign w:val="bottom"/>
            <w:tcBorders>
              <w:left w:val="single" w:sz="8" w:color="auto"/>
              <w:bottom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53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Ancillary manufacturing equipment is expected to be delivered mid-April 2020.</w:t>
            </w:r>
          </w:p>
        </w:tc>
        <w:tc>
          <w:tcPr>
            <w:tcW w:w="0" w:type="dxa"/>
            <w:vAlign w:val="bottom"/>
          </w:tcPr>
          <w:p>
            <w:pPr>
              <w:spacing w:after="0"/>
              <w:rPr>
                <w:sz w:val="1"/>
                <w:szCs w:val="1"/>
                <w:color w:val="auto"/>
              </w:rPr>
            </w:pPr>
          </w:p>
        </w:tc>
      </w:tr>
      <w:tr>
        <w:trPr>
          <w:trHeight w:val="205"/>
        </w:trPr>
        <w:tc>
          <w:tcPr>
            <w:tcW w:w="4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Immediate-release oxycodone HCl (LTX-01) &amp; (LTX-02)</w:t>
            </w:r>
          </w:p>
        </w:tc>
        <w:tc>
          <w:tcPr>
            <w:tcW w:w="1320" w:type="dxa"/>
            <w:vAlign w:val="bottom"/>
            <w:tcBorders>
              <w:bottom w:val="single" w:sz="8" w:color="auto"/>
              <w:right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Formulation development in process</w:t>
            </w:r>
          </w:p>
        </w:tc>
        <w:tc>
          <w:tcPr>
            <w:tcW w:w="0" w:type="dxa"/>
            <w:vAlign w:val="bottom"/>
          </w:tcPr>
          <w:p>
            <w:pPr>
              <w:spacing w:after="0"/>
              <w:rPr>
                <w:sz w:val="1"/>
                <w:szCs w:val="1"/>
                <w:color w:val="auto"/>
              </w:rPr>
            </w:pPr>
          </w:p>
        </w:tc>
      </w:tr>
      <w:tr>
        <w:trPr>
          <w:trHeight w:val="205"/>
        </w:trPr>
        <w:tc>
          <w:tcPr>
            <w:tcW w:w="46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Immediate-release non-opioid drug (LTX-09)</w:t>
            </w: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53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Formulation development in process</w:t>
            </w:r>
          </w:p>
        </w:tc>
        <w:tc>
          <w:tcPr>
            <w:tcW w:w="0" w:type="dxa"/>
            <w:vAlign w:val="bottom"/>
          </w:tcPr>
          <w:p>
            <w:pPr>
              <w:spacing w:after="0"/>
              <w:rPr>
                <w:sz w:val="1"/>
                <w:szCs w:val="1"/>
                <w:color w:val="auto"/>
              </w:rPr>
            </w:pPr>
          </w:p>
        </w:tc>
      </w:tr>
      <w:tr>
        <w:trPr>
          <w:trHeight w:val="205"/>
        </w:trPr>
        <w:tc>
          <w:tcPr>
            <w:tcW w:w="4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Immediate-release hydromorphone HCI (LTX-04)</w:t>
            </w:r>
          </w:p>
        </w:tc>
        <w:tc>
          <w:tcPr>
            <w:tcW w:w="1320" w:type="dxa"/>
            <w:vAlign w:val="bottom"/>
            <w:tcBorders>
              <w:bottom w:val="single" w:sz="8" w:color="auto"/>
              <w:right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Two Phase I exploratory pharmacokinetic studies completed. IND no longer active.</w:t>
            </w:r>
          </w:p>
        </w:tc>
        <w:tc>
          <w:tcPr>
            <w:tcW w:w="0" w:type="dxa"/>
            <w:vAlign w:val="bottom"/>
          </w:tcPr>
          <w:p>
            <w:pPr>
              <w:spacing w:after="0"/>
              <w:rPr>
                <w:sz w:val="1"/>
                <w:szCs w:val="1"/>
                <w:color w:val="auto"/>
              </w:rPr>
            </w:pPr>
          </w:p>
        </w:tc>
      </w:tr>
      <w:tr>
        <w:trPr>
          <w:trHeight w:val="421"/>
        </w:trPr>
        <w:tc>
          <w:tcPr>
            <w:tcW w:w="4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26</w:t>
            </w: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3"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i w:val="1"/>
          <w:iCs w:val="1"/>
          <w:color w:val="auto"/>
        </w:rPr>
        <w:t>Study 400</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Study 400 was a two cohort, open label, crossover design pharmacokinetic study of LTX-04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15" w:lineRule="exact"/>
        <w:rPr>
          <w:sz w:val="20"/>
          <w:szCs w:val="20"/>
          <w:color w:val="auto"/>
        </w:rPr>
      </w:pPr>
    </w:p>
    <w:p>
      <w:pPr>
        <w:jc w:val="both"/>
        <w:ind w:right="20"/>
        <w:spacing w:after="0" w:line="289" w:lineRule="auto"/>
        <w:rPr>
          <w:sz w:val="20"/>
          <w:szCs w:val="20"/>
          <w:color w:val="auto"/>
        </w:rPr>
      </w:pPr>
      <w:r>
        <w:rPr>
          <w:rFonts w:ascii="Arial" w:cs="Arial" w:eastAsia="Arial" w:hAnsi="Arial"/>
          <w:sz w:val="11"/>
          <w:szCs w:val="11"/>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w:t>
      </w:r>
    </w:p>
    <w:p>
      <w:pPr>
        <w:spacing w:after="0" w:line="11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Study 401</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2"/>
          <w:szCs w:val="12"/>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Study 301</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 w:name="page30"/>
    <w:bookmarkEnd w:id="29"/>
    <w:p>
      <w:pPr>
        <w:ind w:left="420"/>
        <w:spacing w:after="0"/>
        <w:rPr>
          <w:sz w:val="20"/>
          <w:szCs w:val="20"/>
          <w:color w:val="auto"/>
        </w:rPr>
      </w:pPr>
      <w:r>
        <w:rPr>
          <w:rFonts w:ascii="Arial" w:cs="Arial" w:eastAsia="Arial" w:hAnsi="Arial"/>
          <w:sz w:val="12"/>
          <w:szCs w:val="12"/>
          <w:b w:val="1"/>
          <w:bCs w:val="1"/>
          <w:i w:val="1"/>
          <w:iCs w:val="1"/>
          <w:color w:val="auto"/>
        </w:rPr>
        <w:t>Non-clinical Study APT-RDR-300</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05" w:lineRule="exact"/>
        <w:rPr>
          <w:sz w:val="20"/>
          <w:szCs w:val="20"/>
          <w:color w:val="auto"/>
        </w:rPr>
      </w:pPr>
    </w:p>
    <w:p>
      <w:pPr>
        <w:jc w:val="both"/>
        <w:ind w:right="20"/>
        <w:spacing w:after="0" w:line="289" w:lineRule="auto"/>
        <w:rPr>
          <w:sz w:val="20"/>
          <w:szCs w:val="20"/>
          <w:color w:val="auto"/>
        </w:rPr>
      </w:pPr>
      <w:r>
        <w:rPr>
          <w:rFonts w:ascii="Arial" w:cs="Arial" w:eastAsia="Arial" w:hAnsi="Arial"/>
          <w:sz w:val="11"/>
          <w:szCs w:val="11"/>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intend to advance LTX-03 to clinical development for a New Drug Application (NDA). We submitted an Investigational New Drug Application, or IND with respect to LTX-03, to the FDA in the first quarter of 2018, which became effective in April 2018. We have completed a manufacturing formulation and manufacturing process optimization study for LTX-03. We are currently conducting the scale-up of the commercial manufacturing process as to-be-marketed formulations are required for all NDA development work. We are expecting delivery of certain ancillary equipment in mid-April 2020 after which scale-up work can commence. Successful scale-up will result in supplies of LTX-03 tablets for use in human clinical studies and start our formal drug stability program for which we need a minimum of six months of data for a New Drug Application. Among other things, we believe we will also have to demonstrate a scientific link between Cmax reductions and a reduction in the risk of respiratory depression.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 Pharma Agreement covering LTX-03</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Agreement grants AD Pharma exclusive commercialization rights in the United States to LTX-03. Financial arrangements include monthly license payments by AD Pharma of $350,000 up to the earlier of November 30, 2020 or FDA’s acceptance of a New Drug Application (“NDA”) for LTX-03 and reimbursement by AD Pharma of Acura’s LTX-03 outside development expenses. Upon commercialization of LTX-03, Acura receives stepped royalties on sales and is eligible for certain sales related milestones.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AD Pharma may terminate the Agreement at any time. Additionally, if the NDA for LTX-03 is not accepted by the FDA by November 30, 2020, AD Pharma has the option to terminate the Agreement and take ownership of the LIMITx intellectual property. Should AD Pharma choose not to exercise this option to terminate and the NDA for LTX-03 is subsequently accepted by the FDA, such option expires.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and June, 2020 pending the completion of these negotiations.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2"/>
          <w:szCs w:val="12"/>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Mr. Schutte is our largest shareholder and directly owns approximately 45.7% of our common stock (after giving effect to the exercise of warrants he holds). Mr. Schutte also controls MainPointe and is an investor in AD Pharma.</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Aversion Technology</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Oxaydo Tablets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28" w:lineRule="exact"/>
        <w:rPr>
          <w:sz w:val="20"/>
          <w:szCs w:val="20"/>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30% of subjects exposed to Oxaydo responded that they would not take the drug again compared to 5% of subjects exposed to immediate-release oxycodone;</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subjects taking Oxaydo reported a higher incidence of nasopharyngeal and facial adverse events compared to immediate-release oxycodone;</w:t>
      </w:r>
    </w:p>
    <w:p>
      <w:pPr>
        <w:spacing w:after="0" w:line="6" w:lineRule="exact"/>
        <w:rPr>
          <w:rFonts w:ascii="Arial" w:cs="Arial" w:eastAsia="Arial" w:hAnsi="Arial"/>
          <w:sz w:val="12"/>
          <w:szCs w:val="12"/>
          <w:color w:val="auto"/>
        </w:rPr>
      </w:pPr>
    </w:p>
    <w:p>
      <w:pPr>
        <w:ind w:left="640" w:hanging="216"/>
        <w:spacing w:after="0" w:line="260"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decreased ability to completely insufflate two crushed Oxaydo tablets within a fixed time period (21 of 40 subjects), while all subjects were able to completely insufflate the entire dose of immediate-release oxycodone; and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 w:name="page32"/>
    <w:bookmarkEnd w:id="31"/>
    <w:p>
      <w:pPr>
        <w:ind w:left="648" w:hanging="216"/>
        <w:spacing w:after="0"/>
        <w:tabs>
          <w:tab w:leader="none" w:pos="6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small numeric differences in the median and mean drug liking scores, which were lower in response to Oxaydo than immediate-release oxycodone.</w:t>
      </w:r>
    </w:p>
    <w:p>
      <w:pPr>
        <w:spacing w:after="0" w:line="15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0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Zyla Agreement Covering Oxaydo</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accordance with the Zyla Agreement, we and Zyla formed a joint steering committee to oversee commercialization strategies and the development of product line extensions. Zyla pays a significant portion of the expenses relating to</w:t>
      </w:r>
    </w:p>
    <w:p>
      <w:pPr>
        <w:spacing w:after="0" w:line="38" w:lineRule="exact"/>
        <w:rPr>
          <w:sz w:val="20"/>
          <w:szCs w:val="20"/>
          <w:color w:val="auto"/>
        </w:rPr>
      </w:pPr>
    </w:p>
    <w:p>
      <w:pPr>
        <w:jc w:val="both"/>
        <w:ind w:left="8" w:hanging="8"/>
        <w:spacing w:after="0" w:line="253" w:lineRule="auto"/>
        <w:tabs>
          <w:tab w:leader="none" w:pos="152"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Zyla is responsible for all manufacturing and commercialization activities in the Territory for Oxaydo. Subject to certain exceptions, Zyla has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29"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2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KemPharm Agreement Covering Opioid Prodrugs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March 31, 2020 we are unaware of KemPharm’s use of our Aversion technology under the KemPharm Agreement.</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Aversion Technology Development Opioid Products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Abuse of Pseudoephedrine Products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Impede Technology Products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04" w:lineRule="exact"/>
        <w:rPr>
          <w:sz w:val="20"/>
          <w:szCs w:val="20"/>
          <w:color w:val="auto"/>
        </w:rPr>
      </w:pPr>
    </w:p>
    <w:tbl>
      <w:tblPr>
        <w:tblLayout w:type="fixed"/>
        <w:tblInd w:w="570" w:type="dxa"/>
        <w:tblCellMar>
          <w:top w:w="0" w:type="dxa"/>
          <w:left w:w="0" w:type="dxa"/>
          <w:bottom w:w="0" w:type="dxa"/>
          <w:right w:w="0" w:type="dxa"/>
        </w:tblCellMar>
      </w:tblPr>
      <w:tr>
        <w:trPr>
          <w:trHeight w:val="144"/>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Product/Formulation</w:t>
            </w:r>
          </w:p>
        </w:tc>
        <w:tc>
          <w:tcPr>
            <w:tcW w:w="19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2"/>
                <w:szCs w:val="12"/>
                <w:b w:val="1"/>
                <w:bCs w:val="1"/>
                <w:color w:val="auto"/>
              </w:rPr>
              <w:t>Meth Resistant</w:t>
            </w:r>
          </w:p>
        </w:tc>
        <w:tc>
          <w:tcPr>
            <w:tcW w:w="19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0"/>
                <w:szCs w:val="10"/>
                <w:b w:val="1"/>
                <w:bCs w:val="1"/>
                <w:color w:val="auto"/>
              </w:rPr>
              <w:t>Meth Recovery</w:t>
            </w:r>
            <w:r>
              <w:rPr>
                <w:rFonts w:ascii="Arial" w:cs="Arial" w:eastAsia="Arial" w:hAnsi="Arial"/>
                <w:sz w:val="16"/>
                <w:szCs w:val="16"/>
                <w:b w:val="1"/>
                <w:bCs w:val="1"/>
                <w:color w:val="auto"/>
                <w:vertAlign w:val="superscript"/>
              </w:rPr>
              <w:t>1</w:t>
            </w:r>
          </w:p>
        </w:tc>
        <w:tc>
          <w:tcPr>
            <w:tcW w:w="14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0"/>
                <w:szCs w:val="10"/>
                <w:b w:val="1"/>
                <w:bCs w:val="1"/>
                <w:color w:val="auto"/>
              </w:rPr>
              <w:t>Purity</w:t>
            </w:r>
            <w:r>
              <w:rPr>
                <w:rFonts w:ascii="Arial" w:cs="Arial" w:eastAsia="Arial" w:hAnsi="Arial"/>
                <w:sz w:val="16"/>
                <w:szCs w:val="16"/>
                <w:b w:val="1"/>
                <w:bCs w:val="1"/>
                <w:color w:val="auto"/>
                <w:vertAlign w:val="superscript"/>
              </w:rPr>
              <w:t>2</w:t>
            </w:r>
          </w:p>
        </w:tc>
      </w:tr>
      <w:tr>
        <w:trPr>
          <w:trHeight w:val="153"/>
        </w:trPr>
        <w:tc>
          <w:tcPr>
            <w:tcW w:w="4900" w:type="dxa"/>
            <w:vAlign w:val="bottom"/>
            <w:tcBorders>
              <w:left w:val="single" w:sz="8" w:color="auto"/>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2"/>
                <w:szCs w:val="12"/>
                <w:b w:val="1"/>
                <w:bCs w:val="1"/>
                <w:color w:val="auto"/>
              </w:rPr>
              <w:t>Technology</w:t>
            </w:r>
          </w:p>
        </w:tc>
        <w:tc>
          <w:tcPr>
            <w:tcW w:w="192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r>
      <w:tr>
        <w:trPr>
          <w:trHeight w:val="133"/>
        </w:trPr>
        <w:tc>
          <w:tcPr>
            <w:tcW w:w="4900" w:type="dxa"/>
            <w:vAlign w:val="bottom"/>
            <w:tcBorders>
              <w:left w:val="single" w:sz="8" w:color="auto"/>
              <w:bottom w:val="single" w:sz="8" w:color="auto"/>
              <w:right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Sudafed® 30mg Tablets</w:t>
            </w:r>
          </w:p>
        </w:tc>
        <w:tc>
          <w:tcPr>
            <w:tcW w:w="194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None</w:t>
            </w:r>
          </w:p>
        </w:tc>
        <w:tc>
          <w:tcPr>
            <w:tcW w:w="1920" w:type="dxa"/>
            <w:vAlign w:val="bottom"/>
            <w:tcBorders>
              <w:bottom w:val="single" w:sz="8" w:color="auto"/>
              <w:right w:val="single" w:sz="8" w:color="auto"/>
            </w:tcBorders>
            <w:shd w:val="clear" w:color="auto" w:fill="CCEEFF"/>
          </w:tcPr>
          <w:p>
            <w:pPr>
              <w:jc w:val="center"/>
              <w:ind w:right="2"/>
              <w:spacing w:after="0" w:line="133" w:lineRule="exact"/>
              <w:rPr>
                <w:sz w:val="20"/>
                <w:szCs w:val="20"/>
                <w:color w:val="auto"/>
              </w:rPr>
            </w:pPr>
            <w:r>
              <w:rPr>
                <w:rFonts w:ascii="Arial" w:cs="Arial" w:eastAsia="Arial" w:hAnsi="Arial"/>
                <w:sz w:val="12"/>
                <w:szCs w:val="12"/>
                <w:color w:val="auto"/>
                <w:w w:val="91"/>
              </w:rPr>
              <w:t>67%</w:t>
            </w:r>
          </w:p>
        </w:tc>
        <w:tc>
          <w:tcPr>
            <w:tcW w:w="14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62%</w:t>
            </w:r>
          </w:p>
        </w:tc>
      </w:tr>
      <w:tr>
        <w:trPr>
          <w:trHeight w:val="133"/>
        </w:trPr>
        <w:tc>
          <w:tcPr>
            <w:tcW w:w="490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Nexafed 30mg Technology</w:t>
            </w:r>
          </w:p>
        </w:tc>
        <w:tc>
          <w:tcPr>
            <w:tcW w:w="194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Impede® 1.0</w:t>
            </w:r>
          </w:p>
        </w:tc>
        <w:tc>
          <w:tcPr>
            <w:tcW w:w="1920" w:type="dxa"/>
            <w:vAlign w:val="bottom"/>
            <w:tcBorders>
              <w:bottom w:val="single" w:sz="8" w:color="auto"/>
              <w:right w:val="single" w:sz="8" w:color="auto"/>
            </w:tcBorders>
          </w:tcPr>
          <w:p>
            <w:pPr>
              <w:jc w:val="center"/>
              <w:ind w:right="2"/>
              <w:spacing w:after="0" w:line="133" w:lineRule="exact"/>
              <w:rPr>
                <w:sz w:val="20"/>
                <w:szCs w:val="20"/>
                <w:color w:val="auto"/>
              </w:rPr>
            </w:pPr>
            <w:r>
              <w:rPr>
                <w:rFonts w:ascii="Arial" w:cs="Arial" w:eastAsia="Arial" w:hAnsi="Arial"/>
                <w:sz w:val="12"/>
                <w:szCs w:val="12"/>
                <w:color w:val="auto"/>
                <w:w w:val="91"/>
              </w:rPr>
              <w:t>38%</w:t>
            </w:r>
          </w:p>
        </w:tc>
        <w:tc>
          <w:tcPr>
            <w:tcW w:w="1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65%</w:t>
            </w:r>
          </w:p>
        </w:tc>
      </w:tr>
      <w:tr>
        <w:trPr>
          <w:trHeight w:val="133"/>
        </w:trPr>
        <w:tc>
          <w:tcPr>
            <w:tcW w:w="4900" w:type="dxa"/>
            <w:vAlign w:val="bottom"/>
            <w:tcBorders>
              <w:left w:val="single" w:sz="8" w:color="auto"/>
              <w:bottom w:val="single" w:sz="8" w:color="auto"/>
              <w:right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Zephrex-D® 30mg Pills</w:t>
            </w:r>
          </w:p>
        </w:tc>
        <w:tc>
          <w:tcPr>
            <w:tcW w:w="194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Tarex®</w:t>
            </w:r>
          </w:p>
        </w:tc>
        <w:tc>
          <w:tcPr>
            <w:tcW w:w="1920" w:type="dxa"/>
            <w:vAlign w:val="bottom"/>
            <w:tcBorders>
              <w:bottom w:val="single" w:sz="8" w:color="auto"/>
              <w:right w:val="single" w:sz="8" w:color="auto"/>
            </w:tcBorders>
            <w:shd w:val="clear" w:color="auto" w:fill="CCEEFF"/>
          </w:tcPr>
          <w:p>
            <w:pPr>
              <w:jc w:val="center"/>
              <w:ind w:right="2"/>
              <w:spacing w:after="0" w:line="133" w:lineRule="exact"/>
              <w:rPr>
                <w:sz w:val="20"/>
                <w:szCs w:val="20"/>
                <w:color w:val="auto"/>
              </w:rPr>
            </w:pPr>
            <w:r>
              <w:rPr>
                <w:rFonts w:ascii="Arial" w:cs="Arial" w:eastAsia="Arial" w:hAnsi="Arial"/>
                <w:sz w:val="12"/>
                <w:szCs w:val="12"/>
                <w:color w:val="auto"/>
                <w:w w:val="91"/>
              </w:rPr>
              <w:t>28%</w:t>
            </w:r>
          </w:p>
        </w:tc>
        <w:tc>
          <w:tcPr>
            <w:tcW w:w="14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51%</w:t>
            </w:r>
          </w:p>
        </w:tc>
      </w:tr>
      <w:tr>
        <w:trPr>
          <w:trHeight w:val="133"/>
        </w:trPr>
        <w:tc>
          <w:tcPr>
            <w:tcW w:w="490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Nexafed 120mg Extended-release tablets</w:t>
            </w:r>
          </w:p>
        </w:tc>
        <w:tc>
          <w:tcPr>
            <w:tcW w:w="194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Impede® 2.0</w:t>
            </w:r>
          </w:p>
        </w:tc>
        <w:tc>
          <w:tcPr>
            <w:tcW w:w="1920" w:type="dxa"/>
            <w:vAlign w:val="bottom"/>
            <w:tcBorders>
              <w:bottom w:val="single" w:sz="8" w:color="auto"/>
              <w:right w:val="single" w:sz="8" w:color="auto"/>
            </w:tcBorders>
          </w:tcPr>
          <w:p>
            <w:pPr>
              <w:jc w:val="center"/>
              <w:ind w:right="2"/>
              <w:spacing w:after="0" w:line="133" w:lineRule="exact"/>
              <w:rPr>
                <w:sz w:val="20"/>
                <w:szCs w:val="20"/>
                <w:color w:val="auto"/>
              </w:rPr>
            </w:pPr>
            <w:r>
              <w:rPr>
                <w:rFonts w:ascii="Arial" w:cs="Arial" w:eastAsia="Arial" w:hAnsi="Arial"/>
                <w:sz w:val="12"/>
                <w:szCs w:val="12"/>
                <w:color w:val="auto"/>
                <w:w w:val="91"/>
              </w:rPr>
              <w:t>17%</w:t>
            </w:r>
          </w:p>
        </w:tc>
        <w:tc>
          <w:tcPr>
            <w:tcW w:w="1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34%</w:t>
            </w:r>
          </w:p>
        </w:tc>
      </w:tr>
    </w:tbl>
    <w:p>
      <w:pPr>
        <w:ind w:left="500" w:hanging="76"/>
        <w:spacing w:after="0" w:line="187" w:lineRule="auto"/>
        <w:tabs>
          <w:tab w:leader="none" w:pos="500" w:val="left"/>
        </w:tabs>
        <w:numPr>
          <w:ilvl w:val="0"/>
          <w:numId w:val="14"/>
        </w:numPr>
        <w:rPr>
          <w:rFonts w:ascii="Arial" w:cs="Arial" w:eastAsia="Arial" w:hAnsi="Arial"/>
          <w:sz w:val="19"/>
          <w:szCs w:val="19"/>
          <w:color w:val="auto"/>
          <w:vertAlign w:val="superscript"/>
        </w:rPr>
      </w:pPr>
      <w:r>
        <w:rPr>
          <w:rFonts w:ascii="Arial" w:cs="Arial" w:eastAsia="Arial" w:hAnsi="Arial"/>
          <w:sz w:val="11"/>
          <w:szCs w:val="11"/>
          <w:color w:val="auto"/>
        </w:rPr>
        <w:t>Total methamphetamine HCl recovered from the equivalent of 100 PSE 30mg tablets divided by the maximum theoretical yield of 2.7 grams.</w:t>
      </w:r>
    </w:p>
    <w:p>
      <w:pPr>
        <w:spacing w:after="0" w:line="28" w:lineRule="exact"/>
        <w:rPr>
          <w:rFonts w:ascii="Arial" w:cs="Arial" w:eastAsia="Arial" w:hAnsi="Arial"/>
          <w:sz w:val="19"/>
          <w:szCs w:val="19"/>
          <w:color w:val="auto"/>
          <w:vertAlign w:val="superscript"/>
        </w:rPr>
      </w:pPr>
    </w:p>
    <w:p>
      <w:pPr>
        <w:ind w:left="420"/>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Total methamphetamine HCl recovered from the equivalent of 100 PSE 30mg tablets divided by the total weight of powder recovered.</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We have previously demonstrated in a pilot clinical study the bioequivalence of a formulation of our Nexafed extended release tablets utilizing our Impede 2.0 Technology to Sudafed® 12-hour Tablets.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Nexafed Products and the MainPointe Agreement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2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4" w:name="page35"/>
    <w:bookmarkEnd w:id="34"/>
    <w:p>
      <w:pPr>
        <w:jc w:val="both"/>
        <w:spacing w:after="0" w:line="281" w:lineRule="auto"/>
        <w:rPr>
          <w:sz w:val="20"/>
          <w:szCs w:val="20"/>
          <w:color w:val="auto"/>
        </w:rPr>
      </w:pPr>
      <w:r>
        <w:rPr>
          <w:rFonts w:ascii="Arial" w:cs="Arial" w:eastAsia="Arial" w:hAnsi="Arial"/>
          <w:sz w:val="11"/>
          <w:szCs w:val="11"/>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On January 1, 2020, MainPointe assigned to AD Pharma, with Acura’s consent, all of its right, title and interest in the MainPointe Agreement between MainPointe and Acura dated March 16,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Impede Technology Products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Given the fragmented nature of the PSE market with products containing multiple active ingredients, we have developed additional products for our Nexafed franchise:</w:t>
      </w:r>
    </w:p>
    <w:p>
      <w:pPr>
        <w:spacing w:after="0" w:line="139" w:lineRule="exact"/>
        <w:rPr>
          <w:sz w:val="20"/>
          <w:szCs w:val="20"/>
          <w:color w:val="auto"/>
        </w:rPr>
      </w:pPr>
    </w:p>
    <w:tbl>
      <w:tblPr>
        <w:tblLayout w:type="fixed"/>
        <w:tblInd w:w="570" w:type="dxa"/>
        <w:tblCellMar>
          <w:top w:w="0" w:type="dxa"/>
          <w:left w:w="0" w:type="dxa"/>
          <w:bottom w:w="0" w:type="dxa"/>
          <w:right w:w="0" w:type="dxa"/>
        </w:tblCellMar>
      </w:tblPr>
      <w:tr>
        <w:trPr>
          <w:trHeight w:val="153"/>
        </w:trPr>
        <w:tc>
          <w:tcPr>
            <w:tcW w:w="5400" w:type="dxa"/>
            <w:vAlign w:val="bottom"/>
            <w:tcBorders>
              <w:top w:val="single" w:sz="8" w:color="auto"/>
              <w:left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2"/>
                <w:szCs w:val="12"/>
                <w:b w:val="1"/>
                <w:bCs w:val="1"/>
                <w:color w:val="auto"/>
              </w:rPr>
              <w:t>Impede Technology Products</w:t>
            </w:r>
          </w:p>
        </w:tc>
        <w:tc>
          <w:tcPr>
            <w:tcW w:w="4780" w:type="dxa"/>
            <w:vAlign w:val="bottom"/>
            <w:tcBorders>
              <w:top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2"/>
                <w:szCs w:val="12"/>
                <w:b w:val="1"/>
                <w:bCs w:val="1"/>
                <w:color w:val="auto"/>
              </w:rPr>
              <w:t>Status</w:t>
            </w:r>
          </w:p>
        </w:tc>
      </w:tr>
      <w:tr>
        <w:trPr>
          <w:trHeight w:val="124"/>
        </w:trPr>
        <w:tc>
          <w:tcPr>
            <w:tcW w:w="5400" w:type="dxa"/>
            <w:vAlign w:val="bottom"/>
            <w:tcBorders>
              <w:left w:val="single" w:sz="8" w:color="auto"/>
              <w:right w:val="single" w:sz="8" w:color="auto"/>
            </w:tcBorders>
            <w:shd w:val="clear" w:color="auto" w:fill="CCEEFF"/>
          </w:tcPr>
          <w:p>
            <w:pPr>
              <w:spacing w:after="0"/>
              <w:rPr>
                <w:sz w:val="10"/>
                <w:szCs w:val="10"/>
                <w:color w:val="auto"/>
              </w:rPr>
            </w:pPr>
          </w:p>
        </w:tc>
        <w:tc>
          <w:tcPr>
            <w:tcW w:w="4780" w:type="dxa"/>
            <w:vAlign w:val="bottom"/>
            <w:tcBorders>
              <w:right w:val="single" w:sz="8" w:color="auto"/>
            </w:tcBorders>
            <w:shd w:val="clear" w:color="auto" w:fill="CCEEFF"/>
          </w:tcPr>
          <w:p>
            <w:pPr>
              <w:ind w:left="120"/>
              <w:spacing w:after="0" w:line="124" w:lineRule="exact"/>
              <w:rPr>
                <w:sz w:val="20"/>
                <w:szCs w:val="20"/>
                <w:color w:val="auto"/>
              </w:rPr>
            </w:pPr>
            <w:r>
              <w:rPr>
                <w:rFonts w:ascii="Arial" w:cs="Arial" w:eastAsia="Arial" w:hAnsi="Arial"/>
                <w:sz w:val="12"/>
                <w:szCs w:val="12"/>
                <w:color w:val="auto"/>
                <w:w w:val="92"/>
              </w:rPr>
              <w:t>Pilot pharmacokinetic testing demonstrated bioequivalence to Sudafed® 12-hour Tablets. Pre-</w:t>
            </w:r>
          </w:p>
        </w:tc>
      </w:tr>
      <w:tr>
        <w:trPr>
          <w:trHeight w:val="144"/>
        </w:trPr>
        <w:tc>
          <w:tcPr>
            <w:tcW w:w="54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Extended-release formulation utilizing Impede 2.0 Technology</w:t>
            </w:r>
          </w:p>
        </w:tc>
        <w:tc>
          <w:tcPr>
            <w:tcW w:w="478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IND meeting held with the FDA</w:t>
            </w:r>
          </w:p>
        </w:tc>
      </w:tr>
      <w:tr>
        <w:trPr>
          <w:trHeight w:val="153"/>
        </w:trPr>
        <w:tc>
          <w:tcPr>
            <w:tcW w:w="54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47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No imminent development planned</w:t>
            </w:r>
          </w:p>
        </w:tc>
      </w:tr>
      <w:tr>
        <w:trPr>
          <w:trHeight w:val="133"/>
        </w:trPr>
        <w:tc>
          <w:tcPr>
            <w:tcW w:w="5400" w:type="dxa"/>
            <w:vAlign w:val="bottom"/>
            <w:tcBorders>
              <w:left w:val="single" w:sz="8" w:color="auto"/>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Extended-release combination products</w:t>
            </w:r>
          </w:p>
        </w:tc>
        <w:tc>
          <w:tcPr>
            <w:tcW w:w="4780" w:type="dxa"/>
            <w:vAlign w:val="bottom"/>
            <w:tcBorders>
              <w:bottom w:val="single" w:sz="8" w:color="auto"/>
              <w:right w:val="single" w:sz="8" w:color="auto"/>
            </w:tcBorders>
          </w:tcPr>
          <w:p>
            <w:pPr>
              <w:ind w:left="120"/>
              <w:spacing w:after="0" w:line="133" w:lineRule="exact"/>
              <w:rPr>
                <w:sz w:val="20"/>
                <w:szCs w:val="20"/>
                <w:color w:val="auto"/>
              </w:rPr>
            </w:pPr>
            <w:r>
              <w:rPr>
                <w:rFonts w:ascii="Arial" w:cs="Arial" w:eastAsia="Arial" w:hAnsi="Arial"/>
                <w:sz w:val="12"/>
                <w:szCs w:val="12"/>
                <w:color w:val="auto"/>
              </w:rPr>
              <w:t>No imminent development planned</w:t>
            </w:r>
          </w:p>
        </w:tc>
      </w:tr>
      <w:tr>
        <w:trPr>
          <w:trHeight w:val="133"/>
        </w:trPr>
        <w:tc>
          <w:tcPr>
            <w:tcW w:w="5400" w:type="dxa"/>
            <w:vAlign w:val="bottom"/>
            <w:tcBorders>
              <w:left w:val="single" w:sz="8" w:color="auto"/>
              <w:bottom w:val="single" w:sz="8" w:color="auto"/>
              <w:right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Loratadine with pseudoephedrine</w:t>
            </w:r>
          </w:p>
        </w:tc>
        <w:tc>
          <w:tcPr>
            <w:tcW w:w="4780" w:type="dxa"/>
            <w:vAlign w:val="bottom"/>
            <w:tcBorders>
              <w:bottom w:val="single" w:sz="8" w:color="auto"/>
              <w:right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rPr>
              <w:t>No imminent development planned</w:t>
            </w:r>
          </w:p>
        </w:tc>
      </w:tr>
    </w:tbl>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U.S. Market Opportunity for Impede PSE Products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01"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5300" w:type="dxa"/>
            <w:vAlign w:val="bottom"/>
            <w:vMerge w:val="restart"/>
          </w:tcPr>
          <w:p>
            <w:pPr>
              <w:ind w:left="2180"/>
              <w:spacing w:after="0"/>
              <w:rPr>
                <w:sz w:val="20"/>
                <w:szCs w:val="20"/>
                <w:color w:val="auto"/>
              </w:rPr>
            </w:pPr>
            <w:r>
              <w:rPr>
                <w:rFonts w:ascii="Arial" w:cs="Arial" w:eastAsia="Arial" w:hAnsi="Arial"/>
                <w:sz w:val="12"/>
                <w:szCs w:val="12"/>
                <w:b w:val="1"/>
                <w:bCs w:val="1"/>
                <w:color w:val="auto"/>
              </w:rPr>
              <w:t>Reference Brand</w:t>
            </w:r>
            <w:r>
              <w:rPr>
                <w:rFonts w:ascii="Arial" w:cs="Arial" w:eastAsia="Arial" w:hAnsi="Arial"/>
                <w:sz w:val="19"/>
                <w:szCs w:val="19"/>
                <w:b w:val="1"/>
                <w:bCs w:val="1"/>
                <w:color w:val="auto"/>
                <w:vertAlign w:val="superscript"/>
              </w:rPr>
              <w:t>1</w:t>
            </w:r>
          </w:p>
        </w:tc>
        <w:tc>
          <w:tcPr>
            <w:tcW w:w="10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ind w:left="760"/>
              <w:spacing w:after="0"/>
              <w:rPr>
                <w:sz w:val="20"/>
                <w:szCs w:val="20"/>
                <w:color w:val="auto"/>
              </w:rPr>
            </w:pPr>
            <w:r>
              <w:rPr>
                <w:rFonts w:ascii="Arial" w:cs="Arial" w:eastAsia="Arial" w:hAnsi="Arial"/>
                <w:sz w:val="12"/>
                <w:szCs w:val="12"/>
                <w:b w:val="1"/>
                <w:bCs w:val="1"/>
                <w:color w:val="auto"/>
              </w:rPr>
              <w:t>Active</w:t>
            </w:r>
          </w:p>
        </w:tc>
        <w:tc>
          <w:tcPr>
            <w:tcW w:w="14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2014 Retail Sales</w:t>
            </w:r>
          </w:p>
        </w:tc>
        <w:tc>
          <w:tcPr>
            <w:tcW w:w="0" w:type="dxa"/>
            <w:vAlign w:val="bottom"/>
          </w:tcPr>
          <w:p>
            <w:pPr>
              <w:spacing w:after="0"/>
              <w:rPr>
                <w:sz w:val="1"/>
                <w:szCs w:val="1"/>
                <w:color w:val="auto"/>
              </w:rPr>
            </w:pPr>
          </w:p>
        </w:tc>
      </w:tr>
      <w:tr>
        <w:trPr>
          <w:trHeight w:val="157"/>
        </w:trPr>
        <w:tc>
          <w:tcPr>
            <w:tcW w:w="53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Brand Company</w:t>
            </w:r>
          </w:p>
        </w:tc>
        <w:tc>
          <w:tcPr>
            <w:tcW w:w="10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Ingredient(s)</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90"/>
              </w:rPr>
              <w:t>Millions)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Claritin-D</w:t>
            </w:r>
          </w:p>
        </w:tc>
        <w:tc>
          <w:tcPr>
            <w:tcW w:w="1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Bayer</w:t>
            </w:r>
          </w:p>
        </w:tc>
        <w:tc>
          <w:tcPr>
            <w:tcW w:w="1840" w:type="dxa"/>
            <w:vAlign w:val="bottom"/>
            <w:shd w:val="clear" w:color="auto" w:fill="CCEEFF"/>
          </w:tcPr>
          <w:p>
            <w:pPr>
              <w:ind w:left="20"/>
              <w:spacing w:after="0" w:line="169" w:lineRule="exact"/>
              <w:rPr>
                <w:sz w:val="20"/>
                <w:szCs w:val="20"/>
                <w:color w:val="auto"/>
              </w:rPr>
            </w:pPr>
            <w:r>
              <w:rPr>
                <w:rFonts w:ascii="Arial" w:cs="Arial" w:eastAsia="Arial" w:hAnsi="Arial"/>
                <w:sz w:val="12"/>
                <w:szCs w:val="12"/>
                <w:color w:val="auto"/>
              </w:rPr>
              <w:t>PSE &amp; Loraditine</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2"/>
                <w:szCs w:val="12"/>
                <w:color w:val="auto"/>
              </w:rPr>
              <w:t>Allegra-D</w:t>
            </w:r>
          </w:p>
        </w:tc>
        <w:tc>
          <w:tcPr>
            <w:tcW w:w="1420" w:type="dxa"/>
            <w:vAlign w:val="bottom"/>
            <w:gridSpan w:val="2"/>
            <w:vMerge w:val="restart"/>
          </w:tcPr>
          <w:p>
            <w:pPr>
              <w:spacing w:after="0"/>
              <w:rPr>
                <w:sz w:val="20"/>
                <w:szCs w:val="20"/>
                <w:color w:val="auto"/>
              </w:rPr>
            </w:pPr>
            <w:r>
              <w:rPr>
                <w:rFonts w:ascii="Arial" w:cs="Arial" w:eastAsia="Arial" w:hAnsi="Arial"/>
                <w:sz w:val="12"/>
                <w:szCs w:val="12"/>
                <w:color w:val="auto"/>
              </w:rPr>
              <w:t>Chattem</w:t>
            </w:r>
          </w:p>
        </w:tc>
        <w:tc>
          <w:tcPr>
            <w:tcW w:w="1940" w:type="dxa"/>
            <w:vAlign w:val="bottom"/>
            <w:gridSpan w:val="2"/>
            <w:vMerge w:val="restart"/>
          </w:tcPr>
          <w:p>
            <w:pPr>
              <w:ind w:left="20"/>
              <w:spacing w:after="0" w:line="180" w:lineRule="exact"/>
              <w:rPr>
                <w:sz w:val="20"/>
                <w:szCs w:val="20"/>
                <w:color w:val="auto"/>
              </w:rPr>
            </w:pPr>
            <w:r>
              <w:rPr>
                <w:rFonts w:ascii="Arial" w:cs="Arial" w:eastAsia="Arial" w:hAnsi="Arial"/>
                <w:sz w:val="12"/>
                <w:szCs w:val="12"/>
                <w:color w:val="auto"/>
              </w:rPr>
              <w:t>PSE &amp; Fexofenadine</w:t>
            </w:r>
            <w:r>
              <w:rPr>
                <w:rFonts w:ascii="Arial" w:cs="Arial" w:eastAsia="Arial" w:hAnsi="Arial"/>
                <w:sz w:val="19"/>
                <w:szCs w:val="19"/>
                <w:color w:val="auto"/>
                <w:vertAlign w:val="superscript"/>
              </w:rPr>
              <w:t>2</w:t>
            </w: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0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101.3</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Zyrtec-D</w:t>
            </w: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Pfizer</w:t>
            </w:r>
          </w:p>
        </w:tc>
        <w:tc>
          <w:tcPr>
            <w:tcW w:w="1940" w:type="dxa"/>
            <w:vAlign w:val="bottom"/>
            <w:gridSpan w:val="2"/>
            <w:vMerge w:val="restart"/>
            <w:shd w:val="clear" w:color="auto" w:fill="CCEEFF"/>
          </w:tcPr>
          <w:p>
            <w:pPr>
              <w:ind w:left="20"/>
              <w:spacing w:after="0" w:line="180" w:lineRule="exact"/>
              <w:rPr>
                <w:sz w:val="20"/>
                <w:szCs w:val="20"/>
                <w:color w:val="auto"/>
              </w:rPr>
            </w:pPr>
            <w:r>
              <w:rPr>
                <w:rFonts w:ascii="Arial" w:cs="Arial" w:eastAsia="Arial" w:hAnsi="Arial"/>
                <w:sz w:val="12"/>
                <w:szCs w:val="12"/>
                <w:color w:val="auto"/>
              </w:rPr>
              <w:t>PSE &amp; Ceterizine</w:t>
            </w:r>
            <w:r>
              <w:rPr>
                <w:rFonts w:ascii="Arial" w:cs="Arial" w:eastAsia="Arial" w:hAnsi="Arial"/>
                <w:sz w:val="19"/>
                <w:szCs w:val="19"/>
                <w:color w:val="auto"/>
                <w:vertAlign w:val="superscript"/>
              </w:rPr>
              <w:t>2</w:t>
            </w: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0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94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101.7</w:t>
            </w:r>
          </w:p>
        </w:tc>
        <w:tc>
          <w:tcPr>
            <w:tcW w:w="0" w:type="dxa"/>
            <w:vAlign w:val="bottom"/>
          </w:tcPr>
          <w:p>
            <w:pPr>
              <w:spacing w:after="0"/>
              <w:rPr>
                <w:sz w:val="1"/>
                <w:szCs w:val="1"/>
                <w:color w:val="auto"/>
              </w:rPr>
            </w:pPr>
          </w:p>
        </w:tc>
      </w:tr>
      <w:tr>
        <w:trPr>
          <w:trHeight w:val="133"/>
        </w:trPr>
        <w:tc>
          <w:tcPr>
            <w:tcW w:w="540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Advil Sinus</w:t>
            </w:r>
          </w:p>
        </w:tc>
        <w:tc>
          <w:tcPr>
            <w:tcW w:w="142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Pfizer</w:t>
            </w:r>
          </w:p>
        </w:tc>
        <w:tc>
          <w:tcPr>
            <w:tcW w:w="1940" w:type="dxa"/>
            <w:vAlign w:val="bottom"/>
            <w:tcBorders>
              <w:bottom w:val="single" w:sz="8" w:color="CCEEFF"/>
            </w:tcBorders>
            <w:gridSpan w:val="2"/>
          </w:tcPr>
          <w:p>
            <w:pPr>
              <w:ind w:left="20"/>
              <w:spacing w:after="0" w:line="133" w:lineRule="exact"/>
              <w:rPr>
                <w:sz w:val="20"/>
                <w:szCs w:val="20"/>
                <w:color w:val="auto"/>
              </w:rPr>
            </w:pPr>
            <w:r>
              <w:rPr>
                <w:rFonts w:ascii="Arial" w:cs="Arial" w:eastAsia="Arial" w:hAnsi="Arial"/>
                <w:sz w:val="12"/>
                <w:szCs w:val="12"/>
                <w:color w:val="auto"/>
              </w:rPr>
              <w:t>PSE &amp; Ibuprofen</w:t>
            </w: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58.4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Sudafed 12 Hour</w:t>
            </w:r>
          </w:p>
        </w:tc>
        <w:tc>
          <w:tcPr>
            <w:tcW w:w="1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J&amp;J</w:t>
            </w:r>
          </w:p>
        </w:tc>
        <w:tc>
          <w:tcPr>
            <w:tcW w:w="194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1"/>
                <w:szCs w:val="11"/>
                <w:color w:val="auto"/>
              </w:rPr>
              <w:t>PSE</w:t>
            </w:r>
            <w:r>
              <w:rPr>
                <w:rFonts w:ascii="Arial" w:cs="Arial" w:eastAsia="Arial" w:hAnsi="Arial"/>
                <w:sz w:val="18"/>
                <w:szCs w:val="18"/>
                <w:color w:val="auto"/>
                <w:vertAlign w:val="superscript"/>
              </w:rPr>
              <w:t>2</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82.3</w:t>
            </w:r>
          </w:p>
        </w:tc>
        <w:tc>
          <w:tcPr>
            <w:tcW w:w="0" w:type="dxa"/>
            <w:vAlign w:val="bottom"/>
          </w:tcPr>
          <w:p>
            <w:pPr>
              <w:spacing w:after="0"/>
              <w:rPr>
                <w:sz w:val="1"/>
                <w:szCs w:val="1"/>
                <w:color w:val="auto"/>
              </w:rPr>
            </w:pPr>
          </w:p>
        </w:tc>
      </w:tr>
      <w:tr>
        <w:trPr>
          <w:trHeight w:val="142"/>
        </w:trPr>
        <w:tc>
          <w:tcPr>
            <w:tcW w:w="5400" w:type="dxa"/>
            <w:vAlign w:val="bottom"/>
            <w:gridSpan w:val="2"/>
          </w:tcPr>
          <w:p>
            <w:pPr>
              <w:spacing w:after="0" w:line="133" w:lineRule="exact"/>
              <w:rPr>
                <w:sz w:val="20"/>
                <w:szCs w:val="20"/>
                <w:color w:val="auto"/>
              </w:rPr>
            </w:pPr>
            <w:r>
              <w:rPr>
                <w:rFonts w:ascii="Arial" w:cs="Arial" w:eastAsia="Arial" w:hAnsi="Arial"/>
                <w:sz w:val="12"/>
                <w:szCs w:val="12"/>
                <w:color w:val="auto"/>
              </w:rPr>
              <w:t>Sudafed 30mg</w:t>
            </w:r>
          </w:p>
        </w:tc>
        <w:tc>
          <w:tcPr>
            <w:tcW w:w="1420" w:type="dxa"/>
            <w:vAlign w:val="bottom"/>
            <w:gridSpan w:val="2"/>
          </w:tcPr>
          <w:p>
            <w:pPr>
              <w:spacing w:after="0" w:line="133" w:lineRule="exact"/>
              <w:rPr>
                <w:sz w:val="20"/>
                <w:szCs w:val="20"/>
                <w:color w:val="auto"/>
              </w:rPr>
            </w:pPr>
            <w:r>
              <w:rPr>
                <w:rFonts w:ascii="Arial" w:cs="Arial" w:eastAsia="Arial" w:hAnsi="Arial"/>
                <w:sz w:val="12"/>
                <w:szCs w:val="12"/>
                <w:color w:val="auto"/>
              </w:rPr>
              <w:t>J&amp;J</w:t>
            </w:r>
          </w:p>
        </w:tc>
        <w:tc>
          <w:tcPr>
            <w:tcW w:w="19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PSE</w:t>
            </w:r>
          </w:p>
        </w:tc>
        <w:tc>
          <w:tcPr>
            <w:tcW w:w="480" w:type="dxa"/>
            <w:vAlign w:val="bottom"/>
            <w:tcBorders>
              <w:top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-5080</wp:posOffset>
            </wp:positionV>
            <wp:extent cx="8343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4390" cy="5715"/>
                    </a:xfrm>
                    <a:prstGeom prst="rect">
                      <a:avLst/>
                    </a:prstGeom>
                    <a:noFill/>
                  </pic:spPr>
                </pic:pic>
              </a:graphicData>
            </a:graphic>
          </wp:anchor>
        </w:drawing>
      </w:r>
    </w:p>
    <w:p>
      <w:pPr>
        <w:ind w:left="420"/>
        <w:spacing w:after="0" w:line="218"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2"/>
          <w:szCs w:val="12"/>
          <w:color w:val="auto"/>
        </w:rPr>
        <w:t xml:space="preserve"> Branded product only. Does not include store brand sales.</w:t>
      </w:r>
    </w:p>
    <w:p>
      <w:pPr>
        <w:ind w:left="420"/>
        <w:spacing w:after="0" w:line="203"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Extended release PSE formulations</w:t>
      </w:r>
    </w:p>
    <w:p>
      <w:pPr>
        <w:spacing w:after="0" w:line="9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2014 market for 30mg PSE tablets, including store brands was approximately 470 million tablets or 19 million boxes of 24 tablets. 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Labeling for Impede Technology Products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Market Opportunity for Opioid Analgesic Products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2"/>
          <w:szCs w:val="12"/>
          <w:b w:val="1"/>
          <w:bCs w:val="1"/>
          <w:color w:val="auto"/>
        </w:rPr>
        <w: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2"/>
          <w:szCs w:val="12"/>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13" w:lineRule="exact"/>
        <w:rPr>
          <w:sz w:val="20"/>
          <w:szCs w:val="20"/>
          <w:color w:val="auto"/>
        </w:rPr>
      </w:pPr>
    </w:p>
    <w:tbl>
      <w:tblPr>
        <w:tblLayout w:type="fixed"/>
        <w:tblInd w:w="1990" w:type="dxa"/>
        <w:tblCellMar>
          <w:top w:w="0" w:type="dxa"/>
          <w:left w:w="0" w:type="dxa"/>
          <w:bottom w:w="0" w:type="dxa"/>
          <w:right w:w="0" w:type="dxa"/>
        </w:tblCellMar>
      </w:tblPr>
      <w:tr>
        <w:trPr>
          <w:trHeight w:val="140"/>
        </w:trPr>
        <w:tc>
          <w:tcPr>
            <w:tcW w:w="3240" w:type="dxa"/>
            <w:vAlign w:val="bottom"/>
            <w:tcBorders>
              <w:top w:val="single" w:sz="8" w:color="auto"/>
              <w:left w:val="single" w:sz="8" w:color="auto"/>
              <w:right w:val="single" w:sz="8" w:color="auto"/>
            </w:tcBorders>
            <w:vMerge w:val="restart"/>
          </w:tcPr>
          <w:p>
            <w:pPr>
              <w:ind w:left="1340"/>
              <w:spacing w:after="0"/>
              <w:rPr>
                <w:sz w:val="20"/>
                <w:szCs w:val="20"/>
                <w:color w:val="auto"/>
              </w:rPr>
            </w:pPr>
            <w:r>
              <w:rPr>
                <w:rFonts w:ascii="Arial" w:cs="Arial" w:eastAsia="Arial" w:hAnsi="Arial"/>
                <w:sz w:val="12"/>
                <w:szCs w:val="12"/>
                <w:b w:val="1"/>
                <w:bCs w:val="1"/>
                <w:color w:val="auto"/>
              </w:rPr>
              <w:t>IR Opioid</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 US</w:t>
            </w:r>
          </w:p>
        </w:tc>
        <w:tc>
          <w:tcPr>
            <w:tcW w:w="16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8"/>
              </w:rPr>
              <w:t>Prescriptions</w:t>
            </w:r>
          </w:p>
        </w:tc>
        <w:tc>
          <w:tcPr>
            <w:tcW w:w="1680" w:type="dxa"/>
            <w:vAlign w:val="bottom"/>
            <w:tcBorders>
              <w:right w:val="single" w:sz="8" w:color="auto"/>
            </w:tcBorders>
          </w:tcPr>
          <w:p>
            <w:pPr>
              <w:jc w:val="right"/>
              <w:ind w:right="740"/>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0"/>
        </w:trPr>
        <w:tc>
          <w:tcPr>
            <w:tcW w:w="3240" w:type="dxa"/>
            <w:vAlign w:val="bottom"/>
            <w:tcBorders>
              <w:left w:val="single" w:sz="8" w:color="auto"/>
              <w:bottom w:val="single" w:sz="8" w:color="auto"/>
              <w:right w:val="single" w:sz="8" w:color="auto"/>
            </w:tcBorders>
          </w:tcPr>
          <w:p>
            <w:pPr>
              <w:ind w:left="1320"/>
              <w:spacing w:after="0" w:line="180" w:lineRule="exact"/>
              <w:rPr>
                <w:sz w:val="20"/>
                <w:szCs w:val="20"/>
                <w:color w:val="auto"/>
              </w:rPr>
            </w:pPr>
            <w:r>
              <w:rPr>
                <w:rFonts w:ascii="Arial" w:cs="Arial" w:eastAsia="Arial" w:hAnsi="Arial"/>
                <w:sz w:val="12"/>
                <w:szCs w:val="12"/>
                <w:b w:val="1"/>
                <w:bCs w:val="1"/>
                <w:color w:val="auto"/>
              </w:rPr>
              <w:t>Products</w:t>
            </w:r>
            <w:r>
              <w:rPr>
                <w:rFonts w:ascii="Arial" w:cs="Arial" w:eastAsia="Arial" w:hAnsi="Arial"/>
                <w:sz w:val="19"/>
                <w:szCs w:val="19"/>
                <w:b w:val="1"/>
                <w:bCs w:val="1"/>
                <w:color w:val="auto"/>
                <w:vertAlign w:val="superscript"/>
              </w:rPr>
              <w:t>(1)</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(Millions)(2)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of Total</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Hydrocodone</w:t>
            </w:r>
          </w:p>
        </w:tc>
        <w:tc>
          <w:tcPr>
            <w:tcW w:w="24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90</w:t>
            </w:r>
          </w:p>
        </w:tc>
        <w:tc>
          <w:tcPr>
            <w:tcW w:w="16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43%</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Oxycodone</w:t>
            </w:r>
          </w:p>
        </w:tc>
        <w:tc>
          <w:tcPr>
            <w:tcW w:w="2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55</w:t>
            </w:r>
          </w:p>
        </w:tc>
        <w:tc>
          <w:tcPr>
            <w:tcW w:w="16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26%</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Tramadol</w:t>
            </w:r>
          </w:p>
        </w:tc>
        <w:tc>
          <w:tcPr>
            <w:tcW w:w="24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43</w:t>
            </w:r>
          </w:p>
        </w:tc>
        <w:tc>
          <w:tcPr>
            <w:tcW w:w="16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21%</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Codeine</w:t>
            </w:r>
          </w:p>
        </w:tc>
        <w:tc>
          <w:tcPr>
            <w:tcW w:w="2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15</w:t>
            </w:r>
          </w:p>
        </w:tc>
        <w:tc>
          <w:tcPr>
            <w:tcW w:w="16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0"/>
              </w:rPr>
              <w:t>7%</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4 Others</w:t>
            </w:r>
          </w:p>
        </w:tc>
        <w:tc>
          <w:tcPr>
            <w:tcW w:w="242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w:t>
            </w:r>
          </w:p>
        </w:tc>
        <w:tc>
          <w:tcPr>
            <w:tcW w:w="16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0"/>
              </w:rPr>
              <w:t>3%</w:t>
            </w:r>
          </w:p>
        </w:tc>
        <w:tc>
          <w:tcPr>
            <w:tcW w:w="0" w:type="dxa"/>
            <w:vAlign w:val="bottom"/>
          </w:tcPr>
          <w:p>
            <w:pPr>
              <w:spacing w:after="0"/>
              <w:rPr>
                <w:sz w:val="1"/>
                <w:szCs w:val="1"/>
                <w:color w:val="auto"/>
              </w:rPr>
            </w:pPr>
          </w:p>
        </w:tc>
      </w:tr>
      <w:tr>
        <w:trPr>
          <w:trHeight w:val="133"/>
        </w:trPr>
        <w:tc>
          <w:tcPr>
            <w:tcW w:w="3240" w:type="dxa"/>
            <w:vAlign w:val="bottom"/>
            <w:tcBorders>
              <w:left w:val="single" w:sz="8" w:color="auto"/>
              <w:bottom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Total</w:t>
            </w:r>
          </w:p>
        </w:tc>
        <w:tc>
          <w:tcPr>
            <w:tcW w:w="2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208</w:t>
            </w:r>
          </w:p>
        </w:tc>
        <w:tc>
          <w:tcPr>
            <w:tcW w:w="16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100%</w:t>
            </w:r>
          </w:p>
        </w:tc>
        <w:tc>
          <w:tcPr>
            <w:tcW w:w="0" w:type="dxa"/>
            <w:vAlign w:val="bottom"/>
          </w:tcPr>
          <w:p>
            <w:pPr>
              <w:spacing w:after="0"/>
              <w:rPr>
                <w:sz w:val="1"/>
                <w:szCs w:val="1"/>
                <w:color w:val="auto"/>
              </w:rPr>
            </w:pPr>
          </w:p>
        </w:tc>
      </w:tr>
    </w:tbl>
    <w:p>
      <w:pPr>
        <w:ind w:left="1360" w:hanging="72"/>
        <w:spacing w:after="0" w:line="187" w:lineRule="auto"/>
        <w:tabs>
          <w:tab w:leader="none" w:pos="1360" w:val="left"/>
        </w:tabs>
        <w:numPr>
          <w:ilvl w:val="0"/>
          <w:numId w:val="15"/>
        </w:numPr>
        <w:rPr>
          <w:rFonts w:ascii="Arial" w:cs="Arial" w:eastAsia="Arial" w:hAnsi="Arial"/>
          <w:sz w:val="19"/>
          <w:szCs w:val="19"/>
          <w:color w:val="auto"/>
          <w:vertAlign w:val="superscript"/>
        </w:rPr>
      </w:pPr>
      <w:r>
        <w:rPr>
          <w:rFonts w:ascii="Arial" w:cs="Arial" w:eastAsia="Arial" w:hAnsi="Arial"/>
          <w:sz w:val="11"/>
          <w:szCs w:val="11"/>
          <w:color w:val="auto"/>
        </w:rPr>
        <w:t>Includes all salts and esters of the opioid and opioids in combination with other active ingredients such as acetaminophen.</w:t>
      </w:r>
    </w:p>
    <w:p>
      <w:pPr>
        <w:spacing w:after="0" w:line="28" w:lineRule="exact"/>
        <w:rPr>
          <w:rFonts w:ascii="Arial" w:cs="Arial" w:eastAsia="Arial" w:hAnsi="Arial"/>
          <w:sz w:val="19"/>
          <w:szCs w:val="19"/>
          <w:color w:val="auto"/>
          <w:vertAlign w:val="superscript"/>
        </w:rPr>
      </w:pPr>
    </w:p>
    <w:p>
      <w:pPr>
        <w:ind w:left="1280"/>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IMS Health, 2016</w:t>
      </w:r>
    </w:p>
    <w:p>
      <w:pPr>
        <w:spacing w:after="0" w:line="6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Labeling for Products Using Our Technologies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or our licensee may seek to include descriptions of studies that characterize the safety features of our technologies in the label for our products in development. Zyla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Patents and Patent Applications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issued patents covering, among other things, our LIMITx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2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Patent No. (Jurisdiction)</w:t>
            </w:r>
          </w:p>
        </w:tc>
        <w:tc>
          <w:tcPr>
            <w:tcW w:w="60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9,101,636</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Aug. 2015</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9,320,796</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9,662,393</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May 2017</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10,441,657 (US)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3 or more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2019</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2,892,908</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(CAN)</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5,922,851</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(JAPAN)</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ZL201380062421.0 (CHN)</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Jul.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2,925,304</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(EUR)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Sep.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2015124694 (RUS)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Nov.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2013352162 (AUS)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Dec.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366159 (MEX)</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0"/>
              </w:rPr>
              <w:t>Jul. 2019</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2033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238713 (ISR)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w w:val="96"/>
              </w:rPr>
              <w:t>Abuse deterrent products wherein the release of active ingredient is retarded when excessive doses are consumed</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Jul. 2019</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2033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issued patents covering, among other things, Oxaydo and our Aversion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Patent No. (Jurisdiction)</w:t>
            </w:r>
          </w:p>
        </w:tc>
        <w:tc>
          <w:tcPr>
            <w:tcW w:w="588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7,201,920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7"/>
              </w:rPr>
              <w:t>Pharmaceutical compositions including a mixture of functional inactive ingredients and specific opioid analgesics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2007</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Mar. 2025</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7,510,726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 wider range of compositions than those described in the 7,201,920 Patent</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Mar. 2009</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7,981,439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including any water soluble drug susceptible to abuse</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July 2011</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Aug. 2024</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8,409,616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dosage forms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2013</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8,637,540 (US)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opioid products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Jan. 2014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9,492,443 (US)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of immediate-release abuse deterrent opioid products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2016</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additional issued patents relating to our Aversion Technology: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2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Patent No. (Jurisdiction)</w:t>
            </w:r>
          </w:p>
        </w:tc>
        <w:tc>
          <w:tcPr>
            <w:tcW w:w="588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8,822,489</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94"/>
              </w:rPr>
              <w:t>Pharmaceutical compositions of certain abuse deterrent products that contain polymers, surfactant and polysorb 80</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July 2014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2023</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2,004,294,953 (AUS)</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Apr. 2010</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2,010,200,979 (AUS)</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Aug. 2010</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2,547,334</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(CAN)</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Aug. 2010</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2,647,360</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(CAN)</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May 2012</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Apr. 2027</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175,863 (ISR)</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221,018 (ISR)</w:t>
            </w:r>
          </w:p>
        </w:tc>
        <w:tc>
          <w:tcPr>
            <w:tcW w:w="588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1694260 (EUR)</w:t>
            </w:r>
          </w:p>
        </w:tc>
        <w:tc>
          <w:tcPr>
            <w:tcW w:w="58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Abuse deterrent pharmaceuticals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2004</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Nov. 2024</w:t>
            </w:r>
          </w:p>
        </w:tc>
      </w:tr>
      <w:tr>
        <w:trPr>
          <w:trHeight w:val="421"/>
        </w:trPr>
        <w:tc>
          <w:tcPr>
            <w:tcW w:w="5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2860"/>
              <w:spacing w:after="0"/>
              <w:rPr>
                <w:sz w:val="20"/>
                <w:szCs w:val="20"/>
                <w:color w:val="auto"/>
              </w:rPr>
            </w:pPr>
            <w:r>
              <w:rPr>
                <w:rFonts w:ascii="Arial" w:cs="Arial" w:eastAsia="Arial" w:hAnsi="Arial"/>
                <w:sz w:val="12"/>
                <w:szCs w:val="12"/>
                <w:color w:val="auto"/>
              </w:rPr>
              <w:t>37</w:t>
            </w: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We have the following issued patents covering, among other things, our Nexafed product line and Impede 1.0 and 2.0 technologies: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2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Patent No. (Jurisdiction)</w:t>
            </w:r>
          </w:p>
        </w:tc>
        <w:tc>
          <w:tcPr>
            <w:tcW w:w="60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2"/>
                <w:szCs w:val="12"/>
                <w:b w:val="1"/>
                <w:bCs w:val="1"/>
                <w:color w:val="auto"/>
              </w:rPr>
              <w:t>Subject Matter</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Expires</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8,901,113 (US)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Dec. 2014</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Feb. 2032</w:t>
            </w:r>
          </w:p>
        </w:tc>
      </w:tr>
      <w:tr>
        <w:trPr>
          <w:trHeight w:val="142"/>
        </w:trPr>
        <w:tc>
          <w:tcPr>
            <w:tcW w:w="5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2"/>
                <w:szCs w:val="12"/>
                <w:color w:val="auto"/>
                <w:w w:val="89"/>
              </w:rPr>
              <w:t>9,757,466</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w:t>
            </w:r>
          </w:p>
        </w:tc>
        <w:tc>
          <w:tcPr>
            <w:tcW w:w="6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Sept. 2017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Feb. 2032</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10,004,699 (US)</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Methods and compositions for interfering with extraction or conversion of a drug susceptible to abuse</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5"/>
              </w:rPr>
              <w:t>June 2018</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Dec. 2035</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2010300641 (AUS)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5"/>
              </w:rPr>
              <w:t>June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560" w:type="dxa"/>
            <w:vAlign w:val="bottom"/>
            <w:tcBorders>
              <w:left w:val="single" w:sz="8" w:color="auto"/>
              <w:bottom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2,775,890</w:t>
            </w:r>
          </w:p>
        </w:tc>
        <w:tc>
          <w:tcPr>
            <w:tcW w:w="2160" w:type="dxa"/>
            <w:vAlign w:val="bottom"/>
            <w:tcBorders>
              <w:bottom w:val="single" w:sz="8" w:color="auto"/>
              <w:right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(CAN)</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5"/>
              </w:rPr>
              <w:t>June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560" w:type="dxa"/>
            <w:vAlign w:val="bottom"/>
            <w:tcBorders>
              <w:left w:val="single" w:sz="8" w:color="auto"/>
              <w:bottom w:val="single" w:sz="8" w:color="auto"/>
            </w:tcBorders>
          </w:tcPr>
          <w:p>
            <w:pPr>
              <w:ind w:left="60"/>
              <w:spacing w:after="0" w:line="133" w:lineRule="exact"/>
              <w:rPr>
                <w:sz w:val="20"/>
                <w:szCs w:val="20"/>
                <w:color w:val="auto"/>
              </w:rPr>
            </w:pPr>
            <w:r>
              <w:rPr>
                <w:rFonts w:ascii="Arial" w:cs="Arial" w:eastAsia="Arial" w:hAnsi="Arial"/>
                <w:sz w:val="12"/>
                <w:szCs w:val="12"/>
                <w:color w:val="auto"/>
                <w:w w:val="89"/>
              </w:rPr>
              <w:t>2,488,029</w:t>
            </w:r>
          </w:p>
        </w:tc>
        <w:tc>
          <w:tcPr>
            <w:tcW w:w="216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(EUR)</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Mar. 2016</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218533 (ISR)</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Jan.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2030</w:t>
            </w:r>
          </w:p>
        </w:tc>
      </w:tr>
      <w:tr>
        <w:trPr>
          <w:trHeight w:val="133"/>
        </w:trPr>
        <w:tc>
          <w:tcPr>
            <w:tcW w:w="27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2"/>
                <w:szCs w:val="12"/>
                <w:color w:val="auto"/>
              </w:rPr>
              <w:t>2015274936 (AUS)</w:t>
            </w:r>
          </w:p>
        </w:tc>
        <w:tc>
          <w:tcPr>
            <w:tcW w:w="600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Methods and compositions for interfering with extraction or conversion of a drug susceptible to abuse</w:t>
            </w:r>
          </w:p>
        </w:tc>
        <w:tc>
          <w:tcPr>
            <w:tcW w:w="12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Sept. 2018</w:t>
            </w:r>
          </w:p>
        </w:tc>
        <w:tc>
          <w:tcPr>
            <w:tcW w:w="13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5"/>
              </w:rPr>
              <w:t>June 2035</w:t>
            </w:r>
          </w:p>
        </w:tc>
      </w:tr>
      <w:tr>
        <w:trPr>
          <w:trHeight w:val="133"/>
        </w:trPr>
        <w:tc>
          <w:tcPr>
            <w:tcW w:w="2720" w:type="dxa"/>
            <w:vAlign w:val="bottom"/>
            <w:tcBorders>
              <w:left w:val="single" w:sz="8" w:color="auto"/>
              <w:bottom w:val="single" w:sz="8" w:color="auto"/>
              <w:right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13102020.5 (HK)</w:t>
            </w:r>
          </w:p>
        </w:tc>
        <w:tc>
          <w:tcPr>
            <w:tcW w:w="6000" w:type="dxa"/>
            <w:vAlign w:val="bottom"/>
            <w:tcBorders>
              <w:bottom w:val="single" w:sz="8" w:color="auto"/>
              <w:right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Pharmaceutical compositions suitable for reducing the chemical conversion of precursor compounds</w:t>
            </w:r>
          </w:p>
        </w:tc>
        <w:tc>
          <w:tcPr>
            <w:tcW w:w="12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Oct. 2016</w:t>
            </w:r>
          </w:p>
        </w:tc>
        <w:tc>
          <w:tcPr>
            <w:tcW w:w="13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Sept. 2030</w:t>
            </w:r>
          </w:p>
        </w:tc>
      </w:tr>
    </w:tbl>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the MainPointe Agreement, and the AD Pharma Agreement and in the patent infringement settlement agreements described below, we have retained all intellectual property rights to our Aversion Technology, Impede Technology, LIMITx Technology and related product candidates.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May 20, 2016, we, Purdue Pharma L.P. and Zyla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Zyla products, including, in some circumstances, Oxaydo® and other products using Acura’s Aversion® Technology if licensed to Zyla.</w:t>
      </w:r>
    </w:p>
    <w:p>
      <w:pPr>
        <w:spacing w:after="0" w:line="12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Company’s Present Financial Condition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As of March 31, 2020, we had cash of $1.2 million, working capital deficit of $5.9 million and an accumulated deficit of $388.6 million. We had a loss from operations of $483 thousand and a net loss of $595 thousand for the three months ended March 31, 2020, and had a loss from operations of $725 thousand and a net loss of $3.8 million for the year ended December 31, 2019. We have suffered recurring losses from operations and have not generated positive cash flows from operations. We anticipate operating losses to continue for the foreseeable future. As of June 26, 2020 our cash balance was approximately $1.0 million.</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Additionally, the License, Development and Commercialization Agreement dated June 28, 2019 (the “Agreement”) requires AD Pharma to pay us monthly license payments of $350,000 from July 2019 through November 2020 and pay all outside development costs for LTX-03. 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Our independent auditors have included in their report relating to our 2019 financial statements a “going concern” explanatory paragraph as to substantial doubt of our ability to continue as a going concern.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We have therefore reclassified the $6.0 million note from noncurrent to current liability at March 31, 2020. The Parties are in negotiations to amend the AD Pharma Agreement to extend the date of the FDA acceptance of the NDA for LTX-03 which would allow for these unforeseen delays. AD Pharma has deferred the remittance of the required monthly license payments for May and June, 2020 pending the completion of these negotiations.</w:t>
      </w:r>
    </w:p>
    <w:p>
      <w:pPr>
        <w:spacing w:after="0" w:line="115"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2019 financial statements a “going concern” explanatory paragraph as to substantial doubt of our ability to continue as a going concern.</w:t>
      </w:r>
    </w:p>
    <w:p>
      <w:pPr>
        <w:spacing w:after="0" w:line="6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38"/>
        </w:trPr>
        <w:tc>
          <w:tcPr>
            <w:tcW w:w="552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Three months Ended March 31, 2020 Compared to Three months Ended March 31, 2019</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04"/>
        </w:trPr>
        <w:tc>
          <w:tcPr>
            <w:tcW w:w="56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March 31</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2020</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2019</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color w:val="auto"/>
                <w:w w:val="86"/>
              </w:rPr>
              <w:t>Increase (decrease)</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Revenues:</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90"/>
              </w:rPr>
              <w:t>$000’s</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2"/>
              </w:rPr>
              <w:t>Percent</w:t>
            </w:r>
          </w:p>
        </w:tc>
        <w:tc>
          <w:tcPr>
            <w:tcW w:w="140" w:type="dxa"/>
            <w:vAlign w:val="bottom"/>
            <w:tcBorders>
              <w:bottom w:val="single" w:sz="8" w:color="CCEE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Royalties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w:t>
            </w: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100"/>
              <w:spacing w:after="0" w:line="133" w:lineRule="exact"/>
              <w:rPr>
                <w:sz w:val="20"/>
                <w:szCs w:val="20"/>
                <w:color w:val="auto"/>
              </w:rPr>
            </w:pPr>
            <w:r>
              <w:rPr>
                <w:rFonts w:ascii="Arial" w:cs="Arial" w:eastAsia="Arial" w:hAnsi="Arial"/>
                <w:sz w:val="12"/>
                <w:szCs w:val="12"/>
                <w:color w:val="auto"/>
              </w:rPr>
              <w:t>Collaboration</w:t>
            </w:r>
          </w:p>
        </w:tc>
        <w:tc>
          <w:tcPr>
            <w:tcW w:w="7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w:t>
            </w:r>
          </w:p>
        </w:tc>
        <w:tc>
          <w:tcPr>
            <w:tcW w:w="2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w:t>
            </w:r>
          </w:p>
        </w:tc>
        <w:tc>
          <w:tcPr>
            <w:tcW w:w="18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2"/>
                <w:szCs w:val="12"/>
                <w:color w:val="auto"/>
              </w:rPr>
              <w:t>License fees</w:t>
            </w: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1,050</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1,050</w:t>
            </w: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220"/>
              <w:spacing w:after="0" w:line="133" w:lineRule="exact"/>
              <w:rPr>
                <w:sz w:val="20"/>
                <w:szCs w:val="20"/>
                <w:color w:val="auto"/>
              </w:rPr>
            </w:pPr>
            <w:r>
              <w:rPr>
                <w:rFonts w:ascii="Arial" w:cs="Arial" w:eastAsia="Arial" w:hAnsi="Arial"/>
                <w:sz w:val="12"/>
                <w:szCs w:val="12"/>
                <w:color w:val="auto"/>
              </w:rPr>
              <w:t>Total revenues</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1,091</w:t>
            </w: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1,024</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1,528</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spacing w:after="0" w:line="133" w:lineRule="exact"/>
              <w:rPr>
                <w:sz w:val="20"/>
                <w:szCs w:val="20"/>
                <w:color w:val="auto"/>
              </w:rPr>
            </w:pPr>
            <w:r>
              <w:rPr>
                <w:rFonts w:ascii="Arial" w:cs="Arial" w:eastAsia="Arial" w:hAnsi="Arial"/>
                <w:sz w:val="12"/>
                <w:szCs w:val="12"/>
                <w:color w:val="auto"/>
              </w:rPr>
              <w:t>Expenses:</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2"/>
                <w:szCs w:val="12"/>
                <w:color w:val="auto"/>
              </w:rPr>
              <w:t>Research and development</w:t>
            </w: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387</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313</w:t>
            </w: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74</w:t>
            </w: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100"/>
              <w:spacing w:after="0" w:line="133" w:lineRule="exact"/>
              <w:rPr>
                <w:sz w:val="20"/>
                <w:szCs w:val="20"/>
                <w:color w:val="auto"/>
              </w:rPr>
            </w:pPr>
            <w:r>
              <w:rPr>
                <w:rFonts w:ascii="Arial" w:cs="Arial" w:eastAsia="Arial" w:hAnsi="Arial"/>
                <w:sz w:val="12"/>
                <w:szCs w:val="12"/>
                <w:color w:val="auto"/>
              </w:rPr>
              <w:t>General and administrative</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1,187</w:t>
            </w: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437</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750</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172</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gridSpan w:val="3"/>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operating expenses</w:t>
            </w: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1,574</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750</w:t>
            </w: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824</w:t>
            </w: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w:t>
            </w: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220"/>
              <w:spacing w:after="0" w:line="133" w:lineRule="exact"/>
              <w:rPr>
                <w:sz w:val="20"/>
                <w:szCs w:val="20"/>
                <w:color w:val="auto"/>
              </w:rPr>
            </w:pPr>
            <w:r>
              <w:rPr>
                <w:rFonts w:ascii="Arial" w:cs="Arial" w:eastAsia="Arial" w:hAnsi="Arial"/>
                <w:sz w:val="12"/>
                <w:szCs w:val="12"/>
                <w:color w:val="auto"/>
              </w:rPr>
              <w:t>Operating loss</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(483)</w:t>
            </w: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(683)</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(200)</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100"/>
              <w:spacing w:after="0" w:line="133" w:lineRule="exact"/>
              <w:rPr>
                <w:sz w:val="20"/>
                <w:szCs w:val="20"/>
                <w:color w:val="auto"/>
              </w:rPr>
            </w:pPr>
            <w:r>
              <w:rPr>
                <w:rFonts w:ascii="Arial" w:cs="Arial" w:eastAsia="Arial" w:hAnsi="Arial"/>
                <w:sz w:val="12"/>
                <w:szCs w:val="12"/>
                <w:color w:val="auto"/>
              </w:rPr>
              <w:t>Interest expense – related party</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(112)</w:t>
            </w: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(105)</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gridSpan w:val="3"/>
            <w:shd w:val="clear" w:color="auto" w:fill="CCEEFF"/>
          </w:tcPr>
          <w:p>
            <w:pPr>
              <w:ind w:left="220"/>
              <w:spacing w:after="0" w:line="133" w:lineRule="exact"/>
              <w:rPr>
                <w:sz w:val="20"/>
                <w:szCs w:val="20"/>
                <w:color w:val="auto"/>
              </w:rPr>
            </w:pPr>
            <w:r>
              <w:rPr>
                <w:rFonts w:ascii="Arial" w:cs="Arial" w:eastAsia="Arial" w:hAnsi="Arial"/>
                <w:sz w:val="12"/>
                <w:szCs w:val="12"/>
                <w:color w:val="auto"/>
              </w:rPr>
              <w:t>Loss before income taxes</w:t>
            </w:r>
          </w:p>
        </w:tc>
        <w:tc>
          <w:tcPr>
            <w:tcW w:w="7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(788)</w:t>
            </w:r>
          </w:p>
        </w:tc>
        <w:tc>
          <w:tcPr>
            <w:tcW w:w="2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(193)</w:t>
            </w:r>
          </w:p>
        </w:tc>
        <w:tc>
          <w:tcPr>
            <w:tcW w:w="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tcBorders>
              <w:bottom w:val="single" w:sz="8" w:color="CCEEFF"/>
            </w:tcBorders>
            <w:gridSpan w:val="3"/>
          </w:tcPr>
          <w:p>
            <w:pPr>
              <w:ind w:left="100"/>
              <w:spacing w:after="0" w:line="133" w:lineRule="exact"/>
              <w:rPr>
                <w:sz w:val="20"/>
                <w:szCs w:val="20"/>
                <w:color w:val="auto"/>
              </w:rPr>
            </w:pPr>
            <w:r>
              <w:rPr>
                <w:rFonts w:ascii="Arial" w:cs="Arial" w:eastAsia="Arial" w:hAnsi="Arial"/>
                <w:sz w:val="12"/>
                <w:szCs w:val="12"/>
                <w:color w:val="auto"/>
              </w:rPr>
              <w:t>Provision for income taxes</w:t>
            </w: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4960" w:type="dxa"/>
            <w:vAlign w:val="bottom"/>
            <w:gridSpan w:val="3"/>
            <w:shd w:val="clear" w:color="auto" w:fill="CCEEFF"/>
          </w:tcPr>
          <w:p>
            <w:pPr>
              <w:ind w:left="220"/>
              <w:spacing w:after="0" w:line="133" w:lineRule="exact"/>
              <w:rPr>
                <w:sz w:val="20"/>
                <w:szCs w:val="20"/>
                <w:color w:val="auto"/>
              </w:rPr>
            </w:pPr>
            <w:r>
              <w:rPr>
                <w:rFonts w:ascii="Arial" w:cs="Arial" w:eastAsia="Arial" w:hAnsi="Arial"/>
                <w:sz w:val="12"/>
                <w:szCs w:val="12"/>
                <w:color w:val="auto"/>
              </w:rPr>
              <w:t>Net loss</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(595)</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(788)</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(193)</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(25)%</w:t>
            </w:r>
          </w:p>
        </w:tc>
      </w:tr>
      <w:tr>
        <w:trPr>
          <w:trHeight w:val="20"/>
        </w:trPr>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Fees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Under our license and development agreement with Abuse Deterrent Pharma, LLC (“AD Pharma”) for LTX-03, we received license fees $1.05 million during the three months ended March 31,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 Revenue</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Collaboration revenue is derived from research and development services we perform under the license and development agreement with AD Pharma for LTX-03. We recognized $8 thousand of collaboration revenue during the three months ended March 31, 2020. We did not provide research and development services during the three months ended March 31,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Royalty Revenue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connection with our license agreement with Zyla for Oxaydo Tablets, we earn a royalty based on product net sales. We recognized $30 thousand and $55 thousand of royalty revenue from Oxaydo Tablets during the three months ended March 31, 2020 and 2019, respectively.</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connection with our license agreement with MainPointe for our Nexafed product line, we earn a royalty based on product net sales. We recognized $3 thousand and $12 thousand of royalty revenue from Oxaydo during the three months ended March 31, 2020 and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Research and development expense is primarily associated with our Limitx Technology TLX-03 development activity under the AD Pharma agreement. Included in March 31, 2019 reported quarterly expenses are share-based compensation expenses of approximately $6 thousand. Excluding the share-based compensation expense, our research and development expenses increased by approximately $80 thousand between reporting periods. During the three months ended 2019, the Company’s cost cutting measures seen temporary period benefits in reductions in employee salaries resulting from unpaid furloughs. During the three months ended March 31, 2020 there was an overall increase in expenses from our development activities which partially offset a portion of the effects from the comparative prior period’s temporary benefits.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general and administrative expenses primarily consisted of legal, audit and other professional services, corporate insurance, and payroll. Included in the 2020 and 2019 quarterly results are share-based compensation expenses of approximately $15 thousand and $29 thousand, respectively. Excluding this share-based compensation expense, our general and administrative expenses increased approximately $764 thousand between reporting periods. During the three months ended 2019, the Company’s cost cutting measures seen temporary period benefits in reductions in director fees, legal services and employee salaries resulting from unpaid furloughs. During the three months ended March 31, 2020 we recorded a $668 thousand impairment charge on the intangible asset and there was a reduction in corporate insurance premiums which partially offset a portion of the effects from the comparative period’s temporary benefits.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Non-Operating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March 31, 2020 and 2019, we incurred interest expense of $112 thousand and $105 thousand, respectively on our term loans.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results for the three months ended March 31, 2020 and 2019 show no federal or state income tax benefit provisions due to 100% allowances placed against them for the uncertainty of their future utilization.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At March 31, 2020 we had cash of $1.2 million and at December 31, 2019 we had cash of $0.9 million. At June 26, 2020 our cash balance was approximately $1.0 million. Additionally, the License, Development and Commercialization Agreement dated June 28, 2019 (the “Agreement”) requires AD Pharma to pay us monthly license payments of $350 thousand from July 2019 through November 2020 and pay all outside development costs for LTX-03.</w:t>
      </w:r>
    </w:p>
    <w:p>
      <w:pPr>
        <w:spacing w:after="0" w:line="12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However, the Agreement allows AD Pharma to terminate the Agreement for “convenience on 30 days prior written notice”.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independent auditors have included in their report relating to our 2018 financial statements a “going concern” explanatory paragraph as to substantial doubt of our ability to continue as a going concern.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42" w:name="page43"/>
    <w:bookmarkEnd w:id="42"/>
    <w:p>
      <w:pPr>
        <w:jc w:val="both"/>
        <w:ind w:left="8"/>
        <w:spacing w:after="0" w:line="283" w:lineRule="auto"/>
        <w:rPr>
          <w:sz w:val="20"/>
          <w:szCs w:val="20"/>
          <w:color w:val="auto"/>
        </w:rPr>
      </w:pPr>
      <w:r>
        <w:rPr>
          <w:rFonts w:ascii="Arial" w:cs="Arial" w:eastAsia="Arial" w:hAnsi="Arial"/>
          <w:sz w:val="11"/>
          <w:szCs w:val="11"/>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13" w:lineRule="exact"/>
        <w:rPr>
          <w:sz w:val="20"/>
          <w:szCs w:val="20"/>
          <w:color w:val="auto"/>
        </w:rPr>
      </w:pPr>
    </w:p>
    <w:p>
      <w:pPr>
        <w:jc w:val="both"/>
        <w:ind w:left="8"/>
        <w:spacing w:after="0" w:line="316" w:lineRule="auto"/>
        <w:rPr>
          <w:sz w:val="20"/>
          <w:szCs w:val="20"/>
          <w:color w:val="auto"/>
        </w:rPr>
      </w:pPr>
      <w:r>
        <w:rPr>
          <w:rFonts w:ascii="Arial" w:cs="Arial" w:eastAsia="Arial" w:hAnsi="Arial"/>
          <w:sz w:val="10"/>
          <w:szCs w:val="10"/>
          <w:color w:val="auto"/>
        </w:rPr>
        <w:t>Also included in the AD Pharma Agreement is the requirement that the NDA for LTX-03 be accepted by the FDA by November 30, 2020, or AD Pharma has the option to terminate the AD Pharma Agreement and take ownership of the LIMITx intellectual property. Importantly, such failure to meet this date will be an event of default under their $6.0 million note to Acura. 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 AD Pharma has deferred the remittance of the required monthly license payments for May and June, 2020 pending the completion of these negotiations.</w:t>
      </w:r>
    </w:p>
    <w:p>
      <w:pPr>
        <w:spacing w:after="0" w:line="10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0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Critical Accounting Policies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Note 1 of the Notes to Consolidated Financial Statements, in the Company’s 2019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2019 Annual Report are also applicable to 2020.</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4. Controls and Procedures</w:t>
      </w:r>
    </w:p>
    <w:p>
      <w:pPr>
        <w:spacing w:after="0" w:line="150" w:lineRule="exact"/>
        <w:rPr>
          <w:sz w:val="20"/>
          <w:szCs w:val="20"/>
          <w:color w:val="auto"/>
        </w:rPr>
      </w:pPr>
    </w:p>
    <w:p>
      <w:pPr>
        <w:jc w:val="both"/>
        <w:ind w:left="8" w:hanging="8"/>
        <w:spacing w:after="0" w:line="255" w:lineRule="auto"/>
        <w:tabs>
          <w:tab w:leader="none" w:pos="345" w:val="left"/>
        </w:tabs>
        <w:numPr>
          <w:ilvl w:val="0"/>
          <w:numId w:val="16"/>
        </w:numPr>
        <w:rPr>
          <w:rFonts w:ascii="Arial" w:cs="Arial" w:eastAsia="Arial" w:hAnsi="Arial"/>
          <w:sz w:val="12"/>
          <w:szCs w:val="12"/>
          <w:color w:val="auto"/>
        </w:rPr>
      </w:pPr>
      <w:r>
        <w:rPr>
          <w:rFonts w:ascii="Arial" w:cs="Arial" w:eastAsia="Arial" w:hAnsi="Arial"/>
          <w:sz w:val="12"/>
          <w:szCs w:val="12"/>
          <w:i w:val="1"/>
          <w:iCs w:val="1"/>
          <w:u w:val="single" w:color="auto"/>
          <w:color w:val="auto"/>
        </w:rPr>
        <w:t>Disclosure Controls and Procedures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3" w:name="page44"/>
    <w:bookmarkEnd w:id="43"/>
    <w:p>
      <w:pPr>
        <w:ind w:left="8" w:hanging="8"/>
        <w:spacing w:after="0" w:line="276" w:lineRule="auto"/>
        <w:tabs>
          <w:tab w:leader="none" w:pos="343" w:val="left"/>
        </w:tabs>
        <w:numPr>
          <w:ilvl w:val="0"/>
          <w:numId w:val="17"/>
        </w:numPr>
        <w:rPr>
          <w:rFonts w:ascii="Arial" w:cs="Arial" w:eastAsia="Arial" w:hAnsi="Arial"/>
          <w:sz w:val="12"/>
          <w:szCs w:val="12"/>
          <w:color w:val="auto"/>
        </w:rPr>
      </w:pPr>
      <w:r>
        <w:rPr>
          <w:rFonts w:ascii="Arial" w:cs="Arial" w:eastAsia="Arial" w:hAnsi="Arial"/>
          <w:sz w:val="12"/>
          <w:szCs w:val="12"/>
          <w:i w:val="1"/>
          <w:iCs w:val="1"/>
          <w:u w:val="single" w:color="auto"/>
          <w:color w:val="auto"/>
        </w:rPr>
        <w:t>Changes in Internal Controls over Financial Reporting</w:t>
      </w:r>
      <w:r>
        <w:rPr>
          <w:rFonts w:ascii="Arial" w:cs="Arial" w:eastAsia="Arial" w:hAnsi="Arial"/>
          <w:sz w:val="12"/>
          <w:szCs w:val="12"/>
          <w:i w:val="1"/>
          <w:iCs w:val="1"/>
          <w:color w:val="auto"/>
        </w:rPr>
        <w:t xml:space="preserve">. </w:t>
      </w:r>
      <w:r>
        <w:rPr>
          <w:rFonts w:ascii="Arial" w:cs="Arial" w:eastAsia="Arial" w:hAnsi="Arial"/>
          <w:sz w:val="12"/>
          <w:szCs w:val="12"/>
          <w:color w:val="auto"/>
        </w:rPr>
        <w:t>There were no changes in our internal controls over financial reporting during the first fiscal quarter of 2020 that have materially affected, or are reasonably likely to</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materially affect, our internal controls over financial reporting.</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Part II. 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1. Legal Proceedings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information required by this Item is incorporated by reference Commitments and Contingencies, in Part I, Item 1, “Financial Statements.”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Item 1A. Risk Factors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Investors in our common stock should consider the following risk factors, in addition to those risk factors set forth in our 2019 Annual Report on Form 10-K:</w:t>
      </w:r>
    </w:p>
    <w:p>
      <w:pPr>
        <w:spacing w:after="0" w:line="150" w:lineRule="exact"/>
        <w:rPr>
          <w:sz w:val="20"/>
          <w:szCs w:val="20"/>
          <w:color w:val="auto"/>
        </w:rPr>
      </w:pPr>
    </w:p>
    <w:p>
      <w:pPr>
        <w:ind w:left="108"/>
        <w:spacing w:after="0" w:line="276" w:lineRule="auto"/>
        <w:rPr>
          <w:sz w:val="20"/>
          <w:szCs w:val="20"/>
          <w:color w:val="auto"/>
        </w:rPr>
      </w:pPr>
      <w:r>
        <w:rPr>
          <w:rFonts w:ascii="Arial" w:cs="Arial" w:eastAsia="Arial" w:hAnsi="Arial"/>
          <w:sz w:val="12"/>
          <w:szCs w:val="12"/>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1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Our operations to date have consumed substantial amounts of cash. We have incurred negative cash flows from our operations over the last several years and we expect it may continue over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June 26, 2020 our cash balance was approximately $1.0 million. Additionally, the Agreement with AD Pharma calls for monthly license payments of $350,000 from July 2019 through November 2020 and as well as their payment of all outside development costs for LTX-03. To fund further operations, we must raise additional financing or enter into license or collaboration agreements with third parties relating to our technologies.</w:t>
      </w:r>
    </w:p>
    <w:p>
      <w:pPr>
        <w:spacing w:after="0" w:line="113" w:lineRule="exact"/>
        <w:rPr>
          <w:sz w:val="20"/>
          <w:szCs w:val="20"/>
          <w:color w:val="auto"/>
        </w:rPr>
      </w:pPr>
    </w:p>
    <w:p>
      <w:pPr>
        <w:jc w:val="both"/>
        <w:ind w:left="8"/>
        <w:spacing w:after="0" w:line="280" w:lineRule="auto"/>
        <w:rPr>
          <w:sz w:val="20"/>
          <w:szCs w:val="20"/>
          <w:color w:val="auto"/>
        </w:rPr>
      </w:pPr>
      <w:r>
        <w:rPr>
          <w:rFonts w:ascii="Arial" w:cs="Arial" w:eastAsia="Arial" w:hAnsi="Arial"/>
          <w:sz w:val="11"/>
          <w:szCs w:val="11"/>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4" w:name="page45"/>
    <w:bookmarkEnd w:id="44"/>
    <w:p>
      <w:pPr>
        <w:jc w:val="both"/>
        <w:spacing w:after="0" w:line="283" w:lineRule="auto"/>
        <w:rPr>
          <w:sz w:val="20"/>
          <w:szCs w:val="20"/>
          <w:color w:val="auto"/>
        </w:rPr>
      </w:pPr>
      <w:r>
        <w:rPr>
          <w:rFonts w:ascii="Arial" w:cs="Arial" w:eastAsia="Arial" w:hAnsi="Arial"/>
          <w:sz w:val="11"/>
          <w:szCs w:val="11"/>
          <w:color w:val="auto"/>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13" w:lineRule="exact"/>
        <w:rPr>
          <w:sz w:val="20"/>
          <w:szCs w:val="20"/>
          <w:color w:val="auto"/>
        </w:rPr>
      </w:pPr>
    </w:p>
    <w:p>
      <w:pPr>
        <w:ind w:left="100"/>
        <w:spacing w:after="0" w:line="276" w:lineRule="auto"/>
        <w:rPr>
          <w:sz w:val="20"/>
          <w:szCs w:val="20"/>
          <w:color w:val="auto"/>
        </w:rPr>
      </w:pPr>
      <w:r>
        <w:rPr>
          <w:rFonts w:ascii="Arial" w:cs="Arial" w:eastAsia="Arial" w:hAnsi="Arial"/>
          <w:sz w:val="12"/>
          <w:szCs w:val="12"/>
          <w:b w:val="1"/>
          <w:bCs w:val="1"/>
          <w:i w:val="1"/>
          <w:iCs w:val="1"/>
          <w:color w:val="auto"/>
        </w:rPr>
        <w:t>Our business could be adversely affected by the effects of health epidemics, including the recent COVID-19 pandemic, in regions where third parties for which we rely, as in CROs or CMOs, have significant research, development or manufacturing facilities, concentrations of clinical trial sites or other business operations, causing disruption in supplies and services.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Our business could be adversely affected by health epidemics in regions </w:t>
      </w:r>
      <w:r>
        <w:rPr>
          <w:rFonts w:ascii="Arial" w:cs="Arial" w:eastAsia="Arial" w:hAnsi="Arial"/>
          <w:sz w:val="12"/>
          <w:szCs w:val="12"/>
          <w:i w:val="1"/>
          <w:iCs w:val="1"/>
          <w:color w:val="auto"/>
        </w:rPr>
        <w:t>where third parties for which we rely, as in CROs or CMOs,</w:t>
      </w:r>
      <w:r>
        <w:rPr>
          <w:rFonts w:ascii="Arial" w:cs="Arial" w:eastAsia="Arial" w:hAnsi="Arial"/>
          <w:sz w:val="12"/>
          <w:szCs w:val="12"/>
          <w:color w:val="auto"/>
        </w:rPr>
        <w:t xml:space="preserve"> have concentrations of clinical trial sites or other business operations, and could cause significant disruption in the operations of third-party manufacturers and CROs upon whom we rely. On January 30, 2020, the World Health Organization (“WHO”) announced a global health emergency because of a new strain of novel coronavirus originating in Wuhan, China (the “COVID-19 outbreak”)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our business and delay our clinical programs and timelines.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Any manufacturing supply interruption of materials could adversely affect our ability to conduct ongoing and future research and manufacturing activities of LTX-03.</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our clinical trials may be affected by the COVID-19 pandemic.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and adversely impact our clinical trial operations.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global pandemic of COVID-19 continues to rapidly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 w:name="page46"/>
    <w:bookmarkEnd w:id="45"/>
    <w:p>
      <w:pPr>
        <w:ind w:left="200"/>
        <w:spacing w:after="0"/>
        <w:rPr>
          <w:sz w:val="20"/>
          <w:szCs w:val="20"/>
          <w:color w:val="auto"/>
        </w:rPr>
      </w:pPr>
      <w:r>
        <w:rPr>
          <w:rFonts w:ascii="Arial" w:cs="Arial" w:eastAsia="Arial" w:hAnsi="Arial"/>
          <w:sz w:val="12"/>
          <w:szCs w:val="12"/>
          <w:b w:val="1"/>
          <w:bCs w:val="1"/>
          <w:i w:val="1"/>
          <w:iCs w:val="1"/>
          <w:color w:val="auto"/>
        </w:rPr>
        <w:t>We successfully negotiate an amendment to the AD Pharma Agreement extending the deadline for FDA acceptance of the NDA for LTX-03.</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NDA acceptance date of November 30, 2020 was predicated upon a timeline prepared at June 28, 2019 which included the purchase and installation of auxiliary production manufacturing equipment. At this time, all auxiliary manufacturing equipment needed for production has been received but recent COVID-19 risk mitigation strategies implemented at the New Jersey based contract manufacturer has delayed the installation of the equipment for several weeks. Acura currently expects the submission and FDA acceptance of a new drug application (“NDA”) for LTX-03 to occur in the second quarter of 2021, unless additional development delays are experienced. The Parties are in negotiations to amend the AD Pharma Agreement to extend the date of the FDA acceptance of the NDA for LTX-03 which would allow for these unforeseen delays.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Item 6.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exhibits required by this Item are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Pr>
          <w:p>
            <w:pPr>
              <w:spacing w:after="0"/>
              <w:rPr>
                <w:rFonts w:ascii="Arial" w:cs="Arial" w:eastAsia="Arial" w:hAnsi="Arial"/>
                <w:sz w:val="12"/>
                <w:szCs w:val="12"/>
                <w:u w:val="single" w:color="auto"/>
                <w:color w:val="0000EE"/>
              </w:rPr>
            </w:pPr>
            <w:hyperlink w:anchor="page48">
              <w:r>
                <w:rPr>
                  <w:rFonts w:ascii="Arial" w:cs="Arial" w:eastAsia="Arial" w:hAnsi="Arial"/>
                  <w:sz w:val="12"/>
                  <w:szCs w:val="12"/>
                  <w:u w:val="single" w:color="auto"/>
                  <w:color w:val="0000EE"/>
                </w:rPr>
                <w:t>31.1</w:t>
              </w:r>
            </w:hyperlink>
          </w:p>
        </w:tc>
        <w:tc>
          <w:tcPr>
            <w:tcW w:w="10660" w:type="dxa"/>
            <w:vAlign w:val="bottom"/>
          </w:tcPr>
          <w:p>
            <w:pPr>
              <w:ind w:left="220"/>
              <w:spacing w:after="0"/>
              <w:rPr>
                <w:rFonts w:ascii="Arial" w:cs="Arial" w:eastAsia="Arial" w:hAnsi="Arial"/>
                <w:sz w:val="12"/>
                <w:szCs w:val="12"/>
                <w:u w:val="single" w:color="auto"/>
                <w:color w:val="0000EE"/>
              </w:rPr>
            </w:pPr>
            <w:hyperlink w:anchor="page48">
              <w:r>
                <w:rPr>
                  <w:rFonts w:ascii="Arial" w:cs="Arial" w:eastAsia="Arial" w:hAnsi="Arial"/>
                  <w:sz w:val="12"/>
                  <w:szCs w:val="12"/>
                  <w:u w:val="single" w:color="auto"/>
                  <w:color w:val="0000EE"/>
                </w:rPr>
                <w:t>Certification of Periodic Report by Chief Executive Officer pursuant to Rule 13a-14 and 15d-14 of the Securities Exchange Act of 1934.</w:t>
              </w:r>
            </w:hyperlink>
          </w:p>
        </w:tc>
      </w:tr>
      <w:tr>
        <w:trPr>
          <w:trHeight w:val="288"/>
        </w:trPr>
        <w:tc>
          <w:tcPr>
            <w:tcW w:w="640" w:type="dxa"/>
            <w:vAlign w:val="bottom"/>
          </w:tcPr>
          <w:p>
            <w:pPr>
              <w:spacing w:after="0"/>
              <w:rPr>
                <w:rFonts w:ascii="Arial" w:cs="Arial" w:eastAsia="Arial" w:hAnsi="Arial"/>
                <w:sz w:val="12"/>
                <w:szCs w:val="12"/>
                <w:u w:val="single" w:color="auto"/>
                <w:color w:val="0000EE"/>
              </w:rPr>
            </w:pPr>
            <w:hyperlink w:anchor="page49">
              <w:r>
                <w:rPr>
                  <w:rFonts w:ascii="Arial" w:cs="Arial" w:eastAsia="Arial" w:hAnsi="Arial"/>
                  <w:sz w:val="12"/>
                  <w:szCs w:val="12"/>
                  <w:u w:val="single" w:color="auto"/>
                  <w:color w:val="0000EE"/>
                </w:rPr>
                <w:t>31.2</w:t>
              </w:r>
            </w:hyperlink>
          </w:p>
        </w:tc>
        <w:tc>
          <w:tcPr>
            <w:tcW w:w="10660" w:type="dxa"/>
            <w:vAlign w:val="bottom"/>
          </w:tcPr>
          <w:p>
            <w:pPr>
              <w:ind w:left="220"/>
              <w:spacing w:after="0"/>
              <w:rPr>
                <w:rFonts w:ascii="Arial" w:cs="Arial" w:eastAsia="Arial" w:hAnsi="Arial"/>
                <w:sz w:val="12"/>
                <w:szCs w:val="12"/>
                <w:u w:val="single" w:color="auto"/>
                <w:color w:val="0000EE"/>
              </w:rPr>
            </w:pPr>
            <w:hyperlink w:anchor="page49">
              <w:r>
                <w:rPr>
                  <w:rFonts w:ascii="Arial" w:cs="Arial" w:eastAsia="Arial" w:hAnsi="Arial"/>
                  <w:sz w:val="12"/>
                  <w:szCs w:val="12"/>
                  <w:u w:val="single" w:color="auto"/>
                  <w:color w:val="0000EE"/>
                </w:rPr>
                <w:t>Certification of Periodic Report by Chief Financial Officer pursuant to Rule 13a-14 and 15d-14 of the Securities Exchange Act of 1934.</w:t>
              </w:r>
            </w:hyperlink>
          </w:p>
        </w:tc>
      </w:tr>
      <w:tr>
        <w:trPr>
          <w:trHeight w:val="288"/>
        </w:trPr>
        <w:tc>
          <w:tcPr>
            <w:tcW w:w="640" w:type="dxa"/>
            <w:vAlign w:val="bottom"/>
          </w:tcPr>
          <w:p>
            <w:pPr>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32.1</w:t>
              </w:r>
            </w:hyperlink>
          </w:p>
        </w:tc>
        <w:tc>
          <w:tcPr>
            <w:tcW w:w="10660" w:type="dxa"/>
            <w:vAlign w:val="bottom"/>
          </w:tcPr>
          <w:p>
            <w:pPr>
              <w:ind w:left="220"/>
              <w:spacing w:after="0"/>
              <w:rPr>
                <w:rFonts w:ascii="Arial" w:cs="Arial" w:eastAsia="Arial" w:hAnsi="Arial"/>
                <w:sz w:val="12"/>
                <w:szCs w:val="12"/>
                <w:color w:val="0000EE"/>
                <w:w w:val="99"/>
              </w:rPr>
            </w:pPr>
            <w:hyperlink w:anchor="page50">
              <w:r>
                <w:rPr>
                  <w:rFonts w:ascii="Arial" w:cs="Arial" w:eastAsia="Arial" w:hAnsi="Arial"/>
                  <w:sz w:val="12"/>
                  <w:szCs w:val="12"/>
                  <w:u w:val="single" w:color="auto"/>
                  <w:color w:val="0000EE"/>
                  <w:w w:val="99"/>
                </w:rPr>
                <w:t>Certification of Periodic Report by the Chief Executive Officer and Chief Financial Officer pursuant to 18 U.S.C. Section 1350, as adopted pursuant to Section 906 of the Sarbanes-Oxley Act of 2002</w:t>
              </w:r>
              <w:r>
                <w:rPr>
                  <w:rFonts w:ascii="Arial" w:cs="Arial" w:eastAsia="Arial" w:hAnsi="Arial"/>
                  <w:sz w:val="12"/>
                  <w:szCs w:val="12"/>
                  <w:color w:val="0000EE"/>
                  <w:w w:val="99"/>
                </w:rPr>
                <w:t>.</w:t>
              </w:r>
            </w:hyperlink>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101.INS</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Instance Document</w:t>
            </w: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101.SCH</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Taxonomy Extension Schema Document</w:t>
            </w: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101.CAL</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Taxonomy Extension Calculation Linkbase</w:t>
            </w: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101.LAB</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Taxonomy Extension Label Linkbase</w:t>
            </w: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101.PRE</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Taxonomy Extension Presentation Linkbase</w:t>
            </w: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101.DEF</w:t>
            </w:r>
          </w:p>
        </w:tc>
        <w:tc>
          <w:tcPr>
            <w:tcW w:w="10660" w:type="dxa"/>
            <w:vAlign w:val="bottom"/>
          </w:tcPr>
          <w:p>
            <w:pPr>
              <w:ind w:left="220"/>
              <w:spacing w:after="0"/>
              <w:rPr>
                <w:sz w:val="20"/>
                <w:szCs w:val="20"/>
                <w:color w:val="auto"/>
              </w:rPr>
            </w:pPr>
            <w:r>
              <w:rPr>
                <w:rFonts w:ascii="Arial" w:cs="Arial" w:eastAsia="Arial" w:hAnsi="Arial"/>
                <w:sz w:val="12"/>
                <w:szCs w:val="12"/>
                <w:color w:val="auto"/>
              </w:rPr>
              <w:t>XBRL Taxonomy Extension Definition Linkbase</w:t>
            </w:r>
          </w:p>
        </w:tc>
      </w:tr>
      <w:tr>
        <w:trPr>
          <w:trHeight w:val="432"/>
        </w:trPr>
        <w:tc>
          <w:tcPr>
            <w:tcW w:w="64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40"/>
              <w:spacing w:after="0"/>
              <w:rPr>
                <w:sz w:val="20"/>
                <w:szCs w:val="20"/>
                <w:color w:val="auto"/>
              </w:rPr>
            </w:pPr>
            <w:r>
              <w:rPr>
                <w:rFonts w:ascii="Arial" w:cs="Arial" w:eastAsia="Arial" w:hAnsi="Arial"/>
                <w:sz w:val="12"/>
                <w:szCs w:val="12"/>
                <w:color w:val="auto"/>
              </w:rPr>
              <w:t>45</w:t>
            </w:r>
          </w:p>
        </w:tc>
      </w:tr>
    </w:tbl>
    <w:p>
      <w:pPr>
        <w:sectPr>
          <w:pgSz w:w="11900" w:h="16838" w:orient="portrait"/>
          <w:cols w:equalWidth="0" w:num="1">
            <w:col w:w="11300"/>
          </w:cols>
          <w:pgMar w:left="300" w:top="653" w:right="299" w:bottom="1440" w:gutter="0" w:footer="0" w:header="0"/>
        </w:sectPr>
      </w:pPr>
    </w:p>
    <w:bookmarkStart w:id="46" w:name="page47"/>
    <w:bookmarkEnd w:id="46"/>
    <w:p>
      <w:pPr>
        <w:ind w:left="5380"/>
        <w:spacing w:after="0"/>
        <w:rPr>
          <w:sz w:val="20"/>
          <w:szCs w:val="20"/>
          <w:color w:val="auto"/>
        </w:rPr>
      </w:pPr>
      <w:r>
        <w:rPr>
          <w:rFonts w:ascii="Arial" w:cs="Arial" w:eastAsia="Arial" w:hAnsi="Arial"/>
          <w:sz w:val="12"/>
          <w:szCs w:val="12"/>
          <w:b w:val="1"/>
          <w:bCs w:val="1"/>
          <w:i w:val="1"/>
          <w:i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tabs>
          <w:tab w:leader="none" w:pos="5620" w:val="left"/>
        </w:tabs>
        <w:rPr>
          <w:sz w:val="20"/>
          <w:szCs w:val="20"/>
          <w:color w:val="auto"/>
        </w:rPr>
      </w:pPr>
      <w:r>
        <w:rPr>
          <w:rFonts w:ascii="Arial" w:cs="Arial" w:eastAsia="Arial" w:hAnsi="Arial"/>
          <w:sz w:val="12"/>
          <w:szCs w:val="12"/>
          <w:color w:val="auto"/>
        </w:rPr>
        <w:t>June 26, 2020</w:t>
      </w:r>
      <w:r>
        <w:rPr>
          <w:sz w:val="20"/>
          <w:szCs w:val="20"/>
          <w:color w:val="auto"/>
        </w:rPr>
        <w:tab/>
      </w:r>
      <w:r>
        <w:rPr>
          <w:rFonts w:ascii="Arial" w:cs="Arial" w:eastAsia="Arial" w:hAnsi="Arial"/>
          <w:sz w:val="11"/>
          <w:szCs w:val="11"/>
          <w:color w:val="auto"/>
        </w:rPr>
        <w:t>ACURA PHARMACEUTICALS, INC.</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15240</wp:posOffset>
            </wp:positionV>
            <wp:extent cx="358902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Robert B. Jones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15240</wp:posOffset>
            </wp:positionV>
            <wp:extent cx="358902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Peter A. Clemens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Senior VP &amp; Chief Financial Officer</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2"/>
          <w:szCs w:val="12"/>
          <w:b w:val="1"/>
          <w:bCs w:val="1"/>
          <w:color w:val="auto"/>
        </w:rPr>
        <w:t>Exhibit 31.1</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CERTIFICATION OF PERIODIC REPORT PURSUANT TO RULES 13a-14 AND 15d-14</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OF THE SECURITIES EXCHANGE ACT OF 1934</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 Robert B. Jones, the President &amp; Chief Executive Officer of Acura Pharmaceuticals, Inc., certify that:</w:t>
      </w:r>
    </w:p>
    <w:p>
      <w:pPr>
        <w:spacing w:after="0" w:line="150"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Acura Pharmaceuticals, Inc.;</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14" w:lineRule="exact"/>
        <w:rPr>
          <w:rFonts w:ascii="Arial" w:cs="Arial" w:eastAsia="Arial" w:hAnsi="Arial"/>
          <w:sz w:val="12"/>
          <w:szCs w:val="12"/>
          <w:color w:val="auto"/>
        </w:rPr>
      </w:pPr>
    </w:p>
    <w:p>
      <w:pPr>
        <w:ind w:left="420" w:firstLine="4"/>
        <w:spacing w:after="0" w:line="276" w:lineRule="auto"/>
        <w:tabs>
          <w:tab w:leader="none" w:pos="69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66"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61" w:val="left"/>
        </w:tabs>
        <w:numPr>
          <w:ilvl w:val="1"/>
          <w:numId w:val="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56"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June 26, 2020</w:t>
            </w: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Robert B. Jones</w:t>
            </w:r>
          </w:p>
        </w:tc>
      </w:tr>
      <w:tr>
        <w:trPr>
          <w:trHeight w:val="124"/>
        </w:trPr>
        <w:tc>
          <w:tcPr>
            <w:tcW w:w="5640" w:type="dxa"/>
            <w:vAlign w:val="bottom"/>
          </w:tcPr>
          <w:p>
            <w:pPr>
              <w:spacing w:after="0"/>
              <w:rPr>
                <w:sz w:val="10"/>
                <w:szCs w:val="10"/>
                <w:color w:val="auto"/>
              </w:rPr>
            </w:pPr>
          </w:p>
        </w:tc>
        <w:tc>
          <w:tcPr>
            <w:tcW w:w="5660" w:type="dxa"/>
            <w:vAlign w:val="bottom"/>
          </w:tcPr>
          <w:p>
            <w:pPr>
              <w:spacing w:after="0" w:line="124" w:lineRule="exact"/>
              <w:rPr>
                <w:sz w:val="20"/>
                <w:szCs w:val="20"/>
                <w:color w:val="auto"/>
              </w:rPr>
            </w:pPr>
            <w:r>
              <w:rPr>
                <w:rFonts w:ascii="Arial" w:cs="Arial" w:eastAsia="Arial" w:hAnsi="Arial"/>
                <w:sz w:val="12"/>
                <w:szCs w:val="12"/>
                <w:color w:val="auto"/>
              </w:rPr>
              <w:t>Robert B. Jones</w:t>
            </w:r>
          </w:p>
        </w:tc>
      </w:tr>
      <w:tr>
        <w:trPr>
          <w:trHeight w:val="153"/>
        </w:trPr>
        <w:tc>
          <w:tcPr>
            <w:tcW w:w="564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President &amp; Chief Executive Officer</w:t>
            </w:r>
          </w:p>
        </w:tc>
      </w:tr>
      <w:tr>
        <w:trPr>
          <w:trHeight w:val="450"/>
        </w:trPr>
        <w:tc>
          <w:tcPr>
            <w:tcW w:w="56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2"/>
          <w:szCs w:val="12"/>
          <w:b w:val="1"/>
          <w:bCs w:val="1"/>
          <w:color w:val="auto"/>
        </w:rPr>
        <w:t>Exhibit 31.2</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CERTIFICATION OF PERIODIC REPORT PURSUANT TO RULES 13a-14 AND 15d-14</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OF THE SECURITIES EXCHANGE ACT OF 1934</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 Peter A. Clemens, the Chief Financial Officer of Acura Pharmaceuticals, Inc., certify that:</w:t>
      </w:r>
    </w:p>
    <w:p>
      <w:pPr>
        <w:spacing w:after="0" w:line="150"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Acura Pharmaceuticals, Inc.;</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14" w:lineRule="exact"/>
        <w:rPr>
          <w:rFonts w:ascii="Arial" w:cs="Arial" w:eastAsia="Arial" w:hAnsi="Arial"/>
          <w:sz w:val="12"/>
          <w:szCs w:val="12"/>
          <w:color w:val="auto"/>
        </w:rPr>
      </w:pPr>
    </w:p>
    <w:p>
      <w:pPr>
        <w:ind w:left="420" w:firstLine="4"/>
        <w:spacing w:after="0" w:line="276" w:lineRule="auto"/>
        <w:tabs>
          <w:tab w:leader="none" w:pos="69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6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61"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20" w:right="20" w:firstLine="4"/>
        <w:spacing w:after="0" w:line="276" w:lineRule="auto"/>
        <w:tabs>
          <w:tab w:leader="none" w:pos="65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June 26, 2020</w:t>
            </w: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Peter A. Clemens</w:t>
            </w:r>
          </w:p>
        </w:tc>
      </w:tr>
      <w:tr>
        <w:trPr>
          <w:trHeight w:val="124"/>
        </w:trPr>
        <w:tc>
          <w:tcPr>
            <w:tcW w:w="5640" w:type="dxa"/>
            <w:vAlign w:val="bottom"/>
          </w:tcPr>
          <w:p>
            <w:pPr>
              <w:spacing w:after="0"/>
              <w:rPr>
                <w:sz w:val="10"/>
                <w:szCs w:val="10"/>
                <w:color w:val="auto"/>
              </w:rPr>
            </w:pPr>
          </w:p>
        </w:tc>
        <w:tc>
          <w:tcPr>
            <w:tcW w:w="5660" w:type="dxa"/>
            <w:vAlign w:val="bottom"/>
          </w:tcPr>
          <w:p>
            <w:pPr>
              <w:spacing w:after="0" w:line="124" w:lineRule="exact"/>
              <w:rPr>
                <w:sz w:val="20"/>
                <w:szCs w:val="20"/>
                <w:color w:val="auto"/>
              </w:rPr>
            </w:pPr>
            <w:r>
              <w:rPr>
                <w:rFonts w:ascii="Arial" w:cs="Arial" w:eastAsia="Arial" w:hAnsi="Arial"/>
                <w:sz w:val="12"/>
                <w:szCs w:val="12"/>
                <w:color w:val="auto"/>
              </w:rPr>
              <w:t>Peter A. Clemens</w:t>
            </w:r>
          </w:p>
        </w:tc>
      </w:tr>
      <w:tr>
        <w:trPr>
          <w:trHeight w:val="153"/>
        </w:trPr>
        <w:tc>
          <w:tcPr>
            <w:tcW w:w="564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450"/>
        </w:trPr>
        <w:tc>
          <w:tcPr>
            <w:tcW w:w="56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2"/>
          <w:szCs w:val="12"/>
          <w:b w:val="1"/>
          <w:bCs w:val="1"/>
          <w:color w:val="auto"/>
        </w:rPr>
        <w:t>Exhibit 32.1</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CERTIFICATIONS OF THE CHIEF EXEUTIVE OFFICER AND THE CHIEF FINANCIAL OFFICER</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PURSUANT TO 18 U.S.C. SECTION 1350, AS ADOPTED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PURSUANT TO SECTION 906 OF THE SARBANES-OXLEY ACT OF 2002</w:t>
      </w:r>
    </w:p>
    <w:p>
      <w:pPr>
        <w:spacing w:after="0" w:line="141"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In connection with the Quarterly Report of Acura Pharmaceuticals, Inc. (the "Company") on Form 10-Q for the period ending March 31, 2020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92" w:lineRule="exact"/>
        <w:rPr>
          <w:sz w:val="20"/>
          <w:szCs w:val="20"/>
          <w:color w:val="auto"/>
        </w:rPr>
      </w:pPr>
    </w:p>
    <w:p>
      <w:pPr>
        <w:ind w:left="188" w:hanging="188"/>
        <w:spacing w:after="0"/>
        <w:tabs>
          <w:tab w:leader="none" w:pos="1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188" w:hanging="188"/>
        <w:spacing w:after="0"/>
        <w:tabs>
          <w:tab w:leader="none" w:pos="1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640" w:type="dxa"/>
            <w:vAlign w:val="bottom"/>
          </w:tcPr>
          <w:p>
            <w:pPr>
              <w:ind w:left="200"/>
              <w:spacing w:after="0"/>
              <w:rPr>
                <w:sz w:val="20"/>
                <w:szCs w:val="20"/>
                <w:color w:val="auto"/>
              </w:rPr>
            </w:pPr>
            <w:r>
              <w:rPr>
                <w:rFonts w:ascii="Arial" w:cs="Arial" w:eastAsia="Arial" w:hAnsi="Arial"/>
                <w:sz w:val="12"/>
                <w:szCs w:val="12"/>
                <w:color w:val="auto"/>
              </w:rPr>
              <w:t>June 26, 2020</w:t>
            </w: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Robert B. Jones</w:t>
            </w:r>
          </w:p>
        </w:tc>
      </w:tr>
      <w:tr>
        <w:trPr>
          <w:trHeight w:val="124"/>
        </w:trPr>
        <w:tc>
          <w:tcPr>
            <w:tcW w:w="5640" w:type="dxa"/>
            <w:vAlign w:val="bottom"/>
          </w:tcPr>
          <w:p>
            <w:pPr>
              <w:spacing w:after="0"/>
              <w:rPr>
                <w:sz w:val="10"/>
                <w:szCs w:val="10"/>
                <w:color w:val="auto"/>
              </w:rPr>
            </w:pPr>
          </w:p>
        </w:tc>
        <w:tc>
          <w:tcPr>
            <w:tcW w:w="5660" w:type="dxa"/>
            <w:vAlign w:val="bottom"/>
          </w:tcPr>
          <w:p>
            <w:pPr>
              <w:spacing w:after="0" w:line="124" w:lineRule="exact"/>
              <w:rPr>
                <w:sz w:val="20"/>
                <w:szCs w:val="20"/>
                <w:color w:val="auto"/>
              </w:rPr>
            </w:pPr>
            <w:r>
              <w:rPr>
                <w:rFonts w:ascii="Arial" w:cs="Arial" w:eastAsia="Arial" w:hAnsi="Arial"/>
                <w:sz w:val="12"/>
                <w:szCs w:val="12"/>
                <w:color w:val="auto"/>
              </w:rPr>
              <w:t>Robert B. Jones</w:t>
            </w:r>
          </w:p>
        </w:tc>
      </w:tr>
      <w:tr>
        <w:trPr>
          <w:trHeight w:val="153"/>
        </w:trPr>
        <w:tc>
          <w:tcPr>
            <w:tcW w:w="564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293"/>
        </w:trPr>
        <w:tc>
          <w:tcPr>
            <w:tcW w:w="5640" w:type="dxa"/>
            <w:vAlign w:val="bottom"/>
          </w:tcPr>
          <w:p>
            <w:pPr>
              <w:spacing w:after="0"/>
              <w:rPr>
                <w:sz w:val="24"/>
                <w:szCs w:val="24"/>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Peter A. Clemens</w:t>
            </w:r>
          </w:p>
        </w:tc>
      </w:tr>
      <w:tr>
        <w:trPr>
          <w:trHeight w:val="129"/>
        </w:trPr>
        <w:tc>
          <w:tcPr>
            <w:tcW w:w="5640" w:type="dxa"/>
            <w:vAlign w:val="bottom"/>
          </w:tcPr>
          <w:p>
            <w:pPr>
              <w:spacing w:after="0"/>
              <w:rPr>
                <w:sz w:val="11"/>
                <w:szCs w:val="11"/>
                <w:color w:val="auto"/>
              </w:rPr>
            </w:pPr>
          </w:p>
        </w:tc>
        <w:tc>
          <w:tcPr>
            <w:tcW w:w="5660" w:type="dxa"/>
            <w:vAlign w:val="bottom"/>
          </w:tcPr>
          <w:p>
            <w:pPr>
              <w:spacing w:after="0" w:line="129" w:lineRule="exact"/>
              <w:rPr>
                <w:sz w:val="20"/>
                <w:szCs w:val="20"/>
                <w:color w:val="auto"/>
              </w:rPr>
            </w:pPr>
            <w:r>
              <w:rPr>
                <w:rFonts w:ascii="Arial" w:cs="Arial" w:eastAsia="Arial" w:hAnsi="Arial"/>
                <w:sz w:val="12"/>
                <w:szCs w:val="12"/>
                <w:color w:val="auto"/>
              </w:rPr>
              <w:t>Peter A. Clemens</w:t>
            </w:r>
          </w:p>
        </w:tc>
      </w:tr>
      <w:tr>
        <w:trPr>
          <w:trHeight w:val="153"/>
        </w:trPr>
        <w:tc>
          <w:tcPr>
            <w:tcW w:w="564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450"/>
        </w:trPr>
        <w:tc>
          <w:tcPr>
            <w:tcW w:w="56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08"/>
      </w:cols>
      <w:pgMar w:left="292" w:top="2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2020-06-30T07:29:51Z</dcterms:created>
  <dcterms:modified xsi:type="dcterms:W3CDTF">2020-06-30T07:29:51Z</dcterms:modified>
</cp:coreProperties>
</file>