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980" w:right="1380" w:hanging="972"/>
        <w:spacing w:after="0" w:line="501" w:lineRule="auto"/>
        <w:tabs>
          <w:tab w:leader="none" w:pos="65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tbl>
      <w:tblPr>
        <w:tblLayout w:type="fixed"/>
        <w:tblInd w:w="13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5640" w:type="dxa"/>
            <w:vAlign w:val="bottom"/>
            <w:gridSpan w:val="2"/>
          </w:tcPr>
          <w:p>
            <w:pPr>
              <w:jc w:val="center"/>
              <w:ind w:right="2670"/>
              <w:spacing w:after="0"/>
              <w:rPr>
                <w:sz w:val="20"/>
                <w:szCs w:val="20"/>
                <w:color w:val="auto"/>
              </w:rPr>
            </w:pPr>
            <w:r>
              <w:rPr>
                <w:rFonts w:ascii="Arial" w:cs="Arial" w:eastAsia="Arial" w:hAnsi="Arial"/>
                <w:sz w:val="18"/>
                <w:szCs w:val="18"/>
                <w:b w:val="1"/>
                <w:bCs w:val="1"/>
                <w:color w:val="auto"/>
                <w:w w:val="90"/>
              </w:rPr>
              <w:t>Commission File Number 1-10113</w:t>
            </w:r>
          </w:p>
        </w:tc>
      </w:tr>
      <w:tr>
        <w:trPr>
          <w:trHeight w:val="270"/>
        </w:trPr>
        <w:tc>
          <w:tcPr>
            <w:tcW w:w="2920" w:type="dxa"/>
            <w:vAlign w:val="bottom"/>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2780" w:type="dxa"/>
            <w:vAlign w:val="bottom"/>
          </w:tcPr>
          <w:p>
            <w:pPr>
              <w:spacing w:after="0"/>
              <w:rPr>
                <w:sz w:val="23"/>
                <w:szCs w:val="23"/>
                <w:color w:val="auto"/>
              </w:rPr>
            </w:pPr>
          </w:p>
        </w:tc>
      </w:tr>
      <w:tr>
        <w:trPr>
          <w:trHeight w:val="492"/>
        </w:trPr>
        <w:tc>
          <w:tcPr>
            <w:tcW w:w="2920" w:type="dxa"/>
            <w:vAlign w:val="bottom"/>
          </w:tcPr>
          <w:p>
            <w:pPr>
              <w:spacing w:after="0"/>
              <w:rPr>
                <w:sz w:val="24"/>
                <w:szCs w:val="24"/>
                <w:color w:val="auto"/>
              </w:rPr>
            </w:pPr>
          </w:p>
        </w:tc>
        <w:tc>
          <w:tcPr>
            <w:tcW w:w="5640" w:type="dxa"/>
            <w:vAlign w:val="bottom"/>
            <w:gridSpan w:val="2"/>
          </w:tcPr>
          <w:p>
            <w:pPr>
              <w:jc w:val="center"/>
              <w:ind w:right="2690"/>
              <w:spacing w:after="0"/>
              <w:rPr>
                <w:sz w:val="20"/>
                <w:szCs w:val="20"/>
                <w:color w:val="auto"/>
              </w:rPr>
            </w:pPr>
            <w:r>
              <w:rPr>
                <w:rFonts w:ascii="Arial" w:cs="Arial" w:eastAsia="Arial" w:hAnsi="Arial"/>
                <w:sz w:val="18"/>
                <w:szCs w:val="18"/>
                <w:b w:val="1"/>
                <w:bCs w:val="1"/>
                <w:color w:val="auto"/>
                <w:w w:val="90"/>
              </w:rPr>
              <w:t>Acura Pharmaceuticals, Inc.</w:t>
            </w:r>
          </w:p>
        </w:tc>
      </w:tr>
      <w:tr>
        <w:trPr>
          <w:trHeight w:val="230"/>
        </w:trPr>
        <w:tc>
          <w:tcPr>
            <w:tcW w:w="8560" w:type="dxa"/>
            <w:vAlign w:val="bottom"/>
            <w:gridSpan w:val="3"/>
          </w:tcPr>
          <w:p>
            <w:pPr>
              <w:ind w:left="2800"/>
              <w:spacing w:after="0"/>
              <w:rPr>
                <w:sz w:val="20"/>
                <w:szCs w:val="20"/>
                <w:color w:val="auto"/>
              </w:rPr>
            </w:pPr>
            <w:r>
              <w:rPr>
                <w:rFonts w:ascii="Arial" w:cs="Arial" w:eastAsia="Arial" w:hAnsi="Arial"/>
                <w:sz w:val="18"/>
                <w:szCs w:val="18"/>
                <w:i w:val="1"/>
                <w:iCs w:val="1"/>
                <w:color w:val="auto"/>
              </w:rPr>
              <w:t>(Exact name of registrant as specified in its charter)</w:t>
            </w:r>
          </w:p>
        </w:tc>
      </w:tr>
      <w:tr>
        <w:trPr>
          <w:trHeight w:val="418"/>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6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2"/>
              </w:rPr>
              <w:t>(State or other Jurisdiction of</w:t>
            </w:r>
          </w:p>
        </w:tc>
        <w:tc>
          <w:tcPr>
            <w:tcW w:w="2860" w:type="dxa"/>
            <w:vAlign w:val="bottom"/>
          </w:tcPr>
          <w:p>
            <w:pPr>
              <w:spacing w:after="0"/>
              <w:rPr>
                <w:sz w:val="18"/>
                <w:szCs w:val="18"/>
                <w:color w:val="auto"/>
              </w:rPr>
            </w:pPr>
          </w:p>
        </w:tc>
        <w:tc>
          <w:tcPr>
            <w:tcW w:w="2780" w:type="dxa"/>
            <w:vAlign w:val="bottom"/>
          </w:tcPr>
          <w:p>
            <w:pPr>
              <w:jc w:val="center"/>
              <w:ind w:left="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28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14"/>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616 N. North Court, Suite 120</w:t>
            </w:r>
          </w:p>
        </w:tc>
        <w:tc>
          <w:tcPr>
            <w:tcW w:w="28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0"/>
        </w:trPr>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Palatine, Illinois</w:t>
            </w:r>
          </w:p>
        </w:tc>
        <w:tc>
          <w:tcPr>
            <w:tcW w:w="564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292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860" w:type="dxa"/>
            <w:vAlign w:val="bottom"/>
          </w:tcPr>
          <w:p>
            <w:pPr>
              <w:spacing w:after="0"/>
              <w:rPr>
                <w:sz w:val="20"/>
                <w:szCs w:val="20"/>
                <w:color w:val="auto"/>
              </w:rPr>
            </w:pPr>
          </w:p>
        </w:tc>
        <w:tc>
          <w:tcPr>
            <w:tcW w:w="278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7"/>
          <w:szCs w:val="17"/>
          <w:color w:val="auto"/>
        </w:rPr>
        <w:t>☐</w:t>
      </w:r>
    </w:p>
    <w:p>
      <w:pPr>
        <w:spacing w:after="0" w:line="182"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filer, “accelerated filer” and “smaller reporting company” in Rule 12b-2 of the Exchange Act. (Check one):</w:t>
      </w:r>
    </w:p>
    <w:p>
      <w:pPr>
        <w:sectPr>
          <w:pgSz w:w="11900" w:h="16838" w:orient="portrait"/>
          <w:cols w:equalWidth="0" w:num="1">
            <w:col w:w="11420"/>
          </w:cols>
          <w:pgMar w:left="240" w:top="1134" w:right="239" w:bottom="1440" w:gutter="0" w:footer="0" w:header="0"/>
        </w:sectPr>
      </w:pPr>
    </w:p>
    <w:p>
      <w:pPr>
        <w:spacing w:after="0" w:line="178" w:lineRule="exact"/>
        <w:rPr>
          <w:sz w:val="24"/>
          <w:szCs w:val="24"/>
          <w:color w:val="auto"/>
        </w:rPr>
      </w:pPr>
    </w:p>
    <w:p>
      <w:pPr>
        <w:ind w:left="8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820"/>
        <w:spacing w:after="0"/>
        <w:rPr>
          <w:sz w:val="20"/>
          <w:szCs w:val="20"/>
          <w:color w:val="auto"/>
        </w:rPr>
      </w:pPr>
      <w:r>
        <w:rPr>
          <w:rFonts w:ascii="Arial" w:cs="Arial" w:eastAsia="Arial" w:hAnsi="Arial"/>
          <w:sz w:val="18"/>
          <w:szCs w:val="18"/>
          <w:color w:val="auto"/>
        </w:rPr>
        <w:t>Non-accelerated filer þ</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4320" w:space="720"/>
            <w:col w:w="6380"/>
          </w:cols>
          <w:pgMar w:left="240" w:top="1134" w:right="23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July 27, 2012 the registrant had 45,863,422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0" w:type="dxa"/>
            <w:vAlign w:val="bottom"/>
          </w:tcPr>
          <w:p>
            <w:pPr>
              <w:ind w:left="2180"/>
              <w:spacing w:after="0"/>
              <w:rPr>
                <w:sz w:val="20"/>
                <w:szCs w:val="20"/>
                <w:color w:val="auto"/>
              </w:rPr>
            </w:pPr>
            <w:r>
              <w:rPr>
                <w:rFonts w:ascii="Arial" w:cs="Arial" w:eastAsia="Arial" w:hAnsi="Arial"/>
                <w:sz w:val="18"/>
                <w:szCs w:val="18"/>
                <w:b w:val="1"/>
                <w:bCs w:val="1"/>
                <w:color w:val="auto"/>
              </w:rPr>
              <w:t>ACURA PHARMACEUTICALS, INC. AND SUBSIDIARY</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0" w:type="dxa"/>
            <w:vAlign w:val="bottom"/>
          </w:tcPr>
          <w:p>
            <w:pPr>
              <w:ind w:left="4180"/>
              <w:spacing w:after="0"/>
              <w:rPr>
                <w:sz w:val="20"/>
                <w:szCs w:val="20"/>
                <w:color w:val="auto"/>
              </w:rPr>
            </w:pPr>
            <w:r>
              <w:rPr>
                <w:rFonts w:ascii="Arial" w:cs="Arial" w:eastAsia="Arial" w:hAnsi="Arial"/>
                <w:sz w:val="18"/>
                <w:szCs w:val="18"/>
                <w:b w:val="1"/>
                <w:bCs w:val="1"/>
                <w:color w:val="auto"/>
              </w:rPr>
              <w:t>INDEX</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00" w:type="dxa"/>
            <w:vAlign w:val="bottom"/>
            <w:gridSpan w:val="2"/>
          </w:tcPr>
          <w:p>
            <w:pPr>
              <w:ind w:left="1260"/>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1. FINANCIAL INFORMATION</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Financial Statements</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Balance Sheets</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June 30, 2012 (unaudited) and December 31, 2011 (audited)</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Statements of Operations</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Six and three months ended June 30, 2012 and June 30, 2011 (unaudited)</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Statement of Stockholders’ Equity</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Six months ended June 30, 2012 (unaudited)</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Statements of Cash Flows</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Six months ended June 30, 2012 and June 30, 2011 (unaudited)</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Notes to Consolidated Financial Statements (unaudited)</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Controls and Procedures</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Legal Proceedings</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82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Exhibits</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8200" w:type="dxa"/>
            <w:vAlign w:val="bottom"/>
            <w:shd w:val="clear" w:color="auto" w:fill="CCFFCC"/>
          </w:tcPr>
          <w:p>
            <w:pPr>
              <w:spacing w:after="0"/>
              <w:rPr>
                <w:sz w:val="18"/>
                <w:szCs w:val="18"/>
                <w:color w:val="auto"/>
              </w:rPr>
            </w:pP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jc w:val="center"/>
              <w:ind w:left="263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rPr>
              <w:t>ACURA PHARMACEUTICALS, INC. AND SUBSIDIARY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jc w:val="center"/>
              <w:ind w:left="2650"/>
              <w:spacing w:after="0"/>
              <w:rPr>
                <w:sz w:val="20"/>
                <w:szCs w:val="20"/>
                <w:color w:val="auto"/>
              </w:rPr>
            </w:pPr>
            <w:r>
              <w:rPr>
                <w:rFonts w:ascii="Arial" w:cs="Arial" w:eastAsia="Arial" w:hAnsi="Arial"/>
                <w:sz w:val="18"/>
                <w:szCs w:val="18"/>
                <w:b w:val="1"/>
                <w:bCs w:val="1"/>
                <w:color w:val="auto"/>
                <w:w w:val="88"/>
              </w:rPr>
              <w:t>(in thousands, except par value)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r>
      <w:tr>
        <w:trPr>
          <w:trHeight w:val="230"/>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(audited)</w:t>
            </w:r>
          </w:p>
        </w:tc>
      </w:tr>
      <w:tr>
        <w:trPr>
          <w:trHeight w:val="210"/>
        </w:trPr>
        <w:tc>
          <w:tcPr>
            <w:tcW w:w="8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31,159</w:t>
            </w:r>
          </w:p>
        </w:tc>
        <w:tc>
          <w:tcPr>
            <w:tcW w:w="240" w:type="dxa"/>
            <w:vAlign w:val="bottom"/>
            <w:gridSpan w:val="2"/>
            <w:shd w:val="clear" w:color="auto" w:fill="CCFFCC"/>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35,685</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Income taxes refundable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0"/>
        </w:trPr>
        <w:tc>
          <w:tcPr>
            <w:tcW w:w="8700" w:type="dxa"/>
            <w:vAlign w:val="bottom"/>
            <w:tcBorders>
              <w:top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31,746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36,129</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10"/>
        </w:trPr>
        <w:tc>
          <w:tcPr>
            <w:tcW w:w="8700" w:type="dxa"/>
            <w:vAlign w:val="bottom"/>
            <w:tcBorders>
              <w:top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32,836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30"/>
        </w:trPr>
        <w:tc>
          <w:tcPr>
            <w:tcW w:w="8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w:t>
            </w:r>
          </w:p>
        </w:tc>
      </w:tr>
      <w:tr>
        <w:trPr>
          <w:trHeight w:val="210"/>
        </w:trPr>
        <w:tc>
          <w:tcPr>
            <w:tcW w:w="870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FFCC"/>
            </w:tcBorders>
          </w:tcPr>
          <w:p>
            <w:pPr>
              <w:spacing w:after="0"/>
              <w:rPr>
                <w:sz w:val="18"/>
                <w:szCs w:val="18"/>
                <w:color w:val="auto"/>
              </w:rPr>
            </w:pPr>
          </w:p>
        </w:tc>
      </w:tr>
      <w:tr>
        <w:trPr>
          <w:trHeight w:val="210"/>
        </w:trPr>
        <w:tc>
          <w:tcPr>
            <w:tcW w:w="870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7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0"/>
              </w:rPr>
              <w:t>Common stock - $.01 par value; 100,000 shares authorized; 45,864 and 45,320 shares issued and outstanding at June</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8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30, 2012 and December 31, 2011</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361,539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361,733</w:t>
            </w:r>
          </w:p>
        </w:tc>
      </w:tr>
      <w:tr>
        <w:trPr>
          <w:trHeight w:val="230"/>
        </w:trPr>
        <w:tc>
          <w:tcPr>
            <w:tcW w:w="8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(330,055)</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(325,543)</w:t>
            </w:r>
          </w:p>
        </w:tc>
      </w:tr>
      <w:tr>
        <w:trPr>
          <w:trHeight w:val="210"/>
        </w:trPr>
        <w:tc>
          <w:tcPr>
            <w:tcW w:w="870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31,942</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Borders>
              <w:bottom w:val="single" w:sz="8" w:color="CCFFCC"/>
            </w:tcBorders>
          </w:tcPr>
          <w:p>
            <w:pPr>
              <w:spacing w:after="0"/>
              <w:rPr>
                <w:sz w:val="18"/>
                <w:szCs w:val="18"/>
                <w:color w:val="auto"/>
              </w:rPr>
            </w:pPr>
          </w:p>
        </w:tc>
      </w:tr>
      <w:tr>
        <w:trPr>
          <w:trHeight w:val="210"/>
        </w:trPr>
        <w:tc>
          <w:tcPr>
            <w:tcW w:w="87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32,836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jc w:val="center"/>
        <w:ind w:right="3520"/>
        <w:spacing w:after="0"/>
        <w:rPr>
          <w:sz w:val="20"/>
          <w:szCs w:val="20"/>
          <w:color w:val="auto"/>
        </w:rPr>
      </w:pPr>
      <w:r>
        <w:rPr>
          <w:rFonts w:ascii="Arial" w:cs="Arial" w:eastAsia="Arial" w:hAnsi="Arial"/>
          <w:sz w:val="18"/>
          <w:szCs w:val="18"/>
          <w:color w:val="auto"/>
        </w:rPr>
        <w:t>Program fee revenue</w:t>
      </w:r>
    </w:p>
    <w:p>
      <w:pPr>
        <w:spacing w:after="0" w:line="9" w:lineRule="exact"/>
        <w:rPr>
          <w:sz w:val="20"/>
          <w:szCs w:val="20"/>
          <w:color w:val="auto"/>
        </w:rPr>
      </w:pPr>
    </w:p>
    <w:p>
      <w:pPr>
        <w:jc w:val="center"/>
        <w:ind w:right="3700"/>
        <w:spacing w:after="0"/>
        <w:rPr>
          <w:sz w:val="20"/>
          <w:szCs w:val="20"/>
          <w:color w:val="auto"/>
        </w:rPr>
      </w:pPr>
      <w:r>
        <w:rPr>
          <w:rFonts w:ascii="Arial" w:cs="Arial" w:eastAsia="Arial" w:hAnsi="Arial"/>
          <w:sz w:val="18"/>
          <w:szCs w:val="18"/>
          <w:color w:val="auto"/>
        </w:rPr>
        <w:t>Milestone revenue</w:t>
      </w:r>
    </w:p>
    <w:p>
      <w:pPr>
        <w:spacing w:after="0" w:line="9" w:lineRule="exact"/>
        <w:rPr>
          <w:sz w:val="20"/>
          <w:szCs w:val="20"/>
          <w:color w:val="auto"/>
        </w:rPr>
      </w:pPr>
    </w:p>
    <w:p>
      <w:pPr>
        <w:jc w:val="center"/>
        <w:ind w:right="3660"/>
        <w:spacing w:after="0"/>
        <w:rPr>
          <w:sz w:val="20"/>
          <w:szCs w:val="20"/>
          <w:color w:val="auto"/>
        </w:rPr>
      </w:pPr>
      <w:r>
        <w:rPr>
          <w:rFonts w:ascii="Arial" w:cs="Arial" w:eastAsia="Arial" w:hAnsi="Arial"/>
          <w:sz w:val="18"/>
          <w:szCs w:val="18"/>
          <w:color w:val="auto"/>
        </w:rPr>
        <w:t>Total revenues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Marketing, general and administrative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500" w:type="dxa"/>
            <w:vAlign w:val="bottom"/>
            <w:gridSpan w:val="4"/>
          </w:tcPr>
          <w:p>
            <w:pPr>
              <w:jc w:val="center"/>
              <w:ind w:left="45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w:t>
            </w:r>
          </w:p>
        </w:tc>
      </w:tr>
      <w:tr>
        <w:trPr>
          <w:trHeight w:val="230"/>
        </w:trPr>
        <w:tc>
          <w:tcPr>
            <w:tcW w:w="240" w:type="dxa"/>
            <w:vAlign w:val="bottom"/>
          </w:tcPr>
          <w:p>
            <w:pPr>
              <w:spacing w:after="0"/>
              <w:rPr>
                <w:sz w:val="19"/>
                <w:szCs w:val="19"/>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8"/>
              </w:rPr>
              <w:t>Ended June 30,</w:t>
            </w:r>
          </w:p>
        </w:tc>
        <w:tc>
          <w:tcPr>
            <w:tcW w:w="240" w:type="dxa"/>
            <w:vAlign w:val="bottom"/>
          </w:tcPr>
          <w:p>
            <w:pPr>
              <w:spacing w:after="0"/>
              <w:rPr>
                <w:sz w:val="19"/>
                <w:szCs w:val="19"/>
                <w:color w:val="auto"/>
              </w:rPr>
            </w:pPr>
          </w:p>
        </w:tc>
        <w:tc>
          <w:tcPr>
            <w:tcW w:w="2260" w:type="dxa"/>
            <w:vAlign w:val="bottom"/>
            <w:gridSpan w:val="5"/>
          </w:tcPr>
          <w:p>
            <w:pPr>
              <w:jc w:val="right"/>
              <w:ind w:right="610"/>
              <w:spacing w:after="0"/>
              <w:rPr>
                <w:sz w:val="20"/>
                <w:szCs w:val="20"/>
                <w:color w:val="auto"/>
              </w:rPr>
            </w:pPr>
            <w:r>
              <w:rPr>
                <w:rFonts w:ascii="Arial" w:cs="Arial" w:eastAsia="Arial" w:hAnsi="Arial"/>
                <w:sz w:val="18"/>
                <w:szCs w:val="18"/>
                <w:color w:val="auto"/>
              </w:rPr>
              <w:t>Ended June 30,</w:t>
            </w:r>
          </w:p>
        </w:tc>
      </w:tr>
      <w:tr>
        <w:trPr>
          <w:trHeight w:val="230"/>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r>
      <w:tr>
        <w:trPr>
          <w:trHeight w:val="425"/>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20,233</w:t>
            </w:r>
          </w:p>
        </w:tc>
      </w:tr>
      <w:tr>
        <w:trPr>
          <w:trHeight w:val="425"/>
        </w:trPr>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2,283</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30"/>
        </w:trPr>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3,655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-1002665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-719455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-427990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-145415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60" w:space="720"/>
            <w:col w:w="53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(loss) from operations</w:t>
            </w:r>
          </w:p>
        </w:tc>
        <w:tc>
          <w:tcPr>
            <w:tcW w:w="18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(4,533)</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14,528</w:t>
            </w:r>
          </w:p>
        </w:tc>
        <w:tc>
          <w:tcPr>
            <w:tcW w:w="20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17,362</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(loss) before income tax</w:t>
            </w:r>
          </w:p>
        </w:tc>
        <w:tc>
          <w:tcPr>
            <w:tcW w:w="18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14,513</w:t>
            </w:r>
          </w:p>
        </w:tc>
        <w:tc>
          <w:tcPr>
            <w:tcW w:w="20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17,367</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88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14,172</w:t>
            </w:r>
          </w:p>
        </w:tc>
        <w:tc>
          <w:tcPr>
            <w:tcW w:w="20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17,029</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Income (loss) per share</w:t>
            </w:r>
          </w:p>
        </w:tc>
        <w:tc>
          <w:tcPr>
            <w:tcW w:w="18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Basic</w:t>
            </w:r>
          </w:p>
        </w:tc>
        <w:tc>
          <w:tcPr>
            <w:tcW w:w="22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260" w:type="dxa"/>
            <w:vAlign w:val="bottom"/>
            <w:gridSpan w:val="2"/>
            <w:shd w:val="clear" w:color="auto" w:fill="CCFFCC"/>
          </w:tcPr>
          <w:p>
            <w:pPr>
              <w:jc w:val="right"/>
              <w:ind w:right="2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CFFCC"/>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FFC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8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18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47,519</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47,183</w:t>
            </w:r>
          </w:p>
        </w:tc>
        <w:tc>
          <w:tcPr>
            <w:tcW w:w="3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47,521</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47,364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47,547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47,521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11"/>
          </w:tcPr>
          <w:p>
            <w:pPr>
              <w:jc w:val="center"/>
              <w:ind w:left="2510"/>
              <w:spacing w:after="0"/>
              <w:rPr>
                <w:sz w:val="20"/>
                <w:szCs w:val="20"/>
                <w:color w:val="auto"/>
              </w:rPr>
            </w:pPr>
            <w:r>
              <w:rPr>
                <w:rFonts w:ascii="Arial" w:cs="Arial" w:eastAsia="Arial" w:hAnsi="Arial"/>
                <w:sz w:val="18"/>
                <w:szCs w:val="18"/>
                <w:b w:val="1"/>
                <w:bCs w:val="1"/>
                <w:color w:val="auto"/>
              </w:rPr>
              <w:t>ACURA PHARMACEUTICALS, INC. AND SUBSIDIARY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gridSpan w:val="11"/>
          </w:tcPr>
          <w:p>
            <w:pPr>
              <w:jc w:val="center"/>
              <w:ind w:left="2510"/>
              <w:spacing w:after="0"/>
              <w:rPr>
                <w:sz w:val="20"/>
                <w:szCs w:val="20"/>
                <w:color w:val="auto"/>
              </w:rPr>
            </w:pPr>
            <w:r>
              <w:rPr>
                <w:rFonts w:ascii="Arial" w:cs="Arial" w:eastAsia="Arial" w:hAnsi="Arial"/>
                <w:sz w:val="18"/>
                <w:szCs w:val="18"/>
                <w:b w:val="1"/>
                <w:bCs w:val="1"/>
                <w:color w:val="auto"/>
              </w:rPr>
              <w:t>CONSOLIDATED STATEMENT OF STOCKHOLDERS' EQUITY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gridSpan w:val="7"/>
          </w:tcPr>
          <w:p>
            <w:pPr>
              <w:jc w:val="center"/>
              <w:ind w:left="3910"/>
              <w:spacing w:after="0"/>
              <w:rPr>
                <w:sz w:val="20"/>
                <w:szCs w:val="20"/>
                <w:color w:val="auto"/>
              </w:rPr>
            </w:pPr>
            <w:r>
              <w:rPr>
                <w:rFonts w:ascii="Arial" w:cs="Arial" w:eastAsia="Arial" w:hAnsi="Arial"/>
                <w:sz w:val="18"/>
                <w:szCs w:val="18"/>
                <w:b w:val="1"/>
                <w:bCs w:val="1"/>
                <w:color w:val="auto"/>
                <w:w w:val="98"/>
              </w:rPr>
              <w:t>SIX MONTHS ENDED JUNE 30, 2012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8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rPr>
              <w:t>UNAUDITED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gridSpan w:val="7"/>
          </w:tcPr>
          <w:p>
            <w:pPr>
              <w:jc w:val="center"/>
              <w:ind w:left="3930"/>
              <w:spacing w:after="0"/>
              <w:rPr>
                <w:sz w:val="20"/>
                <w:szCs w:val="20"/>
                <w:color w:val="auto"/>
              </w:rPr>
            </w:pPr>
            <w:r>
              <w:rPr>
                <w:rFonts w:ascii="Arial" w:cs="Arial" w:eastAsia="Arial" w:hAnsi="Arial"/>
                <w:sz w:val="18"/>
                <w:szCs w:val="18"/>
                <w:b w:val="1"/>
                <w:bCs w:val="1"/>
                <w:color w:val="auto"/>
                <w:w w:val="88"/>
              </w:rPr>
              <w:t>(in thousands, except par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$0.01 Par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$0.01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Additional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Paid-in</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Capital</w:t>
            </w:r>
          </w:p>
        </w:tc>
        <w:tc>
          <w:tcPr>
            <w:tcW w:w="2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2011</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45,320</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361,733</w:t>
            </w: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(325,543</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848</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Net distribution of common stock pursuant to restricted stock</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unit award plan</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Common shares withheld for withholding taxes on distribution</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of restricted stock units</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Net issuance of common stock pursuant to cashless exercise of</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stock options</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Common shares withheld for withholding taxes on cashless</w:t>
            </w: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Balance at June 30, 2012</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45,864</w:t>
            </w:r>
          </w:p>
        </w:tc>
        <w:tc>
          <w:tcPr>
            <w:tcW w:w="26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361,539</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(330,055)</w:t>
            </w:r>
          </w:p>
        </w:tc>
        <w:tc>
          <w:tcPr>
            <w:tcW w:w="32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80" w:type="dxa"/>
            <w:vAlign w:val="bottom"/>
          </w:tcPr>
          <w:p>
            <w:pPr>
              <w:jc w:val="center"/>
              <w:ind w:left="2730"/>
              <w:spacing w:after="0"/>
              <w:rPr>
                <w:sz w:val="20"/>
                <w:szCs w:val="20"/>
                <w:color w:val="auto"/>
              </w:rPr>
            </w:pPr>
            <w:r>
              <w:rPr>
                <w:rFonts w:ascii="Arial" w:cs="Arial" w:eastAsia="Arial" w:hAnsi="Arial"/>
                <w:sz w:val="18"/>
                <w:szCs w:val="18"/>
                <w:b w:val="1"/>
                <w:bCs w:val="1"/>
                <w:color w:val="auto"/>
              </w:rPr>
              <w:t>ACURA PHARMACEUTICALS, INC. AND SUBSIDIARY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FOR THE SIX MONTHS ENDED JUNE 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580" w:type="dxa"/>
            <w:vAlign w:val="bottom"/>
          </w:tcPr>
          <w:p>
            <w:pPr>
              <w:jc w:val="center"/>
              <w:ind w:left="27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tcPr>
          <w:p>
            <w:pPr>
              <w:jc w:val="center"/>
              <w:ind w:left="271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58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FFCC"/>
            </w:tcBorders>
          </w:tcPr>
          <w:p>
            <w:pPr>
              <w:spacing w:after="0"/>
              <w:rPr>
                <w:sz w:val="24"/>
                <w:szCs w:val="24"/>
                <w:color w:val="auto"/>
              </w:rPr>
            </w:pPr>
          </w:p>
        </w:tc>
        <w:tc>
          <w:tcPr>
            <w:tcW w:w="8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flows used in operatin-g activities: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share-based compensation expense</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Collaboration revenue receivable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program fee revenue</w:t>
            </w:r>
          </w:p>
        </w:tc>
        <w:tc>
          <w:tcPr>
            <w:tcW w:w="2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CCFFCC"/>
            </w:tcBorders>
          </w:tcPr>
          <w:p>
            <w:pPr>
              <w:ind w:left="640"/>
              <w:spacing w:after="0"/>
              <w:rPr>
                <w:sz w:val="20"/>
                <w:szCs w:val="20"/>
                <w:color w:val="auto"/>
              </w:rPr>
            </w:pPr>
            <w:r>
              <w:rPr>
                <w:rFonts w:ascii="Arial" w:cs="Arial" w:eastAsia="Arial" w:hAnsi="Arial"/>
                <w:sz w:val="18"/>
                <w:szCs w:val="18"/>
                <w:color w:val="auto"/>
              </w:rPr>
              <w:t>Net cash (used in) provided operating activities</w:t>
            </w:r>
          </w:p>
        </w:tc>
        <w:tc>
          <w:tcPr>
            <w:tcW w:w="2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FFCC"/>
          </w:tcPr>
          <w:p>
            <w:pPr>
              <w:ind w:left="40"/>
              <w:spacing w:after="0"/>
              <w:rPr>
                <w:sz w:val="20"/>
                <w:szCs w:val="20"/>
                <w:color w:val="auto"/>
              </w:rPr>
            </w:pPr>
            <w:r>
              <w:rPr>
                <w:rFonts w:ascii="Arial" w:cs="Arial" w:eastAsia="Arial" w:hAnsi="Arial"/>
                <w:sz w:val="18"/>
                <w:szCs w:val="18"/>
                <w:color w:val="auto"/>
              </w:rPr>
              <w:t>Cash flows used in investing activities – purchase of property and equipment</w:t>
            </w:r>
          </w:p>
        </w:tc>
        <w:tc>
          <w:tcPr>
            <w:tcW w:w="2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Exercise of stock options</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Distribution of restricted stock units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proceeds from warrant exercise</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20"/>
              <w:spacing w:after="0" w:line="201" w:lineRule="exact"/>
              <w:rPr>
                <w:sz w:val="20"/>
                <w:szCs w:val="20"/>
                <w:color w:val="auto"/>
              </w:rPr>
            </w:pPr>
            <w:r>
              <w:rPr>
                <w:rFonts w:ascii="Arial" w:cs="Arial" w:eastAsia="Arial" w:hAnsi="Arial"/>
                <w:sz w:val="18"/>
                <w:szCs w:val="18"/>
                <w:color w:val="auto"/>
                <w:w w:val="94"/>
              </w:rPr>
              <w:t>Statutory minimum withholding taxes paid on the distribution of common stock pursuant to restricted stock unit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plan and exercise of stock options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Net cash used in finance activities</w:t>
            </w:r>
          </w:p>
        </w:tc>
        <w:tc>
          <w:tcPr>
            <w:tcW w:w="2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35,685</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FFCC"/>
          </w:tcPr>
          <w:p>
            <w:pPr>
              <w:spacing w:after="0"/>
              <w:rPr>
                <w:sz w:val="20"/>
                <w:szCs w:val="20"/>
                <w:color w:val="auto"/>
              </w:rPr>
            </w:pPr>
            <w:r>
              <w:rPr>
                <w:rFonts w:ascii="Arial" w:cs="Arial" w:eastAsia="Arial" w:hAnsi="Arial"/>
                <w:sz w:val="18"/>
                <w:szCs w:val="18"/>
                <w:color w:val="auto"/>
              </w:rPr>
              <w:t>Cash paid for:</w:t>
            </w: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4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Disclosure of Noncash Financing Activities (in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Six Months Ended June 30, 2012</w:t>
      </w:r>
    </w:p>
    <w:p>
      <w:pPr>
        <w:spacing w:after="0" w:line="9" w:lineRule="exact"/>
        <w:rPr>
          <w:sz w:val="20"/>
          <w:szCs w:val="20"/>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shares of common stock were eligible for distribution pursuant to our RSU Plan utilizing various cashless exercise features of the plan and after withholding 2 shares for $7 in exercise costs and withholding 296 shares for $1,034 in statutory minimum payroll taxes, a net 531 shares of common stock were issued.</w:t>
      </w:r>
    </w:p>
    <w:p>
      <w:pPr>
        <w:spacing w:after="0" w:line="1"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Options to purchase 17 shares of common stock were exercised utilizing various cashless exercise features of our plan and after withholding 7 shares for $22 in exercise costs and withholding 3 shares for $12 in statutory minimum payroll taxes, 7 shares of common stock were issued.</w:t>
      </w:r>
    </w:p>
    <w:p>
      <w:pPr>
        <w:spacing w:after="0" w:line="162"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shares of common stock were eligible for distribution pursuant to our RSU Plan utilizing various cashless exercise features of the plan and after withholding 1 shares for $3 in exercise costs and withholding 288 shares for $953 in statutory minimum payroll taxes, a net 540 shares of common stock were issued.</w:t>
      </w:r>
    </w:p>
    <w:p>
      <w:pPr>
        <w:ind w:left="34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Options to purchase 923 shares of common stock were exercised utilizing various cashless exercise features of our plan and after withholding 320 shares for $1,230 in exercise costs and withholding 226 shares for $ 877 in statutory minimum payroll taxes, 377 shares of common stock were issued.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research, development and commercialization of products intended to address medication abuse and misuse, utilizing its proprietary Aversion® and Impede™ Technologies.</w:t>
      </w:r>
    </w:p>
    <w:p>
      <w:pPr>
        <w:spacing w:after="0" w:line="181" w:lineRule="exact"/>
        <w:rPr>
          <w:sz w:val="20"/>
          <w:szCs w:val="20"/>
          <w:color w:val="auto"/>
        </w:rPr>
      </w:pPr>
    </w:p>
    <w:p>
      <w:pPr>
        <w:jc w:val="both"/>
        <w:ind w:firstLine="907"/>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six months ended June 30, 2012 are not necessarily indicative of results expected for the full year ending December 31, 2012. These unaudited consolidated financial statements should be read in conjunction with the audited consolidated financial statements and footnotes thereto for the year ended December 31, 2011 included in the Company's Annual Report on Form 10-K filed with the Securities and Exchange Commission. The 2011 year-end consolidated balance sheet presented in this Report was derived from the Company’s 2011 year-end audited consolidated financial statements, but does not include all disclosures required by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RESEARCH AND DEVELOPMENT</w:t>
      </w:r>
    </w:p>
    <w:p>
      <w:pPr>
        <w:spacing w:after="0" w:line="229"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clinical trial studies or other contracted development services.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or service starting date. We review and accrue CRO activity expenses based on services performed and rely on estimates of those costs applicable to the stage of completion as provided by the CRO. Accrued CRO activity expenses are subject to revisions as such services progress to completion. Revisions are charged to expense in the period in which the facts that give rise to the revision become known. At June 30, 2012 and December 31, 2011 we had accrued $41 thousand and $28 thousand of CRO activity expenses,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 AND DEFERRED PROGRAM FEE REVENUE</w:t>
      </w:r>
    </w:p>
    <w:p>
      <w:pPr>
        <w:spacing w:after="0" w:line="229" w:lineRule="exact"/>
        <w:rPr>
          <w:sz w:val="20"/>
          <w:szCs w:val="20"/>
          <w:color w:val="auto"/>
        </w:rPr>
      </w:pPr>
    </w:p>
    <w:p>
      <w:pPr>
        <w:jc w:val="both"/>
        <w:ind w:firstLine="907"/>
        <w:spacing w:after="0" w:line="276" w:lineRule="auto"/>
        <w:rPr>
          <w:sz w:val="20"/>
          <w:szCs w:val="20"/>
          <w:color w:val="auto"/>
        </w:rPr>
      </w:pPr>
      <w:r>
        <w:rPr>
          <w:rFonts w:ascii="Arial" w:cs="Arial" w:eastAsia="Arial" w:hAnsi="Arial"/>
          <w:sz w:val="17"/>
          <w:szCs w:val="17"/>
          <w:color w:val="auto"/>
        </w:rPr>
        <w:t>We recognize revenue when there is persuasive evidence that an agreement exists, performance specified in the agreement has occurred, the price is fixed and determinable, and collection is reasonably assured. In connection with our License, Development, and Commercialization Agreement dated October 30, 2007 (the “Pfizer Agreement”) with King Pharmaceuticals Research and Development, Inc. (“King”), a subsidiary of Pfizer, Inc. (“Pfizer”), we recognize program fee revenue and milestone revenue. On July 27, 2012 Pfizer provided us with notice of the exercise of its right to terminate the license to three development-stage products using our Aversion® Technology and return such products to us.</w:t>
      </w:r>
    </w:p>
    <w:p>
      <w:pPr>
        <w:spacing w:after="0" w:line="173" w:lineRule="exact"/>
        <w:rPr>
          <w:sz w:val="20"/>
          <w:szCs w:val="20"/>
          <w:color w:val="auto"/>
        </w:rPr>
      </w:pPr>
    </w:p>
    <w:p>
      <w:pPr>
        <w:jc w:val="both"/>
        <w:ind w:firstLine="907"/>
        <w:spacing w:after="0" w:line="272" w:lineRule="auto"/>
        <w:rPr>
          <w:sz w:val="20"/>
          <w:szCs w:val="20"/>
          <w:color w:val="auto"/>
        </w:rPr>
      </w:pPr>
      <w:r>
        <w:rPr>
          <w:rFonts w:ascii="Arial" w:cs="Arial" w:eastAsia="Arial" w:hAnsi="Arial"/>
          <w:sz w:val="17"/>
          <w:szCs w:val="17"/>
          <w:color w:val="auto"/>
        </w:rPr>
        <w:t>Program fee revenue is derived from amortized upfront payments, such as the $30.0 million upfront payment under the Pfizer Agreement received in December 2007, and license fees, such as the $3.0 million option exercise fee paid to us in each of May and December 2008 upon the exercise of Pfizer’s option to license a third and fourth opioid analgesic product candidate under the Pfizer Agreement. We have assigned an equal portion of the $30.0 million upfront payment to each of three product candidates identified in the Pfizer Agreement and recognize the upfront payment as program fee revenue ratably over our estimate of the development period for each identified product candidate. The recognition of the program fee revenue for two of the three product candidates was completed by June 2008. During the second quarter 2011, we recognized the remaining program fee revenue which was assigned to the third product candidate under the Pfizer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both"/>
        <w:ind w:firstLine="907"/>
        <w:spacing w:after="0" w:line="293" w:lineRule="auto"/>
        <w:rPr>
          <w:sz w:val="20"/>
          <w:szCs w:val="20"/>
          <w:color w:val="auto"/>
        </w:rPr>
      </w:pPr>
      <w:r>
        <w:rPr>
          <w:rFonts w:ascii="Arial" w:cs="Arial" w:eastAsia="Arial" w:hAnsi="Arial"/>
          <w:sz w:val="16"/>
          <w:szCs w:val="16"/>
          <w:color w:val="auto"/>
        </w:rPr>
        <w:t>Milestone revenue is contingent upon the achievement of certain pre-defined events in the Pfizer Agreement. Milestone payments received under the Pfizer Agreement are recognized as revenue upon achievement of the “at risk” milestone events. Milestone payments are triggered either by the results of our R&amp;D efforts or by events external to us, such as regulatory approval to market a product. As such, the milestones were substantially at risk at the inception of the Pfizer Agreement and the amounts of the revenue correspond to the milestone payments set forth in the Pfizer Agreement. In addition, upon the achievement of a milestone event, we have no future performance obligations related to that milestone. Milestone revenue is non-refundable and non-creditable upon payment. With the July 27, 2012 termination by Pfizer, the Company anticipates no further receipt of milestones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2012 and December 31, 2011, all our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700" w:type="dxa"/>
            <w:vAlign w:val="bottom"/>
            <w:gridSpan w:val="2"/>
          </w:tcPr>
          <w:p>
            <w:pPr>
              <w:ind w:left="920"/>
              <w:spacing w:after="0"/>
              <w:rPr>
                <w:sz w:val="20"/>
                <w:szCs w:val="20"/>
                <w:color w:val="auto"/>
              </w:rPr>
            </w:pPr>
            <w:r>
              <w:rPr>
                <w:rFonts w:ascii="Arial" w:cs="Arial" w:eastAsia="Arial" w:hAnsi="Arial"/>
                <w:sz w:val="18"/>
                <w:szCs w:val="18"/>
                <w:color w:val="auto"/>
              </w:rPr>
              <w:t>Accrued expenses are summarized as follows: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20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Jun 30,</w:t>
            </w:r>
          </w:p>
        </w:tc>
        <w:tc>
          <w:tcPr>
            <w:tcW w:w="1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Dec 31,</w:t>
            </w:r>
          </w:p>
        </w:tc>
      </w:tr>
      <w:tr>
        <w:trPr>
          <w:trHeight w:val="230"/>
        </w:trPr>
        <w:tc>
          <w:tcPr>
            <w:tcW w:w="20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r>
      <w:tr>
        <w:trPr>
          <w:trHeight w:val="230"/>
        </w:trPr>
        <w:tc>
          <w:tcPr>
            <w:tcW w:w="20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5"/>
          </w:tcPr>
          <w:p>
            <w:pPr>
              <w:ind w:left="200"/>
              <w:spacing w:after="0"/>
              <w:rPr>
                <w:sz w:val="20"/>
                <w:szCs w:val="20"/>
                <w:color w:val="auto"/>
              </w:rPr>
            </w:pPr>
            <w:r>
              <w:rPr>
                <w:rFonts w:ascii="Arial" w:cs="Arial" w:eastAsia="Arial" w:hAnsi="Arial"/>
                <w:sz w:val="18"/>
                <w:szCs w:val="18"/>
                <w:color w:val="auto"/>
              </w:rPr>
              <w:t>(in thousands)</w:t>
            </w:r>
          </w:p>
        </w:tc>
      </w:tr>
      <w:tr>
        <w:trPr>
          <w:trHeight w:val="210"/>
        </w:trPr>
        <w:tc>
          <w:tcPr>
            <w:tcW w:w="200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Payroll, payroll taxes, bonus and benefits</w:t>
            </w: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r>
      <w:tr>
        <w:trPr>
          <w:trHeight w:val="216"/>
        </w:trPr>
        <w:tc>
          <w:tcPr>
            <w:tcW w:w="200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1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FF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Property taxes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1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FFCC"/>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r>
      <w:tr>
        <w:trPr>
          <w:trHeight w:val="210"/>
        </w:trPr>
        <w:tc>
          <w:tcPr>
            <w:tcW w:w="200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477</w:t>
            </w:r>
          </w:p>
        </w:tc>
        <w:tc>
          <w:tcPr>
            <w:tcW w:w="60" w:type="dxa"/>
            <w:vAlign w:val="bottom"/>
            <w:tcBorders>
              <w:top w:val="single" w:sz="8" w:color="CCFFCC"/>
            </w:tcBorders>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SHARE-BASED COMPENSATION</w:t>
      </w:r>
    </w:p>
    <w:p>
      <w:pPr>
        <w:spacing w:after="0" w:line="229" w:lineRule="exact"/>
        <w:rPr>
          <w:sz w:val="20"/>
          <w:szCs w:val="20"/>
          <w:color w:val="auto"/>
        </w:rPr>
      </w:pPr>
    </w:p>
    <w:p>
      <w:pPr>
        <w:jc w:val="both"/>
        <w:ind w:firstLine="907"/>
        <w:spacing w:after="0" w:line="287" w:lineRule="auto"/>
        <w:rPr>
          <w:sz w:val="20"/>
          <w:szCs w:val="20"/>
          <w:color w:val="auto"/>
        </w:rPr>
      </w:pPr>
      <w:r>
        <w:rPr>
          <w:rFonts w:ascii="Arial" w:cs="Arial" w:eastAsia="Arial" w:hAnsi="Arial"/>
          <w:sz w:val="16"/>
          <w:szCs w:val="16"/>
          <w:color w:val="auto"/>
        </w:rPr>
        <w:t>The Company has share-based compensation plans including stock options and restricted stock units (“RSUs”) for its employees and directors. The Company accounts for compensation cost related to share-based payments based on fair value of the stock options and RSUs when awarded to an employee or director. The value of the portion of the award that is ultimately expected to vest is recognized as expense in the relevant accounting periods in the Company’s consolidated financial statement. The Company uses the straight line amortization method for calculating share-based compensation expense. The Company determines the estimated fair value of share-based stock option awards using the Black-Scholes option pricing model. Option valuation models require the input of highly subjective assumptions including the expected volatility of the market price of the Company’s common stock as determined by reviewing its historical public market closing prices, risk-free interest rate and expected dividend yields. The Company does not consider implied volatility because of a lack of an established market in option trading in our stock. The risk – free interest rate assumption is based on observed interest rates appropriate for the estimated term of the employee stock options. The dividend yield assumption is based on the Company’s history and current expectation of dividend payouts on common stock. The expected term of the award represents the period that the employees and directors are expected to hold the award before exercise and issuance using historical exercise activity. The Company’s accounting for share-based compensation for RSUs is also based on the fair-value method. The fair value of the RSUs is based on the closing market price of the Company’s common stock on the date of the RSU award.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t>Our non-cash share-based compensation expense is comprised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right"/>
              <w:ind w:right="33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w w:val="89"/>
              </w:rPr>
              <w:t>Three Months Ended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w w:val="86"/>
              </w:rPr>
              <w:t>June</w:t>
            </w:r>
          </w:p>
        </w:tc>
        <w:tc>
          <w:tcPr>
            <w:tcW w:w="720" w:type="dxa"/>
            <w:vAlign w:val="bottom"/>
            <w:gridSpan w:val="2"/>
          </w:tcPr>
          <w:p>
            <w:pPr>
              <w:jc w:val="right"/>
              <w:ind w:right="365"/>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2011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8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72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RSUs</w:t>
            </w:r>
          </w:p>
        </w:tc>
        <w:tc>
          <w:tcPr>
            <w:tcW w:w="16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FFC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FFCC"/>
            </w:tcBorders>
          </w:tcPr>
          <w:p>
            <w:pPr>
              <w:spacing w:after="0"/>
              <w:rPr>
                <w:sz w:val="18"/>
                <w:szCs w:val="18"/>
                <w:color w:val="auto"/>
              </w:rPr>
            </w:pPr>
          </w:p>
        </w:tc>
        <w:tc>
          <w:tcPr>
            <w:tcW w:w="16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RSUs</w:t>
            </w:r>
          </w:p>
        </w:tc>
        <w:tc>
          <w:tcPr>
            <w:tcW w:w="162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FFC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FFCC"/>
            </w:tcBorders>
          </w:tcPr>
          <w:p>
            <w:pPr>
              <w:spacing w:after="0"/>
              <w:rPr>
                <w:sz w:val="18"/>
                <w:szCs w:val="18"/>
                <w:color w:val="auto"/>
              </w:rPr>
            </w:pPr>
          </w:p>
        </w:tc>
        <w:tc>
          <w:tcPr>
            <w:tcW w:w="162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457</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1,883</w:t>
            </w:r>
          </w:p>
        </w:tc>
        <w:tc>
          <w:tcPr>
            <w:tcW w:w="18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584</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firstLine="907"/>
        <w:spacing w:after="0" w:line="302" w:lineRule="auto"/>
        <w:rPr>
          <w:sz w:val="20"/>
          <w:szCs w:val="20"/>
          <w:color w:val="auto"/>
        </w:rPr>
      </w:pPr>
      <w:r>
        <w:rPr>
          <w:rFonts w:ascii="Arial" w:cs="Arial" w:eastAsia="Arial" w:hAnsi="Arial"/>
          <w:sz w:val="16"/>
          <w:szCs w:val="16"/>
          <w:color w:val="auto"/>
        </w:rPr>
        <w:t>At June 30, 2012, the Company has stock options issued and outstanding under three stock option plans. The Company’s 1995 and 1998 Stock Option Plans have expired but stock options awarded under such plans remain outstanding under the terms of those plans. The Company’s 2008 Stock Option Plan remains in effect. To date, approximately 50% of the vested non-incentive stock options (“NonISO”) under the 1998 and 2008 stock option plans have been exercised. Absent a change in control, the balance of NonISOs may be exercised in equal amounts during each of calendar years 2013 and 2014.</w:t>
      </w:r>
    </w:p>
    <w:p>
      <w:pPr>
        <w:spacing w:after="0" w:line="154" w:lineRule="exact"/>
        <w:rPr>
          <w:sz w:val="20"/>
          <w:szCs w:val="20"/>
          <w:color w:val="auto"/>
        </w:rPr>
      </w:pPr>
    </w:p>
    <w:p>
      <w:pPr>
        <w:jc w:val="both"/>
        <w:ind w:firstLine="907"/>
        <w:spacing w:after="0" w:line="253" w:lineRule="auto"/>
        <w:rPr>
          <w:sz w:val="20"/>
          <w:szCs w:val="20"/>
          <w:color w:val="auto"/>
        </w:rPr>
      </w:pPr>
      <w:r>
        <w:rPr>
          <w:rFonts w:ascii="Arial" w:cs="Arial" w:eastAsia="Arial" w:hAnsi="Arial"/>
          <w:sz w:val="18"/>
          <w:szCs w:val="18"/>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w:t>
      </w:r>
    </w:p>
    <w:p>
      <w:pPr>
        <w:spacing w:after="0" w:line="197" w:lineRule="exact"/>
        <w:rPr>
          <w:sz w:val="20"/>
          <w:szCs w:val="20"/>
          <w:color w:val="auto"/>
        </w:rPr>
      </w:pPr>
    </w:p>
    <w:p>
      <w:pPr>
        <w:jc w:val="both"/>
        <w:ind w:firstLine="907"/>
        <w:spacing w:after="0" w:line="302" w:lineRule="auto"/>
        <w:rPr>
          <w:sz w:val="20"/>
          <w:szCs w:val="20"/>
          <w:color w:val="auto"/>
        </w:rPr>
      </w:pPr>
      <w:r>
        <w:rPr>
          <w:rFonts w:ascii="Arial" w:cs="Arial" w:eastAsia="Arial" w:hAnsi="Arial"/>
          <w:sz w:val="16"/>
          <w:szCs w:val="16"/>
          <w:color w:val="auto"/>
        </w:rPr>
        <w:t>During the six months ended June 30, 2012, 23 thousand NonISOs were exercised by our employees. Our employees’ elections to have 10 thousand shares withheld in satisfaction of $34 thousand for both exercise costs and withholding tax obligations resulted in the net issuance of 13 thousand shares. During the six months ended June 30, 2011, 1.1 million NonISOs were exercised by our employees. Our employees’ elections to have 0.60 million shares withheld in satisfaction of $2.1 million for both exercise costs and withholding tax obligations resulted in the net issuance of 0.50 million shares.</w:t>
      </w:r>
    </w:p>
    <w:p>
      <w:pPr>
        <w:spacing w:after="0" w:line="154"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As of June 30, 2012 the Company had $1.5 million of unrecognized share-based compensation expense from stock option grants, which will be recognized in our consolidated financial statements over their remaining vesting periods over the next 1.5 years. Under the stock option plans, if a change in control occurs, an acceleration of unvested shares will occur and any remaining unrecognized share-based compensation expense will be recognized in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left="920"/>
        <w:spacing w:after="0"/>
        <w:rPr>
          <w:sz w:val="20"/>
          <w:szCs w:val="20"/>
          <w:color w:val="auto"/>
        </w:rPr>
      </w:pPr>
      <w:r>
        <w:rPr>
          <w:rFonts w:ascii="Arial" w:cs="Arial" w:eastAsia="Arial" w:hAnsi="Arial"/>
          <w:sz w:val="18"/>
          <w:szCs w:val="18"/>
          <w:color w:val="auto"/>
        </w:rPr>
        <w:t>Our stock option award activity during the six months ended June 30, 2012 and 2011 is as follows:</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800" w:type="dxa"/>
            <w:vAlign w:val="bottom"/>
            <w:gridSpan w:val="9"/>
          </w:tcPr>
          <w:p>
            <w:pPr>
              <w:jc w:val="right"/>
              <w:ind w:right="37"/>
              <w:spacing w:after="0"/>
              <w:rPr>
                <w:sz w:val="20"/>
                <w:szCs w:val="20"/>
                <w:color w:val="auto"/>
              </w:rPr>
            </w:pPr>
            <w:r>
              <w:rPr>
                <w:rFonts w:ascii="Arial" w:cs="Arial" w:eastAsia="Arial" w:hAnsi="Arial"/>
                <w:sz w:val="18"/>
                <w:szCs w:val="18"/>
                <w:color w:val="auto"/>
              </w:rPr>
              <w:t>Six Months Ended June 30,</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60" w:type="dxa"/>
            <w:vAlign w:val="bottom"/>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2012</w:t>
            </w: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60" w:type="dxa"/>
            <w:vAlign w:val="bottom"/>
          </w:tcPr>
          <w:p>
            <w:pPr>
              <w:spacing w:after="0"/>
              <w:rPr>
                <w:sz w:val="16"/>
                <w:szCs w:val="16"/>
                <w:color w:val="auto"/>
              </w:rPr>
            </w:pPr>
          </w:p>
        </w:tc>
        <w:tc>
          <w:tcPr>
            <w:tcW w:w="84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0"/>
              </w:rPr>
              <w:t>Number</w:t>
            </w:r>
          </w:p>
        </w:tc>
        <w:tc>
          <w:tcPr>
            <w:tcW w:w="40" w:type="dxa"/>
            <w:vAlign w:val="bottom"/>
          </w:tcPr>
          <w:p>
            <w:pPr>
              <w:spacing w:after="0"/>
              <w:rPr>
                <w:sz w:val="16"/>
                <w:szCs w:val="16"/>
                <w:color w:val="auto"/>
              </w:rPr>
            </w:pPr>
          </w:p>
        </w:tc>
        <w:tc>
          <w:tcPr>
            <w:tcW w:w="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6"/>
                <w:szCs w:val="16"/>
                <w:color w:val="auto"/>
              </w:rPr>
            </w:pPr>
          </w:p>
        </w:tc>
        <w:tc>
          <w:tcPr>
            <w:tcW w:w="86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3"/>
              </w:rPr>
              <w:t>Number</w:t>
            </w:r>
          </w:p>
        </w:tc>
        <w:tc>
          <w:tcPr>
            <w:tcW w:w="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60" w:type="dxa"/>
            <w:vAlign w:val="bottom"/>
            <w:gridSpan w:val="2"/>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of</w:t>
            </w:r>
          </w:p>
        </w:tc>
        <w:tc>
          <w:tcPr>
            <w:tcW w:w="40" w:type="dxa"/>
            <w:vAlign w:val="bottom"/>
          </w:tcPr>
          <w:p>
            <w:pPr>
              <w:spacing w:after="0"/>
              <w:rPr>
                <w:sz w:val="18"/>
                <w:szCs w:val="18"/>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Average</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rPr>
              <w:t>of</w:t>
            </w:r>
          </w:p>
        </w:tc>
        <w:tc>
          <w:tcPr>
            <w:tcW w:w="82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Average</w:t>
            </w:r>
          </w:p>
        </w:tc>
      </w:tr>
      <w:tr>
        <w:trPr>
          <w:trHeight w:val="216"/>
        </w:trPr>
        <w:tc>
          <w:tcPr>
            <w:tcW w:w="396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Options</w:t>
            </w:r>
          </w:p>
        </w:tc>
        <w:tc>
          <w:tcPr>
            <w:tcW w:w="4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Exercise</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82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Exercise</w:t>
            </w:r>
          </w:p>
        </w:tc>
      </w:tr>
      <w:tr>
        <w:trPr>
          <w:trHeight w:val="230"/>
        </w:trPr>
        <w:tc>
          <w:tcPr>
            <w:tcW w:w="39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(000’s)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(000’s)</w:t>
            </w:r>
          </w:p>
        </w:tc>
        <w:tc>
          <w:tcPr>
            <w:tcW w:w="160" w:type="dxa"/>
            <w:vAlign w:val="bottom"/>
          </w:tcPr>
          <w:p>
            <w:pPr>
              <w:spacing w:after="0"/>
              <w:rPr>
                <w:sz w:val="20"/>
                <w:szCs w:val="20"/>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Price</w:t>
            </w:r>
          </w:p>
        </w:tc>
      </w:tr>
      <w:tr>
        <w:trPr>
          <w:trHeight w:val="210"/>
        </w:trPr>
        <w:tc>
          <w:tcPr>
            <w:tcW w:w="3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1.30</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FFCC"/>
          </w:tcPr>
          <w:p>
            <w:pPr>
              <w:spacing w:after="0"/>
              <w:rPr>
                <w:sz w:val="18"/>
                <w:szCs w:val="18"/>
                <w:color w:val="auto"/>
              </w:rPr>
            </w:pPr>
          </w:p>
        </w:tc>
      </w:tr>
      <w:tr>
        <w:trPr>
          <w:trHeight w:val="230"/>
        </w:trPr>
        <w:tc>
          <w:tcPr>
            <w:tcW w:w="396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8.44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9"/>
                <w:szCs w:val="19"/>
                <w:color w:val="auto"/>
              </w:rPr>
            </w:pPr>
          </w:p>
        </w:tc>
      </w:tr>
      <w:tr>
        <w:trPr>
          <w:trHeight w:val="210"/>
        </w:trPr>
        <w:tc>
          <w:tcPr>
            <w:tcW w:w="3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3,173</w:t>
            </w:r>
          </w:p>
        </w:tc>
        <w:tc>
          <w:tcPr>
            <w:tcW w:w="1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6.78</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Options exercisable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907"/>
        <w:spacing w:after="0" w:line="277" w:lineRule="auto"/>
        <w:rPr>
          <w:sz w:val="20"/>
          <w:szCs w:val="20"/>
          <w:color w:val="auto"/>
        </w:rPr>
      </w:pPr>
      <w:r>
        <w:rPr>
          <w:rFonts w:ascii="Arial" w:cs="Arial" w:eastAsia="Arial" w:hAnsi="Arial"/>
          <w:sz w:val="18"/>
          <w:szCs w:val="18"/>
          <w:color w:val="auto"/>
        </w:rPr>
        <w:t>Assumptions used in the Black-Scholes model to determine fair value for the stock option awards granted during the six months ended June 30, 2012 and 2011 were: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44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2011</w:t>
            </w:r>
          </w:p>
        </w:tc>
        <w:tc>
          <w:tcPr>
            <w:tcW w:w="160" w:type="dxa"/>
            <w:vAlign w:val="bottom"/>
            <w:tcBorders>
              <w:bottom w:val="single" w:sz="8" w:color="CCFFCC"/>
            </w:tcBorders>
          </w:tcPr>
          <w:p>
            <w:pPr>
              <w:spacing w:after="0"/>
              <w:rPr>
                <w:sz w:val="20"/>
                <w:szCs w:val="20"/>
                <w:color w:val="auto"/>
              </w:rPr>
            </w:pPr>
          </w:p>
        </w:tc>
      </w:tr>
      <w:tr>
        <w:trPr>
          <w:trHeight w:val="210"/>
        </w:trPr>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forfeitures</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10 years</w:t>
            </w: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10 years</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ind w:firstLine="907"/>
        <w:spacing w:after="0" w:line="269" w:lineRule="auto"/>
        <w:rPr>
          <w:sz w:val="20"/>
          <w:szCs w:val="20"/>
          <w:color w:val="auto"/>
        </w:rPr>
      </w:pPr>
      <w:r>
        <w:rPr>
          <w:rFonts w:ascii="Arial" w:cs="Arial" w:eastAsia="Arial" w:hAnsi="Arial"/>
          <w:sz w:val="17"/>
          <w:szCs w:val="17"/>
          <w:color w:val="auto"/>
        </w:rPr>
        <w:t>The Company has RSUs issued and outstanding under a Restricted Stock Unit Award Plan (“2005 RSU Plan”) for its employees and directors. A RSU represents the contingent obligation of the Company to deliver a share of its common stock to the holders of a vested RSU on a specified distribution date. To date, 50% of RSU awards under the 2005 RSU Plan have been distributed. Absent a change of control, the balance of the RSU awards will be distributed in equal amounts on January 1 of each of 2013 and 2014. Distribution of RSU shares to employees may require the Company to make minimum statutory withholding tax (“withholding tax”) payments for such employee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w:t>
      </w:r>
    </w:p>
    <w:p>
      <w:pPr>
        <w:spacing w:after="0" w:line="180"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On each of January 1, 2012 and 2011, 0.83 million RSUs were distributed to our employees and directors. Our employees’ elections to withhold 0.30 million shares in satisfaction of $1.0 million withholding tax obligations resulted in the net issuance of 0.53 million shares in January 2012. Our employees’ elections to withhold 0.29 million shares in satisfaction of $1.0 million withholding tax obligations resulted in the net issuance of 0.54 million shares in January 2011.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left="920"/>
        <w:spacing w:after="0"/>
        <w:rPr>
          <w:sz w:val="20"/>
          <w:szCs w:val="20"/>
          <w:color w:val="auto"/>
        </w:rPr>
      </w:pPr>
      <w:r>
        <w:rPr>
          <w:rFonts w:ascii="Arial" w:cs="Arial" w:eastAsia="Arial" w:hAnsi="Arial"/>
          <w:sz w:val="18"/>
          <w:szCs w:val="18"/>
          <w:color w:val="auto"/>
        </w:rPr>
        <w:t>A summary of the RSU Plan as of June 30, 2012 and 2011 and for the six months then ended consisted of the following:</w:t>
      </w: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680" w:type="dxa"/>
            <w:vAlign w:val="bottom"/>
            <w:gridSpan w:val="7"/>
          </w:tcPr>
          <w:p>
            <w:pPr>
              <w:jc w:val="center"/>
              <w:ind w:left="610"/>
              <w:spacing w:after="0"/>
              <w:rPr>
                <w:sz w:val="20"/>
                <w:szCs w:val="20"/>
                <w:color w:val="auto"/>
              </w:rPr>
            </w:pPr>
            <w:r>
              <w:rPr>
                <w:rFonts w:ascii="Arial" w:cs="Arial" w:eastAsia="Arial" w:hAnsi="Arial"/>
                <w:sz w:val="18"/>
                <w:szCs w:val="18"/>
                <w:color w:val="auto"/>
                <w:w w:val="89"/>
              </w:rPr>
              <w:t>Six Months Ended June 30,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60" w:type="dxa"/>
            <w:vAlign w:val="bottom"/>
          </w:tcPr>
          <w:p>
            <w:pPr>
              <w:spacing w:after="0"/>
              <w:rPr>
                <w:sz w:val="19"/>
                <w:szCs w:val="19"/>
                <w:color w:val="auto"/>
              </w:rPr>
            </w:pPr>
          </w:p>
        </w:tc>
        <w:tc>
          <w:tcPr>
            <w:tcW w:w="1660" w:type="dxa"/>
            <w:vAlign w:val="bottom"/>
            <w:gridSpan w:val="3"/>
          </w:tcPr>
          <w:p>
            <w:pPr>
              <w:jc w:val="right"/>
              <w:ind w:right="5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1600" w:type="dxa"/>
            <w:vAlign w:val="bottom"/>
            <w:gridSpan w:val="4"/>
          </w:tcPr>
          <w:p>
            <w:pPr>
              <w:jc w:val="right"/>
              <w:ind w:right="5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3"/>
              </w:rPr>
              <w:t>Number</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Arial" w:cs="Arial" w:eastAsia="Arial" w:hAnsi="Arial"/>
                <w:sz w:val="18"/>
                <w:szCs w:val="18"/>
                <w:color w:val="auto"/>
                <w:w w:val="90"/>
              </w:rPr>
              <w:t>Number</w:t>
            </w:r>
          </w:p>
        </w:tc>
        <w:tc>
          <w:tcPr>
            <w:tcW w:w="60" w:type="dxa"/>
            <w:vAlign w:val="bottom"/>
            <w:gridSpan w:val="2"/>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Number</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of Vested</w:t>
            </w: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Number</w:t>
            </w:r>
          </w:p>
        </w:tc>
        <w:tc>
          <w:tcPr>
            <w:tcW w:w="78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of Vested</w:t>
            </w:r>
          </w:p>
        </w:tc>
      </w:tr>
      <w:tr>
        <w:trPr>
          <w:trHeight w:val="230"/>
        </w:trPr>
        <w:tc>
          <w:tcPr>
            <w:tcW w:w="3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of RSUs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RSUs</w:t>
            </w:r>
          </w:p>
        </w:tc>
        <w:tc>
          <w:tcPr>
            <w:tcW w:w="880" w:type="dxa"/>
            <w:vAlign w:val="bottom"/>
            <w:gridSpan w:val="3"/>
          </w:tcPr>
          <w:p>
            <w:pPr>
              <w:ind w:left="60"/>
              <w:spacing w:after="0"/>
              <w:rPr>
                <w:sz w:val="20"/>
                <w:szCs w:val="20"/>
                <w:color w:val="auto"/>
              </w:rPr>
            </w:pPr>
            <w:r>
              <w:rPr>
                <w:rFonts w:ascii="Arial" w:cs="Arial" w:eastAsia="Arial" w:hAnsi="Arial"/>
                <w:sz w:val="18"/>
                <w:szCs w:val="18"/>
                <w:color w:val="auto"/>
              </w:rPr>
              <w:t>of RSUs</w:t>
            </w:r>
          </w:p>
        </w:tc>
        <w:tc>
          <w:tcPr>
            <w:tcW w:w="7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RSUs</w:t>
            </w:r>
          </w:p>
        </w:tc>
      </w:tr>
      <w:tr>
        <w:trPr>
          <w:trHeight w:val="210"/>
        </w:trPr>
        <w:tc>
          <w:tcPr>
            <w:tcW w:w="3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3,267</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Distributed</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(829)</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FFCC"/>
          </w:tcPr>
          <w:p>
            <w:pPr>
              <w:spacing w:after="0"/>
              <w:rPr>
                <w:sz w:val="18"/>
                <w:szCs w:val="18"/>
                <w:color w:val="auto"/>
              </w:rPr>
            </w:pP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3960" w:type="dxa"/>
            <w:vAlign w:val="bottom"/>
          </w:tcPr>
          <w:p>
            <w:pPr>
              <w:ind w:left="320"/>
              <w:spacing w:after="0"/>
              <w:rPr>
                <w:sz w:val="20"/>
                <w:szCs w:val="20"/>
                <w:color w:val="auto"/>
              </w:rPr>
            </w:pPr>
            <w:r>
              <w:rPr>
                <w:rFonts w:ascii="Arial" w:cs="Arial" w:eastAsia="Arial" w:hAnsi="Arial"/>
                <w:sz w:val="18"/>
                <w:szCs w:val="18"/>
                <w:color w:val="auto"/>
              </w:rPr>
              <w:t>Vested</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Forfeited or expired</w:t>
            </w: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FFCC"/>
          </w:tcPr>
          <w:p>
            <w:pPr>
              <w:spacing w:after="0"/>
              <w:rPr>
                <w:sz w:val="19"/>
                <w:szCs w:val="19"/>
                <w:color w:val="auto"/>
              </w:rPr>
            </w:pPr>
          </w:p>
        </w:tc>
        <w:tc>
          <w:tcPr>
            <w:tcW w:w="7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FFCC"/>
          </w:tcPr>
          <w:p>
            <w:pPr>
              <w:spacing w:after="0"/>
              <w:rPr>
                <w:sz w:val="19"/>
                <w:szCs w:val="19"/>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Outstanding, ending</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7COMMON STOCK WARRANTS</w:t>
      </w:r>
    </w:p>
    <w:p>
      <w:pPr>
        <w:spacing w:after="0" w:line="229"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The Company has outstanding common stock purchase warrants at June 30, 2012 exercisable for 1.9 million shares of common stock having an exercise price of $3.40 per share and expiration date of August 2014. These warrants contain a cashless exercise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(LOSS) PER SHARE</w:t>
      </w:r>
    </w:p>
    <w:p>
      <w:pPr>
        <w:spacing w:after="0" w:line="229" w:lineRule="exact"/>
        <w:rPr>
          <w:sz w:val="20"/>
          <w:szCs w:val="20"/>
          <w:color w:val="auto"/>
        </w:rPr>
      </w:pPr>
    </w:p>
    <w:p>
      <w:pPr>
        <w:jc w:val="both"/>
        <w:ind w:firstLine="907"/>
        <w:spacing w:after="0" w:line="257" w:lineRule="auto"/>
        <w:rPr>
          <w:sz w:val="20"/>
          <w:szCs w:val="20"/>
          <w:color w:val="auto"/>
        </w:rPr>
      </w:pPr>
      <w:r>
        <w:rPr>
          <w:rFonts w:ascii="Arial" w:cs="Arial" w:eastAsia="Arial" w:hAnsi="Arial"/>
          <w:sz w:val="18"/>
          <w:szCs w:val="18"/>
          <w:color w:val="auto"/>
        </w:rPr>
        <w:t>Computation of basic earnings (loss) per share of common stock is based on the sum of the weighted average number of outstanding common shares and vested RSUs during the period. Computation of diluted earnings (loss) per share is based on the sum of the common shares and vested RSUs used in the basic earnings (loss) computation, adjusted for the effect of other potentially dilutive securities. Excluded from the diluted earnings (loss) per share computation at June 30, 2012 and 2011 are 4.8 million and 2.5 million, respectively, of potentially dilutive securities, as the effect of including these securities would be antidilutive.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20"/>
              <w:spacing w:after="0"/>
              <w:rPr>
                <w:sz w:val="20"/>
                <w:szCs w:val="20"/>
                <w:color w:val="auto"/>
              </w:rPr>
            </w:pPr>
            <w:r>
              <w:rPr>
                <w:rFonts w:ascii="Arial" w:cs="Arial" w:eastAsia="Arial" w:hAnsi="Arial"/>
                <w:sz w:val="18"/>
                <w:szCs w:val="18"/>
                <w:color w:val="auto"/>
              </w:rPr>
              <w:t>Six Months Ended</w:t>
            </w:r>
          </w:p>
        </w:tc>
        <w:tc>
          <w:tcPr>
            <w:tcW w:w="240" w:type="dxa"/>
            <w:vAlign w:val="bottom"/>
          </w:tcPr>
          <w:p>
            <w:pPr>
              <w:spacing w:after="0"/>
              <w:rPr>
                <w:sz w:val="18"/>
                <w:szCs w:val="18"/>
                <w:color w:val="auto"/>
              </w:rPr>
            </w:pPr>
          </w:p>
        </w:tc>
        <w:tc>
          <w:tcPr>
            <w:tcW w:w="2360" w:type="dxa"/>
            <w:vAlign w:val="bottom"/>
            <w:gridSpan w:val="6"/>
          </w:tcPr>
          <w:p>
            <w:pPr>
              <w:ind w:left="2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4"/>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(in thousands, except per share data)</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Basic income (loss) per share computation</w:t>
            </w: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(4,512)</w:t>
            </w:r>
          </w:p>
        </w:tc>
        <w:tc>
          <w:tcPr>
            <w:tcW w:w="3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14,172</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(2,179)</w:t>
            </w:r>
          </w:p>
        </w:tc>
        <w:tc>
          <w:tcPr>
            <w:tcW w:w="36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45,861</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44,710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45,863</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Vested RSUs (weighted)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2,473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47,519</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47,183</w:t>
            </w: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Basic income (loss) per common share</w:t>
            </w:r>
          </w:p>
        </w:tc>
        <w:tc>
          <w:tcPr>
            <w:tcW w:w="3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Diluted income per share computation</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14,172</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45,861</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44,710</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45,863</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Vested RSUs (weighted)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2,473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options</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Common stock warrants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47,519</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47,547</w:t>
            </w: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48,009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Diluted income (loss) per common share</w:t>
            </w:r>
          </w:p>
        </w:tc>
        <w:tc>
          <w:tcPr>
            <w:tcW w:w="3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Excluded potentially dilutive securities:</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Common shares issuable (1):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 options (vested and nonvested)</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2,477</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2,935</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Common stock warrants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excluded dilutive common stock equivalents</w:t>
            </w: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4,791</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2,477</w:t>
            </w: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4,791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8"/>
        <w:spacing w:after="0" w:line="264"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issuable represents those securities which were either i) nonvested at period end or ii) were vested but antidilutive. The number of shares is based on maximum number of shares issuable on exercise at period end. Such amounts have not been adjusted for the treasury stock method or weighted average outstanding calculations as required if the securities were 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Reglan</w:t>
      </w:r>
      <w:r>
        <w:rPr>
          <w:rFonts w:ascii="Arial" w:cs="Arial" w:eastAsia="Arial" w:hAnsi="Arial"/>
          <w:sz w:val="18"/>
          <w:szCs w:val="18"/>
          <w:color w:val="auto"/>
        </w:rPr>
        <w:t>®</w:t>
      </w:r>
      <w:r>
        <w:rPr>
          <w:rFonts w:ascii="Arial" w:cs="Arial" w:eastAsia="Arial" w:hAnsi="Arial"/>
          <w:sz w:val="18"/>
          <w:szCs w:val="18"/>
          <w:b w:val="1"/>
          <w:bCs w:val="1"/>
          <w:color w:val="auto"/>
        </w:rPr>
        <w:t>/Metoclopramide Litigation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 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ind w:firstLine="907"/>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 Mensing (“Mensing</w:t>
      </w:r>
      <w:r>
        <w:rPr>
          <w:rFonts w:ascii="Arial" w:cs="Arial" w:eastAsia="Arial" w:hAnsi="Arial"/>
          <w:sz w:val="18"/>
          <w:szCs w:val="18"/>
          <w:color w:val="auto"/>
        </w:rPr>
        <w:t xml:space="preserve"> decision”) holding that state tort law failure to warn claims against generic drug companies are pre-empted by the 1984 Hatch-Waxman 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ind w:right="20" w:firstLine="907"/>
        <w:spacing w:after="0" w:line="277" w:lineRule="auto"/>
        <w:rPr>
          <w:sz w:val="20"/>
          <w:szCs w:val="20"/>
          <w:color w:val="auto"/>
        </w:rPr>
      </w:pPr>
      <w:r>
        <w:rPr>
          <w:rFonts w:ascii="Arial" w:cs="Arial" w:eastAsia="Arial" w:hAnsi="Arial"/>
          <w:sz w:val="18"/>
          <w:szCs w:val="18"/>
          <w:color w:val="auto"/>
        </w:rPr>
        <w:t xml:space="preserve">In New Jersey, Generic Defendants, including Acura, have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In June 2012, the New Jersey trial court dismissed Acura with prejudice.</w:t>
      </w:r>
    </w:p>
    <w:p>
      <w:pPr>
        <w:spacing w:after="0" w:line="170" w:lineRule="exact"/>
        <w:rPr>
          <w:sz w:val="20"/>
          <w:szCs w:val="20"/>
          <w:color w:val="auto"/>
        </w:rPr>
      </w:pPr>
    </w:p>
    <w:p>
      <w:pPr>
        <w:jc w:val="both"/>
        <w:ind w:firstLine="907"/>
        <w:spacing w:after="0" w:line="271" w:lineRule="auto"/>
        <w:rPr>
          <w:sz w:val="20"/>
          <w:szCs w:val="20"/>
          <w:color w:val="auto"/>
        </w:rPr>
      </w:pPr>
      <w:r>
        <w:rPr>
          <w:rFonts w:ascii="Arial" w:cs="Arial" w:eastAsia="Arial" w:hAnsi="Arial"/>
          <w:sz w:val="17"/>
          <w:szCs w:val="17"/>
          <w:color w:val="auto"/>
        </w:rPr>
        <w:t xml:space="preserve">In Philadelphia, and California, Generic Defendants, including Acura, have filed dispositive motions based on the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decision. On November 18, 2011, the Philadelphia trial court denied Generic Defendants’ dispositive motion. In December 2011, the Generic Defendants appealed this ruling, which the trial court refused to modify on reconsideration. Nonetheless, the trial court has approved certification of the federal preemption issues based on the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decision for immediate appeal to the Pennsylvania Superior Court. In addition, on April 17, 2012, the California trial court also denied Generic Defendants’ dispositive motions and this ruling has been appealed. Decisions on these appeals should be issued later this year or in 2013, which could result in dismissal of all of the Philadelphia and California cases against Generic Defendants, although there can be no assurance in this regard. As any potential loss is neither probable nor estimable, we have not accrued for any potential loss related to this matter as of June 30, 2012. Legal fees related to this matter are currently covered by our insurance carrier.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Statutory Minimum Withholding Tax Obligations</w:t>
      </w:r>
    </w:p>
    <w:p>
      <w:pPr>
        <w:spacing w:after="0" w:line="229"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Under the terms of our stock option plans and our 2005 RSU plan, our employees may elect to have shares withheld upon their option exercises and their RSU exchanges whereby requiring the Company to satisfy their statutory minimum withholding tax obligations from these transactions. During each of the six months ended June 30, 2012 and 2011, approximately 0.3 million shares were withheld from these transactions in satisfaction of $1.0 million of withholding tax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907"/>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price discounting that may be offered by Pfizer for Oxecta®, the ability of us or our licensee’s to obtain necessary regulatory approvals and commercialize products utilizing our technologies and the market acceptance of and competitive environment for any of our products, expectations regarding potential market share for our products and the timing of first sales, our ability to enter into additional license agreements for our other product candidates, the ability to avoid infringement of patents, trademarks and other proprietary rights of third parties, and the ability of our patents to protect our products from generic competition, and the ability to fulfill the U.S. Food and Drug Administration’s, or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2011 Annual Report on Form 10-K and first quarter 2012 Form 10-Q filed with the Securities and Exchange Commission.</w:t>
      </w:r>
    </w:p>
    <w:p>
      <w:pPr>
        <w:spacing w:after="0" w:line="3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products intended to address medication abuse and misuse, utilizing our proprietary Aversion® and Impede™ Technologies. Our products and product candidates are based on widely-used commercial products and do not alter the safety and efficacy of the active pharmaceutical ingredients.</w:t>
      </w:r>
    </w:p>
    <w:p>
      <w:pPr>
        <w:spacing w:after="0" w:line="181" w:lineRule="exact"/>
        <w:rPr>
          <w:sz w:val="20"/>
          <w:szCs w:val="20"/>
          <w:color w:val="auto"/>
        </w:rPr>
      </w:pPr>
    </w:p>
    <w:p>
      <w:pPr>
        <w:jc w:val="both"/>
        <w:ind w:firstLine="907"/>
        <w:spacing w:after="0" w:line="273" w:lineRule="auto"/>
        <w:rPr>
          <w:sz w:val="20"/>
          <w:szCs w:val="20"/>
          <w:color w:val="auto"/>
        </w:rPr>
      </w:pPr>
      <w:r>
        <w:rPr>
          <w:rFonts w:ascii="Arial" w:cs="Arial" w:eastAsia="Arial" w:hAnsi="Arial"/>
          <w:sz w:val="17"/>
          <w:szCs w:val="17"/>
          <w:color w:val="auto"/>
        </w:rPr>
        <w:t>Our lead product, Oxecta® Tablets CII, or Oxecta, was approved for marketing by the United States Food and Drug Administration, or FDA, on June 17, 2011. Oxecta represents the first immediate-release oxycodone product approved by the FDA that applies our Aversion Technology. Aversion is a mixture of inactive ingredients incorporated into pharmaceutical tablets and capsules designed to address some common methods of product tampering associated with abuse. Oxecta is being manufactured and commercialized by Pfizer under our October 2007 license agreement with a subsidiary of Pfizer and was made commercially available by Pfizer in February 2012. We are eligible to receive tiered royalties ranging from 5% to 25% on net sales of Oxecta pursuant to our agreement with Pfizer commencing in February 2013. The trademark Oxecta® is owned by Pfizer Inc.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firstLine="907"/>
        <w:spacing w:after="0" w:line="277" w:lineRule="auto"/>
        <w:rPr>
          <w:sz w:val="20"/>
          <w:szCs w:val="20"/>
          <w:color w:val="auto"/>
        </w:rPr>
      </w:pPr>
      <w:r>
        <w:rPr>
          <w:rFonts w:ascii="Arial" w:cs="Arial" w:eastAsia="Arial" w:hAnsi="Arial"/>
          <w:sz w:val="18"/>
          <w:szCs w:val="18"/>
          <w:color w:val="auto"/>
        </w:rPr>
        <w:t>In addition to Oxecta, we have licensed to Pfizer the rights to develop, manufacture and commercialize three other immediate-release opioid products utilizing our Aversion Technology in the United States, Canada and Mexico, including:</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hydrocodone bitartrate / acetaminophen tablets;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oxycodone HCl / acetaminophen tablets;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undisclosed opioid analgesic tablet product.</w:t>
      </w:r>
    </w:p>
    <w:p>
      <w:pPr>
        <w:spacing w:after="0" w:line="211"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On July 27, 2012 we announced that Pfizer had provided us with notice of the exercise of its right to terminate the license to the three development-stage products above using our Aversion® Technology and return such products to us. See the discussion below under the caption “Pfizer License, Development and Commercialization Agreement” for further information relating to Pfizer’s termination and return of such development-stage products.</w:t>
      </w:r>
    </w:p>
    <w:p>
      <w:pPr>
        <w:spacing w:after="0" w:line="187" w:lineRule="exact"/>
        <w:rPr>
          <w:sz w:val="20"/>
          <w:szCs w:val="20"/>
          <w:color w:val="auto"/>
        </w:rPr>
      </w:pPr>
    </w:p>
    <w:p>
      <w:pPr>
        <w:jc w:val="both"/>
        <w:ind w:firstLine="907"/>
        <w:spacing w:after="0" w:line="302" w:lineRule="auto"/>
        <w:rPr>
          <w:sz w:val="20"/>
          <w:szCs w:val="20"/>
          <w:color w:val="auto"/>
        </w:rPr>
      </w:pPr>
      <w:r>
        <w:rPr>
          <w:rFonts w:ascii="Arial" w:cs="Arial" w:eastAsia="Arial" w:hAnsi="Arial"/>
          <w:sz w:val="16"/>
          <w:szCs w:val="16"/>
          <w:color w:val="auto"/>
        </w:rPr>
        <w:t>We are also developing Nexafed®, an OTC immediate-release pseudoephedrine HCl tablet, utilizing our proprietary Impede Technology. Pseudoephedrine HCl, or PSE, is a widely-used nasal decongestant available in many non-prescription and prescription cold, sinus and allergy products, including Johnson &amp; Johnson’s Sudafed® product. Our Impede Technology is a proprietary mixture of inactive ingredients designed to impede the extraction of pseudoephedrine from tablets for producing methamphetamine or disrupt the direct conversion of PSE in tablets into methamphetamine.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Oxecta®</w:t>
      </w:r>
    </w:p>
    <w:p>
      <w:pPr>
        <w:spacing w:after="0" w:line="229" w:lineRule="exact"/>
        <w:rPr>
          <w:sz w:val="20"/>
          <w:szCs w:val="20"/>
          <w:color w:val="auto"/>
        </w:rPr>
      </w:pPr>
    </w:p>
    <w:p>
      <w:pPr>
        <w:jc w:val="both"/>
        <w:ind w:firstLine="907"/>
        <w:spacing w:after="0" w:line="290" w:lineRule="auto"/>
        <w:rPr>
          <w:sz w:val="20"/>
          <w:szCs w:val="20"/>
          <w:color w:val="auto"/>
        </w:rPr>
      </w:pPr>
      <w:r>
        <w:rPr>
          <w:rFonts w:ascii="Arial" w:cs="Arial" w:eastAsia="Arial" w:hAnsi="Arial"/>
          <w:sz w:val="16"/>
          <w:szCs w:val="16"/>
          <w:color w:val="auto"/>
        </w:rPr>
        <w:t>Oxecta is a Schedule II narcotic indicated for the management of acute and chronic moderate to severe pain where the use of an opioid analgesic is appropriate. The safety and efficacy of Oxecta 5 mg and 7.5 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6"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subjects taking Oxecta reported a higher incidence of nasopharyngeal and facial adverse events compared to immediate-release oxycodone;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Oxecta than immediate-release oxycodone.</w:t>
      </w:r>
    </w:p>
    <w:p>
      <w:pPr>
        <w:spacing w:after="0" w:line="234" w:lineRule="exact"/>
        <w:rPr>
          <w:sz w:val="20"/>
          <w:szCs w:val="20"/>
          <w:color w:val="auto"/>
        </w:rPr>
      </w:pPr>
    </w:p>
    <w:p>
      <w:pPr>
        <w:jc w:val="both"/>
        <w:ind w:firstLine="907"/>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907"/>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7" w:lineRule="exact"/>
        <w:rPr>
          <w:sz w:val="20"/>
          <w:szCs w:val="20"/>
          <w:color w:val="auto"/>
        </w:rPr>
      </w:pPr>
    </w:p>
    <w:p>
      <w:pPr>
        <w:jc w:val="both"/>
        <w:ind w:firstLine="891"/>
        <w:spacing w:after="0" w:line="279" w:lineRule="auto"/>
        <w:rPr>
          <w:sz w:val="20"/>
          <w:szCs w:val="20"/>
          <w:color w:val="auto"/>
        </w:rPr>
      </w:pPr>
      <w:r>
        <w:rPr>
          <w:rFonts w:ascii="Arial" w:cs="Arial" w:eastAsia="Arial" w:hAnsi="Arial"/>
          <w:sz w:val="17"/>
          <w:szCs w:val="17"/>
          <w:color w:val="auto"/>
        </w:rPr>
        <w:t>We expect Oxecta to compete primarily in the market for immediate-release opioid products or IR Opioid Products. IMS Health reports that, in 2011, IR oxycodone products held just 6% (14.8 million dispensed prescriptions) of the 244 million prescription market for IR Opioid Products. Comparatively, hydrocodone bitartrate/acetaminophen IR products accounted for 55% of the IR Opioid prescription market while oxycodone hydrochloride/acetaminophen accounted for 16%. These latter two combination drugs are under development by Pfizer using our Aversion Technology.</w:t>
      </w:r>
    </w:p>
    <w:p>
      <w:pPr>
        <w:spacing w:after="0" w:line="171"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color w:val="auto"/>
        </w:rPr>
        <w:t>IMS Health reports that the 14.8 million prescriptions for IR oxycodone products contained 1.6 billion tablets. Comparatively, IMS Health reports that 1.8 billion IR oxycodone tablets, or 13% more, were shipped from drug distribution centers to all healthcare providers during the 12 months ending November 2011. A majority of this difference can be attributed to distribution channels such as hospitals and federal facilities that consume product without a corresponding prescription.</w:t>
      </w:r>
    </w:p>
    <w:p>
      <w:pPr>
        <w:spacing w:after="0" w:line="187"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color w:val="auto"/>
        </w:rPr>
        <w:t>The market for IR oxycodone products is primarily serviced by generic manufacturers with an average price per tablet shipped from distribution centers to healthcare providers of $0.10 for a 5 mg tablet. Pfizer’s price to drug wholesalers and other direct customers for Oxecta is many fold the generic market price. We believe that Pfizer will have to enter into price discounting contracts with managed care and other end purchasers of IR oxycodone products, of which no guarantees can be given.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License, Development and Commercialization Agreement</w:t>
      </w:r>
    </w:p>
    <w:p>
      <w:pPr>
        <w:spacing w:after="0" w:line="229" w:lineRule="exact"/>
        <w:rPr>
          <w:sz w:val="20"/>
          <w:szCs w:val="20"/>
          <w:color w:val="auto"/>
        </w:rPr>
      </w:pPr>
    </w:p>
    <w:p>
      <w:pPr>
        <w:jc w:val="both"/>
        <w:ind w:firstLine="907"/>
        <w:spacing w:after="0" w:line="290" w:lineRule="auto"/>
        <w:rPr>
          <w:sz w:val="20"/>
          <w:szCs w:val="20"/>
          <w:color w:val="auto"/>
        </w:rPr>
      </w:pPr>
      <w:r>
        <w:rPr>
          <w:rFonts w:ascii="Arial" w:cs="Arial" w:eastAsia="Arial" w:hAnsi="Arial"/>
          <w:sz w:val="16"/>
          <w:szCs w:val="16"/>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The Pfizer Agreement also provides for Pfizer to develop and commercialize three additional opioid analgesic products utilizing our proprietary Aversion Technology, including hydrocodone / acetaminophen, oxycodone/acetaminophen and an undisclosed opioid analgesic tablet product (the “Development-Stage Products”). As of June 30, 2012,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New Drug Application, or NDA, for Oxecta. In addition, commencing in February 2013 we are eligible to receive tiered royalties of 5%-25% on the annual net sales of Oxecta.</w:t>
      </w:r>
    </w:p>
    <w:p>
      <w:pPr>
        <w:spacing w:after="0" w:line="166" w:lineRule="exact"/>
        <w:rPr>
          <w:sz w:val="20"/>
          <w:szCs w:val="20"/>
          <w:color w:val="auto"/>
        </w:rPr>
      </w:pPr>
    </w:p>
    <w:p>
      <w:pPr>
        <w:jc w:val="both"/>
        <w:ind w:firstLine="907"/>
        <w:spacing w:after="0" w:line="286" w:lineRule="auto"/>
        <w:rPr>
          <w:sz w:val="20"/>
          <w:szCs w:val="20"/>
          <w:color w:val="auto"/>
        </w:rPr>
      </w:pPr>
      <w:r>
        <w:rPr>
          <w:rFonts w:ascii="Arial" w:cs="Arial" w:eastAsia="Arial" w:hAnsi="Arial"/>
          <w:sz w:val="17"/>
          <w:szCs w:val="17"/>
          <w:color w:val="auto"/>
        </w:rPr>
        <w:t>On July 27, 2012 we announced that Pfizer had provided us with notice of the exercise of its right to terminate the license to the Development-Stage Products and return such products to us. The termination will be effective in 12 months under the terms of the Pfizer Agreement. Oxceta is not subject to Pfizer’s termination notice and Pfizer will retain all rights and obligations relating to Oxecta under the Pfizer Agreement.</w:t>
      </w:r>
    </w:p>
    <w:p>
      <w:pPr>
        <w:spacing w:after="0" w:line="166" w:lineRule="exact"/>
        <w:rPr>
          <w:sz w:val="20"/>
          <w:szCs w:val="20"/>
          <w:color w:val="auto"/>
        </w:rPr>
      </w:pPr>
    </w:p>
    <w:p>
      <w:pPr>
        <w:jc w:val="both"/>
        <w:ind w:firstLine="907"/>
        <w:spacing w:after="0" w:line="293" w:lineRule="auto"/>
        <w:rPr>
          <w:sz w:val="20"/>
          <w:szCs w:val="20"/>
          <w:color w:val="auto"/>
        </w:rPr>
      </w:pPr>
      <w:r>
        <w:rPr>
          <w:rFonts w:ascii="Arial" w:cs="Arial" w:eastAsia="Arial" w:hAnsi="Arial"/>
          <w:sz w:val="16"/>
          <w:szCs w:val="16"/>
          <w:color w:val="auto"/>
        </w:rPr>
        <w:t>The hydrocodone/acetaminophen product included in the Development-Stage Products being returned to us by Pfizer is the most advanced in development, with Pfizer having completed in February 2012 an open label, single dose, randomized, two period, two-way crossover study comparing such product to its reference listed drug. Such study demonstrated that the hydrocodone/acetaminophen product utilizing our Aversion Technology was bioequivalent to its reference listed drug. Such product was also the subject of a pre-IND meeting held with the FDA in May 2012 in which the FDA agreed to a development program for this product generally consistent with that used for Oxecta. As such, we are not aware of any logistical barriers to executing the development of the Development-Stage Products, although pharmaceutical development carries substantial inherent risk.</w:t>
      </w:r>
    </w:p>
    <w:p>
      <w:pPr>
        <w:spacing w:after="0" w:line="165" w:lineRule="exact"/>
        <w:rPr>
          <w:sz w:val="20"/>
          <w:szCs w:val="20"/>
          <w:color w:val="auto"/>
        </w:rPr>
      </w:pPr>
    </w:p>
    <w:p>
      <w:pPr>
        <w:jc w:val="both"/>
        <w:ind w:firstLine="907"/>
        <w:spacing w:after="0" w:line="308" w:lineRule="auto"/>
        <w:rPr>
          <w:sz w:val="20"/>
          <w:szCs w:val="20"/>
          <w:color w:val="auto"/>
        </w:rPr>
      </w:pPr>
      <w:r>
        <w:rPr>
          <w:rFonts w:ascii="Arial" w:cs="Arial" w:eastAsia="Arial" w:hAnsi="Arial"/>
          <w:sz w:val="17"/>
          <w:szCs w:val="17"/>
          <w:color w:val="auto"/>
        </w:rPr>
        <w:t>We will evaluate our strategy for the Development-Stage Products over the coming months, including possible partnering with alternative strategic partners, and will work with Pfizer to exercise our rights under the Pfizer Agreement for the transition of these products back to 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Nexafed</w:t>
      </w:r>
      <w:r>
        <w:rPr>
          <w:rFonts w:ascii="Arial" w:cs="Arial" w:eastAsia="Arial" w:hAnsi="Arial"/>
          <w:sz w:val="18"/>
          <w:szCs w:val="18"/>
          <w:color w:val="auto"/>
        </w:rPr>
        <w:t>®</w:t>
      </w:r>
    </w:p>
    <w:p>
      <w:pPr>
        <w:spacing w:after="0" w:line="229" w:lineRule="exact"/>
        <w:rPr>
          <w:sz w:val="20"/>
          <w:szCs w:val="20"/>
          <w:color w:val="auto"/>
        </w:rPr>
      </w:pPr>
    </w:p>
    <w:p>
      <w:pPr>
        <w:jc w:val="both"/>
        <w:ind w:firstLine="907"/>
        <w:spacing w:after="0" w:line="268" w:lineRule="auto"/>
        <w:rPr>
          <w:sz w:val="20"/>
          <w:szCs w:val="20"/>
          <w:color w:val="auto"/>
        </w:rPr>
      </w:pPr>
      <w:r>
        <w:rPr>
          <w:rFonts w:ascii="Arial" w:cs="Arial" w:eastAsia="Arial" w:hAnsi="Arial"/>
          <w:sz w:val="17"/>
          <w:szCs w:val="17"/>
          <w:color w:val="auto"/>
        </w:rPr>
        <w:t>Our Nexafed product is an immediate-release pseudoephedrine HCl tablet which utilizes our patent pending Impede Technology. In addition to being a widely-used nasal decongestant available in many non-prescription and prescription cold, sinus and allergy products, PSE is also the starting material in the illicit manufacture of methamphetamine. Our Impede Technology, a proprietary mixture of inactive ingredients, is designed to impede the extraction of PSE from tablets for producing methamphetamine or disrupting the direct conversion of PSE in tablets into methamphetamine. We are developing Nexafed 30 mg tablets and have demonstrated that an initial formulation of our product is bioequivalent to Johnson &amp; Johnson’s Sudafed® 30 mg Tablets and a 30 mg generic store brand. Laboratory tests, sponsored by us at an independent laboratory and confirmed by a law enforcement agency, demonstrated our Impede Technology prevents the extraction of PSE from tablets for conversion into methamphetamine using what we believe are the two most common extraction methods. A third, newer method of methamphetamine production, or “one-pot” method, involves the direct conversion of PSE from tablets into methamphetamine without first extracting and purifying the PSE.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83"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We have completed scale-up of our manufacturing process to approximately 700,000 tablets per batch which required a change to our formulation to improve manufacturability. Due to this change, we intend to run another bioequivalence study. We have already confirmed that this formulation change has not impacted our methamphetamine conversion properties. We expect to commence manufacturing process validation and make Nexafed commercially available to pharmacies later this year.</w:t>
      </w:r>
    </w:p>
    <w:p>
      <w:pPr>
        <w:spacing w:after="0" w:line="187"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w:t>
      </w:r>
    </w:p>
    <w:p>
      <w:pPr>
        <w:spacing w:after="0" w:line="181" w:lineRule="exact"/>
        <w:rPr>
          <w:sz w:val="20"/>
          <w:szCs w:val="20"/>
          <w:color w:val="auto"/>
        </w:rPr>
      </w:pPr>
    </w:p>
    <w:p>
      <w:pPr>
        <w:jc w:val="both"/>
        <w:ind w:firstLine="907"/>
        <w:spacing w:after="0" w:line="269" w:lineRule="auto"/>
        <w:rPr>
          <w:sz w:val="20"/>
          <w:szCs w:val="20"/>
          <w:color w:val="auto"/>
        </w:rPr>
      </w:pPr>
      <w:r>
        <w:rPr>
          <w:rFonts w:ascii="Arial" w:cs="Arial" w:eastAsia="Arial" w:hAnsi="Arial"/>
          <w:sz w:val="17"/>
          <w:szCs w:val="17"/>
          <w:color w:val="auto"/>
        </w:rPr>
        <w:t>We expect our Impede Technology products containing PSE to compete in the highly competitive market for cold, sinus and allergy products generally available to consumers without a prescription. In 2009, AC Nielsen reported approximately $1.0 billion in sales of non-prescription products containing either PSE or phenylephrine as a nasal decongestant, of which approximately 47% contained PSE. Products in this category consist of many different formulations containing different active ingredients such as analgesics, cough suppressants and antihistamines and have strong consumer brand recognition. Commencing in 2006, the Federal Combat Methamphetamine Epidemic Act, or CMEA, has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 We also may create Nexafed product awareness through television, radio, and print advertising.</w:t>
      </w:r>
    </w:p>
    <w:p>
      <w:pPr>
        <w:spacing w:after="0" w:line="180" w:lineRule="exact"/>
        <w:rPr>
          <w:sz w:val="20"/>
          <w:szCs w:val="20"/>
          <w:color w:val="auto"/>
        </w:rPr>
      </w:pPr>
    </w:p>
    <w:p>
      <w:pPr>
        <w:jc w:val="both"/>
        <w:ind w:firstLine="907"/>
        <w:spacing w:after="0" w:line="255" w:lineRule="auto"/>
        <w:rPr>
          <w:sz w:val="20"/>
          <w:szCs w:val="20"/>
          <w:color w:val="auto"/>
        </w:rPr>
      </w:pPr>
      <w:r>
        <w:rPr>
          <w:rFonts w:ascii="Arial" w:cs="Arial" w:eastAsia="Arial" w:hAnsi="Arial"/>
          <w:sz w:val="18"/>
          <w:szCs w:val="18"/>
          <w:color w:val="auto"/>
        </w:rPr>
        <w:t>Most PSE-containing products are classified by the FDA for OTC sale, or without a doctor’s prescription, and many product formulations do not require the approval of an NDA or an Abbreviated New Drug Application, or ANDA, by the FDA for commercial distribution and marketing. Tablet products containing 60 mg or less of PSE are considered by the FDA to be safe and effective for use by the general public without a prescription. We believe 30 mg Nexafed developed utilizing Impede Technology meets or will meet the FDA’s requirements for “Over-the-Counter Human Drugs Which are Generally Recognized as Safe and Effective and Not Misbranded” as set forth in the FDA’s regulations applicable to OTC Monograph products. As such, we intend to commercialize Nexafed without submitting a NDA or ANDA to the FDA. We have contracted with a third party manufacturer for the scale up and commercial manufacture of Nexafed.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ind w:right="20" w:firstLine="907"/>
        <w:spacing w:after="0" w:line="277" w:lineRule="auto"/>
        <w:rPr>
          <w:sz w:val="20"/>
          <w:szCs w:val="20"/>
          <w:color w:val="auto"/>
        </w:rPr>
      </w:pPr>
      <w:r>
        <w:rPr>
          <w:rFonts w:ascii="Arial" w:cs="Arial" w:eastAsia="Arial" w:hAnsi="Arial"/>
          <w:sz w:val="18"/>
          <w:szCs w:val="18"/>
          <w:color w:val="auto"/>
        </w:rPr>
        <w:t>At July 27, 2012, we had cash and cash equivalents of approximately $30.5 million. We estimate that our current cash reserves will be sufficient to fund operations through at least the next 12 months.</w:t>
      </w:r>
    </w:p>
    <w:p>
      <w:pPr>
        <w:spacing w:after="0" w:line="170" w:lineRule="exact"/>
        <w:rPr>
          <w:sz w:val="20"/>
          <w:szCs w:val="20"/>
          <w:color w:val="auto"/>
        </w:rPr>
      </w:pPr>
    </w:p>
    <w:p>
      <w:pPr>
        <w:jc w:val="both"/>
        <w:ind w:firstLine="907"/>
        <w:spacing w:after="0" w:line="255" w:lineRule="auto"/>
        <w:rPr>
          <w:sz w:val="20"/>
          <w:szCs w:val="20"/>
          <w:color w:val="auto"/>
        </w:rPr>
      </w:pPr>
      <w:r>
        <w:rPr>
          <w:rFonts w:ascii="Arial" w:cs="Arial" w:eastAsia="Arial" w:hAnsi="Arial"/>
          <w:sz w:val="18"/>
          <w:szCs w:val="18"/>
          <w:color w:val="auto"/>
        </w:rPr>
        <w:t>We have yet to generate any product sales or royalty revenues from product sales. To fund our continued operations, we expect to rely on our current cash resources, additional payments that may be made under Pfizer Agreement and under future license agreements with other pharmaceutical company partners, of which there can be no assurance of obtaining, and revenues, if any, from our commercialization of our Nexafed Tablets. Our cash requirements for operating activities may increase in the future as we continue to conduct pre-clinical studies and clinical trials for our product candidates, maintain, defend, if necessary and expand the scope of our intellectual property, hire additional personnel, scale up commercial supply of Nexafed, commercialize Nexafed, or invest in other areas.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Results of Operations for the Six Months Ended June 30, 2012 and 2011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53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4"/>
          </w:tcPr>
          <w:p>
            <w:pPr>
              <w:jc w:val="right"/>
              <w:ind w:right="650"/>
              <w:spacing w:after="0"/>
              <w:rPr>
                <w:sz w:val="20"/>
                <w:szCs w:val="20"/>
                <w:color w:val="auto"/>
              </w:rPr>
            </w:pPr>
            <w:r>
              <w:rPr>
                <w:rFonts w:ascii="Arial" w:cs="Arial" w:eastAsia="Arial" w:hAnsi="Arial"/>
                <w:sz w:val="18"/>
                <w:szCs w:val="18"/>
                <w:color w:val="auto"/>
              </w:rPr>
              <w:t>Increase (Decrease)</w:t>
            </w:r>
          </w:p>
        </w:tc>
      </w:tr>
      <w:tr>
        <w:trPr>
          <w:trHeight w:val="243"/>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Dollars</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10"/>
        </w:trPr>
        <w:tc>
          <w:tcPr>
            <w:tcW w:w="5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r>
      <w:tr>
        <w:trPr>
          <w:trHeight w:val="216"/>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Program fee revenue</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Milestone revenue</w:t>
            </w:r>
          </w:p>
        </w:tc>
        <w:tc>
          <w:tcPr>
            <w:tcW w:w="3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(20,000)</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(100)</w:t>
            </w:r>
          </w:p>
        </w:tc>
      </w:tr>
      <w:tr>
        <w:trPr>
          <w:trHeight w:val="210"/>
        </w:trPr>
        <w:tc>
          <w:tcPr>
            <w:tcW w:w="5700" w:type="dxa"/>
            <w:vAlign w:val="bottom"/>
            <w:tcBorders>
              <w:bottom w:val="single" w:sz="8" w:color="CCFFCC"/>
            </w:tcBorders>
            <w:gridSpan w:val="2"/>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1,822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r>
      <w:tr>
        <w:trPr>
          <w:trHeight w:val="230"/>
        </w:trPr>
        <w:tc>
          <w:tcPr>
            <w:tcW w:w="57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Marketing, general and administrative</w:t>
            </w:r>
          </w:p>
        </w:tc>
        <w:tc>
          <w:tcPr>
            <w:tcW w:w="3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2,711</w:t>
            </w:r>
          </w:p>
        </w:tc>
        <w:tc>
          <w:tcPr>
            <w:tcW w:w="30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3,655</w:t>
            </w: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(944)</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(26)</w:t>
            </w:r>
          </w:p>
        </w:tc>
      </w:tr>
      <w:tr>
        <w:trPr>
          <w:trHeight w:val="210"/>
        </w:trPr>
        <w:tc>
          <w:tcPr>
            <w:tcW w:w="5700" w:type="dxa"/>
            <w:vAlign w:val="bottom"/>
            <w:tcBorders>
              <w:bottom w:val="single" w:sz="8" w:color="CCFFC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20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(4,533)</w:t>
            </w: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14,528</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(19,061)</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FFCC"/>
          </w:tcPr>
          <w:p>
            <w:pPr>
              <w:spacing w:after="0"/>
              <w:rPr>
                <w:sz w:val="18"/>
                <w:szCs w:val="18"/>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(240)</w:t>
            </w:r>
          </w:p>
        </w:tc>
      </w:tr>
      <w:tr>
        <w:trPr>
          <w:trHeight w:val="210"/>
        </w:trPr>
        <w:tc>
          <w:tcPr>
            <w:tcW w:w="5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Income (loss) before income tax</w:t>
            </w:r>
          </w:p>
        </w:tc>
        <w:tc>
          <w:tcPr>
            <w:tcW w:w="3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2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14,513</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(19,025)</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CCFFCC"/>
            </w:tcBorders>
            <w:shd w:val="clear" w:color="auto" w:fill="CCFFCC"/>
          </w:tcPr>
          <w:p>
            <w:pPr>
              <w:spacing w:after="0"/>
              <w:rPr>
                <w:sz w:val="18"/>
                <w:szCs w:val="18"/>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r>
        <w:trPr>
          <w:trHeight w:val="210"/>
        </w:trPr>
        <w:tc>
          <w:tcPr>
            <w:tcW w:w="5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14,172</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(18,684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0"/>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Pfizer paid us a $30.0 million upfront fee in connection with the closing of the Pfizer Agreement in December 2007. We assigned an equal portion of Pfizer’s $30.0 million upfront payment to each of three product candidates identified in the Pfizer Agreement and recognized the upfront payment as program fee revenue ratably over the development period for each identified product candidate, all which was completed in June 2011. On June 17, 2011 the Oxecta NDA was approved and we recognized $20.0 million milestone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jc w:val="both"/>
        <w:ind w:firstLine="907"/>
        <w:spacing w:after="0" w:line="263" w:lineRule="auto"/>
        <w:rPr>
          <w:sz w:val="20"/>
          <w:szCs w:val="20"/>
          <w:color w:val="auto"/>
        </w:rPr>
      </w:pPr>
      <w:r>
        <w:rPr>
          <w:rFonts w:ascii="Arial" w:cs="Arial" w:eastAsia="Arial" w:hAnsi="Arial"/>
          <w:sz w:val="16"/>
          <w:szCs w:val="16"/>
          <w:color w:val="auto"/>
        </w:rPr>
        <w:t>R&amp;D expense during the six months ended June 30, 2012 and 2011 were for product candidates utilizing our Aversion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Impede™ Technologies, including costs of preclinical, clinical trials, clinical supplies and related formulation and design costs, salaries and other personnel related expenses, and facility costs. Included in the 2012 and 2011 results are non-cash share-based compensation expenses of $0.2 million and $0.4 million, respectively. Excluding the share-based compensation expense, our development expenses decreased approximately $0.2 million between reporting periods.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907"/>
        <w:spacing w:after="0" w:line="255" w:lineRule="auto"/>
        <w:rPr>
          <w:sz w:val="20"/>
          <w:szCs w:val="20"/>
          <w:color w:val="auto"/>
        </w:rPr>
      </w:pPr>
      <w:r>
        <w:rPr>
          <w:rFonts w:ascii="Arial" w:cs="Arial" w:eastAsia="Arial" w:hAnsi="Arial"/>
          <w:sz w:val="18"/>
          <w:szCs w:val="18"/>
          <w:color w:val="auto"/>
        </w:rPr>
        <w:t>Marketing expenses during the six months ended June 30, 2012 and 2011 primarily consisted of market research studies on our Aversion and Impede™ Technologies. Our G&amp;A expenses primarily consisted of legal, audit and other professional services, corporate insurance, and payroll. Included in the 2012 and 2011 results are non-cash share-based compensation expenses of $0.7 million and $1.5 million, respectively. Excluding the share-based compensation expense and the $0.2 million U.S. government research grants under the Qualifying Therapeutic Discovery Project Program received by us during 2011, our marketing, general and administrative expenses decreased approximately $0.4 million, primarily for professional services and payroll, between reporting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2012 and 2011, other income consisted principally of interest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for the six months ended June 30, 2012 includes no federal or state income tax benefit provisions due to uncertainty of their future utilization.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Results of Operations for the Three Months Ended June 30, 2012 and 2011</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2"/>
        </w:trPr>
        <w:tc>
          <w:tcPr>
            <w:tcW w:w="5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4"/>
          </w:tcPr>
          <w:p>
            <w:pPr>
              <w:jc w:val="right"/>
              <w:ind w:right="650"/>
              <w:spacing w:after="0"/>
              <w:rPr>
                <w:sz w:val="20"/>
                <w:szCs w:val="20"/>
                <w:color w:val="auto"/>
              </w:rPr>
            </w:pPr>
            <w:r>
              <w:rPr>
                <w:rFonts w:ascii="Arial" w:cs="Arial" w:eastAsia="Arial" w:hAnsi="Arial"/>
                <w:sz w:val="18"/>
                <w:szCs w:val="18"/>
                <w:color w:val="auto"/>
              </w:rPr>
              <w:t>Increase (Decrease)</w:t>
            </w:r>
          </w:p>
        </w:tc>
      </w:tr>
      <w:tr>
        <w:trPr>
          <w:trHeight w:val="230"/>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Dollars</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10"/>
        </w:trPr>
        <w:tc>
          <w:tcPr>
            <w:tcW w:w="55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Program fee revenue</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5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Milestone revenue</w:t>
            </w: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(20,000)</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(100)</w:t>
            </w:r>
          </w:p>
        </w:tc>
      </w:tr>
      <w:tr>
        <w:trPr>
          <w:trHeight w:val="210"/>
        </w:trPr>
        <w:tc>
          <w:tcPr>
            <w:tcW w:w="5580" w:type="dxa"/>
            <w:vAlign w:val="bottom"/>
            <w:tcBorders>
              <w:bottom w:val="single" w:sz="8" w:color="CCFFCC"/>
            </w:tcBorders>
          </w:tcPr>
          <w:p>
            <w:pPr>
              <w:ind w:left="50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20,233</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(20,233</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r>
      <w:tr>
        <w:trPr>
          <w:trHeight w:val="230"/>
        </w:trPr>
        <w:tc>
          <w:tcPr>
            <w:tcW w:w="55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Marketing, general and administrative</w:t>
            </w: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1,729</w:t>
            </w: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(459)</w:t>
            </w:r>
          </w:p>
        </w:tc>
        <w:tc>
          <w:tcPr>
            <w:tcW w:w="13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(27)</w:t>
            </w:r>
          </w:p>
        </w:tc>
      </w:tr>
      <w:tr>
        <w:trPr>
          <w:trHeight w:val="210"/>
        </w:trPr>
        <w:tc>
          <w:tcPr>
            <w:tcW w:w="5580" w:type="dxa"/>
            <w:vAlign w:val="bottom"/>
            <w:tcBorders>
              <w:bottom w:val="single" w:sz="8" w:color="CCFFCC"/>
            </w:tcBorders>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17,362</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(19,551)</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FFCC"/>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r>
      <w:tr>
        <w:trPr>
          <w:trHeight w:val="210"/>
        </w:trPr>
        <w:tc>
          <w:tcPr>
            <w:tcW w:w="55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(loss) before income tax</w:t>
            </w:r>
          </w:p>
        </w:tc>
        <w:tc>
          <w:tcPr>
            <w:tcW w:w="4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17,367</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(19,546)</w:t>
            </w:r>
          </w:p>
        </w:tc>
        <w:tc>
          <w:tcPr>
            <w:tcW w:w="2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FFCC"/>
            </w:tcBorders>
            <w:shd w:val="clear" w:color="auto" w:fill="CCFFCC"/>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r>
        <w:trPr>
          <w:trHeight w:val="210"/>
        </w:trPr>
        <w:tc>
          <w:tcPr>
            <w:tcW w:w="55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17,029</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(19,208</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0"/>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Pfizer paid us a $30.0 million upfront fee in connection with the closing of the Pfizer Agreement in December 2007. We assigned an equal portion of Pfizer’s $30.0 million upfront payment to each of three product candidates identified in the Pfizer Agreement and recognized the upfront payment as program fee revenue ratably over the development period for each identified product candidate, all which was completed in June 2011. On June 17, 2011 the Oxecta NDA was approved and we recognized $20.0 million milestone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907"/>
        <w:spacing w:after="0" w:line="279" w:lineRule="auto"/>
        <w:rPr>
          <w:sz w:val="20"/>
          <w:szCs w:val="20"/>
          <w:color w:val="auto"/>
        </w:rPr>
      </w:pPr>
      <w:r>
        <w:rPr>
          <w:rFonts w:ascii="Arial" w:cs="Arial" w:eastAsia="Arial" w:hAnsi="Arial"/>
          <w:sz w:val="17"/>
          <w:szCs w:val="17"/>
          <w:color w:val="auto"/>
        </w:rPr>
        <w:t>R&amp;D expense during the three months ended June 30, 2012 and 2011 were for product candidates utilizing our Aversion and Impede™ Technologies, including costs of preclinical, clinical trials, clinical supplies and related formulation and design costs, salaries and other personnel related expenses, and facility costs. Included in each of the 2012 and 2011 results are non-cash share-based compensation expenses of $0.1 million. Excluding the share-based compensation expense, our development expenses decreased approximately $0.2 million between reporting periods.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907"/>
        <w:spacing w:after="0" w:line="257" w:lineRule="auto"/>
        <w:rPr>
          <w:sz w:val="20"/>
          <w:szCs w:val="20"/>
          <w:color w:val="auto"/>
        </w:rPr>
      </w:pPr>
      <w:r>
        <w:rPr>
          <w:rFonts w:ascii="Arial" w:cs="Arial" w:eastAsia="Arial" w:hAnsi="Arial"/>
          <w:sz w:val="18"/>
          <w:szCs w:val="18"/>
          <w:color w:val="auto"/>
        </w:rPr>
        <w:t>Marketing expenses during the three months ended June 30, 2012 and 2011 primarily consisted of market research studies on our Aversion and Impede™ Technologies. Our G&amp;A expenses primarily consisted of legal, audit and other professional services, corporate insurance, and payroll. Included in the 2012 and 2011 results are non-cash share-based compensation expenses of $0.3 million and $0.5 million, respectively. Excluding the share-based compensation expense our marketing, general and administrative expenses decreased approximately $0.3 million, primarily for professional services and payroll, between reporting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During the three months ended June 30, 2012 and 2011, other income consisted principally of interest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loss for the three months ended June 30, 2012 includes no federal or state income tax benefit provisions due to uncertainty of their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utilization.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907"/>
        <w:spacing w:after="0" w:line="279" w:lineRule="auto"/>
        <w:rPr>
          <w:sz w:val="20"/>
          <w:szCs w:val="20"/>
          <w:color w:val="auto"/>
        </w:rPr>
      </w:pPr>
      <w:r>
        <w:rPr>
          <w:rFonts w:ascii="Arial" w:cs="Arial" w:eastAsia="Arial" w:hAnsi="Arial"/>
          <w:sz w:val="17"/>
          <w:szCs w:val="17"/>
          <w:color w:val="auto"/>
        </w:rPr>
        <w:t>At June 30, 2012, the Company had unrestricted cash and cash equivalents of $31.2 million compared to $35.7 million at December 31, 2011. The Company had working capital of $30.9 million at June 30, 2012 compared to $35.6 million at December 31, 2011. The decrease in our cash position is primarily due to the period’s net loss and the payment of employees’ withholding taxes approximating $1.0 million associated with their option exercises and RSU exchanges during such period, adjusted for the non-cash share-based compensation expenses.</w:t>
      </w:r>
    </w:p>
    <w:p>
      <w:pPr>
        <w:spacing w:after="0" w:line="171"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At July 27, 2012, the Company had cash and cash equivalents of approximately $30.5 million. We estimate that our current cash reserves will be sufficient to fund operations through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2011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2011 Annual Report are also applicable to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90"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313"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2012 that have materially affected, or are reasonably likely to materially affect, our internal controls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ind w:firstLine="907"/>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9, “Commitments and Contingencies,” in Part I,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required by this Item are listed below.</w:t>
      </w:r>
    </w:p>
    <w:p>
      <w:pPr>
        <w:sectPr>
          <w:pgSz w:w="11900" w:h="16838" w:orient="portrait"/>
          <w:cols w:equalWidth="0" w:num="1">
            <w:col w:w="11420"/>
          </w:cols>
          <w:pgMar w:left="240" w:top="877"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Periodic Report by Chief Executive Officer pursuant to Rule 13a-14 and 15d-14 of the Securities Exchange Act of 1934.</w:t>
      </w:r>
    </w:p>
    <w:p>
      <w:pPr>
        <w:spacing w:after="0" w:line="200" w:lineRule="exact"/>
        <w:rPr>
          <w:sz w:val="20"/>
          <w:szCs w:val="20"/>
          <w:color w:val="auto"/>
        </w:rPr>
      </w:pPr>
    </w:p>
    <w:p>
      <w:pPr>
        <w:sectPr>
          <w:pgSz w:w="11900" w:h="16838" w:orient="portrait"/>
          <w:cols w:equalWidth="0" w:num="2">
            <w:col w:w="580" w:space="720"/>
            <w:col w:w="10120"/>
          </w:cols>
          <w:pgMar w:left="240" w:top="877"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Periodic Report by Chief Financial Officer pursuant to Rule 13a-14 and 15d-14 of the Securities Exchange Act of 1934.</w:t>
      </w:r>
    </w:p>
    <w:p>
      <w:pPr>
        <w:spacing w:after="0" w:line="200" w:lineRule="exact"/>
        <w:rPr>
          <w:sz w:val="20"/>
          <w:szCs w:val="20"/>
          <w:color w:val="auto"/>
        </w:rPr>
      </w:pPr>
    </w:p>
    <w:p>
      <w:pPr>
        <w:sectPr>
          <w:pgSz w:w="11900" w:h="16838" w:orient="portrait"/>
          <w:cols w:equalWidth="0" w:num="2">
            <w:col w:w="580" w:space="720"/>
            <w:col w:w="10120"/>
          </w:cols>
          <w:pgMar w:left="240" w:top="877"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32.1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Periodic Report by the Chief Executive Officer and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580" w:space="720"/>
            <w:col w:w="10120"/>
          </w:cols>
          <w:pgMar w:left="240" w:top="877" w:right="2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700" w:space="460"/>
            <w:col w:w="10260"/>
          </w:cols>
          <w:pgMar w:left="240" w:top="877"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760" w:space="400"/>
            <w:col w:w="10260"/>
          </w:cols>
          <w:pgMar w:left="240" w:top="877"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22" w:lineRule="exact"/>
        <w:rPr>
          <w:sz w:val="20"/>
          <w:szCs w:val="20"/>
          <w:color w:val="auto"/>
        </w:rPr>
      </w:pPr>
    </w:p>
    <w:p>
      <w:pPr>
        <w:sectPr>
          <w:pgSz w:w="11900" w:h="16838" w:orient="portrait"/>
          <w:cols w:equalWidth="0" w:num="2">
            <w:col w:w="780" w:space="380"/>
            <w:col w:w="10260"/>
          </w:cols>
          <w:pgMar w:left="240" w:top="87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22" w:lineRule="exact"/>
        <w:rPr>
          <w:sz w:val="20"/>
          <w:szCs w:val="20"/>
          <w:color w:val="auto"/>
        </w:rPr>
      </w:pPr>
    </w:p>
    <w:p>
      <w:pPr>
        <w:sectPr>
          <w:pgSz w:w="11900" w:h="16838" w:orient="portrait"/>
          <w:cols w:equalWidth="0" w:num="2">
            <w:col w:w="780" w:space="380"/>
            <w:col w:w="10260"/>
          </w:cols>
          <w:pgMar w:left="240" w:top="87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0" w:lineRule="exact"/>
        <w:rPr>
          <w:sz w:val="20"/>
          <w:szCs w:val="20"/>
          <w:color w:val="auto"/>
        </w:rPr>
      </w:pPr>
    </w:p>
    <w:p>
      <w:pPr>
        <w:sectPr>
          <w:pgSz w:w="11900" w:h="16838" w:orient="portrait"/>
          <w:cols w:equalWidth="0" w:num="2">
            <w:col w:w="740" w:space="420"/>
            <w:col w:w="10260"/>
          </w:cols>
          <w:pgMar w:left="240" w:top="877"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11" w:lineRule="exact"/>
        <w:rPr>
          <w:sz w:val="20"/>
          <w:szCs w:val="20"/>
          <w:color w:val="auto"/>
        </w:rPr>
      </w:pPr>
    </w:p>
    <w:p>
      <w:pPr>
        <w:sectPr>
          <w:pgSz w:w="11900" w:h="16838" w:orient="portrait"/>
          <w:cols w:equalWidth="0" w:num="2">
            <w:col w:w="760" w:space="400"/>
            <w:col w:w="10260"/>
          </w:cols>
          <w:pgMar w:left="240" w:top="877" w:right="239" w:bottom="1440" w:gutter="0" w:footer="0" w:header="0"/>
          <w:type w:val="continuous"/>
        </w:sectPr>
      </w:pPr>
    </w:p>
    <w:p>
      <w:pPr>
        <w:spacing w:after="0" w:line="37" w:lineRule="exact"/>
        <w:rPr>
          <w:sz w:val="20"/>
          <w:szCs w:val="20"/>
          <w:color w:val="auto"/>
        </w:rPr>
      </w:pPr>
    </w:p>
    <w:p>
      <w:pPr>
        <w:ind w:right="9220" w:firstLine="8"/>
        <w:spacing w:after="0" w:line="501" w:lineRule="auto"/>
        <w:tabs>
          <w:tab w:leader="none" w:pos="1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 Be Filed By Amendment Signatures</w:t>
      </w: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40"/>
        <w:spacing w:after="0"/>
        <w:tabs>
          <w:tab w:leader="none" w:pos="6040" w:val="left"/>
        </w:tabs>
        <w:rPr>
          <w:sz w:val="20"/>
          <w:szCs w:val="20"/>
          <w:color w:val="auto"/>
        </w:rPr>
      </w:pPr>
      <w:r>
        <w:rPr>
          <w:rFonts w:ascii="Arial" w:cs="Arial" w:eastAsia="Arial" w:hAnsi="Arial"/>
          <w:sz w:val="18"/>
          <w:szCs w:val="18"/>
          <w:color w:val="auto"/>
        </w:rPr>
        <w:t>July 30, 2012</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1" w:name="page22"/>
    <w:bookmarkEnd w:id="21"/>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9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04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056"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99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96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00" w:hanging="244"/>
        <w:spacing w:after="0"/>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July 30, 2012</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160" w:type="dxa"/>
            <w:vAlign w:val="bottom"/>
          </w:tcPr>
          <w:p>
            <w:pPr>
              <w:spacing w:after="0"/>
              <w:rPr>
                <w:sz w:val="20"/>
                <w:szCs w:val="20"/>
                <w:color w:val="auto"/>
              </w:rPr>
            </w:pPr>
          </w:p>
        </w:tc>
      </w:tr>
      <w:tr>
        <w:trPr>
          <w:trHeight w:val="195"/>
        </w:trPr>
        <w:tc>
          <w:tcPr>
            <w:tcW w:w="7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c>
          <w:tcPr>
            <w:tcW w:w="160" w:type="dxa"/>
            <w:vAlign w:val="bottom"/>
          </w:tcPr>
          <w:p>
            <w:pPr>
              <w:spacing w:after="0"/>
              <w:rPr>
                <w:sz w:val="16"/>
                <w:szCs w:val="16"/>
                <w:color w:val="auto"/>
              </w:rPr>
            </w:pPr>
          </w:p>
        </w:tc>
      </w:tr>
      <w:tr>
        <w:trPr>
          <w:trHeight w:val="230"/>
        </w:trPr>
        <w:tc>
          <w:tcPr>
            <w:tcW w:w="7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60" w:type="dxa"/>
            <w:vAlign w:val="bottom"/>
          </w:tcPr>
          <w:p>
            <w:pPr>
              <w:spacing w:after="0"/>
              <w:rPr>
                <w:sz w:val="20"/>
                <w:szCs w:val="20"/>
                <w:color w:val="auto"/>
              </w:rPr>
            </w:pPr>
          </w:p>
        </w:tc>
      </w:tr>
      <w:tr>
        <w:trPr>
          <w:trHeight w:val="675"/>
        </w:trPr>
        <w:tc>
          <w:tcPr>
            <w:tcW w:w="7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2" w:name="page23"/>
    <w:bookmarkEnd w:id="22"/>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53"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9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9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July 30, 2012</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67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6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3" w:name="page24"/>
    <w:bookmarkEnd w:id="23"/>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2012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right="640" w:hanging="312"/>
        <w:spacing w:after="0" w:line="384" w:lineRule="auto"/>
        <w:tabs>
          <w:tab w:leader="none" w:pos="3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July 30, 2012</w:t>
      </w:r>
    </w:p>
    <w:p>
      <w:pPr>
        <w:ind w:left="7320"/>
        <w:spacing w:after="0"/>
        <w:rPr>
          <w:sz w:val="20"/>
          <w:szCs w:val="20"/>
          <w:color w:val="auto"/>
        </w:rPr>
      </w:pPr>
      <w:r>
        <w:rPr>
          <w:rFonts w:ascii="Arial" w:cs="Arial" w:eastAsia="Arial" w:hAnsi="Arial"/>
          <w:sz w:val="18"/>
          <w:szCs w:val="18"/>
          <w:color w:val="auto"/>
        </w:rPr>
        <w:t>/s/ Robert B. Jones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þ"/>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2019-12-09T09:49:40Z</dcterms:created>
  <dcterms:modified xsi:type="dcterms:W3CDTF">2019-12-09T09:49:40Z</dcterms:modified>
</cp:coreProperties>
</file>