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583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8355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905"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SKELLY WILLIAM G</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ACURA 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2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ACUR </w:t>
            </w:r>
            <w:r>
              <w:rPr>
                <w:rFonts w:ascii="Times New Roman" w:cs="Times New Roman" w:eastAsia="Times New Roman" w:hAnsi="Times New Roman"/>
                <w:sz w:val="20"/>
                <w:szCs w:val="20"/>
                <w:color w:val="000000"/>
              </w:rPr>
              <w:t>]</w:t>
            </w:r>
          </w:p>
        </w:tc>
        <w:tc>
          <w:tcPr>
            <w:tcW w:w="5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260" w:type="dxa"/>
            <w:vAlign w:val="bottom"/>
            <w:tcBorders>
              <w:top w:val="single" w:sz="8" w:color="0000EE"/>
            </w:tcBorders>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2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ACURA PHARMACEUTICALS, INC.</w:t>
            </w:r>
          </w:p>
        </w:tc>
        <w:tc>
          <w:tcPr>
            <w:tcW w:w="10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5"/>
            <w:vMerge w:val="continue"/>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01/02/2026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616 N. NORTH COURT, SUITE 120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0"/>
          <w:szCs w:val="20"/>
          <w:color w:val="auto"/>
        </w:rPr>
      </w:pPr>
    </w:p>
    <w:p>
      <w:pPr>
        <w:sectPr>
          <w:pgSz w:w="11900" w:h="16838" w:orient="portrait"/>
          <w:cols w:equalWidth="0" w:num="2">
            <w:col w:w="7660" w:space="63"/>
            <w:col w:w="3357"/>
          </w:cols>
          <w:pgMar w:left="460" w:top="217" w:right="359" w:bottom="905"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8"/>
          </w:tcPr>
          <w:p>
            <w:pPr>
              <w:jc w:val="center"/>
              <w:ind w:right="34"/>
              <w:spacing w:after="0" w:line="135"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PALATINE</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IL</w:t>
            </w:r>
          </w:p>
        </w:tc>
        <w:tc>
          <w:tcPr>
            <w:tcW w:w="1000" w:type="dxa"/>
            <w:vAlign w:val="bottom"/>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60067</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01/02/2026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675,989</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(2)(4)</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80" w:type="dxa"/>
            <w:vAlign w:val="bottom"/>
          </w:tcPr>
          <w:p>
            <w:pPr>
              <w:jc w:val="right"/>
              <w:ind w:right="10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Plan)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(2)(4)</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Plan)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exchange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Par value of $.01 per share must be paid by Reporting Person upon exchange of Restricted Stock Units for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Does not include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 for - 1</w:t>
      </w:r>
    </w:p>
    <w:p>
      <w:pPr>
        <w:spacing w:after="0" w:line="44"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50,000 Restricted Stock Units were granted on January 2, 2025. 25% of Restricted Stock Units vested on the last day of each of March, June, September and December 2025. Restricted Stock Units are being exchanged on a one for one basis for common stock, in each case upon payment of par value.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4" w:lineRule="exact"/>
        <w:rPr>
          <w:rFonts w:ascii="Times New Roman" w:cs="Times New Roman" w:eastAsia="Times New Roman" w:hAnsi="Times New Roman"/>
          <w:sz w:val="13"/>
          <w:szCs w:val="13"/>
          <w:color w:val="008000"/>
        </w:rPr>
      </w:pPr>
    </w:p>
    <w:p>
      <w:pPr>
        <w:jc w:val="both"/>
        <w:ind w:left="40" w:right="20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50,000 Restricted Stock Units were granted on January 2, 2026. 25% of Restricted Stock Units vest on the last day of each of March, June, September and December 2026, subject to immediate vesting in the event of a change of control and certain other events. Reporting Person may elect to exchange up to 40% of Restricted Stock Units for cash and the remaining Restricted Stock Units will be exchanged on a one for one basis for common stock, in each case upon payment of, or deduction of par value. Distributions in respect of vested Restricted Stock Units will be made on the first business day of January 2027, or earlier upon a change of control.</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William Skelly</w:t>
            </w:r>
          </w:p>
        </w:tc>
        <w:tc>
          <w:tcPr>
            <w:tcW w:w="9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01/15/2026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58352" TargetMode="External"/><Relationship Id="rId14" Type="http://schemas.openxmlformats.org/officeDocument/2006/relationships/hyperlink" Target="http://www.sec.gov/cgi-bin/browse-edgar?action=getcompany&amp;CIK=00007869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2026-01-15T13:36:16Z</dcterms:created>
  <dcterms:modified xsi:type="dcterms:W3CDTF">2026-01-15T13:36:16Z</dcterms:modified>
</cp:coreProperties>
</file>