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920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9200" cy="31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62992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920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p>
    <w:p>
      <w:pPr>
        <w:ind w:left="3201" w:right="1140" w:hanging="3201"/>
        <w:spacing w:after="0" w:line="413" w:lineRule="auto"/>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16" w:lineRule="exact"/>
        <w:rPr>
          <w:sz w:val="24"/>
          <w:szCs w:val="24"/>
          <w:color w:val="auto"/>
        </w:rPr>
      </w:pPr>
    </w:p>
    <w:p>
      <w:pPr>
        <w:ind w:left="3521" w:right="940" w:hanging="3521"/>
        <w:spacing w:after="0" w:line="363" w:lineRule="auto"/>
        <w:tabs>
          <w:tab w:leader="none" w:pos="57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TRANSACTION REPORT PURSUANT TO SECTION 13 OR 15(D) OF THE SECURITIES EXCHANGE ACT OF 1934 For the transition period from ___ to____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1-10113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Acura Pharmaceuticals, Inc.</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89" w:lineRule="exact"/>
        <w:rPr>
          <w:sz w:val="24"/>
          <w:szCs w:val="24"/>
          <w:color w:val="auto"/>
        </w:rPr>
      </w:pPr>
    </w:p>
    <w:tbl>
      <w:tblPr>
        <w:tblLayout w:type="fixed"/>
        <w:tblInd w:w="561" w:type="dxa"/>
        <w:tblCellMar>
          <w:top w:w="0" w:type="dxa"/>
          <w:left w:w="0" w:type="dxa"/>
          <w:bottom w:w="0" w:type="dxa"/>
          <w:right w:w="0" w:type="dxa"/>
        </w:tblCellMar>
      </w:tblPr>
      <w:tr>
        <w:trPr>
          <w:trHeight w:val="198"/>
        </w:trPr>
        <w:tc>
          <w:tcPr>
            <w:tcW w:w="494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New York</w:t>
            </w:r>
          </w:p>
        </w:tc>
        <w:tc>
          <w:tcPr>
            <w:tcW w:w="3200" w:type="dxa"/>
            <w:vAlign w:val="bottom"/>
          </w:tcPr>
          <w:p>
            <w:pPr>
              <w:jc w:val="right"/>
              <w:ind w:right="699"/>
              <w:spacing w:after="0"/>
              <w:rPr>
                <w:sz w:val="20"/>
                <w:szCs w:val="20"/>
                <w:color w:val="auto"/>
              </w:rPr>
            </w:pPr>
            <w:r>
              <w:rPr>
                <w:rFonts w:ascii="Arial" w:cs="Arial" w:eastAsia="Arial" w:hAnsi="Arial"/>
                <w:sz w:val="16"/>
                <w:szCs w:val="16"/>
                <w:b w:val="1"/>
                <w:bCs w:val="1"/>
                <w:color w:val="auto"/>
              </w:rPr>
              <w:t>11-0853640</w:t>
            </w:r>
          </w:p>
        </w:tc>
      </w:tr>
      <w:tr>
        <w:trPr>
          <w:trHeight w:val="206"/>
        </w:trPr>
        <w:tc>
          <w:tcPr>
            <w:tcW w:w="4940" w:type="dxa"/>
            <w:vAlign w:val="bottom"/>
          </w:tcPr>
          <w:p>
            <w:pPr>
              <w:jc w:val="center"/>
              <w:ind w:right="81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200" w:type="dxa"/>
            <w:vAlign w:val="bottom"/>
          </w:tcPr>
          <w:p>
            <w:pPr>
              <w:jc w:val="center"/>
              <w:ind w:left="79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76"/>
        </w:trPr>
        <w:tc>
          <w:tcPr>
            <w:tcW w:w="494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616 N. North Court, Suite 120, Palatine, Illinois</w:t>
            </w:r>
          </w:p>
        </w:tc>
        <w:tc>
          <w:tcPr>
            <w:tcW w:w="3200" w:type="dxa"/>
            <w:vAlign w:val="bottom"/>
          </w:tcPr>
          <w:p>
            <w:pPr>
              <w:jc w:val="right"/>
              <w:ind w:right="879"/>
              <w:spacing w:after="0"/>
              <w:rPr>
                <w:sz w:val="20"/>
                <w:szCs w:val="20"/>
                <w:color w:val="auto"/>
              </w:rPr>
            </w:pPr>
            <w:r>
              <w:rPr>
                <w:rFonts w:ascii="Arial" w:cs="Arial" w:eastAsia="Arial" w:hAnsi="Arial"/>
                <w:sz w:val="16"/>
                <w:szCs w:val="16"/>
                <w:b w:val="1"/>
                <w:bCs w:val="1"/>
                <w:color w:val="auto"/>
              </w:rPr>
              <w:t>60067</w:t>
            </w:r>
          </w:p>
        </w:tc>
      </w:tr>
      <w:tr>
        <w:trPr>
          <w:trHeight w:val="206"/>
        </w:trPr>
        <w:tc>
          <w:tcPr>
            <w:tcW w:w="4940" w:type="dxa"/>
            <w:vAlign w:val="bottom"/>
          </w:tcPr>
          <w:p>
            <w:pPr>
              <w:jc w:val="center"/>
              <w:ind w:right="8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3200" w:type="dxa"/>
            <w:vAlign w:val="bottom"/>
          </w:tcPr>
          <w:p>
            <w:pPr>
              <w:jc w:val="center"/>
              <w:ind w:left="799"/>
              <w:spacing w:after="0"/>
              <w:rPr>
                <w:sz w:val="20"/>
                <w:szCs w:val="20"/>
                <w:color w:val="auto"/>
              </w:rPr>
            </w:pPr>
            <w:r>
              <w:rPr>
                <w:rFonts w:ascii="Arial" w:cs="Arial" w:eastAsia="Arial" w:hAnsi="Arial"/>
                <w:sz w:val="16"/>
                <w:szCs w:val="16"/>
                <w:i w:val="1"/>
                <w:iCs w:val="1"/>
                <w:color w:val="auto"/>
                <w:w w:val="95"/>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 (</w:t>
      </w:r>
      <w:r>
        <w:rPr>
          <w:rFonts w:ascii="Arial" w:cs="Arial" w:eastAsia="Arial" w:hAnsi="Arial"/>
          <w:sz w:val="16"/>
          <w:szCs w:val="16"/>
          <w:b w:val="1"/>
          <w:bCs w:val="1"/>
          <w:color w:val="auto"/>
        </w:rPr>
        <w:t>847) 705-7709</w:t>
      </w:r>
    </w:p>
    <w:p>
      <w:pPr>
        <w:spacing w:after="0" w:line="99" w:lineRule="exact"/>
        <w:rPr>
          <w:sz w:val="24"/>
          <w:szCs w:val="24"/>
          <w:color w:val="auto"/>
        </w:rPr>
      </w:pPr>
    </w:p>
    <w:p>
      <w:pPr>
        <w:jc w:val="both"/>
        <w:ind w:left="1" w:right="20"/>
        <w:spacing w:after="0" w:line="25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left="1" w:right="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left="1" w:right="20"/>
        <w:spacing w:after="0" w:line="28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tbl>
      <w:tblPr>
        <w:tblLayout w:type="fixed"/>
        <w:tblInd w:w="1" w:type="dxa"/>
        <w:tblCellMar>
          <w:top w:w="0" w:type="dxa"/>
          <w:left w:w="0" w:type="dxa"/>
          <w:bottom w:w="0" w:type="dxa"/>
          <w:right w:w="0" w:type="dxa"/>
        </w:tblCellMar>
      </w:tblPr>
      <w:tr>
        <w:trPr>
          <w:trHeight w:val="194"/>
        </w:trPr>
        <w:tc>
          <w:tcPr>
            <w:tcW w:w="33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tc>
        <w:tc>
          <w:tcPr>
            <w:tcW w:w="3900" w:type="dxa"/>
            <w:vAlign w:val="bottom"/>
          </w:tcPr>
          <w:p>
            <w:pPr>
              <w:ind w:left="16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2200" w:type="dxa"/>
            <w:vAlign w:val="bottom"/>
            <w:vMerge w:val="restart"/>
          </w:tcPr>
          <w:p>
            <w:pPr>
              <w:ind w:left="260"/>
              <w:spacing w:after="0" w:line="184" w:lineRule="exact"/>
              <w:rPr>
                <w:sz w:val="20"/>
                <w:szCs w:val="20"/>
                <w:color w:val="auto"/>
              </w:rPr>
            </w:pPr>
            <w:r>
              <w:rPr>
                <w:rFonts w:ascii="MS PGothic" w:cs="MS PGothic" w:eastAsia="MS PGothic" w:hAnsi="MS PGothic"/>
                <w:sz w:val="16"/>
                <w:szCs w:val="16"/>
                <w:color w:val="auto"/>
                <w:w w:val="91"/>
              </w:rPr>
              <w:t>☐</w:t>
            </w:r>
            <w:r>
              <w:rPr>
                <w:rFonts w:ascii="Arial" w:cs="Arial" w:eastAsia="Arial" w:hAnsi="Arial"/>
                <w:sz w:val="16"/>
                <w:szCs w:val="16"/>
                <w:color w:val="auto"/>
                <w:w w:val="91"/>
              </w:rPr>
              <w:t xml:space="preserve"> Emerging growth company</w:t>
            </w:r>
          </w:p>
        </w:tc>
        <w:tc>
          <w:tcPr>
            <w:tcW w:w="0" w:type="dxa"/>
            <w:vAlign w:val="bottom"/>
          </w:tcPr>
          <w:p>
            <w:pPr>
              <w:spacing w:after="0"/>
              <w:rPr>
                <w:sz w:val="1"/>
                <w:szCs w:val="1"/>
                <w:color w:val="auto"/>
              </w:rPr>
            </w:pPr>
          </w:p>
        </w:tc>
      </w:tr>
      <w:tr>
        <w:trPr>
          <w:trHeight w:val="254"/>
        </w:trPr>
        <w:tc>
          <w:tcPr>
            <w:tcW w:w="33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tc>
        <w:tc>
          <w:tcPr>
            <w:tcW w:w="3900" w:type="dxa"/>
            <w:vAlign w:val="bottom"/>
          </w:tcPr>
          <w:p>
            <w:pPr>
              <w:ind w:left="16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tc>
        <w:tc>
          <w:tcPr>
            <w:tcW w:w="2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left="1"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1" w:right="380"/>
        <w:spacing w:after="0" w:line="20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5"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11"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ACUR</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OTCQB Market</w:t>
            </w:r>
          </w:p>
        </w:tc>
      </w:tr>
      <w:tr>
        <w:trPr>
          <w:trHeight w:val="271"/>
        </w:trPr>
        <w:tc>
          <w:tcPr>
            <w:tcW w:w="9940" w:type="dxa"/>
            <w:vAlign w:val="bottom"/>
            <w:gridSpan w:val="3"/>
          </w:tcPr>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practical date:</w:t>
            </w:r>
          </w:p>
        </w:tc>
      </w:tr>
      <w:tr>
        <w:trPr>
          <w:trHeight w:val="277"/>
        </w:trPr>
        <w:tc>
          <w:tcPr>
            <w:tcW w:w="2980" w:type="dxa"/>
            <w:vAlign w:val="bottom"/>
          </w:tcPr>
          <w:p>
            <w:pPr>
              <w:spacing w:after="0"/>
              <w:rPr>
                <w:sz w:val="20"/>
                <w:szCs w:val="20"/>
                <w:color w:val="auto"/>
              </w:rPr>
            </w:pPr>
            <w:r>
              <w:rPr>
                <w:rFonts w:ascii="Arial" w:cs="Arial" w:eastAsia="Arial" w:hAnsi="Arial"/>
                <w:sz w:val="15"/>
                <w:szCs w:val="15"/>
                <w:color w:val="auto"/>
              </w:rPr>
              <w:t>Common Stock, $0.01 par value</w:t>
            </w:r>
          </w:p>
        </w:tc>
        <w:tc>
          <w:tcPr>
            <w:tcW w:w="6960" w:type="dxa"/>
            <w:vAlign w:val="bottom"/>
            <w:gridSpan w:val="2"/>
          </w:tcPr>
          <w:p>
            <w:pPr>
              <w:ind w:left="1720"/>
              <w:spacing w:after="0"/>
              <w:rPr>
                <w:sz w:val="20"/>
                <w:szCs w:val="20"/>
                <w:color w:val="auto"/>
              </w:rPr>
            </w:pPr>
            <w:r>
              <w:rPr>
                <w:rFonts w:ascii="Arial" w:cs="Arial" w:eastAsia="Arial" w:hAnsi="Arial"/>
                <w:sz w:val="15"/>
                <w:szCs w:val="15"/>
                <w:color w:val="auto"/>
              </w:rPr>
              <w:t>Shares outstanding as of November 12, 2021: 65,089,043</w:t>
            </w:r>
          </w:p>
        </w:tc>
      </w:tr>
      <w:tr>
        <w:trPr>
          <w:trHeight w:val="87"/>
        </w:trPr>
        <w:tc>
          <w:tcPr>
            <w:tcW w:w="298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r>
      <w:tr>
        <w:trPr>
          <w:trHeight w:val="69"/>
        </w:trPr>
        <w:tc>
          <w:tcPr>
            <w:tcW w:w="298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r>
      <w:tr>
        <w:trPr>
          <w:trHeight w:val="598"/>
        </w:trPr>
        <w:tc>
          <w:tcPr>
            <w:tcW w:w="29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941"/>
          </w:cols>
          <w:pgMar w:left="979" w:top="612" w:right="97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 FOR THE QUARTERLY PERIOD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1.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181"/>
              <w:spacing w:after="0"/>
              <w:rPr>
                <w:sz w:val="20"/>
                <w:szCs w:val="20"/>
                <w:color w:val="auto"/>
              </w:rPr>
            </w:pPr>
            <w:r>
              <w:rPr>
                <w:rFonts w:ascii="Arial" w:cs="Arial" w:eastAsia="Arial" w:hAnsi="Arial"/>
                <w:sz w:val="13"/>
                <w:szCs w:val="13"/>
                <w:b w:val="1"/>
                <w:bCs w:val="1"/>
                <w:color w:val="auto"/>
              </w:rPr>
              <w:t>Page No.</w:t>
            </w:r>
          </w:p>
        </w:tc>
      </w:tr>
      <w:tr>
        <w:trPr>
          <w:trHeight w:val="191"/>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20" w:type="dxa"/>
            <w:vAlign w:val="bottom"/>
            <w:gridSpan w:val="2"/>
          </w:tcPr>
          <w:p>
            <w:pPr>
              <w:spacing w:after="0"/>
              <w:rPr>
                <w:sz w:val="16"/>
                <w:szCs w:val="16"/>
                <w:color w:val="auto"/>
              </w:rPr>
            </w:pPr>
          </w:p>
        </w:tc>
        <w:tc>
          <w:tcPr>
            <w:tcW w:w="222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Financial Statements (Unaudited):</w:t>
              </w:r>
            </w:hyperlink>
          </w:p>
        </w:tc>
        <w:tc>
          <w:tcPr>
            <w:tcW w:w="5640" w:type="dxa"/>
            <w:vAlign w:val="bottom"/>
            <w:gridSpan w:val="8"/>
          </w:tcPr>
          <w:p>
            <w:pPr>
              <w:spacing w:after="0"/>
              <w:rPr>
                <w:sz w:val="16"/>
                <w:szCs w:val="16"/>
                <w:color w:val="auto"/>
              </w:rPr>
            </w:pPr>
          </w:p>
        </w:tc>
        <w:tc>
          <w:tcPr>
            <w:tcW w:w="1080" w:type="dxa"/>
            <w:vAlign w:val="bottom"/>
          </w:tcPr>
          <w:p>
            <w:pPr>
              <w:spacing w:after="0"/>
              <w:rPr>
                <w:sz w:val="16"/>
                <w:szCs w:val="16"/>
                <w:color w:val="auto"/>
              </w:rPr>
            </w:pP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1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as of September 30, 2021 and December 31, 2020</w:t>
              </w:r>
            </w:hyperlink>
          </w:p>
        </w:tc>
        <w:tc>
          <w:tcPr>
            <w:tcW w:w="108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13"/>
          </w:tcPr>
          <w:p>
            <w:pPr>
              <w:spacing w:after="0"/>
              <w:rPr>
                <w:rFonts w:ascii="Arial" w:cs="Arial" w:eastAsia="Arial" w:hAnsi="Arial"/>
                <w:sz w:val="16"/>
                <w:szCs w:val="16"/>
                <w:color w:val="0000EE"/>
                <w:w w:val="99"/>
              </w:rPr>
            </w:pPr>
            <w:hyperlink w:anchor="page4">
              <w:r>
                <w:rPr>
                  <w:rFonts w:ascii="Arial" w:cs="Arial" w:eastAsia="Arial" w:hAnsi="Arial"/>
                  <w:sz w:val="16"/>
                  <w:szCs w:val="16"/>
                  <w:color w:val="0000EE"/>
                  <w:w w:val="99"/>
                </w:rPr>
                <w:t>Consolidated Statements of Operations for the Three and Nine months Ended September 30, 2021 and 2020</w:t>
              </w:r>
            </w:hyperlink>
          </w:p>
        </w:tc>
        <w:tc>
          <w:tcPr>
            <w:tcW w:w="1080" w:type="dxa"/>
            <w:vAlign w:val="bottom"/>
          </w:tcPr>
          <w:p>
            <w:pPr>
              <w:jc w:val="right"/>
              <w:spacing w:after="0"/>
              <w:rPr>
                <w:sz w:val="20"/>
                <w:szCs w:val="20"/>
                <w:color w:val="auto"/>
              </w:rPr>
            </w:pPr>
            <w:r>
              <w:rPr>
                <w:rFonts w:ascii="Arial" w:cs="Arial" w:eastAsia="Arial" w:hAnsi="Arial"/>
                <w:sz w:val="16"/>
                <w:szCs w:val="16"/>
                <w:color w:val="auto"/>
              </w:rPr>
              <w:t>F-3</w:t>
            </w: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tcBorders>
              <w:bottom w:val="single" w:sz="8" w:color="0000EE"/>
            </w:tcBorders>
            <w:gridSpan w:val="12"/>
          </w:tcPr>
          <w:p>
            <w:pPr>
              <w:spacing w:after="0"/>
              <w:rPr>
                <w:rFonts w:ascii="Arial" w:cs="Arial" w:eastAsia="Arial" w:hAnsi="Arial"/>
                <w:sz w:val="16"/>
                <w:szCs w:val="16"/>
                <w:color w:val="0000EE"/>
                <w:w w:val="92"/>
              </w:rPr>
            </w:pPr>
            <w:hyperlink w:anchor="page5">
              <w:r>
                <w:rPr>
                  <w:rFonts w:ascii="Arial" w:cs="Arial" w:eastAsia="Arial" w:hAnsi="Arial"/>
                  <w:sz w:val="16"/>
                  <w:szCs w:val="16"/>
                  <w:color w:val="0000EE"/>
                  <w:w w:val="92"/>
                </w:rPr>
                <w:t>Consolidated Statement of Changes in Accumulated Stockholders’ Equity (Deficit) for the Three and Nine months</w:t>
              </w:r>
            </w:hyperlink>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4"/>
        </w:trPr>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740" w:type="dxa"/>
            <w:vAlign w:val="bottom"/>
            <w:gridSpan w:val="13"/>
          </w:tcPr>
          <w:p>
            <w:pPr>
              <w:spacing w:after="0" w:line="175" w:lineRule="exact"/>
              <w:rPr>
                <w:rFonts w:ascii="Arial" w:cs="Arial" w:eastAsia="Arial" w:hAnsi="Arial"/>
                <w:sz w:val="16"/>
                <w:szCs w:val="16"/>
                <w:color w:val="0000EE"/>
              </w:rPr>
            </w:pPr>
            <w:hyperlink w:anchor="page5">
              <w:r>
                <w:rPr>
                  <w:rFonts w:ascii="Arial" w:cs="Arial" w:eastAsia="Arial" w:hAnsi="Arial"/>
                  <w:sz w:val="16"/>
                  <w:szCs w:val="16"/>
                  <w:color w:val="0000EE"/>
                </w:rPr>
                <w:t>Ended September 30, 2021 and 2020</w:t>
              </w:r>
            </w:hyperlink>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F-4</w:t>
            </w: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13"/>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for the Nine months Ended September 30, 2021 and 2020</w:t>
              </w:r>
            </w:hyperlink>
          </w:p>
        </w:tc>
        <w:tc>
          <w:tcPr>
            <w:tcW w:w="108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2"/>
              </w:rPr>
            </w:pPr>
            <w:hyperlink w:anchor="page7">
              <w:r>
                <w:rPr>
                  <w:rFonts w:ascii="Arial" w:cs="Arial" w:eastAsia="Arial" w:hAnsi="Arial"/>
                  <w:sz w:val="16"/>
                  <w:szCs w:val="16"/>
                  <w:color w:val="0000EE"/>
                  <w:w w:val="92"/>
                </w:rPr>
                <w:t>Notes to Consolidated Financial Statements</w:t>
              </w:r>
            </w:hyperlink>
          </w:p>
        </w:tc>
        <w:tc>
          <w:tcPr>
            <w:tcW w:w="3440" w:type="dxa"/>
            <w:vAlign w:val="bottom"/>
            <w:tcBorders>
              <w:top w:val="single" w:sz="8" w:color="0000EE"/>
            </w:tcBorders>
            <w:gridSpan w:val="3"/>
          </w:tcPr>
          <w:p>
            <w:pPr>
              <w:spacing w:after="0"/>
              <w:rPr>
                <w:sz w:val="24"/>
                <w:szCs w:val="24"/>
                <w:color w:val="auto"/>
              </w:rPr>
            </w:pPr>
          </w:p>
        </w:tc>
        <w:tc>
          <w:tcPr>
            <w:tcW w:w="140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368"/>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Item 2.</w:t>
              </w:r>
            </w:hyperlink>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24">
              <w:r>
                <w:rPr>
                  <w:rFonts w:ascii="Arial" w:cs="Arial" w:eastAsia="Arial" w:hAnsi="Arial"/>
                  <w:sz w:val="16"/>
                  <w:szCs w:val="16"/>
                  <w:color w:val="0000EE"/>
                  <w:w w:val="91"/>
                </w:rPr>
                <w:t>Management’s Discussion and Analysis of Financial Condition and Results of Operations</w:t>
              </w:r>
            </w:hyperlink>
          </w:p>
        </w:tc>
        <w:tc>
          <w:tcPr>
            <w:tcW w:w="1940" w:type="dxa"/>
            <w:vAlign w:val="bottom"/>
            <w:gridSpan w:val="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F-23</w:t>
            </w:r>
          </w:p>
        </w:tc>
      </w:tr>
      <w:tr>
        <w:trPr>
          <w:trHeight w:val="368"/>
        </w:trPr>
        <w:tc>
          <w:tcPr>
            <w:tcW w:w="460" w:type="dxa"/>
            <w:vAlign w:val="bottom"/>
          </w:tcPr>
          <w:p>
            <w:pPr>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Item 4.</w:t>
              </w:r>
            </w:hyperlink>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13"/>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Controls and Procedures</w:t>
              </w:r>
            </w:hyperlink>
          </w:p>
        </w:tc>
        <w:tc>
          <w:tcPr>
            <w:tcW w:w="1080" w:type="dxa"/>
            <w:vAlign w:val="bottom"/>
          </w:tcPr>
          <w:p>
            <w:pPr>
              <w:jc w:val="right"/>
              <w:spacing w:after="0"/>
              <w:rPr>
                <w:sz w:val="20"/>
                <w:szCs w:val="20"/>
                <w:color w:val="auto"/>
              </w:rPr>
            </w:pPr>
            <w:r>
              <w:rPr>
                <w:rFonts w:ascii="Arial" w:cs="Arial" w:eastAsia="Arial" w:hAnsi="Arial"/>
                <w:sz w:val="16"/>
                <w:szCs w:val="16"/>
                <w:color w:val="auto"/>
              </w:rPr>
              <w:t>F-42</w:t>
            </w: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68"/>
        </w:trPr>
        <w:tc>
          <w:tcPr>
            <w:tcW w:w="8840" w:type="dxa"/>
            <w:vAlign w:val="bottom"/>
            <w:gridSpan w:val="17"/>
          </w:tcPr>
          <w:p>
            <w:pPr>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Part II. OTHER INFORMATION</w:t>
              </w:r>
            </w:hyperlink>
          </w:p>
        </w:tc>
        <w:tc>
          <w:tcPr>
            <w:tcW w:w="1080" w:type="dxa"/>
            <w:vAlign w:val="bottom"/>
          </w:tcPr>
          <w:p>
            <w:pPr>
              <w:spacing w:after="0"/>
              <w:rPr>
                <w:sz w:val="24"/>
                <w:szCs w:val="24"/>
                <w:color w:val="auto"/>
              </w:rPr>
            </w:pPr>
          </w:p>
        </w:tc>
      </w:tr>
      <w:tr>
        <w:trPr>
          <w:trHeight w:val="368"/>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Item 1.</w:t>
              </w:r>
            </w:hyperlink>
          </w:p>
        </w:tc>
        <w:tc>
          <w:tcPr>
            <w:tcW w:w="52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Legal Proceedings</w:t>
              </w:r>
            </w:hyperlink>
          </w:p>
        </w:tc>
        <w:tc>
          <w:tcPr>
            <w:tcW w:w="60" w:type="dxa"/>
            <w:vAlign w:val="bottom"/>
            <w:tcBorders>
              <w:top w:val="single" w:sz="8" w:color="0000EE"/>
            </w:tcBorders>
          </w:tcPr>
          <w:p>
            <w:pPr>
              <w:spacing w:after="0"/>
              <w:rPr>
                <w:sz w:val="24"/>
                <w:szCs w:val="24"/>
                <w:color w:val="auto"/>
              </w:rPr>
            </w:pPr>
          </w:p>
        </w:tc>
        <w:tc>
          <w:tcPr>
            <w:tcW w:w="648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F-43</w:t>
            </w:r>
          </w:p>
        </w:tc>
      </w:tr>
      <w:tr>
        <w:trPr>
          <w:trHeight w:val="404"/>
        </w:trPr>
        <w:tc>
          <w:tcPr>
            <w:tcW w:w="98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120" w:type="dxa"/>
            <w:vAlign w:val="bottom"/>
          </w:tcPr>
          <w:p>
            <w:pPr>
              <w:spacing w:after="0"/>
              <w:rPr>
                <w:sz w:val="24"/>
                <w:szCs w:val="24"/>
                <w:color w:val="auto"/>
              </w:rPr>
            </w:pPr>
          </w:p>
        </w:tc>
        <w:tc>
          <w:tcPr>
            <w:tcW w:w="7740" w:type="dxa"/>
            <w:vAlign w:val="bottom"/>
            <w:gridSpan w:val="13"/>
          </w:tcPr>
          <w:p>
            <w:pPr>
              <w:spacing w:after="0"/>
              <w:rPr>
                <w:sz w:val="20"/>
                <w:szCs w:val="20"/>
                <w:color w:val="auto"/>
              </w:rPr>
            </w:pPr>
            <w:r>
              <w:rPr>
                <w:rFonts w:ascii="Arial" w:cs="Arial" w:eastAsia="Arial" w:hAnsi="Arial"/>
                <w:sz w:val="16"/>
                <w:szCs w:val="16"/>
                <w:color w:val="auto"/>
              </w:rPr>
              <w:t>Risk Factors</w:t>
            </w:r>
          </w:p>
        </w:tc>
        <w:tc>
          <w:tcPr>
            <w:tcW w:w="1080" w:type="dxa"/>
            <w:vAlign w:val="bottom"/>
          </w:tcPr>
          <w:p>
            <w:pPr>
              <w:spacing w:after="0"/>
              <w:rPr>
                <w:sz w:val="24"/>
                <w:szCs w:val="24"/>
                <w:color w:val="auto"/>
              </w:rPr>
            </w:pPr>
          </w:p>
        </w:tc>
      </w:tr>
      <w:tr>
        <w:trPr>
          <w:trHeight w:val="352"/>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Item 6.</w:t>
              </w:r>
            </w:hyperlink>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44">
              <w:r>
                <w:rPr>
                  <w:rFonts w:ascii="Arial" w:cs="Arial" w:eastAsia="Arial" w:hAnsi="Arial"/>
                  <w:sz w:val="16"/>
                  <w:szCs w:val="16"/>
                  <w:color w:val="0000EE"/>
                  <w:w w:val="92"/>
                </w:rPr>
                <w:t>Exhibits</w:t>
              </w:r>
            </w:hyperlink>
          </w:p>
        </w:tc>
        <w:tc>
          <w:tcPr>
            <w:tcW w:w="7200" w:type="dxa"/>
            <w:vAlign w:val="bottom"/>
            <w:gridSpan w:val="1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F-43</w:t>
            </w:r>
          </w:p>
        </w:tc>
      </w:tr>
      <w:tr>
        <w:trPr>
          <w:trHeight w:val="368"/>
        </w:trPr>
        <w:tc>
          <w:tcPr>
            <w:tcW w:w="980" w:type="dxa"/>
            <w:vAlign w:val="bottom"/>
            <w:gridSpan w:val="3"/>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Signatures</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F-44</w:t>
            </w: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Unless otherwise indicated or the context otherwise requires, references to the “Company”, “registrant”,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 Interim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 except par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w w:val="86"/>
              </w:rPr>
              <w:t>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00"/>
              <w:spacing w:after="0"/>
              <w:rPr>
                <w:sz w:val="20"/>
                <w:szCs w:val="20"/>
                <w:color w:val="auto"/>
              </w:rPr>
            </w:pPr>
            <w:r>
              <w:rPr>
                <w:rFonts w:ascii="Arial" w:cs="Arial" w:eastAsia="Arial" w:hAnsi="Arial"/>
                <w:sz w:val="13"/>
                <w:szCs w:val="13"/>
                <w:color w:val="auto"/>
                <w:w w:val="90"/>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Cash</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Royalty receivable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Collaboration revenue receivable from related party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License fee revenue receivable from related party</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Finance lease right of use (Note 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 (Note 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Intangible asset, net (Note 2)</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expenses (Note 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Finance lease liability - current (Note 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Loans under CARES Act (Note 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Other current liabilities (Note 10)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interest to related party (Note 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Convertible debt to related party, net of discounts (Note 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Finance lease liability - noncurrent (Note 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Loans under CARES Act - noncurrent (Note 7)</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7,627</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w w:val="92"/>
              </w:rPr>
              <w:t>Common stock - $0.01 par value per share; 100,000 shares authorized, 65,089 and 21,650 shares issued and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outstanding at September 30, 2021 and December 31, 2020, respectively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383,097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(390,112)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80"/>
        </w:trPr>
        <w:tc>
          <w:tcPr>
            <w:tcW w:w="7320" w:type="dxa"/>
            <w:vAlign w:val="bottom"/>
            <w:gridSpan w:val="2"/>
          </w:tcPr>
          <w:p>
            <w:pPr>
              <w:spacing w:after="0"/>
              <w:rPr>
                <w:sz w:val="20"/>
                <w:szCs w:val="20"/>
                <w:color w:val="auto"/>
              </w:rPr>
            </w:pPr>
            <w:r>
              <w:rPr>
                <w:rFonts w:ascii="Arial" w:cs="Arial" w:eastAsia="Arial" w:hAnsi="Arial"/>
                <w:sz w:val="16"/>
                <w:szCs w:val="16"/>
                <w:color w:val="auto"/>
              </w:rPr>
              <w:t>See accompanying notes to unaudited consolidated 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0"/>
        </w:trPr>
        <w:tc>
          <w:tcPr>
            <w:tcW w:w="20" w:type="dxa"/>
            <w:vAlign w:val="bottom"/>
          </w:tcPr>
          <w:p>
            <w:pPr>
              <w:spacing w:after="0"/>
              <w:rPr>
                <w:sz w:val="24"/>
                <w:szCs w:val="24"/>
                <w:color w:val="auto"/>
              </w:rPr>
            </w:pPr>
          </w:p>
        </w:tc>
        <w:tc>
          <w:tcPr>
            <w:tcW w:w="7300" w:type="dxa"/>
            <w:vAlign w:val="bottom"/>
          </w:tcPr>
          <w:p>
            <w:pPr>
              <w:ind w:left="4840"/>
              <w:spacing w:after="0"/>
              <w:rPr>
                <w:sz w:val="20"/>
                <w:szCs w:val="20"/>
                <w:color w:val="auto"/>
              </w:rPr>
            </w:pPr>
            <w:r>
              <w:rPr>
                <w:rFonts w:ascii="Arial" w:cs="Arial" w:eastAsia="Arial" w:hAnsi="Arial"/>
                <w:sz w:val="16"/>
                <w:szCs w:val="16"/>
                <w:color w:val="auto"/>
              </w:rPr>
              <w:t>F-2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9" w:right="9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ind w:left="400"/>
              <w:spacing w:after="0"/>
              <w:rPr>
                <w:sz w:val="20"/>
                <w:szCs w:val="20"/>
                <w:color w:val="auto"/>
              </w:rPr>
            </w:pPr>
            <w:r>
              <w:rPr>
                <w:rFonts w:ascii="Arial" w:cs="Arial" w:eastAsia="Arial" w:hAnsi="Arial"/>
                <w:sz w:val="13"/>
                <w:szCs w:val="13"/>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Arial" w:cs="Arial" w:eastAsia="Arial" w:hAnsi="Arial"/>
                <w:sz w:val="13"/>
                <w:szCs w:val="13"/>
                <w:color w:val="auto"/>
              </w:rPr>
              <w:t>Nine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3"/>
                <w:szCs w:val="13"/>
                <w:color w:val="auto"/>
              </w:rPr>
              <w:t>September 30,</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3"/>
                <w:szCs w:val="13"/>
                <w:color w:val="auto"/>
              </w:rPr>
              <w:t>September 30,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1"/>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1"/>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3"/>
                <w:szCs w:val="13"/>
                <w:color w:val="auto"/>
                <w:w w:val="89"/>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Arial" w:cs="Arial" w:eastAsia="Arial" w:hAnsi="Arial"/>
                <w:sz w:val="16"/>
                <w:szCs w:val="16"/>
                <w:color w:val="auto"/>
              </w:rPr>
              <w:t>Royalties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6"/>
                <w:szCs w:val="16"/>
                <w:color w:val="auto"/>
              </w:rPr>
            </w:pP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6"/>
                <w:szCs w:val="16"/>
                <w:color w:val="auto"/>
              </w:rPr>
            </w:pPr>
          </w:p>
        </w:tc>
        <w:tc>
          <w:tcPr>
            <w:tcW w:w="52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Collaboration - related party</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Arial" w:cs="Arial" w:eastAsia="Arial" w:hAnsi="Arial"/>
                <w:sz w:val="16"/>
                <w:szCs w:val="16"/>
                <w:color w:val="auto"/>
              </w:rPr>
              <w:t>License fees - related party</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 sales, net of allowance (Note 3)</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Gain on forgiveness of a loan under CARES Act (Note 7)</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 related party (Note 7)</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Net loss per share: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(0.00)</w:t>
            </w:r>
          </w:p>
        </w:tc>
        <w:tc>
          <w:tcPr>
            <w:tcW w:w="4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(0.02)</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52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(0.00)</w:t>
            </w: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(0.02)</w:t>
            </w:r>
          </w:p>
        </w:tc>
        <w:tc>
          <w:tcPr>
            <w:tcW w:w="52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75,561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32,336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50,464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ACCUMULATED STOCKHOLDERS’ EQUITY (DEFICIT)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2260" w:type="dxa"/>
            <w:vAlign w:val="bottom"/>
            <w:gridSpan w:val="5"/>
          </w:tcPr>
          <w:p>
            <w:pPr>
              <w:ind w:left="60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color w:val="auto"/>
                <w:w w:val="98"/>
              </w:rPr>
              <w:t>Additional</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09"/>
        </w:trPr>
        <w:tc>
          <w:tcPr>
            <w:tcW w:w="4180" w:type="dxa"/>
            <w:vAlign w:val="bottom"/>
          </w:tcPr>
          <w:p>
            <w:pPr>
              <w:spacing w:after="0"/>
              <w:rPr>
                <w:sz w:val="9"/>
                <w:szCs w:val="9"/>
                <w:color w:val="auto"/>
              </w:rPr>
            </w:pPr>
          </w:p>
        </w:tc>
        <w:tc>
          <w:tcPr>
            <w:tcW w:w="106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color w:val="auto"/>
                <w:w w:val="98"/>
              </w:rPr>
              <w:t>Number</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01"/>
              <w:spacing w:after="0" w:line="110" w:lineRule="exact"/>
              <w:rPr>
                <w:sz w:val="20"/>
                <w:szCs w:val="20"/>
                <w:color w:val="auto"/>
              </w:rPr>
            </w:pPr>
            <w:r>
              <w:rPr>
                <w:rFonts w:ascii="Arial" w:cs="Arial" w:eastAsia="Arial" w:hAnsi="Arial"/>
                <w:sz w:val="12"/>
                <w:szCs w:val="12"/>
                <w:color w:val="auto"/>
                <w:w w:val="95"/>
              </w:rPr>
              <w:t>$0.01 Par</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400"/>
              <w:spacing w:after="0" w:line="110" w:lineRule="exact"/>
              <w:rPr>
                <w:sz w:val="20"/>
                <w:szCs w:val="20"/>
                <w:color w:val="auto"/>
              </w:rPr>
            </w:pPr>
            <w:r>
              <w:rPr>
                <w:rFonts w:ascii="Arial" w:cs="Arial" w:eastAsia="Arial" w:hAnsi="Arial"/>
                <w:sz w:val="12"/>
                <w:szCs w:val="12"/>
                <w:color w:val="auto"/>
              </w:rPr>
              <w:t>Paid-in</w:t>
            </w:r>
          </w:p>
        </w:tc>
        <w:tc>
          <w:tcPr>
            <w:tcW w:w="120" w:type="dxa"/>
            <w:vAlign w:val="bottom"/>
          </w:tcPr>
          <w:p>
            <w:pPr>
              <w:spacing w:after="0"/>
              <w:rPr>
                <w:sz w:val="9"/>
                <w:szCs w:val="9"/>
                <w:color w:val="auto"/>
              </w:rPr>
            </w:pPr>
          </w:p>
        </w:tc>
        <w:tc>
          <w:tcPr>
            <w:tcW w:w="1160" w:type="dxa"/>
            <w:vAlign w:val="bottom"/>
            <w:gridSpan w:val="2"/>
          </w:tcPr>
          <w:p>
            <w:pPr>
              <w:jc w:val="center"/>
              <w:ind w:right="340"/>
              <w:spacing w:after="0" w:line="110" w:lineRule="exact"/>
              <w:rPr>
                <w:sz w:val="20"/>
                <w:szCs w:val="20"/>
                <w:color w:val="auto"/>
              </w:rPr>
            </w:pPr>
            <w:r>
              <w:rPr>
                <w:rFonts w:ascii="Arial" w:cs="Arial" w:eastAsia="Arial" w:hAnsi="Arial"/>
                <w:sz w:val="12"/>
                <w:szCs w:val="12"/>
                <w:color w:val="auto"/>
              </w:rPr>
              <w:t>Accumulated</w:t>
            </w: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49"/>
        </w:trPr>
        <w:tc>
          <w:tcPr>
            <w:tcW w:w="41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of Shares</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color w:val="auto"/>
                <w:w w:val="90"/>
              </w:rPr>
              <w:t>Value</w:t>
            </w:r>
          </w:p>
        </w:tc>
        <w:tc>
          <w:tcPr>
            <w:tcW w:w="140" w:type="dxa"/>
            <w:vAlign w:val="bottom"/>
          </w:tcPr>
          <w:p>
            <w:pPr>
              <w:spacing w:after="0"/>
              <w:rPr>
                <w:sz w:val="12"/>
                <w:szCs w:val="12"/>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color w:val="auto"/>
                <w:w w:val="93"/>
              </w:rPr>
              <w:t>Capital</w:t>
            </w:r>
          </w:p>
        </w:tc>
        <w:tc>
          <w:tcPr>
            <w:tcW w:w="12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color w:val="auto"/>
                <w:w w:val="99"/>
              </w:rPr>
              <w:t>Deficit</w:t>
            </w:r>
          </w:p>
        </w:tc>
        <w:tc>
          <w:tcPr>
            <w:tcW w:w="240" w:type="dxa"/>
            <w:vAlign w:val="bottom"/>
          </w:tcPr>
          <w:p>
            <w:pPr>
              <w:spacing w:after="0"/>
              <w:rPr>
                <w:sz w:val="12"/>
                <w:szCs w:val="12"/>
                <w:color w:val="auto"/>
              </w:rPr>
            </w:pPr>
          </w:p>
        </w:tc>
        <w:tc>
          <w:tcPr>
            <w:tcW w:w="760" w:type="dxa"/>
            <w:vAlign w:val="bottom"/>
          </w:tcPr>
          <w:p>
            <w:pPr>
              <w:jc w:val="right"/>
              <w:ind w:right="280"/>
              <w:spacing w:after="0"/>
              <w:rPr>
                <w:sz w:val="20"/>
                <w:szCs w:val="20"/>
                <w:color w:val="auto"/>
              </w:rPr>
            </w:pPr>
            <w:r>
              <w:rPr>
                <w:rFonts w:ascii="Arial" w:cs="Arial" w:eastAsia="Arial" w:hAnsi="Arial"/>
                <w:sz w:val="13"/>
                <w:szCs w:val="13"/>
                <w:color w:val="auto"/>
              </w:rPr>
              <w:t>Total</w:t>
            </w:r>
          </w:p>
        </w:tc>
      </w:tr>
      <w:tr>
        <w:trPr>
          <w:trHeight w:val="18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383,097</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(389,204)</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(5,891)</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182"/>
        </w:trPr>
        <w:tc>
          <w:tcPr>
            <w:tcW w:w="4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distribution of common stock pursuant to restricted</w:t>
            </w: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stock unit award plan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22,105</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383,105</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(389,463)</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(6,137)</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Conversion of debt principal</w:t>
            </w:r>
          </w:p>
        </w:tc>
        <w:tc>
          <w:tcPr>
            <w:tcW w:w="820" w:type="dxa"/>
            <w:vAlign w:val="bottom"/>
          </w:tcPr>
          <w:p>
            <w:pPr>
              <w:jc w:val="right"/>
              <w:spacing w:after="0"/>
              <w:rPr>
                <w:sz w:val="20"/>
                <w:szCs w:val="20"/>
                <w:color w:val="auto"/>
              </w:rPr>
            </w:pPr>
            <w:r>
              <w:rPr>
                <w:rFonts w:ascii="Arial" w:cs="Arial" w:eastAsia="Arial" w:hAnsi="Arial"/>
                <w:sz w:val="16"/>
                <w:szCs w:val="16"/>
                <w:color w:val="auto"/>
              </w:rPr>
              <w:t>37,500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Conversion of debt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186"/>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65,089</w:t>
            </w:r>
          </w:p>
        </w:tc>
        <w:tc>
          <w:tcPr>
            <w:tcW w:w="2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w:t>
            </w:r>
          </w:p>
        </w:tc>
        <w:tc>
          <w:tcPr>
            <w:tcW w:w="2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389,581</w:t>
            </w:r>
          </w:p>
        </w:tc>
        <w:tc>
          <w:tcPr>
            <w:tcW w:w="2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(389,850)</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r>
      <w:tr>
        <w:trPr>
          <w:trHeight w:val="198"/>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Non-cash stock-based compensation</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98"/>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65,089</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389,596</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(390,112)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r>
      <w:tr>
        <w:trPr>
          <w:trHeight w:val="316"/>
        </w:trPr>
        <w:tc>
          <w:tcPr>
            <w:tcW w:w="4180" w:type="dxa"/>
            <w:vAlign w:val="bottom"/>
          </w:tcPr>
          <w:p>
            <w:pPr>
              <w:spacing w:after="0"/>
              <w:rPr>
                <w:sz w:val="24"/>
                <w:szCs w:val="24"/>
                <w:color w:val="auto"/>
              </w:rPr>
            </w:pPr>
          </w:p>
        </w:tc>
        <w:tc>
          <w:tcPr>
            <w:tcW w:w="2260" w:type="dxa"/>
            <w:vAlign w:val="bottom"/>
            <w:gridSpan w:val="5"/>
          </w:tcPr>
          <w:p>
            <w:pPr>
              <w:ind w:left="60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color w:val="auto"/>
                <w:w w:val="98"/>
              </w:rPr>
              <w:t>Additional</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33"/>
        </w:trPr>
        <w:tc>
          <w:tcPr>
            <w:tcW w:w="4180" w:type="dxa"/>
            <w:vAlign w:val="bottom"/>
          </w:tcPr>
          <w:p>
            <w:pPr>
              <w:spacing w:after="0"/>
              <w:rPr>
                <w:sz w:val="11"/>
                <w:szCs w:val="11"/>
                <w:color w:val="auto"/>
              </w:rPr>
            </w:pPr>
          </w:p>
        </w:tc>
        <w:tc>
          <w:tcPr>
            <w:tcW w:w="1060" w:type="dxa"/>
            <w:vAlign w:val="bottom"/>
            <w:gridSpan w:val="2"/>
          </w:tcPr>
          <w:p>
            <w:pPr>
              <w:jc w:val="center"/>
              <w:ind w:right="280"/>
              <w:spacing w:after="0" w:line="134" w:lineRule="exact"/>
              <w:rPr>
                <w:sz w:val="20"/>
                <w:szCs w:val="20"/>
                <w:color w:val="auto"/>
              </w:rPr>
            </w:pPr>
            <w:r>
              <w:rPr>
                <w:rFonts w:ascii="Arial" w:cs="Arial" w:eastAsia="Arial" w:hAnsi="Arial"/>
                <w:sz w:val="13"/>
                <w:szCs w:val="13"/>
                <w:color w:val="auto"/>
                <w:w w:val="90"/>
              </w:rPr>
              <w:t>Number</w:t>
            </w:r>
          </w:p>
        </w:tc>
        <w:tc>
          <w:tcPr>
            <w:tcW w:w="160" w:type="dxa"/>
            <w:vAlign w:val="bottom"/>
          </w:tcPr>
          <w:p>
            <w:pPr>
              <w:spacing w:after="0"/>
              <w:rPr>
                <w:sz w:val="11"/>
                <w:szCs w:val="11"/>
                <w:color w:val="auto"/>
              </w:rPr>
            </w:pPr>
          </w:p>
        </w:tc>
        <w:tc>
          <w:tcPr>
            <w:tcW w:w="1040" w:type="dxa"/>
            <w:vAlign w:val="bottom"/>
            <w:gridSpan w:val="2"/>
          </w:tcPr>
          <w:p>
            <w:pPr>
              <w:jc w:val="center"/>
              <w:ind w:right="420"/>
              <w:spacing w:after="0" w:line="134" w:lineRule="exact"/>
              <w:rPr>
                <w:sz w:val="20"/>
                <w:szCs w:val="20"/>
                <w:color w:val="auto"/>
              </w:rPr>
            </w:pPr>
            <w:r>
              <w:rPr>
                <w:rFonts w:ascii="Arial" w:cs="Arial" w:eastAsia="Arial" w:hAnsi="Arial"/>
                <w:sz w:val="13"/>
                <w:szCs w:val="13"/>
                <w:color w:val="auto"/>
                <w:w w:val="88"/>
              </w:rPr>
              <w:t>$0.01 Par</w:t>
            </w:r>
          </w:p>
        </w:tc>
        <w:tc>
          <w:tcPr>
            <w:tcW w:w="140" w:type="dxa"/>
            <w:vAlign w:val="bottom"/>
          </w:tcPr>
          <w:p>
            <w:pPr>
              <w:spacing w:after="0"/>
              <w:rPr>
                <w:sz w:val="11"/>
                <w:szCs w:val="11"/>
                <w:color w:val="auto"/>
              </w:rPr>
            </w:pPr>
          </w:p>
        </w:tc>
        <w:tc>
          <w:tcPr>
            <w:tcW w:w="1060" w:type="dxa"/>
            <w:vAlign w:val="bottom"/>
            <w:gridSpan w:val="2"/>
          </w:tcPr>
          <w:p>
            <w:pPr>
              <w:jc w:val="center"/>
              <w:ind w:right="420"/>
              <w:spacing w:after="0" w:line="134" w:lineRule="exact"/>
              <w:rPr>
                <w:sz w:val="20"/>
                <w:szCs w:val="20"/>
                <w:color w:val="auto"/>
              </w:rPr>
            </w:pPr>
            <w:r>
              <w:rPr>
                <w:rFonts w:ascii="Arial" w:cs="Arial" w:eastAsia="Arial" w:hAnsi="Arial"/>
                <w:sz w:val="13"/>
                <w:szCs w:val="13"/>
                <w:color w:val="auto"/>
                <w:w w:val="88"/>
              </w:rPr>
              <w:t>Paid-in</w:t>
            </w: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4" w:lineRule="exact"/>
              <w:rPr>
                <w:sz w:val="20"/>
                <w:szCs w:val="20"/>
                <w:color w:val="auto"/>
              </w:rPr>
            </w:pPr>
            <w:r>
              <w:rPr>
                <w:rFonts w:ascii="Arial" w:cs="Arial" w:eastAsia="Arial" w:hAnsi="Arial"/>
                <w:sz w:val="13"/>
                <w:szCs w:val="13"/>
                <w:color w:val="auto"/>
                <w:w w:val="93"/>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of Shares</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color w:val="auto"/>
                <w:w w:val="90"/>
              </w:rPr>
              <w:t>Value</w:t>
            </w:r>
          </w:p>
        </w:tc>
        <w:tc>
          <w:tcPr>
            <w:tcW w:w="140" w:type="dxa"/>
            <w:vAlign w:val="bottom"/>
          </w:tcPr>
          <w:p>
            <w:pPr>
              <w:spacing w:after="0"/>
              <w:rPr>
                <w:sz w:val="12"/>
                <w:szCs w:val="12"/>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color w:val="auto"/>
                <w:w w:val="93"/>
              </w:rPr>
              <w:t>Capital</w:t>
            </w:r>
          </w:p>
        </w:tc>
        <w:tc>
          <w:tcPr>
            <w:tcW w:w="12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color w:val="auto"/>
                <w:w w:val="99"/>
              </w:rPr>
              <w:t>Deficit</w:t>
            </w:r>
          </w:p>
        </w:tc>
        <w:tc>
          <w:tcPr>
            <w:tcW w:w="240" w:type="dxa"/>
            <w:vAlign w:val="bottom"/>
          </w:tcPr>
          <w:p>
            <w:pPr>
              <w:spacing w:after="0"/>
              <w:rPr>
                <w:sz w:val="12"/>
                <w:szCs w:val="12"/>
                <w:color w:val="auto"/>
              </w:rPr>
            </w:pPr>
          </w:p>
        </w:tc>
        <w:tc>
          <w:tcPr>
            <w:tcW w:w="760" w:type="dxa"/>
            <w:vAlign w:val="bottom"/>
          </w:tcPr>
          <w:p>
            <w:pPr>
              <w:jc w:val="right"/>
              <w:ind w:right="280"/>
              <w:spacing w:after="0"/>
              <w:rPr>
                <w:sz w:val="20"/>
                <w:szCs w:val="20"/>
                <w:color w:val="auto"/>
              </w:rPr>
            </w:pPr>
            <w:r>
              <w:rPr>
                <w:rFonts w:ascii="Arial" w:cs="Arial" w:eastAsia="Arial" w:hAnsi="Arial"/>
                <w:sz w:val="13"/>
                <w:szCs w:val="13"/>
                <w:color w:val="auto"/>
              </w:rPr>
              <w:t>Total</w:t>
            </w:r>
          </w:p>
        </w:tc>
      </w:tr>
      <w:tr>
        <w:trPr>
          <w:trHeight w:val="18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383,042</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(387,996)</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(4,741)</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82"/>
        </w:trPr>
        <w:tc>
          <w:tcPr>
            <w:tcW w:w="4180" w:type="dxa"/>
            <w:vAlign w:val="bottom"/>
          </w:tcPr>
          <w:p>
            <w:pPr>
              <w:spacing w:after="0" w:line="181" w:lineRule="exact"/>
              <w:rPr>
                <w:sz w:val="20"/>
                <w:szCs w:val="20"/>
                <w:color w:val="auto"/>
              </w:rPr>
            </w:pPr>
            <w:r>
              <w:rPr>
                <w:rFonts w:ascii="Arial" w:cs="Arial" w:eastAsia="Arial" w:hAnsi="Arial"/>
                <w:sz w:val="16"/>
                <w:szCs w:val="16"/>
                <w:color w:val="auto"/>
              </w:rPr>
              <w:t>Net distribution of common stock pursuant to restricted</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stock unit award plan</w:t>
            </w:r>
          </w:p>
        </w:tc>
        <w:tc>
          <w:tcPr>
            <w:tcW w:w="820" w:type="dxa"/>
            <w:vAlign w:val="bottom"/>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7"/>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383,070</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(388,591)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(5,305)</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Balance at 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383,079</w:t>
            </w:r>
          </w:p>
        </w:tc>
        <w:tc>
          <w:tcPr>
            <w:tcW w:w="2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(388,283)</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(4,988)</w:t>
            </w:r>
          </w:p>
        </w:tc>
      </w:tr>
      <w:tr>
        <w:trPr>
          <w:trHeight w:val="18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Non-cash stock-based compensation</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383,088</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(388,961)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(5,657)</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4"/>
          </w:tcPr>
          <w:p>
            <w:pPr>
              <w:jc w:val="right"/>
              <w:spacing w:after="0"/>
              <w:rPr>
                <w:sz w:val="20"/>
                <w:szCs w:val="20"/>
                <w:color w:val="auto"/>
              </w:rPr>
            </w:pPr>
            <w:r>
              <w:rPr>
                <w:rFonts w:ascii="Arial" w:cs="Arial" w:eastAsia="Arial" w:hAnsi="Arial"/>
                <w:sz w:val="13"/>
                <w:szCs w:val="13"/>
                <w:color w:val="auto"/>
                <w:w w:val="87"/>
              </w:rPr>
              <w:t>Nine months Ended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3"/>
                <w:szCs w:val="13"/>
                <w:color w:val="auto"/>
                <w:w w:val="98"/>
              </w:rPr>
              <w:t>September 30,</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5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2021</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3"/>
                <w:szCs w:val="13"/>
                <w:color w:val="auto"/>
                <w:w w:val="82"/>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80"/>
              <w:spacing w:after="0"/>
              <w:rPr>
                <w:sz w:val="20"/>
                <w:szCs w:val="20"/>
                <w:color w:val="auto"/>
              </w:rPr>
            </w:pPr>
            <w:r>
              <w:rPr>
                <w:rFonts w:ascii="Arial" w:cs="Arial" w:eastAsia="Arial" w:hAnsi="Arial"/>
                <w:sz w:val="16"/>
                <w:szCs w:val="16"/>
                <w:color w:val="auto"/>
              </w:rPr>
              <w:t>Net loss</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(908)</w:t>
            </w:r>
          </w:p>
        </w:tc>
        <w:tc>
          <w:tcPr>
            <w:tcW w:w="52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Amortization of intangible asset</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right of use asset</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Impairment charge on intangible asset</w:t>
            </w:r>
          </w:p>
        </w:tc>
        <w:tc>
          <w:tcPr>
            <w:tcW w:w="66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Changes in assets and liabilities: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Royalty receivable</w:t>
            </w:r>
          </w:p>
        </w:tc>
        <w:tc>
          <w:tcPr>
            <w:tcW w:w="6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Collaboration revenue receivable from related party</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License fee receivable from related party</w:t>
            </w:r>
          </w:p>
        </w:tc>
        <w:tc>
          <w:tcPr>
            <w:tcW w:w="66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Income taxes refundable</w:t>
            </w:r>
          </w:p>
        </w:tc>
        <w:tc>
          <w:tcPr>
            <w:tcW w:w="66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Lease liability</w:t>
            </w:r>
          </w:p>
        </w:tc>
        <w:tc>
          <w:tcPr>
            <w:tcW w:w="6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Sales return liability</w:t>
            </w:r>
          </w:p>
        </w:tc>
        <w:tc>
          <w:tcPr>
            <w:tcW w:w="66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interest on related party loans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current liabilities</w:t>
            </w: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in operating activities</w:t>
            </w:r>
          </w:p>
        </w:tc>
        <w:tc>
          <w:tcPr>
            <w:tcW w:w="6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distribution of restricted stock units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Statutory minimum payroll withholding taxes paid on the distribution of shares under a RSU award plan</w:t>
            </w:r>
          </w:p>
        </w:tc>
        <w:tc>
          <w:tcPr>
            <w:tcW w:w="6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loan under CARES Act</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Gain on forgiveness of a loan under CARES Act</w:t>
            </w:r>
          </w:p>
        </w:tc>
        <w:tc>
          <w:tcPr>
            <w:tcW w:w="6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(269)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Net decrease in cash</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(324)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at beginning of period</w:t>
            </w:r>
          </w:p>
        </w:tc>
        <w:tc>
          <w:tcPr>
            <w:tcW w:w="6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at end of end of period</w:t>
            </w: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paid for income taxes</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tcPr>
          <w:p>
            <w:pPr>
              <w:ind w:left="80"/>
              <w:spacing w:after="0"/>
              <w:rPr>
                <w:sz w:val="20"/>
                <w:szCs w:val="20"/>
                <w:color w:val="auto"/>
              </w:rPr>
            </w:pPr>
            <w:r>
              <w:rPr>
                <w:rFonts w:ascii="Arial" w:cs="Arial" w:eastAsia="Arial" w:hAnsi="Arial"/>
                <w:sz w:val="16"/>
                <w:szCs w:val="16"/>
                <w:color w:val="auto"/>
              </w:rPr>
              <w:t>Cash paid for interest</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ind w:left="1000" w:right="2320"/>
        <w:spacing w:after="0" w:line="270" w:lineRule="auto"/>
        <w:rPr>
          <w:sz w:val="20"/>
          <w:szCs w:val="20"/>
          <w:color w:val="auto"/>
        </w:rPr>
      </w:pPr>
      <w:r>
        <w:rPr>
          <w:rFonts w:ascii="Arial" w:cs="Arial" w:eastAsia="Arial" w:hAnsi="Arial"/>
          <w:sz w:val="16"/>
          <w:szCs w:val="16"/>
          <w:b w:val="1"/>
          <w:bCs w:val="1"/>
          <w:color w:val="auto"/>
        </w:rPr>
        <w:t>ACURA PHARMACEUTICALS, INC. NOTES TO UNAUDITED CONSOLIDATED FINANCIAL STATEMENTS SEPTEMBER 30, 2021 AND MARCH 31,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OPERATIONS AND SUMMARY OF 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Principal Operations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59" w:lineRule="exact"/>
        <w:rPr>
          <w:sz w:val="20"/>
          <w:szCs w:val="20"/>
          <w:color w:val="auto"/>
        </w:rPr>
      </w:pPr>
    </w:p>
    <w:p>
      <w:pPr>
        <w:jc w:val="both"/>
        <w:ind w:left="600" w:hanging="286"/>
        <w:spacing w:after="0" w:line="285" w:lineRule="auto"/>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The exclusive commercialization rights in the United States to LTX-03 as well as to LTX-02 (oxycodone/acetaminophen) and LTX-09 (alprazolam) are licensed to Abuse Deterrent Pharma, LLC (“AD Pharma”) (See Note 2).</w:t>
      </w:r>
    </w:p>
    <w:p>
      <w:pPr>
        <w:spacing w:after="0" w:line="150" w:lineRule="exact"/>
        <w:rPr>
          <w:rFonts w:ascii="Arial" w:cs="Arial" w:eastAsia="Arial" w:hAnsi="Arial"/>
          <w:sz w:val="15"/>
          <w:szCs w:val="15"/>
          <w:color w:val="auto"/>
        </w:rPr>
      </w:pPr>
    </w:p>
    <w:p>
      <w:pPr>
        <w:jc w:val="both"/>
        <w:ind w:left="600" w:hanging="286"/>
        <w:spacing w:after="0" w:line="267"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Aversion Technology has been licensed to Assertio Holdings Inc. for use in Oxaydo® Tablets (oxycodone HCl, CII), and is the first approved immediate-release oxycodone product in the United States with abuse deterrent labeling. Oxaydo is currently approved by the FDA for marketing in the United States in 5mg and 7.5mg strengths (See Note 2).</w:t>
      </w:r>
    </w:p>
    <w:p>
      <w:pPr>
        <w:spacing w:after="0" w:line="162" w:lineRule="exact"/>
        <w:rPr>
          <w:rFonts w:ascii="Arial" w:cs="Arial" w:eastAsia="Arial" w:hAnsi="Arial"/>
          <w:sz w:val="16"/>
          <w:szCs w:val="16"/>
          <w:color w:val="auto"/>
        </w:rPr>
      </w:pPr>
    </w:p>
    <w:p>
      <w:pPr>
        <w:jc w:val="both"/>
        <w:ind w:left="600" w:hanging="286"/>
        <w:spacing w:after="0" w:line="267"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Liquidity and Substantial Doubt of Going Concern</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accompanying consolidated financial statements of the Company have been prepared assuming the Company will continue as a going concern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September 30, 2021, we had cash of $89 thousand, working capital deficit of $135 thousand and an accumulated deficit of $390 million. We had a loss from operations of $977 thousand and a net loss of $908 thousand for the nine months ended September 30,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On June 28, 2019 we announced a License, Development and Commercialization Agreement, as amended in October 2020 and in July 2021 (the “AD Pharma Amended Agreement”), with Abuse Deterrent Pharma, LLC (“AD Pharma”). The AD Pharma Amended Agreement required AD Pharma to pay us a monthly license payment of $350 thousand for a period from inception up to April 2020 at which time the payment became $200 thousand per month and continued through July 31, 2021, and to reimburse us all our outside development costs for LTX-03. 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AD Pharma Amended Agreement, requires the NDA for LTX-03 be accepted by the FDA by February 28, 2022 or AD Pharma has the option to terminate the AD Pharma Amended Agreement and take ownership of the LIMITx intellectual property. The AD Pharma Amended Agreement allows AD Pharma to terminate the AD Pharma Amended Agreement “for convenience”.Whether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future sources of revenue, if any, will be derived from licensing fees, milestone payments and royalties under the AD Pharma Amended Agreement, the Assertio Agreement, the MainPointe Agreement and similar agreements which we may enter into for our LIMITx products in development with other pharmaceutical company partners, for which there can be no assurance.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COVID-19</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continues to affect the United States and global economies. If the outbreak continues,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extent to which the coronavirus impacts our results will depend on future developments, which are highly uncertain and cannot be predicted, including new information which may emerge concerning the severity of the coronavirus and the actions by government authorities to contain the outbreak or treat its impact, the emergence of new COVID-19 variants, and the related potential for new surges in infections, and the distribution, public acceptance and efficacy of COVID-19 vaccines including for emerging variants.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ultimate impact of coronavirus is highly uncertain and subject to change. The Company does not yet know the full extent of potential delays or impacts on its business, financing,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LICENSE AND COLLABORATION AGREEMENTS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 Pharma Agreement covering LTX-03</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On June 28, 2019 we announced a License, Development and Commercialization Agreement, as amended in October 2020 and in July 2021 (the “AD Pharma Amended Agreement”), with Abuse Deterrent Pharma, LLC (“AD Pharma”), The AD Pharma Amended Agreement required AD Pharma to pay us a monthly license payment of $350 thousand for a period from inception up to April 2020 at which time the payment became $200 thousand per month and ended on July 31, 2021, and to reimburse us all our outside development costs for LTX-03. 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w:t>
      </w:r>
    </w:p>
    <w:p>
      <w:pPr>
        <w:spacing w:after="0" w:line="159"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AD Pharma Amended Agreement, requires the NDA for LTX-03 be accepted by the FDA by February 28, 2022 or AD Pharma has the option to terminate the AD Pharma Amended Agreement and take ownership of the LIMITx intellectual property. Should AD Pharma choose not to exercise this option to terminate and the NDA for LTX-03 is subsequently accepted by the FDA, such option expires. AD Pharma does have the right to terminate the AD Pharma Amended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We had also previously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Effective with the October 2020 amendment, this option and right was rescinded.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Assertio Agreement covering Oxaydo</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As of September 30, 2021, the remaining useful life is 24 months or 2.0 years. The recoverability of the Aversion intangible asset is contingent upon future Assertio royalty revenues to us under a license agreement with them.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have recorded amortization expense of $20 thousand and $64 thousand in each of the nine month periods ending September 30, 2021 and 2020, respectively. Amortization of the patent for its remaining useful life is expected to approximate $6 thousand per quarter.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Aversion intangible asset is summarized as follows (in thousands):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color w:val="auto"/>
              </w:rPr>
              <w:t>September 30,</w:t>
            </w:r>
          </w:p>
        </w:tc>
        <w:tc>
          <w:tcPr>
            <w:tcW w:w="20" w:type="dxa"/>
            <w:vAlign w:val="bottom"/>
          </w:tcPr>
          <w:p>
            <w:pPr>
              <w:spacing w:after="0"/>
              <w:rPr>
                <w:sz w:val="13"/>
                <w:szCs w:val="13"/>
                <w:color w:val="auto"/>
              </w:rPr>
            </w:pP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w w:val="90"/>
              </w:rPr>
              <w:t>December 31,</w:t>
            </w:r>
          </w:p>
        </w:tc>
      </w:tr>
      <w:tr>
        <w:trPr>
          <w:trHeight w:val="149"/>
        </w:trPr>
        <w:tc>
          <w:tcPr>
            <w:tcW w:w="414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color w:val="auto"/>
              </w:rPr>
              <w:t>2020</w:t>
            </w:r>
          </w:p>
        </w:tc>
      </w:tr>
      <w:tr>
        <w:trPr>
          <w:trHeight w:val="186"/>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 Aversion</w:t>
            </w: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194"/>
        </w:trPr>
        <w:tc>
          <w:tcPr>
            <w:tcW w:w="4140" w:type="dxa"/>
            <w:vAlign w:val="bottom"/>
          </w:tcPr>
          <w:p>
            <w:pPr>
              <w:ind w:left="180"/>
              <w:spacing w:after="0"/>
              <w:rPr>
                <w:sz w:val="20"/>
                <w:szCs w:val="20"/>
                <w:color w:val="auto"/>
              </w:rPr>
            </w:pPr>
            <w:r>
              <w:rPr>
                <w:rFonts w:ascii="Arial" w:cs="Arial" w:eastAsia="Arial" w:hAnsi="Arial"/>
                <w:sz w:val="16"/>
                <w:szCs w:val="16"/>
                <w:color w:val="auto"/>
              </w:rPr>
              <w:t>Less: accumulated amortization</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194"/>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reserve for impairment</w:t>
            </w:r>
          </w:p>
        </w:tc>
        <w:tc>
          <w:tcPr>
            <w:tcW w:w="1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186"/>
        </w:trPr>
        <w:tc>
          <w:tcPr>
            <w:tcW w:w="4140" w:type="dxa"/>
            <w:vAlign w:val="bottom"/>
          </w:tcPr>
          <w:p>
            <w:pPr>
              <w:spacing w:after="0"/>
              <w:rPr>
                <w:sz w:val="20"/>
                <w:szCs w:val="20"/>
                <w:color w:val="auto"/>
              </w:rPr>
            </w:pPr>
            <w:r>
              <w:rPr>
                <w:rFonts w:ascii="Arial" w:cs="Arial" w:eastAsia="Arial" w:hAnsi="Arial"/>
                <w:sz w:val="16"/>
                <w:szCs w:val="16"/>
                <w:color w:val="auto"/>
              </w:rPr>
              <w:t>Net</w:t>
            </w:r>
          </w:p>
        </w:tc>
        <w:tc>
          <w:tcPr>
            <w:tcW w:w="188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bl>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to commercialize Aversion Oxycodone under our tradename Oxaydo. Oxaydo is approved by the FDA for marketing in the United States in 5 mg and 7.5 mg strengths. Under the terms of the Assertio Agreement, we transferred the approved New Drug Application, or NDA, for Oxaydo to Assertio and Assertio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Assertio paid us a $5.0 million license fee upon signing of the Assertio Agreement and on October 9, 2015, paid us a $2.5 million milestone in connection with the first commercial sale of Oxaydo. We are entitled to receive from Assertio a stepped royalty at percentage rates ranging from mid-single digits to double-digits based on Oxaydo net sales during each calendar year (excluding net sales resulting from our co-promotion efforts).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Assertio to acquire intellectual property rights to commercialize Oxaydo, with an aggregate minimum floor.</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part of a 2020 restructuring by Assertio, it is our understanding that they have decided to reduce selling efforts pertaining to Oxaydo and as such, we expect royalties to decline over the remainder of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Assertio Agreement expires upon the expiration of Assertio’s royalty payment obligations in all countries.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MainPointe Agreement covering Nexafed Products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this option and right was rescinded.</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January 1, 2020, MainPointe assigned to AD Pharma, with Acura’s consent, all of its right, title and interest in the MainPointe Agreement between MainPointe and Acura; which was rescinded by AD Pharma in October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KemPharm Agreement Covering Certain Opioid Prodrugs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REVENUE FROM CONTRACTS WITH CUSTOMERS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September 30, 2021 or December 31, 2020.</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 Price adjustments are accounted for as variable consideration. Provisions for variable consideration are based on current assumptions, executed contracts, and historical data and are provided for in the period the related revenues are recorded.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Sales-based Milestones and Royalty Revenues</w:t>
      </w:r>
    </w:p>
    <w:p>
      <w:pPr>
        <w:spacing w:after="0" w:line="204"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The commercial sales-based milestones and sales royalties earned under the license and collaboration for Oxaydo and sales royalties earned under the license for the Nexafed products, are recorded in the period of the related sales by Assertio and MainPointe. Payments of sales-based milestones are generally due within 30 days after the end of a calendar year. Payments of royalties are generally due within 45 days after the end of a calendar quarter.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and Collaboration Agreement Revenues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On June 28, 2019 we announced a License, Development and Commercialization Agreement, as amended in October 2020 and in July 2021 (the “AD Pharma Amended Agreement”), with Abuse Deterrent Pharma, LLC (“AD Pharma”), The AD Pharma Amended Agreement required AD Pharma to pay us a monthly license payment of $350 thousand for a period from inception up to April 2020 at which time the payment became $200 thousand per month and ended on July 31, 2021, and to reimburse us all our outside development costs for LTX-03. 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AD Pharma Amended Agreement, requires the NDA for LTX-03 be accepted by the FDA by February 28, 2022 or AD Pharma has the option to terminate the AD Pharma Amended Agreement and take ownership of the LIMITx intellectual property. The AD Pharma Amended Agreement allows AD Pharma to terminate the AD Pharma Amended Agreement “for convenience”.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Sales, net of allowance</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and therefore, we no longer maintain a sales return allowance liability.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Total Revenues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having a product under development, LTX-03, containing its LIMITx™ technology, with AD Pharma. We have recorded $0.2 million and $0.3 million of license fees for LTX-03 during the three months ended September 30, 2021 and 2020, respectively. We have recorded $1.4 million and $2.4 million of license fees for LTX-03 during the nine months ended September 30, 2021 and 2020, respectively.</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January 1, 2020, MainPointe assigned to AD Pharma, with Acura’s consent, all of its right, title and interest in the MainPointe Agreement between MainPointe and Acura; which was rescinded by AD Pharma in October 2020. All of the Company’s royalty revenues are earned from these two license agreements by the licensee’s sale of products in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Royalty revenues by licensee are summarized below:</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right"/>
              <w:ind w:right="63"/>
              <w:spacing w:after="0"/>
              <w:rPr>
                <w:sz w:val="20"/>
                <w:szCs w:val="20"/>
                <w:color w:val="auto"/>
              </w:rPr>
            </w:pPr>
            <w:r>
              <w:rPr>
                <w:rFonts w:ascii="Arial" w:cs="Arial" w:eastAsia="Arial" w:hAnsi="Arial"/>
                <w:sz w:val="13"/>
                <w:szCs w:val="13"/>
                <w:color w:val="auto"/>
                <w:w w:val="88"/>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right"/>
              <w:ind w:right="83"/>
              <w:spacing w:after="0"/>
              <w:rPr>
                <w:sz w:val="20"/>
                <w:szCs w:val="20"/>
                <w:color w:val="auto"/>
              </w:rPr>
            </w:pPr>
            <w:r>
              <w:rPr>
                <w:rFonts w:ascii="Arial" w:cs="Arial" w:eastAsia="Arial" w:hAnsi="Arial"/>
                <w:sz w:val="13"/>
                <w:szCs w:val="13"/>
                <w:color w:val="auto"/>
                <w:w w:val="92"/>
              </w:rPr>
              <w:t>Nine months Ended</w:t>
            </w:r>
          </w:p>
        </w:tc>
      </w:tr>
      <w:tr>
        <w:trPr>
          <w:trHeight w:val="149"/>
        </w:trPr>
        <w:tc>
          <w:tcPr>
            <w:tcW w:w="5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color w:val="auto"/>
              </w:rPr>
              <w:t>September 30,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color w:val="auto"/>
              </w:rPr>
              <w:t>September 30,</w:t>
            </w:r>
          </w:p>
        </w:tc>
      </w:tr>
      <w:tr>
        <w:trPr>
          <w:trHeight w:val="126"/>
        </w:trPr>
        <w:tc>
          <w:tcPr>
            <w:tcW w:w="5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7"/>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03"/>
              <w:spacing w:after="0" w:line="126" w:lineRule="exact"/>
              <w:rPr>
                <w:sz w:val="20"/>
                <w:szCs w:val="20"/>
                <w:color w:val="auto"/>
              </w:rPr>
            </w:pPr>
            <w:r>
              <w:rPr>
                <w:rFonts w:ascii="Arial" w:cs="Arial" w:eastAsia="Arial" w:hAnsi="Arial"/>
                <w:sz w:val="13"/>
                <w:szCs w:val="13"/>
                <w:color w:val="auto"/>
                <w:w w:val="96"/>
              </w:rPr>
              <w:t>2020</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7"/>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03"/>
              <w:spacing w:after="0" w:line="126" w:lineRule="exact"/>
              <w:rPr>
                <w:sz w:val="20"/>
                <w:szCs w:val="20"/>
                <w:color w:val="auto"/>
              </w:rPr>
            </w:pPr>
            <w:r>
              <w:rPr>
                <w:rFonts w:ascii="Arial" w:cs="Arial" w:eastAsia="Arial" w:hAnsi="Arial"/>
                <w:sz w:val="13"/>
                <w:szCs w:val="13"/>
                <w:color w:val="auto"/>
                <w:w w:val="96"/>
              </w:rPr>
              <w:t>2020</w:t>
            </w:r>
          </w:p>
        </w:tc>
      </w:tr>
      <w:tr>
        <w:trPr>
          <w:trHeight w:val="18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Assertio (Oxaydo)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194"/>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MainPointe - related party (Nexafed)</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5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Royalty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 and Performance Obligations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had no contract assets and contract liability balances under the license and collaboration agreements at either September 30, 2021 or 2020.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RESEARCH AND DEVELOPMENT</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stock-based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September 30, 2021 or 2020.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PROPERTY, PLANT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summarized as follows (in thousands):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color w:val="auto"/>
              </w:rPr>
              <w:t>September 30,</w:t>
            </w:r>
          </w:p>
        </w:tc>
        <w:tc>
          <w:tcPr>
            <w:tcW w:w="20" w:type="dxa"/>
            <w:vAlign w:val="bottom"/>
          </w:tcPr>
          <w:p>
            <w:pPr>
              <w:spacing w:after="0"/>
              <w:rPr>
                <w:sz w:val="13"/>
                <w:szCs w:val="13"/>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3"/>
                <w:szCs w:val="13"/>
                <w:color w:val="auto"/>
                <w:w w:val="90"/>
              </w:rPr>
              <w:t>December 31,</w:t>
            </w:r>
          </w:p>
        </w:tc>
      </w:tr>
      <w:tr>
        <w:trPr>
          <w:trHeight w:val="149"/>
        </w:trPr>
        <w:tc>
          <w:tcPr>
            <w:tcW w:w="4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color w:val="auto"/>
                <w:w w:val="82"/>
              </w:rPr>
              <w:t>2020</w:t>
            </w:r>
          </w:p>
        </w:tc>
      </w:tr>
      <w:tr>
        <w:trPr>
          <w:trHeight w:val="113"/>
        </w:trPr>
        <w:tc>
          <w:tcPr>
            <w:tcW w:w="4160" w:type="dxa"/>
            <w:vAlign w:val="bottom"/>
            <w:tcBorders>
              <w:bottom w:val="single" w:sz="8" w:color="CCEEFF"/>
            </w:tcBorders>
          </w:tcPr>
          <w:p>
            <w:pPr>
              <w:spacing w:after="0"/>
              <w:rPr>
                <w:sz w:val="9"/>
                <w:szCs w:val="9"/>
                <w:color w:val="auto"/>
              </w:rPr>
            </w:pPr>
          </w:p>
        </w:tc>
        <w:tc>
          <w:tcPr>
            <w:tcW w:w="18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right"/>
              <w:spacing w:after="0" w:line="114" w:lineRule="exact"/>
              <w:rPr>
                <w:sz w:val="20"/>
                <w:szCs w:val="20"/>
                <w:color w:val="auto"/>
              </w:rPr>
            </w:pPr>
            <w:r>
              <w:rPr>
                <w:rFonts w:ascii="Arial" w:cs="Arial" w:eastAsia="Arial" w:hAnsi="Arial"/>
                <w:sz w:val="13"/>
                <w:szCs w:val="13"/>
                <w:color w:val="auto"/>
              </w:rPr>
              <w:t>(in thousands)</w:t>
            </w:r>
          </w:p>
        </w:tc>
        <w:tc>
          <w:tcPr>
            <w:tcW w:w="580" w:type="dxa"/>
            <w:vAlign w:val="bottom"/>
            <w:tcBorders>
              <w:bottom w:val="single" w:sz="8" w:color="auto"/>
            </w:tcBorders>
          </w:tcPr>
          <w:p>
            <w:pPr>
              <w:spacing w:after="0"/>
              <w:rPr>
                <w:sz w:val="9"/>
                <w:szCs w:val="9"/>
                <w:color w:val="auto"/>
              </w:rPr>
            </w:pPr>
          </w:p>
        </w:tc>
      </w:tr>
      <w:tr>
        <w:trPr>
          <w:trHeight w:val="18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Building and improvements</w:t>
            </w: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194"/>
        </w:trPr>
        <w:tc>
          <w:tcPr>
            <w:tcW w:w="4160" w:type="dxa"/>
            <w:vAlign w:val="bottom"/>
          </w:tcPr>
          <w:p>
            <w:pPr>
              <w:spacing w:after="0"/>
              <w:rPr>
                <w:sz w:val="20"/>
                <w:szCs w:val="20"/>
                <w:color w:val="auto"/>
              </w:rPr>
            </w:pPr>
            <w:r>
              <w:rPr>
                <w:rFonts w:ascii="Arial" w:cs="Arial" w:eastAsia="Arial" w:hAnsi="Arial"/>
                <w:sz w:val="16"/>
                <w:szCs w:val="16"/>
                <w:color w:val="auto"/>
              </w:rPr>
              <w:t>Scientific equipment</w:t>
            </w: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Computer hardware and software</w:t>
            </w: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194"/>
        </w:trPr>
        <w:tc>
          <w:tcPr>
            <w:tcW w:w="416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Land and improvements</w:t>
            </w: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194"/>
        </w:trPr>
        <w:tc>
          <w:tcPr>
            <w:tcW w:w="4160" w:type="dxa"/>
            <w:vAlign w:val="bottom"/>
          </w:tcPr>
          <w:p>
            <w:pPr>
              <w:spacing w:after="0"/>
              <w:rPr>
                <w:sz w:val="20"/>
                <w:szCs w:val="20"/>
                <w:color w:val="auto"/>
              </w:rPr>
            </w:pPr>
            <w:r>
              <w:rPr>
                <w:rFonts w:ascii="Arial" w:cs="Arial" w:eastAsia="Arial" w:hAnsi="Arial"/>
                <w:sz w:val="16"/>
                <w:szCs w:val="16"/>
                <w:color w:val="auto"/>
              </w:rPr>
              <w:t>Other personal property</w:t>
            </w: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Office equipment</w:t>
            </w:r>
          </w:p>
        </w:tc>
        <w:tc>
          <w:tcPr>
            <w:tcW w:w="18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86"/>
        </w:trPr>
        <w:tc>
          <w:tcPr>
            <w:tcW w:w="4160" w:type="dxa"/>
            <w:vAlign w:val="bottom"/>
          </w:tcPr>
          <w:p>
            <w:pPr>
              <w:ind w:left="80"/>
              <w:spacing w:after="0"/>
              <w:rPr>
                <w:sz w:val="20"/>
                <w:szCs w:val="20"/>
                <w:color w:val="auto"/>
              </w:rPr>
            </w:pPr>
            <w:r>
              <w:rPr>
                <w:rFonts w:ascii="Arial" w:cs="Arial" w:eastAsia="Arial" w:hAnsi="Arial"/>
                <w:sz w:val="16"/>
                <w:szCs w:val="16"/>
                <w:color w:val="auto"/>
              </w:rPr>
              <w:t>Total</w:t>
            </w: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2,509</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18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186"/>
        </w:trPr>
        <w:tc>
          <w:tcPr>
            <w:tcW w:w="4160" w:type="dxa"/>
            <w:vAlign w:val="bottom"/>
          </w:tcPr>
          <w:p>
            <w:pPr>
              <w:ind w:left="80"/>
              <w:spacing w:after="0"/>
              <w:rPr>
                <w:sz w:val="20"/>
                <w:szCs w:val="20"/>
                <w:color w:val="auto"/>
              </w:rPr>
            </w:pPr>
            <w:r>
              <w:rPr>
                <w:rFonts w:ascii="Arial" w:cs="Arial" w:eastAsia="Arial" w:hAnsi="Arial"/>
                <w:sz w:val="16"/>
                <w:szCs w:val="16"/>
                <w:color w:val="auto"/>
              </w:rPr>
              <w:t>Net property, plant and equipment</w:t>
            </w:r>
          </w:p>
        </w:tc>
        <w:tc>
          <w:tcPr>
            <w:tcW w:w="186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bl>
    <w:p>
      <w:pPr>
        <w:spacing w:after="0" w:line="182"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We do not have leasehold improvements.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was $12 thousand and $13 thousand for each of the three month periods ended September 30, 2021 and 2020,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was $35 thousand and $42 thousand for each of the nine month periods ended September 30, 2021 and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ACCRUED EXPENSES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are summarized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3"/>
                <w:szCs w:val="13"/>
                <w:color w:val="auto"/>
                <w:w w:val="91"/>
              </w:rPr>
              <w:t>September 30,</w:t>
            </w:r>
          </w:p>
        </w:tc>
        <w:tc>
          <w:tcPr>
            <w:tcW w:w="160" w:type="dxa"/>
            <w:vAlign w:val="bottom"/>
          </w:tcPr>
          <w:p>
            <w:pPr>
              <w:spacing w:after="0"/>
              <w:rPr>
                <w:sz w:val="12"/>
                <w:szCs w:val="12"/>
                <w:color w:val="auto"/>
              </w:rPr>
            </w:pP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December 31,</w:t>
            </w: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color w:val="auto"/>
              </w:rPr>
              <w:t>2021</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color w:val="auto"/>
                <w:w w:val="82"/>
              </w:rPr>
              <w:t>2020</w:t>
            </w:r>
          </w:p>
        </w:tc>
        <w:tc>
          <w:tcPr>
            <w:tcW w:w="980" w:type="dxa"/>
            <w:vAlign w:val="bottom"/>
          </w:tcPr>
          <w:p>
            <w:pPr>
              <w:spacing w:after="0"/>
              <w:rPr>
                <w:sz w:val="12"/>
                <w:szCs w:val="12"/>
                <w:color w:val="auto"/>
              </w:rPr>
            </w:pPr>
          </w:p>
        </w:tc>
      </w:tr>
      <w:tr>
        <w:trPr>
          <w:trHeight w:val="113"/>
        </w:trPr>
        <w:tc>
          <w:tcPr>
            <w:tcW w:w="1000" w:type="dxa"/>
            <w:vAlign w:val="bottom"/>
          </w:tcPr>
          <w:p>
            <w:pPr>
              <w:spacing w:after="0"/>
              <w:rPr>
                <w:sz w:val="9"/>
                <w:szCs w:val="9"/>
                <w:color w:val="auto"/>
              </w:rPr>
            </w:pPr>
          </w:p>
        </w:tc>
        <w:tc>
          <w:tcPr>
            <w:tcW w:w="3460" w:type="dxa"/>
            <w:vAlign w:val="bottom"/>
            <w:tcBorders>
              <w:bottom w:val="single" w:sz="8" w:color="CCEEFF"/>
            </w:tcBorders>
          </w:tcPr>
          <w:p>
            <w:pPr>
              <w:spacing w:after="0"/>
              <w:rPr>
                <w:sz w:val="9"/>
                <w:szCs w:val="9"/>
                <w:color w:val="auto"/>
              </w:rPr>
            </w:pPr>
          </w:p>
        </w:tc>
        <w:tc>
          <w:tcPr>
            <w:tcW w:w="25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spacing w:after="0" w:line="114" w:lineRule="exact"/>
              <w:rPr>
                <w:sz w:val="20"/>
                <w:szCs w:val="20"/>
                <w:color w:val="auto"/>
              </w:rPr>
            </w:pPr>
            <w:r>
              <w:rPr>
                <w:rFonts w:ascii="Arial" w:cs="Arial" w:eastAsia="Arial" w:hAnsi="Arial"/>
                <w:sz w:val="13"/>
                <w:szCs w:val="13"/>
                <w:color w:val="auto"/>
              </w:rPr>
              <w:t>(in thousands)</w:t>
            </w:r>
          </w:p>
        </w:tc>
        <w:tc>
          <w:tcPr>
            <w:tcW w:w="5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r>
      <w:tr>
        <w:trPr>
          <w:trHeight w:val="186"/>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w w:val="97"/>
              </w:rPr>
              <w:t>Cost sharing expenses under license agreements</w:t>
            </w:r>
          </w:p>
        </w:tc>
        <w:tc>
          <w:tcPr>
            <w:tcW w:w="25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Other fees and services</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Payroll, payroll taxes and benefits</w:t>
            </w:r>
          </w:p>
        </w:tc>
        <w:tc>
          <w:tcPr>
            <w:tcW w:w="2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Professional services</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Financed premiums on insurance policies</w:t>
            </w:r>
          </w:p>
        </w:tc>
        <w:tc>
          <w:tcPr>
            <w:tcW w:w="2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Property taxes</w:t>
            </w: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Franchise taxes</w:t>
            </w:r>
          </w:p>
        </w:tc>
        <w:tc>
          <w:tcPr>
            <w:tcW w:w="25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980" w:type="dxa"/>
            <w:vAlign w:val="bottom"/>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Total</w:t>
            </w:r>
          </w:p>
        </w:tc>
        <w:tc>
          <w:tcPr>
            <w:tcW w:w="256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80" w:type="dxa"/>
            <w:vAlign w:val="bottom"/>
          </w:tcPr>
          <w:p>
            <w:pPr>
              <w:spacing w:after="0"/>
              <w:rPr>
                <w:sz w:val="16"/>
                <w:szCs w:val="16"/>
                <w:color w:val="auto"/>
              </w:rPr>
            </w:pPr>
          </w:p>
        </w:tc>
      </w:tr>
      <w:tr>
        <w:trPr>
          <w:trHeight w:val="780"/>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60" w:type="dxa"/>
            <w:vAlign w:val="bottom"/>
            <w:gridSpan w:val="2"/>
          </w:tcPr>
          <w:p>
            <w:pPr>
              <w:jc w:val="right"/>
              <w:ind w:right="2028"/>
              <w:spacing w:after="0"/>
              <w:rPr>
                <w:sz w:val="20"/>
                <w:szCs w:val="20"/>
                <w:color w:val="auto"/>
              </w:rPr>
            </w:pPr>
            <w:r>
              <w:rPr>
                <w:rFonts w:ascii="Arial" w:cs="Arial" w:eastAsia="Arial" w:hAnsi="Arial"/>
                <w:sz w:val="16"/>
                <w:szCs w:val="16"/>
                <w:color w:val="auto"/>
              </w:rPr>
              <w:t>F-13</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02"/>
        </w:trPr>
        <w:tc>
          <w:tcPr>
            <w:tcW w:w="1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9" w:right="99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Convertible Loan</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At December 31, 2018, we had borrowed an aggregate of $4.35 million from Mr. Schutte, a related-party. From January 1, 2019 and through June 27, 2019, we borrowed additional amounts from Mr. Schutte for $650 thousand and issued various promissory notes to him with the same terms and conditions from the previous loans (the Schutte Notes).On June 28, 2019 we restructured the $5.0 million loan to borrow an additional $725 thousand from Mr. Schutte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$6.0 million convertible debt, the common stock purchase warrant and the security agreement were all assigned and transferred by Mr. Schutte to AD Pharma on June 28, 2019. Interest expense was $113 thousand for the three month period ended September 30, 2020, and was $200 thousand and $338 thousand for each of the nine month periods ended September 30, 2021 and 2020, respectively.</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 and the Company is working with AD Pharma to release their security interest in all the Company’s assets. AD Pharma directly owns approximately 66% of our common stock at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Paycheck Protection Program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w:t>
      </w:r>
      <w:r>
        <w:rPr>
          <w:rFonts w:ascii="Arial" w:cs="Arial" w:eastAsia="Arial" w:hAnsi="Arial"/>
          <w:sz w:val="24"/>
          <w:szCs w:val="24"/>
          <w:b w:val="1"/>
          <w:bCs w:val="1"/>
          <w:i w:val="1"/>
          <w:iCs w:val="1"/>
          <w:color w:val="auto"/>
          <w:vertAlign w:val="superscript"/>
        </w:rPr>
        <w:t>st</w:t>
      </w:r>
      <w:r>
        <w:rPr>
          <w:rFonts w:ascii="Arial" w:cs="Arial" w:eastAsia="Arial" w:hAnsi="Arial"/>
          <w:sz w:val="16"/>
          <w:szCs w:val="16"/>
          <w:b w:val="1"/>
          <w:bCs w:val="1"/>
          <w:i w:val="1"/>
          <w:iCs w:val="1"/>
          <w:color w:val="auto"/>
        </w:rPr>
        <w:t xml:space="preserve"> PPP Loan</w:t>
      </w:r>
    </w:p>
    <w:p>
      <w:pPr>
        <w:spacing w:after="0" w:line="112"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On April 13, 2020, the Company received a loan (the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Loan”) from JP Morgan Chase Bank in the aggregate amount of $269 thousand, pursuant to the Paycheck Protection Program (“PPP”) under Division A, Title I of the CARES Act, which was enacted March 27, 2020. Under the terms of the PPP, certain amounts of the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Loan may be forgiven if they are used for qualifying expenses as described in the CARES Act. The Company received approval for forgiveness under the PPP in July 2021 by the Small Business Administration and this amount has been included as income in the current quarter.</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w:t>
      </w:r>
      <w:r>
        <w:rPr>
          <w:rFonts w:ascii="Arial" w:cs="Arial" w:eastAsia="Arial" w:hAnsi="Arial"/>
          <w:sz w:val="24"/>
          <w:szCs w:val="24"/>
          <w:b w:val="1"/>
          <w:bCs w:val="1"/>
          <w:i w:val="1"/>
          <w:iCs w:val="1"/>
          <w:color w:val="auto"/>
          <w:vertAlign w:val="superscript"/>
        </w:rPr>
        <w:t>nd</w:t>
      </w:r>
      <w:r>
        <w:rPr>
          <w:rFonts w:ascii="Arial" w:cs="Arial" w:eastAsia="Arial" w:hAnsi="Arial"/>
          <w:sz w:val="16"/>
          <w:szCs w:val="16"/>
          <w:b w:val="1"/>
          <w:bCs w:val="1"/>
          <w:i w:val="1"/>
          <w:iCs w:val="1"/>
          <w:color w:val="auto"/>
        </w:rPr>
        <w:t xml:space="preserve"> PPP Loan</w:t>
      </w:r>
    </w:p>
    <w:p>
      <w:pPr>
        <w:spacing w:after="0" w:line="112" w:lineRule="exact"/>
        <w:rPr>
          <w:sz w:val="20"/>
          <w:szCs w:val="20"/>
          <w:color w:val="auto"/>
        </w:rPr>
      </w:pPr>
    </w:p>
    <w:p>
      <w:pPr>
        <w:jc w:val="both"/>
        <w:spacing w:after="0" w:line="215" w:lineRule="auto"/>
        <w:rPr>
          <w:sz w:val="20"/>
          <w:szCs w:val="20"/>
          <w:color w:val="auto"/>
        </w:rPr>
      </w:pPr>
      <w:r>
        <w:rPr>
          <w:rFonts w:ascii="Arial" w:cs="Arial" w:eastAsia="Arial" w:hAnsi="Arial"/>
          <w:sz w:val="14"/>
          <w:szCs w:val="14"/>
          <w:color w:val="auto"/>
        </w:rPr>
        <w:t>On March 16, 2021, the Company received a loan (the “2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Loan”) from JP Morgan Chase Bank in the aggregate amount of $266 thousand, pursuant to the PPP under Division A, Title I of the CARES Act. The 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Loan, in the form of a promissory note, matures after five years. Under the terms of the PPP, certain amounts of the 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Loan may be forgiven if they are used for qualifying expenses as described in the CARES Act. The Company was not yet approved for forgiveness under the PPP as of September 30, 2021; however, such was forgiven by the Small Business Administration in October,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RELATED PARTY TRANSACTIONS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July 2017, we completed a $4.0 million private placement with Mr. Schutte,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part of the closing of the Transaction, the Company and Essex Woodlands Health Ventures V, L.P. (“Essex”) and Galen Partners III, L.P. (“Galen”) amended and restated the existing Voting Agreement including such parties to provide for Mr. Schutte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Mr. Schutte, and the parties to such agreement would vote for such persons. The right of each of Essex, Galen and Mr. Schutte to designate one director to our Board will continue as long as he or it and their affiliates collectively hold at least 600,000 shares of our common stock (including warrants exercisable for such shares). Immanuel Thangaraj is the designee of Essex. Mr. Schutte has not designated a director as of the date of filing of this Report on Form 10-Q.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MainPointe Pharmaceuticals LLC</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Mr. Schutte is the principal owner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The Company is receiving a 7.5% royalty on sales of licensed products. MainPointe also has options to expand the territory and products covered for additional sums. Included in the reported royalty revenue for the three months ended September 30, 2021 and 2020 is $0 thousand and $3 thousand, respectively of royalty revenue from MainPointe. Included in the reported royalty revenue for the nine months ended September 30, 2021 and 2020 is $2 thousand and $9 thousand, respectively of royalty revenue from MainPointe. (See Note 2). On January 1, 2020, MainPointe assigned to AD Pharma, with Acura’s consent, all of its right, title and interest in the MainPointe Agreement between MainPointe and Acura; which was rescinded by AD Pharma in October 2020.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with Mr. John Schutte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December 31, 2018, we had borrowed an aggregate of $4.35 million from Mr. Schutte, a related-party. During the period January 1, 2019 through June 27, 2019 we borrowed an aggregate of $650 thousand from Mr.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convertible debt, the common stock purchase warrant and the security agreement were all assigned and transferred by Mr. Schutte to AD Pharma on June 28, 2019.</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 and the Company is working with AD Pharma, LLC to release their security interest in all the Company’s assets. AD Pharma directly owns approximately 66% of our common stock at September 30, 2021.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 Pharma Agreement covering LTX-03</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On June 28, 2019 we entered into a License, Development and Commercialization Agreement, as amended in October 2020 and in July 2021 (the “AD Pharma Amended Agreement”), with Abuse Deterrent Pharma, LLC (“AD Pharma”), a special purpose company representing a consortium of investors for the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Amended Agreement grants AD Pharma exclusive commercialization rights in the United States to LTX-03 as well as LTX-02 (oxycodone/acetaminophen) and LTX-09 (alprazolam). The AD Pharma Amended Agreement required AD Pharma to pay us a monthly license payment of $350 thousand for a period from inception up to April 2020 at which time the payment became $200 thousand per month and ended on July 31, 2021, and to reimburse us all our outside development costs for LTX-03. 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AD Pharma Amended Agreement, requires the NDA for LTX-03 be accepted by the FDA by February 28, 2022 or AD Pharma has the option to terminate the AD Pharma Amended Agreement and take ownership of the LIMITx intellectual property. Should AD Pharma choose not to exercise this option to terminate and the NDA for LTX-03 is subsequently accepted by the FDA, such option expires. AD Pharma does have the right to terminate the AD Pharma Amended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 Upon commercialization of the licensed products, Acura receives stepped royalties on sales and is eligible for certain sales related milestones.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which was rescinded by AD Pharma in October 2020.</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COMMON STOCK PURCHASE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Our warrant activity during the nine month periods ended September 30, 2021 and 2020 is shown below (in thousands except price data):</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3"/>
                <w:szCs w:val="13"/>
                <w:color w:val="auto"/>
                <w:w w:val="82"/>
              </w:rPr>
              <w:t>2021</w:t>
            </w:r>
          </w:p>
        </w:tc>
        <w:tc>
          <w:tcPr>
            <w:tcW w:w="1420" w:type="dxa"/>
            <w:vAlign w:val="bottom"/>
            <w:gridSpan w:val="3"/>
          </w:tcPr>
          <w:p>
            <w:pPr>
              <w:jc w:val="right"/>
              <w:ind w:right="281"/>
              <w:spacing w:after="0"/>
              <w:rPr>
                <w:sz w:val="20"/>
                <w:szCs w:val="20"/>
                <w:color w:val="auto"/>
              </w:rPr>
            </w:pPr>
            <w:r>
              <w:rPr>
                <w:rFonts w:ascii="Arial" w:cs="Arial" w:eastAsia="Arial" w:hAnsi="Arial"/>
                <w:sz w:val="13"/>
                <w:szCs w:val="13"/>
                <w:color w:val="auto"/>
              </w:rPr>
              <w:t>September 30,</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w w:val="89"/>
              </w:rPr>
              <w:t>2020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3"/>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46"/>
              <w:spacing w:after="0" w:line="110" w:lineRule="exact"/>
              <w:rPr>
                <w:sz w:val="20"/>
                <w:szCs w:val="20"/>
                <w:color w:val="auto"/>
              </w:rPr>
            </w:pPr>
            <w:r>
              <w:rPr>
                <w:rFonts w:ascii="Arial" w:cs="Arial" w:eastAsia="Arial" w:hAnsi="Arial"/>
                <w:sz w:val="12"/>
                <w:szCs w:val="12"/>
                <w:color w:val="auto"/>
              </w:rPr>
              <w:t>WAvg</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65"/>
              <w:spacing w:after="0" w:line="110" w:lineRule="exact"/>
              <w:rPr>
                <w:sz w:val="20"/>
                <w:szCs w:val="20"/>
                <w:color w:val="auto"/>
              </w:rPr>
            </w:pPr>
            <w:r>
              <w:rPr>
                <w:rFonts w:ascii="Arial" w:cs="Arial" w:eastAsia="Arial" w:hAnsi="Arial"/>
                <w:sz w:val="12"/>
                <w:szCs w:val="12"/>
                <w:color w:val="auto"/>
                <w:w w:val="99"/>
              </w:rPr>
              <w:t>WAvg</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00"/>
              <w:spacing w:after="0" w:line="134" w:lineRule="exact"/>
              <w:rPr>
                <w:sz w:val="20"/>
                <w:szCs w:val="20"/>
                <w:color w:val="auto"/>
              </w:rPr>
            </w:pPr>
            <w:r>
              <w:rPr>
                <w:rFonts w:ascii="Arial" w:cs="Arial" w:eastAsia="Arial" w:hAnsi="Arial"/>
                <w:sz w:val="13"/>
                <w:szCs w:val="13"/>
                <w:color w:val="auto"/>
                <w:w w:val="92"/>
              </w:rPr>
              <w:t>Exercise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65"/>
              <w:spacing w:after="0" w:line="134" w:lineRule="exact"/>
              <w:rPr>
                <w:sz w:val="20"/>
                <w:szCs w:val="20"/>
                <w:color w:val="auto"/>
              </w:rPr>
            </w:pPr>
            <w:r>
              <w:rPr>
                <w:rFonts w:ascii="Arial" w:cs="Arial" w:eastAsia="Arial" w:hAnsi="Arial"/>
                <w:sz w:val="13"/>
                <w:szCs w:val="13"/>
                <w:color w:val="auto"/>
                <w:w w:val="88"/>
              </w:rPr>
              <w:t>Exercise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620" w:type="dxa"/>
            <w:vAlign w:val="bottom"/>
          </w:tcPr>
          <w:p>
            <w:pPr>
              <w:jc w:val="right"/>
              <w:ind w:right="41"/>
              <w:spacing w:after="0"/>
              <w:rPr>
                <w:sz w:val="20"/>
                <w:szCs w:val="20"/>
                <w:color w:val="auto"/>
              </w:rPr>
            </w:pPr>
            <w:r>
              <w:rPr>
                <w:rFonts w:ascii="Arial" w:cs="Arial" w:eastAsia="Arial" w:hAnsi="Arial"/>
                <w:sz w:val="13"/>
                <w:szCs w:val="13"/>
                <w:color w:val="auto"/>
              </w:rPr>
              <w:t>Number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color w:val="auto"/>
                <w:w w:val="87"/>
              </w:rPr>
              <w:t>Price</w:t>
            </w:r>
          </w:p>
        </w:tc>
        <w:tc>
          <w:tcPr>
            <w:tcW w:w="620" w:type="dxa"/>
            <w:vAlign w:val="bottom"/>
          </w:tcPr>
          <w:p>
            <w:pPr>
              <w:jc w:val="right"/>
              <w:ind w:right="21"/>
              <w:spacing w:after="0"/>
              <w:rPr>
                <w:sz w:val="20"/>
                <w:szCs w:val="20"/>
                <w:color w:val="auto"/>
              </w:rPr>
            </w:pPr>
            <w:r>
              <w:rPr>
                <w:rFonts w:ascii="Arial" w:cs="Arial" w:eastAsia="Arial" w:hAnsi="Arial"/>
                <w:sz w:val="13"/>
                <w:szCs w:val="13"/>
                <w:color w:val="auto"/>
              </w:rPr>
              <w:t>Number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5"/>
              <w:spacing w:after="0"/>
              <w:rPr>
                <w:sz w:val="20"/>
                <w:szCs w:val="20"/>
                <w:color w:val="auto"/>
              </w:rPr>
            </w:pPr>
            <w:r>
              <w:rPr>
                <w:rFonts w:ascii="Arial" w:cs="Arial" w:eastAsia="Arial" w:hAnsi="Arial"/>
                <w:sz w:val="13"/>
                <w:szCs w:val="13"/>
                <w:color w:val="auto"/>
                <w:w w:val="87"/>
              </w:rPr>
              <w:t>Price</w:t>
            </w:r>
          </w:p>
        </w:tc>
        <w:tc>
          <w:tcPr>
            <w:tcW w:w="0" w:type="dxa"/>
            <w:vAlign w:val="bottom"/>
          </w:tcPr>
          <w:p>
            <w:pPr>
              <w:spacing w:after="0"/>
              <w:rPr>
                <w:sz w:val="1"/>
                <w:szCs w:val="1"/>
                <w:color w:val="auto"/>
              </w:rPr>
            </w:pPr>
          </w:p>
        </w:tc>
      </w:tr>
      <w:tr>
        <w:trPr>
          <w:trHeight w:val="186"/>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 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11,782</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11,842</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86"/>
        </w:trPr>
        <w:tc>
          <w:tcPr>
            <w:tcW w:w="4700" w:type="dxa"/>
            <w:vAlign w:val="bottom"/>
          </w:tcPr>
          <w:p>
            <w:pPr>
              <w:ind w:left="80"/>
              <w:spacing w:after="0"/>
              <w:rPr>
                <w:sz w:val="20"/>
                <w:szCs w:val="20"/>
                <w:color w:val="auto"/>
              </w:rPr>
            </w:pPr>
            <w:r>
              <w:rPr>
                <w:rFonts w:ascii="Arial" w:cs="Arial" w:eastAsia="Arial" w:hAnsi="Arial"/>
                <w:sz w:val="16"/>
                <w:szCs w:val="16"/>
                <w:color w:val="auto"/>
              </w:rPr>
              <w:t>Issued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00" w:type="dxa"/>
            <w:vAlign w:val="bottom"/>
          </w:tcPr>
          <w:p>
            <w:pPr>
              <w:ind w:left="80"/>
              <w:spacing w:after="0"/>
              <w:rPr>
                <w:sz w:val="20"/>
                <w:szCs w:val="20"/>
                <w:color w:val="auto"/>
              </w:rPr>
            </w:pPr>
            <w:r>
              <w:rPr>
                <w:rFonts w:ascii="Arial" w:cs="Arial" w:eastAsia="Arial" w:hAnsi="Arial"/>
                <w:sz w:val="16"/>
                <w:szCs w:val="16"/>
                <w:color w:val="auto"/>
              </w:rPr>
              <w:t>Expired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Modification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color w:val="auto"/>
              </w:rPr>
              <w:t>Outstanding, Sept. 30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11,782</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11,842</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part of our July 2017 private placement transaction with Mr. Schutte, we issued warrants to purchase 1,782,531 shares of our common stock. The warrants are immediately exercisable at a price of $0.528 per share and expire five years after issuance in July 2022. (See Note 8). We have assigned a relative fair value of $495 thousand to the warrants out of the total $4.0 million proceeds from the private placement transaction and have accounted for these warrants as equity.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June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in June 2024. We obtained a valuation of fair value on the warrant and $1.145 million was allocated to the warrant and accounted for as equity. (See Note 7 and Note 8). The warrant for 10.0 million shares was assigned and transferred by Mr. Schutte to AD Pharma on June 28, 2019.</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December 2020, warrants expired that were exercisable for 60 thousand shares of our common stock and had an exercise price of $2.52 per share.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STOCK-BASED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several stock-based compensation plans covering stock options and RSUs for our employees and directors.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measure our compensation cost related to stock-based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stock-based compensation for RSUs is based on the closing market price of our common stock on the date of grant.</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total stock-based compensation expense recognized in the Company’s results of operations from non-cash and cash-portioned instruments issued to our employees and directors comprised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center"/>
              <w:ind w:right="43"/>
              <w:spacing w:after="0"/>
              <w:rPr>
                <w:sz w:val="20"/>
                <w:szCs w:val="20"/>
                <w:color w:val="auto"/>
              </w:rPr>
            </w:pPr>
            <w:r>
              <w:rPr>
                <w:rFonts w:ascii="Arial" w:cs="Arial" w:eastAsia="Arial" w:hAnsi="Arial"/>
                <w:sz w:val="13"/>
                <w:szCs w:val="13"/>
                <w:color w:val="auto"/>
                <w:w w:val="88"/>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color w:val="auto"/>
              </w:rPr>
              <w:t>Nine months Ended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right="83"/>
              <w:spacing w:after="0"/>
              <w:rPr>
                <w:sz w:val="20"/>
                <w:szCs w:val="20"/>
                <w:color w:val="auto"/>
              </w:rPr>
            </w:pPr>
            <w:r>
              <w:rPr>
                <w:rFonts w:ascii="Arial" w:cs="Arial" w:eastAsia="Arial" w:hAnsi="Arial"/>
                <w:sz w:val="13"/>
                <w:szCs w:val="13"/>
                <w:color w:val="auto"/>
                <w:w w:val="89"/>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ind w:left="180"/>
              <w:spacing w:after="0"/>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3"/>
              <w:spacing w:after="0" w:line="126"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40"/>
              <w:spacing w:after="0" w:line="126" w:lineRule="exact"/>
              <w:rPr>
                <w:sz w:val="20"/>
                <w:szCs w:val="20"/>
                <w:color w:val="auto"/>
              </w:rPr>
            </w:pPr>
            <w:r>
              <w:rPr>
                <w:rFonts w:ascii="Arial" w:cs="Arial" w:eastAsia="Arial" w:hAnsi="Arial"/>
                <w:sz w:val="13"/>
                <w:szCs w:val="13"/>
                <w:color w:val="auto"/>
              </w:rPr>
              <w:t>2020</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980" w:type="dxa"/>
            <w:vAlign w:val="bottom"/>
            <w:tcBorders>
              <w:bottom w:val="single" w:sz="8" w:color="CCEEFF"/>
            </w:tcBorders>
          </w:tcPr>
          <w:p>
            <w:pPr>
              <w:spacing w:after="0"/>
              <w:rPr>
                <w:sz w:val="9"/>
                <w:szCs w:val="9"/>
                <w:color w:val="auto"/>
              </w:rPr>
            </w:pPr>
          </w:p>
        </w:tc>
        <w:tc>
          <w:tcPr>
            <w:tcW w:w="2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ind w:left="180"/>
              <w:spacing w:after="0" w:line="114" w:lineRule="exact"/>
              <w:rPr>
                <w:sz w:val="20"/>
                <w:szCs w:val="20"/>
                <w:color w:val="auto"/>
              </w:rPr>
            </w:pPr>
            <w:r>
              <w:rPr>
                <w:rFonts w:ascii="Arial" w:cs="Arial" w:eastAsia="Arial" w:hAnsi="Arial"/>
                <w:sz w:val="13"/>
                <w:szCs w:val="13"/>
                <w:color w:val="auto"/>
              </w:rPr>
              <w:t>(in thousands)</w:t>
            </w: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costs:</w:t>
            </w: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6"/>
                <w:szCs w:val="16"/>
                <w:color w:val="auto"/>
              </w:rPr>
              <w:t>Stock options</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Restricted stock units</w:t>
            </w:r>
          </w:p>
        </w:tc>
        <w:tc>
          <w:tcPr>
            <w:tcW w:w="2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tcBorders>
              <w:bottom w:val="single" w:sz="8" w:color="CCEEFF"/>
            </w:tcBorders>
          </w:tcPr>
          <w:p>
            <w:pPr>
              <w:jc w:val="center"/>
              <w:ind w:right="1999"/>
              <w:spacing w:after="0"/>
              <w:rPr>
                <w:sz w:val="20"/>
                <w:szCs w:val="20"/>
                <w:color w:val="auto"/>
              </w:rPr>
            </w:pPr>
            <w:r>
              <w:rPr>
                <w:rFonts w:ascii="Arial" w:cs="Arial" w:eastAsia="Arial" w:hAnsi="Arial"/>
                <w:sz w:val="16"/>
                <w:szCs w:val="16"/>
                <w:color w:val="auto"/>
                <w:w w:val="91"/>
              </w:rPr>
              <w:t>Subtotal</w:t>
            </w:r>
          </w:p>
        </w:tc>
        <w:tc>
          <w:tcPr>
            <w:tcW w:w="2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vMerge w:val="restart"/>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vMerge w:val="continue"/>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General and administrative costs:</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 options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Restricted stock units</w:t>
            </w:r>
          </w:p>
        </w:tc>
        <w:tc>
          <w:tcPr>
            <w:tcW w:w="2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84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42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shd w:val="clear" w:color="auto" w:fill="CCEEFF"/>
          </w:tcPr>
          <w:p>
            <w:pPr>
              <w:jc w:val="center"/>
              <w:ind w:right="1999"/>
              <w:spacing w:after="0"/>
              <w:rPr>
                <w:sz w:val="20"/>
                <w:szCs w:val="20"/>
                <w:color w:val="auto"/>
              </w:rPr>
            </w:pPr>
            <w:r>
              <w:rPr>
                <w:rFonts w:ascii="Arial" w:cs="Arial" w:eastAsia="Arial" w:hAnsi="Arial"/>
                <w:sz w:val="16"/>
                <w:szCs w:val="16"/>
                <w:color w:val="auto"/>
                <w:w w:val="91"/>
              </w:rPr>
              <w:t>Subtotal</w:t>
            </w:r>
          </w:p>
        </w:tc>
        <w:tc>
          <w:tcPr>
            <w:tcW w:w="2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42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2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shd w:val="clear" w:color="auto" w:fill="CCEEFF"/>
          </w:tcPr>
          <w:p>
            <w:pPr>
              <w:jc w:val="center"/>
              <w:ind w:right="1999"/>
              <w:spacing w:after="0"/>
              <w:rPr>
                <w:sz w:val="20"/>
                <w:szCs w:val="20"/>
                <w:color w:val="auto"/>
              </w:rPr>
            </w:pPr>
            <w:r>
              <w:rPr>
                <w:rFonts w:ascii="Arial" w:cs="Arial" w:eastAsia="Arial" w:hAnsi="Arial"/>
                <w:sz w:val="16"/>
                <w:szCs w:val="16"/>
                <w:color w:val="auto"/>
                <w:w w:val="95"/>
              </w:rPr>
              <w:t>Total</w:t>
            </w:r>
          </w:p>
        </w:tc>
        <w:tc>
          <w:tcPr>
            <w:tcW w:w="2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42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gridSpan w:val="2"/>
          </w:tcPr>
          <w:p>
            <w:pPr>
              <w:jc w:val="right"/>
              <w:ind w:right="1024"/>
              <w:spacing w:after="0"/>
              <w:rPr>
                <w:sz w:val="20"/>
                <w:szCs w:val="20"/>
                <w:color w:val="auto"/>
              </w:rPr>
            </w:pPr>
            <w:r>
              <w:rPr>
                <w:rFonts w:ascii="Arial" w:cs="Arial" w:eastAsia="Arial" w:hAnsi="Arial"/>
                <w:sz w:val="16"/>
                <w:szCs w:val="16"/>
                <w:color w:val="auto"/>
              </w:rPr>
              <w:t>F-17</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9" w:right="99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Plans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maintain various stock option plans. A summary of our stock option plans as of September 30, 2021 and 2020 and for the nine months then ended consisted of the following (in thousands except exercise price):</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3"/>
                <w:szCs w:val="13"/>
                <w:color w:val="auto"/>
                <w:w w:val="90"/>
              </w:rPr>
              <w:t>Nine months Ended September 30,</w:t>
            </w:r>
          </w:p>
        </w:tc>
        <w:tc>
          <w:tcPr>
            <w:tcW w:w="720" w:type="dxa"/>
            <w:vAlign w:val="bottom"/>
            <w:tcBorders>
              <w:bottom w:val="single" w:sz="8" w:color="auto"/>
            </w:tcBorders>
          </w:tcPr>
          <w:p>
            <w:pPr>
              <w:spacing w:after="0"/>
              <w:rPr>
                <w:sz w:val="13"/>
                <w:szCs w:val="13"/>
                <w:color w:val="auto"/>
              </w:rPr>
            </w:pPr>
          </w:p>
        </w:tc>
      </w:tr>
      <w:tr>
        <w:trPr>
          <w:trHeight w:val="126"/>
        </w:trPr>
        <w:tc>
          <w:tcPr>
            <w:tcW w:w="41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3"/>
                <w:szCs w:val="13"/>
                <w:color w:val="auto"/>
                <w:w w:val="96"/>
              </w:rPr>
              <w:t>2021</w:t>
            </w:r>
          </w:p>
        </w:tc>
        <w:tc>
          <w:tcPr>
            <w:tcW w:w="7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3"/>
                <w:szCs w:val="13"/>
                <w:color w:val="auto"/>
                <w:w w:val="89"/>
              </w:rPr>
              <w:t>2020</w:t>
            </w:r>
          </w:p>
        </w:tc>
        <w:tc>
          <w:tcPr>
            <w:tcW w:w="720" w:type="dxa"/>
            <w:vAlign w:val="bottom"/>
            <w:tcBorders>
              <w:bottom w:val="single" w:sz="8" w:color="auto"/>
            </w:tcBorders>
          </w:tcPr>
          <w:p>
            <w:pPr>
              <w:spacing w:after="0"/>
              <w:rPr>
                <w:sz w:val="10"/>
                <w:szCs w:val="10"/>
                <w:color w:val="auto"/>
              </w:rPr>
            </w:pPr>
          </w:p>
        </w:tc>
      </w:tr>
      <w:tr>
        <w:trPr>
          <w:trHeight w:val="109"/>
        </w:trPr>
        <w:tc>
          <w:tcPr>
            <w:tcW w:w="4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66"/>
              <w:spacing w:after="0" w:line="110" w:lineRule="exact"/>
              <w:rPr>
                <w:sz w:val="20"/>
                <w:szCs w:val="20"/>
                <w:color w:val="auto"/>
              </w:rPr>
            </w:pPr>
            <w:r>
              <w:rPr>
                <w:rFonts w:ascii="Arial" w:cs="Arial" w:eastAsia="Arial" w:hAnsi="Arial"/>
                <w:sz w:val="12"/>
                <w:szCs w:val="12"/>
                <w:color w:val="auto"/>
                <w:w w:val="98"/>
              </w:rPr>
              <w:t>Weighted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66"/>
              <w:spacing w:after="0" w:line="110" w:lineRule="exact"/>
              <w:rPr>
                <w:sz w:val="20"/>
                <w:szCs w:val="20"/>
                <w:color w:val="auto"/>
              </w:rPr>
            </w:pPr>
            <w:r>
              <w:rPr>
                <w:rFonts w:ascii="Arial" w:cs="Arial" w:eastAsia="Arial" w:hAnsi="Arial"/>
                <w:sz w:val="12"/>
                <w:szCs w:val="12"/>
                <w:color w:val="auto"/>
                <w:w w:val="98"/>
              </w:rPr>
              <w:t>Weighted</w:t>
            </w:r>
          </w:p>
        </w:tc>
      </w:tr>
      <w:tr>
        <w:trPr>
          <w:trHeight w:val="133"/>
        </w:trPr>
        <w:tc>
          <w:tcPr>
            <w:tcW w:w="416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3"/>
                <w:szCs w:val="13"/>
                <w:color w:val="auto"/>
                <w:w w:val="90"/>
              </w:rPr>
              <w:t>Number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40"/>
              <w:spacing w:after="0" w:line="134" w:lineRule="exact"/>
              <w:rPr>
                <w:sz w:val="20"/>
                <w:szCs w:val="20"/>
                <w:color w:val="auto"/>
              </w:rPr>
            </w:pPr>
            <w:r>
              <w:rPr>
                <w:rFonts w:ascii="Arial" w:cs="Arial" w:eastAsia="Arial" w:hAnsi="Arial"/>
                <w:sz w:val="13"/>
                <w:szCs w:val="13"/>
                <w:color w:val="auto"/>
                <w:w w:val="86"/>
              </w:rPr>
              <w:t>Average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6"/>
              <w:spacing w:after="0" w:line="134" w:lineRule="exact"/>
              <w:rPr>
                <w:sz w:val="20"/>
                <w:szCs w:val="20"/>
                <w:color w:val="auto"/>
              </w:rPr>
            </w:pPr>
            <w:r>
              <w:rPr>
                <w:rFonts w:ascii="Arial" w:cs="Arial" w:eastAsia="Arial" w:hAnsi="Arial"/>
                <w:sz w:val="13"/>
                <w:szCs w:val="13"/>
                <w:color w:val="auto"/>
                <w:w w:val="86"/>
              </w:rPr>
              <w:t>Average</w:t>
            </w:r>
          </w:p>
        </w:tc>
      </w:tr>
      <w:tr>
        <w:trPr>
          <w:trHeight w:val="133"/>
        </w:trPr>
        <w:tc>
          <w:tcPr>
            <w:tcW w:w="416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3"/>
                <w:szCs w:val="13"/>
                <w:color w:val="auto"/>
                <w:w w:val="91"/>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4" w:lineRule="exact"/>
              <w:rPr>
                <w:sz w:val="20"/>
                <w:szCs w:val="20"/>
                <w:color w:val="auto"/>
              </w:rPr>
            </w:pPr>
            <w:r>
              <w:rPr>
                <w:rFonts w:ascii="Arial" w:cs="Arial" w:eastAsia="Arial" w:hAnsi="Arial"/>
                <w:sz w:val="13"/>
                <w:szCs w:val="13"/>
                <w:color w:val="auto"/>
                <w:w w:val="88"/>
              </w:rPr>
              <w:t>Exercise</w:t>
            </w:r>
          </w:p>
        </w:tc>
        <w:tc>
          <w:tcPr>
            <w:tcW w:w="740" w:type="dxa"/>
            <w:vAlign w:val="bottom"/>
          </w:tcPr>
          <w:p>
            <w:pPr>
              <w:jc w:val="right"/>
              <w:ind w:right="23"/>
              <w:spacing w:after="0" w:line="134" w:lineRule="exact"/>
              <w:rPr>
                <w:sz w:val="20"/>
                <w:szCs w:val="20"/>
                <w:color w:val="auto"/>
              </w:rPr>
            </w:pPr>
            <w:r>
              <w:rPr>
                <w:rFonts w:ascii="Arial" w:cs="Arial" w:eastAsia="Arial" w:hAnsi="Arial"/>
                <w:sz w:val="13"/>
                <w:szCs w:val="13"/>
                <w:color w:val="auto"/>
              </w:rPr>
              <w:t>Number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86"/>
              <w:spacing w:after="0" w:line="134" w:lineRule="exact"/>
              <w:rPr>
                <w:sz w:val="20"/>
                <w:szCs w:val="20"/>
                <w:color w:val="auto"/>
              </w:rPr>
            </w:pPr>
            <w:r>
              <w:rPr>
                <w:rFonts w:ascii="Arial" w:cs="Arial" w:eastAsia="Arial" w:hAnsi="Arial"/>
                <w:sz w:val="13"/>
                <w:szCs w:val="13"/>
                <w:color w:val="auto"/>
                <w:w w:val="88"/>
              </w:rPr>
              <w:t>Exercise</w:t>
            </w:r>
          </w:p>
        </w:tc>
      </w:tr>
      <w:tr>
        <w:trPr>
          <w:trHeight w:val="149"/>
        </w:trPr>
        <w:tc>
          <w:tcPr>
            <w:tcW w:w="4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3"/>
              </w:rPr>
              <w:t>Options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color w:val="auto"/>
                <w:w w:val="87"/>
              </w:rPr>
              <w:t>Price</w:t>
            </w:r>
          </w:p>
        </w:tc>
        <w:tc>
          <w:tcPr>
            <w:tcW w:w="740" w:type="dxa"/>
            <w:vAlign w:val="bottom"/>
          </w:tcPr>
          <w:p>
            <w:pPr>
              <w:jc w:val="right"/>
              <w:ind w:right="103"/>
              <w:spacing w:after="0"/>
              <w:rPr>
                <w:sz w:val="20"/>
                <w:szCs w:val="20"/>
                <w:color w:val="auto"/>
              </w:rPr>
            </w:pPr>
            <w:r>
              <w:rPr>
                <w:rFonts w:ascii="Arial" w:cs="Arial" w:eastAsia="Arial" w:hAnsi="Arial"/>
                <w:sz w:val="13"/>
                <w:szCs w:val="13"/>
                <w:color w:val="auto"/>
              </w:rPr>
              <w:t>Options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3"/>
                <w:szCs w:val="13"/>
                <w:color w:val="auto"/>
                <w:w w:val="87"/>
              </w:rPr>
              <w:t>Price</w:t>
            </w:r>
          </w:p>
        </w:tc>
      </w:tr>
      <w:tr>
        <w:trPr>
          <w:trHeight w:val="18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 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186"/>
        </w:trPr>
        <w:tc>
          <w:tcPr>
            <w:tcW w:w="4160" w:type="dxa"/>
            <w:vAlign w:val="bottom"/>
          </w:tcPr>
          <w:p>
            <w:pPr>
              <w:ind w:left="80"/>
              <w:spacing w:after="0"/>
              <w:rPr>
                <w:sz w:val="20"/>
                <w:szCs w:val="20"/>
                <w:color w:val="auto"/>
              </w:rPr>
            </w:pPr>
            <w:r>
              <w:rPr>
                <w:rFonts w:ascii="Arial" w:cs="Arial" w:eastAsia="Arial" w:hAnsi="Arial"/>
                <w:sz w:val="16"/>
                <w:szCs w:val="16"/>
                <w:color w:val="auto"/>
              </w:rPr>
              <w:t>Granted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160" w:type="dxa"/>
            <w:vAlign w:val="bottom"/>
          </w:tcPr>
          <w:p>
            <w:pPr>
              <w:ind w:left="80"/>
              <w:spacing w:after="0"/>
              <w:rPr>
                <w:sz w:val="20"/>
                <w:szCs w:val="20"/>
                <w:color w:val="auto"/>
              </w:rPr>
            </w:pPr>
            <w:r>
              <w:rPr>
                <w:rFonts w:ascii="Arial" w:cs="Arial" w:eastAsia="Arial" w:hAnsi="Arial"/>
                <w:sz w:val="16"/>
                <w:szCs w:val="16"/>
                <w:color w:val="auto"/>
              </w:rPr>
              <w:t>Forfeited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Expired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2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r>
      <w:tr>
        <w:trPr>
          <w:trHeight w:val="186"/>
        </w:trPr>
        <w:tc>
          <w:tcPr>
            <w:tcW w:w="4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Outstanding, Sept. 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18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Exercisable, Sept. 30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bl>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intrinsic value contained in the stock option awards which are vested and outstanding at September 30, 2021 is approximately $67 thousand.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Award Plans</w:t>
      </w:r>
    </w:p>
    <w:p>
      <w:pPr>
        <w:spacing w:after="0" w:line="204"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have two Restricted Stock Unit Award Plans for our employees and non-employee directors, a 2021 Restricted Stock Unit Award Plan (the “2021 RSU Plan) and a 2017 Restricted Stock Unit Award Plan (the “2017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$41 thousand at September 30, 2021.</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 summary of the grants under the RSU Plans as of September 30, 2021 and 2020, and for the nine months then ended consisted of the following (in thousands):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w w:val="88"/>
              </w:rPr>
              <w:t>Nine months Ended September 30,</w:t>
            </w:r>
          </w:p>
        </w:tc>
        <w:tc>
          <w:tcPr>
            <w:tcW w:w="640" w:type="dxa"/>
            <w:vAlign w:val="bottom"/>
            <w:tcBorders>
              <w:bottom w:val="single" w:sz="8" w:color="auto"/>
            </w:tcBorders>
          </w:tcPr>
          <w:p>
            <w:pPr>
              <w:spacing w:after="0"/>
              <w:rPr>
                <w:sz w:val="13"/>
                <w:szCs w:val="13"/>
                <w:color w:val="auto"/>
              </w:rPr>
            </w:pPr>
          </w:p>
        </w:tc>
      </w:tr>
      <w:tr>
        <w:trPr>
          <w:trHeight w:val="138"/>
        </w:trPr>
        <w:tc>
          <w:tcPr>
            <w:tcW w:w="4880" w:type="dxa"/>
            <w:vAlign w:val="bottom"/>
          </w:tcPr>
          <w:p>
            <w:pPr>
              <w:spacing w:after="0"/>
              <w:rPr>
                <w:sz w:val="11"/>
                <w:szCs w:val="11"/>
                <w:color w:val="auto"/>
              </w:rPr>
            </w:pPr>
          </w:p>
        </w:tc>
        <w:tc>
          <w:tcPr>
            <w:tcW w:w="1420" w:type="dxa"/>
            <w:vAlign w:val="bottom"/>
            <w:tcBorders>
              <w:bottom w:val="single" w:sz="8" w:color="auto"/>
            </w:tcBorders>
            <w:gridSpan w:val="3"/>
          </w:tcPr>
          <w:p>
            <w:pPr>
              <w:jc w:val="right"/>
              <w:ind w:right="527"/>
              <w:spacing w:after="0" w:line="138" w:lineRule="exact"/>
              <w:rPr>
                <w:sz w:val="20"/>
                <w:szCs w:val="20"/>
                <w:color w:val="auto"/>
              </w:rPr>
            </w:pPr>
            <w:r>
              <w:rPr>
                <w:rFonts w:ascii="Arial" w:cs="Arial" w:eastAsia="Arial" w:hAnsi="Arial"/>
                <w:sz w:val="13"/>
                <w:szCs w:val="13"/>
                <w:color w:val="auto"/>
              </w:rPr>
              <w:t>2021</w:t>
            </w:r>
          </w:p>
        </w:tc>
        <w:tc>
          <w:tcPr>
            <w:tcW w:w="180" w:type="dxa"/>
            <w:vAlign w:val="bottom"/>
          </w:tcPr>
          <w:p>
            <w:pPr>
              <w:spacing w:after="0"/>
              <w:rPr>
                <w:sz w:val="11"/>
                <w:szCs w:val="11"/>
                <w:color w:val="auto"/>
              </w:rPr>
            </w:pPr>
          </w:p>
        </w:tc>
        <w:tc>
          <w:tcPr>
            <w:tcW w:w="1460" w:type="dxa"/>
            <w:vAlign w:val="bottom"/>
            <w:tcBorders>
              <w:bottom w:val="single" w:sz="8" w:color="auto"/>
            </w:tcBorders>
            <w:gridSpan w:val="4"/>
          </w:tcPr>
          <w:p>
            <w:pPr>
              <w:jc w:val="right"/>
              <w:ind w:right="525"/>
              <w:spacing w:after="0" w:line="138" w:lineRule="exact"/>
              <w:rPr>
                <w:sz w:val="20"/>
                <w:szCs w:val="20"/>
                <w:color w:val="auto"/>
              </w:rPr>
            </w:pPr>
            <w:r>
              <w:rPr>
                <w:rFonts w:ascii="Arial" w:cs="Arial" w:eastAsia="Arial" w:hAnsi="Arial"/>
                <w:sz w:val="13"/>
                <w:szCs w:val="13"/>
                <w:color w:val="auto"/>
              </w:rPr>
              <w:t>2020</w:t>
            </w:r>
          </w:p>
        </w:tc>
      </w:tr>
      <w:tr>
        <w:trPr>
          <w:trHeight w:val="109"/>
        </w:trPr>
        <w:tc>
          <w:tcPr>
            <w:tcW w:w="4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auto"/>
              </w:rPr>
              <w:t>Number of</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auto"/>
                <w:w w:val="99"/>
              </w:rPr>
              <w:t>Number of</w:t>
            </w:r>
          </w:p>
        </w:tc>
      </w:tr>
      <w:tr>
        <w:trPr>
          <w:trHeight w:val="133"/>
        </w:trPr>
        <w:tc>
          <w:tcPr>
            <w:tcW w:w="4880" w:type="dxa"/>
            <w:vAlign w:val="bottom"/>
          </w:tcPr>
          <w:p>
            <w:pPr>
              <w:spacing w:after="0"/>
              <w:rPr>
                <w:sz w:val="11"/>
                <w:szCs w:val="11"/>
                <w:color w:val="auto"/>
              </w:rPr>
            </w:pPr>
          </w:p>
        </w:tc>
        <w:tc>
          <w:tcPr>
            <w:tcW w:w="600" w:type="dxa"/>
            <w:vAlign w:val="bottom"/>
          </w:tcPr>
          <w:p>
            <w:pPr>
              <w:jc w:val="right"/>
              <w:ind w:right="25"/>
              <w:spacing w:after="0" w:line="134" w:lineRule="exact"/>
              <w:rPr>
                <w:sz w:val="20"/>
                <w:szCs w:val="20"/>
                <w:color w:val="auto"/>
              </w:rPr>
            </w:pPr>
            <w:r>
              <w:rPr>
                <w:rFonts w:ascii="Arial" w:cs="Arial" w:eastAsia="Arial" w:hAnsi="Arial"/>
                <w:sz w:val="13"/>
                <w:szCs w:val="13"/>
                <w:color w:val="auto"/>
              </w:rPr>
              <w:t>Number</w:t>
            </w:r>
          </w:p>
        </w:tc>
        <w:tc>
          <w:tcPr>
            <w:tcW w:w="180" w:type="dxa"/>
            <w:vAlign w:val="bottom"/>
          </w:tcPr>
          <w:p>
            <w:pPr>
              <w:spacing w:after="0"/>
              <w:rPr>
                <w:sz w:val="11"/>
                <w:szCs w:val="11"/>
                <w:color w:val="auto"/>
              </w:rPr>
            </w:pPr>
          </w:p>
        </w:tc>
        <w:tc>
          <w:tcPr>
            <w:tcW w:w="820" w:type="dxa"/>
            <w:vAlign w:val="bottom"/>
            <w:gridSpan w:val="2"/>
          </w:tcPr>
          <w:p>
            <w:pPr>
              <w:jc w:val="center"/>
              <w:ind w:right="200"/>
              <w:spacing w:after="0" w:line="134" w:lineRule="exact"/>
              <w:rPr>
                <w:sz w:val="20"/>
                <w:szCs w:val="20"/>
                <w:color w:val="auto"/>
              </w:rPr>
            </w:pPr>
            <w:r>
              <w:rPr>
                <w:rFonts w:ascii="Arial" w:cs="Arial" w:eastAsia="Arial" w:hAnsi="Arial"/>
                <w:sz w:val="13"/>
                <w:szCs w:val="13"/>
                <w:color w:val="auto"/>
                <w:w w:val="83"/>
              </w:rPr>
              <w:t>Vested</w:t>
            </w:r>
          </w:p>
        </w:tc>
        <w:tc>
          <w:tcPr>
            <w:tcW w:w="820" w:type="dxa"/>
            <w:vAlign w:val="bottom"/>
            <w:gridSpan w:val="3"/>
          </w:tcPr>
          <w:p>
            <w:pPr>
              <w:jc w:val="center"/>
              <w:ind w:right="220"/>
              <w:spacing w:after="0" w:line="134" w:lineRule="exact"/>
              <w:rPr>
                <w:sz w:val="20"/>
                <w:szCs w:val="20"/>
                <w:color w:val="auto"/>
              </w:rPr>
            </w:pPr>
            <w:r>
              <w:rPr>
                <w:rFonts w:ascii="Arial" w:cs="Arial" w:eastAsia="Arial" w:hAnsi="Arial"/>
                <w:sz w:val="13"/>
                <w:szCs w:val="13"/>
                <w:color w:val="auto"/>
                <w:w w:val="92"/>
              </w:rPr>
              <w:t>Number of</w:t>
            </w: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auto"/>
                <w:w w:val="83"/>
              </w:rPr>
              <w:t>Vested</w:t>
            </w:r>
          </w:p>
        </w:tc>
      </w:tr>
      <w:tr>
        <w:trPr>
          <w:trHeight w:val="149"/>
        </w:trPr>
        <w:tc>
          <w:tcPr>
            <w:tcW w:w="488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Arial" w:cs="Arial" w:eastAsia="Arial" w:hAnsi="Arial"/>
                <w:sz w:val="13"/>
                <w:szCs w:val="13"/>
                <w:color w:val="auto"/>
              </w:rPr>
              <w:t>of RSUs</w:t>
            </w:r>
          </w:p>
        </w:tc>
        <w:tc>
          <w:tcPr>
            <w:tcW w:w="1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RSUs</w:t>
            </w:r>
          </w:p>
        </w:tc>
        <w:tc>
          <w:tcPr>
            <w:tcW w:w="820" w:type="dxa"/>
            <w:vAlign w:val="bottom"/>
            <w:gridSpan w:val="3"/>
          </w:tcPr>
          <w:p>
            <w:pPr>
              <w:jc w:val="center"/>
              <w:ind w:right="200"/>
              <w:spacing w:after="0"/>
              <w:rPr>
                <w:sz w:val="20"/>
                <w:szCs w:val="20"/>
                <w:color w:val="auto"/>
              </w:rPr>
            </w:pPr>
            <w:r>
              <w:rPr>
                <w:rFonts w:ascii="Arial" w:cs="Arial" w:eastAsia="Arial" w:hAnsi="Arial"/>
                <w:sz w:val="13"/>
                <w:szCs w:val="13"/>
                <w:color w:val="auto"/>
                <w:w w:val="88"/>
              </w:rPr>
              <w:t>RSUs</w:t>
            </w:r>
          </w:p>
        </w:tc>
        <w:tc>
          <w:tcPr>
            <w:tcW w:w="640" w:type="dxa"/>
            <w:vAlign w:val="bottom"/>
          </w:tcPr>
          <w:p>
            <w:pPr>
              <w:jc w:val="center"/>
              <w:spacing w:after="0"/>
              <w:rPr>
                <w:sz w:val="20"/>
                <w:szCs w:val="20"/>
                <w:color w:val="auto"/>
              </w:rPr>
            </w:pPr>
            <w:r>
              <w:rPr>
                <w:rFonts w:ascii="Arial" w:cs="Arial" w:eastAsia="Arial" w:hAnsi="Arial"/>
                <w:sz w:val="13"/>
                <w:szCs w:val="13"/>
                <w:color w:val="auto"/>
                <w:w w:val="88"/>
              </w:rPr>
              <w:t>RSUs</w:t>
            </w:r>
          </w:p>
        </w:tc>
      </w:tr>
      <w:tr>
        <w:trPr>
          <w:trHeight w:val="186"/>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 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186"/>
        </w:trPr>
        <w:tc>
          <w:tcPr>
            <w:tcW w:w="4880" w:type="dxa"/>
            <w:vAlign w:val="bottom"/>
          </w:tcPr>
          <w:p>
            <w:pPr>
              <w:ind w:left="80"/>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267</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Distributed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194"/>
        </w:trPr>
        <w:tc>
          <w:tcPr>
            <w:tcW w:w="4880" w:type="dxa"/>
            <w:vAlign w:val="bottom"/>
          </w:tcPr>
          <w:p>
            <w:pPr>
              <w:ind w:left="80"/>
              <w:spacing w:after="0"/>
              <w:rPr>
                <w:sz w:val="20"/>
                <w:szCs w:val="20"/>
                <w:color w:val="auto"/>
              </w:rPr>
            </w:pPr>
            <w:r>
              <w:rPr>
                <w:rFonts w:ascii="Arial" w:cs="Arial" w:eastAsia="Arial" w:hAnsi="Arial"/>
                <w:sz w:val="16"/>
                <w:szCs w:val="16"/>
                <w:color w:val="auto"/>
              </w:rPr>
              <w:t>Vested</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6"/>
                <w:szCs w:val="16"/>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194"/>
        </w:trPr>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Forfeited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880" w:type="dxa"/>
            <w:vAlign w:val="bottom"/>
          </w:tcPr>
          <w:p>
            <w:pPr>
              <w:spacing w:after="0"/>
              <w:rPr>
                <w:sz w:val="20"/>
                <w:szCs w:val="20"/>
                <w:color w:val="auto"/>
              </w:rPr>
            </w:pPr>
            <w:r>
              <w:rPr>
                <w:rFonts w:ascii="Arial" w:cs="Arial" w:eastAsia="Arial" w:hAnsi="Arial"/>
                <w:sz w:val="16"/>
                <w:szCs w:val="16"/>
                <w:color w:val="auto"/>
              </w:rPr>
              <w:t>Outstanding, Sept. 30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785</w:t>
            </w:r>
          </w:p>
        </w:tc>
      </w:tr>
    </w:tbl>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2021 Restricted Stock Unit Award Plan</w:t>
      </w:r>
    </w:p>
    <w:p>
      <w:pPr>
        <w:spacing w:after="0" w:line="204" w:lineRule="exact"/>
        <w:rPr>
          <w:sz w:val="20"/>
          <w:szCs w:val="20"/>
          <w:color w:val="auto"/>
        </w:rPr>
      </w:pPr>
    </w:p>
    <w:p>
      <w:pPr>
        <w:spacing w:after="0" w:line="356" w:lineRule="auto"/>
        <w:rPr>
          <w:sz w:val="20"/>
          <w:szCs w:val="20"/>
          <w:color w:val="auto"/>
        </w:rPr>
      </w:pPr>
      <w:r>
        <w:rPr>
          <w:rFonts w:ascii="Arial" w:cs="Arial" w:eastAsia="Arial" w:hAnsi="Arial"/>
          <w:sz w:val="14"/>
          <w:szCs w:val="14"/>
          <w:color w:val="auto"/>
        </w:rPr>
        <w:t>Our 2021 RSU Plan was approved by shareholders in May 2021 and permits the grant of up to 2.50 million shares of our common stock pursuant to awards under the 2021 RSU Plan. As of September 30, 2021, there are 2.23 million shares which remain available for award under the 2021 RSU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award activity under the 2021 RSU Plan is as follows:</w:t>
      </w:r>
    </w:p>
    <w:p>
      <w:pPr>
        <w:spacing w:after="0" w:line="204" w:lineRule="exact"/>
        <w:rPr>
          <w:sz w:val="20"/>
          <w:szCs w:val="20"/>
          <w:color w:val="auto"/>
        </w:rPr>
      </w:pPr>
    </w:p>
    <w:p>
      <w:pPr>
        <w:jc w:val="both"/>
        <w:ind w:left="600" w:hanging="286"/>
        <w:spacing w:after="0" w:line="27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May 2021, we awarded approximately 66 thousand RSUs to each of our four non-employee directors which also allow for them to receive payment in cash, instead of stock, for up to 40% of each RSU award. The awards vest 50% at the end of calendar quarter June 30, 2021 and 25% at the end of each calendar quarter in 2021 thereafter. Settlement of this RSU will occur on January 4, 2022 the first business day of the year after vesting. The portion of the RSU awards which is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2017 Restricted Stock Unit Award Plan</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2017 RSU Plan was approved by shareholders in November 2017 and permits the grant of up to 1.5 million shares of our common stock pursuant to awards under the 2017 RSU Plan. There are no shares which remain available for award under the 2017 RSU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award activity under the 2017 RSU Plan is as follows:</w:t>
      </w:r>
    </w:p>
    <w:p>
      <w:pPr>
        <w:spacing w:after="0" w:line="204" w:lineRule="exact"/>
        <w:rPr>
          <w:sz w:val="20"/>
          <w:szCs w:val="20"/>
          <w:color w:val="auto"/>
        </w:rPr>
      </w:pPr>
    </w:p>
    <w:p>
      <w:pPr>
        <w:jc w:val="both"/>
        <w:ind w:left="600" w:hanging="286"/>
        <w:spacing w:after="0" w:line="258"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December 2017, we awarded 200 thousand RSUs to our employees. Such RSU awards vested 100% after one full year of service. Distributions of the vested RSU awards to the employees are being made in three equal installments on the first business day of each of January 2020, 2021, and 2022 or earlier upon a qualifying change of control.</w:t>
      </w:r>
    </w:p>
    <w:p>
      <w:pPr>
        <w:jc w:val="both"/>
        <w:ind w:left="600" w:hanging="286"/>
        <w:spacing w:after="0" w:line="253"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December 2018, we awarded 488 thousand RSUs to our employees. Such RSU awards vested 100% after one full year of service. Distributions of the vested RSU awards to the employees are being made in three equal installments on the first business day of each of January 2021, 2022, and 2023 or earlier upon a qualifying change of control.</w:t>
      </w:r>
    </w:p>
    <w:p>
      <w:pPr>
        <w:jc w:val="both"/>
        <w:ind w:left="600" w:hanging="286"/>
        <w:spacing w:after="0" w:line="25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2019, we awarded approximately 83 thousand RSUs to each of our four non-employee directors which also allow for them to receive payment in cash, instead of stock, for up to 40% of each RSU award. The awards vested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ind w:left="600" w:hanging="286"/>
        <w:spacing w:after="0" w:line="258"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January 2020, we awarded approximately 55 thousand RSUs to each of our four non-employee directors which also allow for them to receive payment in cash, instead of stock, for up to 40% of each RSU award. The awards vested 25% at the end of each calendar quarter in 2020. Settlement of this RSU award did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distribution of share activity under the 2017 RSU Plan is as follows:</w:t>
      </w:r>
    </w:p>
    <w:p>
      <w:pPr>
        <w:spacing w:after="0" w:line="204" w:lineRule="exact"/>
        <w:rPr>
          <w:sz w:val="20"/>
          <w:szCs w:val="20"/>
          <w:color w:val="auto"/>
        </w:rPr>
      </w:pPr>
    </w:p>
    <w:p>
      <w:pPr>
        <w:ind w:left="600" w:hanging="286"/>
        <w:spacing w:after="0" w:line="260"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2019, 267 thousand RSUs were distributed to our non-employee directors from their January 2018 award and settled in common stock.</w:t>
      </w:r>
    </w:p>
    <w:p>
      <w:pPr>
        <w:spacing w:after="0" w:line="1" w:lineRule="exact"/>
        <w:rPr>
          <w:rFonts w:ascii="Arial" w:cs="Arial" w:eastAsia="Arial" w:hAnsi="Arial"/>
          <w:sz w:val="16"/>
          <w:szCs w:val="16"/>
          <w:color w:val="auto"/>
        </w:rPr>
      </w:pPr>
    </w:p>
    <w:p>
      <w:pPr>
        <w:ind w:left="600" w:right="20" w:hanging="286"/>
        <w:spacing w:after="0" w:line="269"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spacing w:after="0" w:line="1" w:lineRule="exact"/>
        <w:rPr>
          <w:rFonts w:ascii="Arial" w:cs="Arial" w:eastAsia="Arial" w:hAnsi="Arial"/>
          <w:sz w:val="15"/>
          <w:szCs w:val="15"/>
          <w:color w:val="auto"/>
        </w:rPr>
      </w:pPr>
    </w:p>
    <w:p>
      <w:pPr>
        <w:ind w:left="600" w:hanging="286"/>
        <w:spacing w:after="0" w:line="269"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January 2020, 64 thousand RSUs were distributed to our current and former employees representing one third of their 2017 award with 54 thousand RSUs settled in common stock and 10 thousand RSUs used to settle the purchase price and employee withholding taxes.</w:t>
      </w:r>
    </w:p>
    <w:p>
      <w:pPr>
        <w:spacing w:after="0" w:line="1" w:lineRule="exact"/>
        <w:rPr>
          <w:rFonts w:ascii="Arial" w:cs="Arial" w:eastAsia="Arial" w:hAnsi="Arial"/>
          <w:sz w:val="15"/>
          <w:szCs w:val="15"/>
          <w:color w:val="auto"/>
        </w:rPr>
      </w:pPr>
    </w:p>
    <w:p>
      <w:pPr>
        <w:ind w:left="600" w:hanging="286"/>
        <w:spacing w:after="0" w:line="253"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2021, 219 thousand RSUs were distributed to our non-employee directors from their January 2020 award and settled in common stock.</w:t>
      </w:r>
    </w:p>
    <w:p>
      <w:pPr>
        <w:jc w:val="both"/>
        <w:ind w:left="600" w:hanging="286"/>
        <w:spacing w:after="0" w:line="259"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2021, 228 thousand RSUs were distributed to our current and former employees representing one third of their December 2017 award and one third of their December 2018 award, with 185 thousand RSUs settled in common stock and 43 thousand RSUs used to settle the purchase price and employee withholding taxes.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LEASES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2021, the Company entered into a finance lease for a scientific piece of equipment for a term of 24 months with equal monthly payment of $3 thousand.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supplemental balance sheet information related to the lease as of September 30, 2021 and December 31,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September 30,</w:t>
            </w:r>
          </w:p>
        </w:tc>
        <w:tc>
          <w:tcPr>
            <w:tcW w:w="880" w:type="dxa"/>
            <w:vAlign w:val="bottom"/>
            <w:gridSpan w:val="2"/>
          </w:tcPr>
          <w:p>
            <w:pPr>
              <w:ind w:left="60"/>
              <w:spacing w:after="0"/>
              <w:rPr>
                <w:sz w:val="20"/>
                <w:szCs w:val="20"/>
                <w:color w:val="auto"/>
              </w:rPr>
            </w:pPr>
            <w:r>
              <w:rPr>
                <w:rFonts w:ascii="Arial" w:cs="Arial" w:eastAsia="Arial" w:hAnsi="Arial"/>
                <w:sz w:val="13"/>
                <w:szCs w:val="13"/>
                <w:color w:val="auto"/>
                <w:w w:val="9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860" w:type="dxa"/>
            <w:vAlign w:val="bottom"/>
          </w:tcPr>
          <w:p>
            <w:pPr>
              <w:jc w:val="center"/>
              <w:ind w:left="1363"/>
              <w:spacing w:after="0"/>
              <w:rPr>
                <w:sz w:val="20"/>
                <w:szCs w:val="20"/>
                <w:color w:val="auto"/>
              </w:rPr>
            </w:pPr>
            <w:r>
              <w:rPr>
                <w:rFonts w:ascii="Arial" w:cs="Arial" w:eastAsia="Arial" w:hAnsi="Arial"/>
                <w:sz w:val="13"/>
                <w:szCs w:val="13"/>
                <w:color w:val="auto"/>
                <w:w w:val="91"/>
              </w:rPr>
              <w:t>Financial Statement Classification</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80" w:type="dxa"/>
            <w:vAlign w:val="bottom"/>
            <w:tcBorders>
              <w:bottom w:val="single" w:sz="8" w:color="CCEEFF"/>
            </w:tcBorders>
          </w:tcPr>
          <w:p>
            <w:pPr>
              <w:spacing w:after="0"/>
              <w:rPr>
                <w:sz w:val="10"/>
                <w:szCs w:val="10"/>
                <w:color w:val="auto"/>
              </w:rPr>
            </w:pPr>
          </w:p>
        </w:tc>
        <w:tc>
          <w:tcPr>
            <w:tcW w:w="38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line="126" w:lineRule="exact"/>
              <w:rPr>
                <w:sz w:val="20"/>
                <w:szCs w:val="20"/>
                <w:color w:val="auto"/>
              </w:rPr>
            </w:pPr>
            <w:r>
              <w:rPr>
                <w:rFonts w:ascii="Arial" w:cs="Arial" w:eastAsia="Arial" w:hAnsi="Arial"/>
                <w:sz w:val="13"/>
                <w:szCs w:val="13"/>
                <w:color w:val="auto"/>
              </w:rPr>
              <w:t>(in thousands)</w:t>
            </w: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3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tcPr>
          <w:p>
            <w:pPr>
              <w:ind w:left="80"/>
              <w:spacing w:after="0"/>
              <w:rPr>
                <w:sz w:val="20"/>
                <w:szCs w:val="20"/>
                <w:color w:val="auto"/>
              </w:rPr>
            </w:pPr>
            <w:r>
              <w:rPr>
                <w:rFonts w:ascii="Arial" w:cs="Arial" w:eastAsia="Arial" w:hAnsi="Arial"/>
                <w:sz w:val="16"/>
                <w:szCs w:val="16"/>
                <w:color w:val="auto"/>
              </w:rPr>
              <w:t>Finance lease right of use</w:t>
            </w:r>
          </w:p>
        </w:tc>
        <w:tc>
          <w:tcPr>
            <w:tcW w:w="3860" w:type="dxa"/>
            <w:vAlign w:val="bottom"/>
          </w:tcPr>
          <w:p>
            <w:pPr>
              <w:jc w:val="center"/>
              <w:ind w:left="1363"/>
              <w:spacing w:after="0"/>
              <w:rPr>
                <w:sz w:val="20"/>
                <w:szCs w:val="20"/>
                <w:color w:val="auto"/>
              </w:rPr>
            </w:pPr>
            <w:r>
              <w:rPr>
                <w:rFonts w:ascii="Arial" w:cs="Arial" w:eastAsia="Arial" w:hAnsi="Arial"/>
                <w:sz w:val="16"/>
                <w:szCs w:val="16"/>
                <w:color w:val="auto"/>
                <w:w w:val="89"/>
              </w:rPr>
              <w:t>Other long-term assets</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Liabilities</w:t>
            </w:r>
          </w:p>
        </w:tc>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Finance lease liability - current</w:t>
            </w:r>
          </w:p>
        </w:tc>
        <w:tc>
          <w:tcPr>
            <w:tcW w:w="3860" w:type="dxa"/>
            <w:vAlign w:val="bottom"/>
            <w:shd w:val="clear" w:color="auto" w:fill="CCEEFF"/>
          </w:tcPr>
          <w:p>
            <w:pPr>
              <w:jc w:val="center"/>
              <w:ind w:left="1363"/>
              <w:spacing w:after="0"/>
              <w:rPr>
                <w:sz w:val="20"/>
                <w:szCs w:val="20"/>
                <w:color w:val="auto"/>
              </w:rPr>
            </w:pPr>
            <w:r>
              <w:rPr>
                <w:rFonts w:ascii="Arial" w:cs="Arial" w:eastAsia="Arial" w:hAnsi="Arial"/>
                <w:sz w:val="16"/>
                <w:szCs w:val="16"/>
                <w:color w:val="auto"/>
                <w:w w:val="94"/>
              </w:rPr>
              <w:t>Other current liabilities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Finance lease liability - noncurrent</w:t>
            </w:r>
          </w:p>
        </w:tc>
        <w:tc>
          <w:tcPr>
            <w:tcW w:w="3860" w:type="dxa"/>
            <w:vAlign w:val="bottom"/>
            <w:tcBorders>
              <w:bottom w:val="single" w:sz="8" w:color="CCEEFF"/>
            </w:tcBorders>
          </w:tcPr>
          <w:p>
            <w:pPr>
              <w:jc w:val="center"/>
              <w:ind w:left="1363"/>
              <w:spacing w:after="0"/>
              <w:rPr>
                <w:sz w:val="20"/>
                <w:szCs w:val="20"/>
                <w:color w:val="auto"/>
              </w:rPr>
            </w:pPr>
            <w:r>
              <w:rPr>
                <w:rFonts w:ascii="Arial" w:cs="Arial" w:eastAsia="Arial" w:hAnsi="Arial"/>
                <w:sz w:val="16"/>
                <w:szCs w:val="16"/>
                <w:color w:val="auto"/>
                <w:w w:val="96"/>
              </w:rPr>
              <w:t>Other long-term liabilities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lease liability</w:t>
            </w:r>
          </w:p>
        </w:tc>
        <w:tc>
          <w:tcPr>
            <w:tcW w:w="38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$138 million gross Federal NOLs at September 30, 2021. On June 9, 2021 we believe the conversion for the $6.0 million Promissory Note and approximately $877 thousand of accrued but unpaid interest into 42,984,375 shares of the Company’s common stock created another qualifying event under IRC 382 which will most likely continue to further limit our utilization of our NOLs. We believe the gross Federal NOL benefit we generated prior to January 1, 2018 available to offset taxable income and prior to the June 9, 2021 conversion, was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while our Federal NOLs generated after 2017 can be carried forward indefinitely. Future common stock transactions, such as the exercise of common stock purchase warrants, may cause additional qualifying events under IRC 382 which will most likely continue to further limit our utilization of our NOLs.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September 30, 2021 and December 31, 2020,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–NET INCOME (LOSS) PER SHARE</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Basic net income (loss) per share is computed by dividing net income or loss by the weighted average common shares outstanding during a period, including shares weighted related to both vested Restricted Stock Units (“RSUs”) which settle in shares (See Note 10) and a stock warrant exercisable for 10.0 million shares having an exercise price of $0.01 per share (See Note 7).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As the Company reported a net loss for the nine month periods ending September 30, 2021 and 2020, the effects of common stock equivalents were excluded as the diluted net loss per share calculation would have been antidilutive. The weighted-average common share outstanding diluted computation is not impacted during the reported period when the exercise price of a stock option, common stock warrant or convertible loan is greater than the average market price of our common stock the reported period.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 reconciliation of the numerators and denominators of basic and diluted net income (loss) per share (“EPS”) consisted of the following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ind w:left="220"/>
              <w:spacing w:after="0"/>
              <w:rPr>
                <w:sz w:val="20"/>
                <w:szCs w:val="20"/>
                <w:color w:val="auto"/>
              </w:rPr>
            </w:pPr>
            <w:r>
              <w:rPr>
                <w:rFonts w:ascii="Arial" w:cs="Arial" w:eastAsia="Arial" w:hAnsi="Arial"/>
                <w:sz w:val="13"/>
                <w:szCs w:val="13"/>
                <w:color w:val="auto"/>
              </w:rPr>
              <w:t>Three months Ended</w:t>
            </w:r>
          </w:p>
        </w:tc>
        <w:tc>
          <w:tcPr>
            <w:tcW w:w="160" w:type="dxa"/>
            <w:vAlign w:val="bottom"/>
          </w:tcPr>
          <w:p>
            <w:pPr>
              <w:spacing w:after="0"/>
              <w:rPr>
                <w:sz w:val="13"/>
                <w:szCs w:val="13"/>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3"/>
                <w:szCs w:val="13"/>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September 30,</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2"/>
              <w:spacing w:after="0" w:line="126" w:lineRule="exact"/>
              <w:rPr>
                <w:sz w:val="20"/>
                <w:szCs w:val="20"/>
                <w:color w:val="auto"/>
              </w:rPr>
            </w:pPr>
            <w:r>
              <w:rPr>
                <w:rFonts w:ascii="Arial" w:cs="Arial" w:eastAsia="Arial" w:hAnsi="Arial"/>
                <w:sz w:val="13"/>
                <w:szCs w:val="13"/>
                <w:color w:val="auto"/>
              </w:rPr>
              <w:t>2021</w:t>
            </w:r>
          </w:p>
        </w:tc>
        <w:tc>
          <w:tcPr>
            <w:tcW w:w="2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0"/>
              <w:spacing w:after="0" w:line="126" w:lineRule="exact"/>
              <w:rPr>
                <w:sz w:val="20"/>
                <w:szCs w:val="20"/>
                <w:color w:val="auto"/>
              </w:rPr>
            </w:pPr>
            <w:r>
              <w:rPr>
                <w:rFonts w:ascii="Arial" w:cs="Arial" w:eastAsia="Arial" w:hAnsi="Arial"/>
                <w:sz w:val="13"/>
                <w:szCs w:val="13"/>
                <w:color w:val="auto"/>
                <w:w w:val="89"/>
              </w:rPr>
              <w:t>2020</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2"/>
              <w:spacing w:after="0" w:line="126" w:lineRule="exact"/>
              <w:rPr>
                <w:sz w:val="20"/>
                <w:szCs w:val="20"/>
                <w:color w:val="auto"/>
              </w:rPr>
            </w:pPr>
            <w:r>
              <w:rPr>
                <w:rFonts w:ascii="Arial" w:cs="Arial" w:eastAsia="Arial" w:hAnsi="Arial"/>
                <w:sz w:val="13"/>
                <w:szCs w:val="13"/>
                <w:color w:val="auto"/>
              </w:rPr>
              <w:t>2021</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0"/>
              <w:spacing w:after="0" w:line="126" w:lineRule="exact"/>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per share</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Numerator: net loss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Denominator (weighted average):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65,089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40,044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RSUs – vested</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 purchase warrants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shares outstanding</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75,561</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32,336</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50,464</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Basic net loss per share</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Diluted net loss per share</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Numerator: net loss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6"/>
                <w:szCs w:val="16"/>
                <w:color w:val="auto"/>
              </w:rPr>
              <w:t>Denominator (weighted average):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RSUs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 warrants</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75,561</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32,336</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50,464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Diluted net loss per share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6"/>
                <w:szCs w:val="16"/>
                <w:color w:val="auto"/>
              </w:rPr>
              <w:t>Excluded securities (non-weighted):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shares issuable: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RSUs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Common stock purchase warrants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1,782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loan</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Total excluded potentially dilutive shares</w:t>
            </w: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3,091</w:t>
            </w:r>
          </w:p>
        </w:tc>
        <w:tc>
          <w:tcPr>
            <w:tcW w:w="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40,807</w:t>
            </w: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3,091</w:t>
            </w: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40,807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SUBSEQUENT EVENTS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October and November 2021, AD Pharma remitted to us $350 thousand of the $400 thousand license fees.</w:t>
      </w:r>
    </w:p>
    <w:p>
      <w:pPr>
        <w:spacing w:after="0" w:line="196" w:lineRule="exact"/>
        <w:rPr>
          <w:sz w:val="20"/>
          <w:szCs w:val="20"/>
          <w:color w:val="auto"/>
        </w:rPr>
      </w:pPr>
    </w:p>
    <w:p>
      <w:pPr>
        <w:jc w:val="both"/>
        <w:spacing w:after="0" w:line="213" w:lineRule="auto"/>
        <w:rPr>
          <w:sz w:val="20"/>
          <w:szCs w:val="20"/>
          <w:color w:val="auto"/>
        </w:rPr>
      </w:pPr>
      <w:r>
        <w:rPr>
          <w:rFonts w:ascii="Arial" w:cs="Arial" w:eastAsia="Arial" w:hAnsi="Arial"/>
          <w:sz w:val="16"/>
          <w:szCs w:val="16"/>
          <w:color w:val="auto"/>
        </w:rPr>
        <w:t>In October 2021, the Company received approval for loan forgiveness under the PPP by the Small Business Administration for its 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Loan in the aggregate amount of $266 thousand.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2. Management’s Discussion and Analysis of Financial Condition and Results of Operations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67" w:lineRule="exact"/>
        <w:rPr>
          <w:sz w:val="20"/>
          <w:szCs w:val="20"/>
          <w:color w:val="auto"/>
        </w:rPr>
      </w:pPr>
    </w:p>
    <w:p>
      <w:pPr>
        <w:ind w:left="900" w:hanging="295"/>
        <w:spacing w:after="0" w:line="26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we will receive FDA acceptance for an NDA for LTX-03 by the target date;</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our licensees will terminate the license prior to commercialization;</w:t>
      </w:r>
    </w:p>
    <w:p>
      <w:pPr>
        <w:spacing w:after="0" w:line="10" w:lineRule="exact"/>
        <w:rPr>
          <w:rFonts w:ascii="Arial" w:cs="Arial" w:eastAsia="Arial" w:hAnsi="Arial"/>
          <w:sz w:val="16"/>
          <w:szCs w:val="16"/>
          <w:color w:val="auto"/>
        </w:rPr>
      </w:pPr>
    </w:p>
    <w:p>
      <w:pPr>
        <w:ind w:left="900" w:right="2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results of clinical studies relating to LTX-03 or any successor product candidate, the date by which such studies will complete and the results will be available and whether any product candidate will ultimately receive FDA approval;</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LTX-03 single tablets to achieve bioequivalence or to demonstrate efficacy in a clinical study;</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our licensing partners will develop any additional products and utilize Acura for such development;</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LIMITx will retard the release of opioid active ingredients as dose levels increase;</w:t>
      </w:r>
    </w:p>
    <w:p>
      <w:pPr>
        <w:spacing w:after="0" w:line="10" w:lineRule="exact"/>
        <w:rPr>
          <w:rFonts w:ascii="Arial" w:cs="Arial" w:eastAsia="Arial" w:hAnsi="Arial"/>
          <w:sz w:val="16"/>
          <w:szCs w:val="16"/>
          <w:color w:val="auto"/>
        </w:rPr>
      </w:pPr>
    </w:p>
    <w:p>
      <w:pPr>
        <w:ind w:left="900" w:right="2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extent to which products formulated with the LIMITx technology mitigate respiratory depression risk will be determined sufficient by the FDA;</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and our licensee’s ability to successfully launch and commercialize our products and technologies;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and our licensee’s ability to obtain necessary regulatory approvals and commercialize products utilizing our technologies;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 acceptance of, timing of commercial launch and competitive environment for any of our products;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develop and enter into additional license agreements for our product candidates using our technologies;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to avoid infringement of patents, trademarks and other proprietary rights of third parties;</w:t>
      </w:r>
    </w:p>
    <w:p>
      <w:pPr>
        <w:spacing w:after="0" w:line="10" w:lineRule="exact"/>
        <w:rPr>
          <w:rFonts w:ascii="Arial" w:cs="Arial" w:eastAsia="Arial" w:hAnsi="Arial"/>
          <w:sz w:val="16"/>
          <w:szCs w:val="16"/>
          <w:color w:val="auto"/>
        </w:rPr>
      </w:pPr>
    </w:p>
    <w:p>
      <w:pPr>
        <w:ind w:left="90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our patents to protect our products from generic competition and our ability to protect and enforce our patent rights in any paragraph IV patent infringement litigation;</w:t>
      </w:r>
    </w:p>
    <w:p>
      <w:pPr>
        <w:ind w:left="90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adequacy of the development program for our product candidates, including whether additional clinical studies will be required to support an NDA and FDA approval of our product candidates;</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regulatory requirements;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safety findings relating to our commercialized products or product candidates in development;</w:t>
      </w:r>
    </w:p>
    <w:p>
      <w:pPr>
        <w:spacing w:after="0" w:line="10" w:lineRule="exact"/>
        <w:rPr>
          <w:rFonts w:ascii="Arial" w:cs="Arial" w:eastAsia="Arial" w:hAnsi="Arial"/>
          <w:sz w:val="16"/>
          <w:szCs w:val="16"/>
          <w:color w:val="auto"/>
        </w:rPr>
      </w:pPr>
    </w:p>
    <w:p>
      <w:pPr>
        <w:ind w:left="90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or when we are able to obtain FDA approval of labeling for our product candidates for the proposed indications and whether we will be able to promote the features of our technologies; and</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our product candidates will ultimately perform as intended in commercial settings.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2020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4" w:name="page25"/>
    <w:bookmarkEnd w:id="24"/>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Company Overview</w:t>
      </w:r>
    </w:p>
    <w:p>
      <w:pPr>
        <w:spacing w:after="0" w:line="208" w:lineRule="exact"/>
        <w:rPr>
          <w:sz w:val="20"/>
          <w:szCs w:val="20"/>
          <w:color w:val="auto"/>
        </w:rPr>
      </w:pPr>
    </w:p>
    <w:p>
      <w:pPr>
        <w:jc w:val="both"/>
        <w:ind w:left="1"/>
        <w:spacing w:after="0" w:line="279" w:lineRule="auto"/>
        <w:rPr>
          <w:sz w:val="20"/>
          <w:szCs w:val="20"/>
          <w:color w:val="auto"/>
        </w:rPr>
      </w:pPr>
      <w:r>
        <w:rPr>
          <w:rFonts w:ascii="Arial" w:cs="Arial" w:eastAsia="Arial" w:hAnsi="Arial"/>
          <w:sz w:val="15"/>
          <w:szCs w:val="15"/>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55" w:lineRule="exact"/>
        <w:rPr>
          <w:sz w:val="20"/>
          <w:szCs w:val="20"/>
          <w:color w:val="auto"/>
        </w:rPr>
      </w:pPr>
    </w:p>
    <w:p>
      <w:pPr>
        <w:jc w:val="both"/>
        <w:ind w:left="1"/>
        <w:spacing w:after="0" w:line="272" w:lineRule="auto"/>
        <w:rPr>
          <w:sz w:val="20"/>
          <w:szCs w:val="20"/>
          <w:color w:val="auto"/>
        </w:rPr>
      </w:pPr>
      <w:r>
        <w:rPr>
          <w:rFonts w:ascii="Arial" w:cs="Arial" w:eastAsia="Arial" w:hAnsi="Arial"/>
          <w:sz w:val="15"/>
          <w:szCs w:val="15"/>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through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FDA designated the development program for LTX-04 as Fast Track, which is designed to facilitate the development, and expedite the review of drugs to treat serious conditions and fill an unmet medical need. However, we are advancing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69" w:lineRule="exact"/>
        <w:rPr>
          <w:sz w:val="20"/>
          <w:szCs w:val="20"/>
          <w:color w:val="auto"/>
        </w:rPr>
      </w:pPr>
    </w:p>
    <w:p>
      <w:pPr>
        <w:jc w:val="both"/>
        <w:ind w:left="1"/>
        <w:spacing w:after="0" w:line="256" w:lineRule="auto"/>
        <w:rPr>
          <w:sz w:val="20"/>
          <w:szCs w:val="20"/>
          <w:color w:val="auto"/>
        </w:rPr>
      </w:pPr>
      <w:r>
        <w:rPr>
          <w:rFonts w:ascii="Arial" w:cs="Arial" w:eastAsia="Arial" w:hAnsi="Arial"/>
          <w:sz w:val="16"/>
          <w:szCs w:val="16"/>
          <w:color w:val="auto"/>
        </w:rPr>
        <w:t>On June 28, 2019 we entered into a License, Development and Commercialization Agreement, as amended in October 2020 and in July 2021 (the "AD Pharma Amended Agreement"), with Abuse Deterrent Pharma, LLC (“AD Pharma”), a special purpose company representing a consortium of investors, for the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 and with those payments there is $126 thousand in remaining license fees and expense reimbursements to be paid to us under the AD Pharma Amended Agreement.</w:t>
      </w:r>
    </w:p>
    <w:p>
      <w:pPr>
        <w:spacing w:after="0" w:line="174"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Assertio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4"/>
          <w:szCs w:val="14"/>
          <w:color w:val="auto"/>
        </w:rPr>
        <w:t>We launched our first Impede Technology product, Nexafed, into the United States market in December 2012 and launched our Nexafed Sinus Pressure</w:t>
      </w:r>
    </w:p>
    <w:p>
      <w:pPr>
        <w:spacing w:after="0" w:line="45" w:lineRule="exact"/>
        <w:rPr>
          <w:sz w:val="20"/>
          <w:szCs w:val="20"/>
          <w:color w:val="auto"/>
        </w:rPr>
      </w:pPr>
    </w:p>
    <w:p>
      <w:pPr>
        <w:jc w:val="both"/>
        <w:ind w:left="1" w:hanging="1"/>
        <w:spacing w:after="0" w:line="256" w:lineRule="auto"/>
        <w:tabs>
          <w:tab w:leader="none" w:pos="148" w:val="left"/>
        </w:tabs>
        <w:numPr>
          <w:ilvl w:val="0"/>
          <w:numId w:val="9"/>
        </w:numPr>
        <w:rPr>
          <w:rFonts w:ascii="Arial" w:cs="Arial" w:eastAsia="Arial" w:hAnsi="Arial"/>
          <w:sz w:val="16"/>
          <w:szCs w:val="16"/>
          <w:color w:val="auto"/>
        </w:rPr>
      </w:pPr>
      <w:r>
        <w:rPr>
          <w:rFonts w:ascii="Arial" w:cs="Arial" w:eastAsia="Arial" w:hAnsi="Arial"/>
          <w:sz w:val="16"/>
          <w:szCs w:val="16"/>
          <w:color w:val="auto"/>
        </w:rPr>
        <w:t>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629920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1"/>
          </w:cols>
          <w:pgMar w:left="979" w:top="479" w:right="99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Schutte, who became our largest shareholder pursuant to a private placement completed in July 2017. On January 1, 2020, MainPointe assigned to AD Pharma, an entity controlled by Mr. Schutte, with Acura’s consent, all of its right, title and interest in the Agreement between MainPointe and Acura; which was rescinded by AD Pharma in October 2020.</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Misuse or Abuse of Prescription Opioid Products and Development of Risk Mitigation Formulations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2018, there were 312,000 incidents of self-harm in the US. In 2019, suicides exceeded 47,000 with half the US states reporting a greater than 30% increase since 1999. For ages 15-24, suicide is the second leading cause of death and veterans die by suicide at a higher rate than the civilian population. Only 54% of suicide decedents had a prior diagnosis of a mental health issue and over 10% had chronic pain representing potential opioid patients. Suicide by poisoning, which would include overdose of prescription medications, make up over 10% of successful suicide attempts with those with prior diagnosed mental health issues twice as likely to die by poisoning.</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Overdose is not limited to intentional acts of self-harm. In 2019, over 93,000 citizens died from accidental licit and illicit drug overdose, with the most prevalent licit drug classes being opioids, psychostimulants, benzodiazepines and antidepressants. The misuse and abuse of opioid analgesics continues to constitute a dynamic and challenging threat to the United States and in 2017, the US Government declared opioid abuse as an epidemic and national health emergency. In 2018, an estimated 9.9 million persons aged 12 years and older, reported opioid misuse in the past year. Overdoses involving opioids killed nearly 47,000 people in 2018 and 32% of those deaths involved prescription opioids.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Overdose Risk Mitigation - Products and Development</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5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Abusers as well as legitimate pain patients are at risk of overdose. In some cases, overdose is accidental but anecdotal reports indicate suicide rates among pain patients are increasing presumably due to their inability to access the pain medications they need to manage their condition.</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June 2019, FDA issued a draft for public comment guidance on a Benefit-Risk Assessment Framework for Opioid Analgesic Drugs. The draft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of our LIMITx Technology products will likely also entail additional safety and/or efficacy assessment as may be identified by the FDA for each specific formulation during the Investigational New Drug application, or IND, or the NDA phase of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LIMITx™ Technology</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LIMITx Technology Products in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products in development utilizing our LIMITx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3680" w:type="dxa"/>
            <w:vAlign w:val="bottom"/>
            <w:tcBorders>
              <w:top w:val="single" w:sz="8" w:color="auto"/>
              <w:left w:val="single" w:sz="8" w:color="auto"/>
              <w:bottom w:val="single" w:sz="8" w:color="auto"/>
              <w:right w:val="single" w:sz="8" w:color="auto"/>
            </w:tcBorders>
          </w:tcPr>
          <w:p>
            <w:pPr>
              <w:ind w:left="940"/>
              <w:spacing w:after="0" w:line="146" w:lineRule="exact"/>
              <w:rPr>
                <w:sz w:val="20"/>
                <w:szCs w:val="20"/>
                <w:color w:val="auto"/>
              </w:rPr>
            </w:pPr>
            <w:r>
              <w:rPr>
                <w:rFonts w:ascii="Arial" w:cs="Arial" w:eastAsia="Arial" w:hAnsi="Arial"/>
                <w:sz w:val="13"/>
                <w:szCs w:val="13"/>
                <w:b w:val="1"/>
                <w:bCs w:val="1"/>
                <w:color w:val="auto"/>
              </w:rPr>
              <w:t>LIMITx Technology Products</w:t>
            </w:r>
          </w:p>
        </w:tc>
        <w:tc>
          <w:tcPr>
            <w:tcW w:w="6260" w:type="dxa"/>
            <w:vAlign w:val="bottom"/>
            <w:tcBorders>
              <w:top w:val="single" w:sz="8" w:color="auto"/>
              <w:bottom w:val="single" w:sz="8" w:color="auto"/>
              <w:right w:val="single" w:sz="8" w:color="auto"/>
            </w:tcBorders>
          </w:tcPr>
          <w:p>
            <w:pPr>
              <w:ind w:left="2940"/>
              <w:spacing w:after="0" w:line="146" w:lineRule="exact"/>
              <w:rPr>
                <w:sz w:val="20"/>
                <w:szCs w:val="20"/>
                <w:color w:val="auto"/>
              </w:rPr>
            </w:pPr>
            <w:r>
              <w:rPr>
                <w:rFonts w:ascii="Arial" w:cs="Arial" w:eastAsia="Arial" w:hAnsi="Arial"/>
                <w:sz w:val="13"/>
                <w:szCs w:val="13"/>
                <w:b w:val="1"/>
                <w:bCs w:val="1"/>
                <w:color w:val="auto"/>
              </w:rPr>
              <w:t>Status</w:t>
            </w:r>
          </w:p>
        </w:tc>
      </w:tr>
      <w:tr>
        <w:trPr>
          <w:trHeight w:val="174"/>
        </w:trPr>
        <w:tc>
          <w:tcPr>
            <w:tcW w:w="368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Immediate-release hydrocodone bitartrate with</w:t>
            </w:r>
          </w:p>
        </w:tc>
        <w:tc>
          <w:tcPr>
            <w:tcW w:w="6260" w:type="dxa"/>
            <w:vAlign w:val="bottom"/>
            <w:tcBorders>
              <w:right w:val="single" w:sz="8" w:color="auto"/>
            </w:tcBorders>
            <w:shd w:val="clear" w:color="auto" w:fill="CCEEFF"/>
          </w:tcPr>
          <w:p>
            <w:pPr>
              <w:ind w:left="80"/>
              <w:spacing w:after="0" w:line="174" w:lineRule="exact"/>
              <w:rPr>
                <w:sz w:val="20"/>
                <w:szCs w:val="20"/>
                <w:color w:val="auto"/>
              </w:rPr>
            </w:pPr>
            <w:r>
              <w:rPr>
                <w:rFonts w:ascii="Arial" w:cs="Arial" w:eastAsia="Arial" w:hAnsi="Arial"/>
                <w:sz w:val="16"/>
                <w:szCs w:val="16"/>
                <w:color w:val="auto"/>
              </w:rPr>
              <w:t>FDA registration/clinical batches complete in Feb. 2021 – long term shelf life testing in</w:t>
            </w:r>
          </w:p>
        </w:tc>
      </w:tr>
      <w:tr>
        <w:trPr>
          <w:trHeight w:val="194"/>
        </w:trPr>
        <w:tc>
          <w:tcPr>
            <w:tcW w:w="36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acetaminophen (LTX-03)</w:t>
            </w:r>
          </w:p>
        </w:tc>
        <w:tc>
          <w:tcPr>
            <w:tcW w:w="626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progress.</w:t>
            </w:r>
          </w:p>
        </w:tc>
      </w:tr>
      <w:tr>
        <w:trPr>
          <w:trHeight w:val="194"/>
        </w:trPr>
        <w:tc>
          <w:tcPr>
            <w:tcW w:w="3680" w:type="dxa"/>
            <w:vAlign w:val="bottom"/>
            <w:tcBorders>
              <w:left w:val="single" w:sz="8" w:color="auto"/>
              <w:right w:val="single" w:sz="8" w:color="auto"/>
            </w:tcBorders>
            <w:shd w:val="clear" w:color="auto" w:fill="CCEEFF"/>
          </w:tcPr>
          <w:p>
            <w:pPr>
              <w:spacing w:after="0"/>
              <w:rPr>
                <w:sz w:val="16"/>
                <w:szCs w:val="16"/>
                <w:color w:val="auto"/>
              </w:rPr>
            </w:pPr>
          </w:p>
        </w:tc>
        <w:tc>
          <w:tcPr>
            <w:tcW w:w="626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8"/>
              </w:rPr>
              <w:t>IND updated Feb. 2021 with protocols for 3 human clinical studies. FDA Advice on those</w:t>
            </w:r>
          </w:p>
        </w:tc>
      </w:tr>
      <w:tr>
        <w:trPr>
          <w:trHeight w:val="194"/>
        </w:trPr>
        <w:tc>
          <w:tcPr>
            <w:tcW w:w="3680" w:type="dxa"/>
            <w:vAlign w:val="bottom"/>
            <w:tcBorders>
              <w:left w:val="single" w:sz="8" w:color="auto"/>
              <w:right w:val="single" w:sz="8" w:color="auto"/>
            </w:tcBorders>
            <w:shd w:val="clear" w:color="auto" w:fill="CCEEFF"/>
          </w:tcPr>
          <w:p>
            <w:pPr>
              <w:spacing w:after="0"/>
              <w:rPr>
                <w:sz w:val="16"/>
                <w:szCs w:val="16"/>
                <w:color w:val="auto"/>
              </w:rPr>
            </w:pPr>
          </w:p>
        </w:tc>
        <w:tc>
          <w:tcPr>
            <w:tcW w:w="626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studies received in October 2021. Product manufactured for clinical studies meets acceptable</w:t>
            </w:r>
          </w:p>
        </w:tc>
      </w:tr>
      <w:tr>
        <w:trPr>
          <w:trHeight w:val="206"/>
        </w:trPr>
        <w:tc>
          <w:tcPr>
            <w:tcW w:w="368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shelf life criteria through 3 of 6 months.</w:t>
            </w:r>
          </w:p>
        </w:tc>
      </w:tr>
      <w:tr>
        <w:trPr>
          <w:trHeight w:val="174"/>
        </w:trPr>
        <w:tc>
          <w:tcPr>
            <w:tcW w:w="368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Immediate-release oxycodone HCl (LTX-01) &amp;</w:t>
            </w:r>
          </w:p>
        </w:tc>
        <w:tc>
          <w:tcPr>
            <w:tcW w:w="6260" w:type="dxa"/>
            <w:vAlign w:val="bottom"/>
            <w:tcBorders>
              <w:right w:val="single" w:sz="8" w:color="auto"/>
            </w:tcBorders>
          </w:tcPr>
          <w:p>
            <w:pPr>
              <w:spacing w:after="0"/>
              <w:rPr>
                <w:sz w:val="15"/>
                <w:szCs w:val="15"/>
                <w:color w:val="auto"/>
              </w:rPr>
            </w:pPr>
          </w:p>
        </w:tc>
      </w:tr>
      <w:tr>
        <w:trPr>
          <w:trHeight w:val="206"/>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(LTX-02)</w:t>
            </w:r>
          </w:p>
        </w:tc>
        <w:tc>
          <w:tcPr>
            <w:tcW w:w="6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Formulation development in process</w:t>
            </w:r>
          </w:p>
        </w:tc>
      </w:tr>
      <w:tr>
        <w:trPr>
          <w:trHeight w:val="186"/>
        </w:trPr>
        <w:tc>
          <w:tcPr>
            <w:tcW w:w="36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Immediate-release non-opioid drug (LTX-09)</w:t>
            </w:r>
          </w:p>
        </w:tc>
        <w:tc>
          <w:tcPr>
            <w:tcW w:w="6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Formulation development in process</w:t>
            </w:r>
          </w:p>
        </w:tc>
      </w:tr>
      <w:tr>
        <w:trPr>
          <w:trHeight w:val="186"/>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Immediate-release hydromorphone HCI (LTX-04)</w:t>
            </w:r>
          </w:p>
        </w:tc>
        <w:tc>
          <w:tcPr>
            <w:tcW w:w="6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Two Phase I exploratory pharmacokinetic studies completed. IND no longer active.</w:t>
            </w: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LTX-03 Development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Study 301</w:t>
      </w:r>
    </w:p>
    <w:p>
      <w:pPr>
        <w:spacing w:after="0" w:line="204"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54"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through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4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Manufacturing</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have completed with AD Pharma, commercial scale-up of the LTX-03 manufacturing process at a contract manufacturing organization. In February 2021, we completed manufacturing three NDA required registration/clinical batches of the to-be-marketed LTX-03 formulation on the commercial scale manufacturing equipment We have initiated a six month shelf life study on these tablets for submission in the NDA with 3 month interim testing passing quality assurance testing.</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40"/>
          </w:cols>
          <w:pgMar w:left="980" w:top="479" w:right="9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IND Update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submitted an Investigational New Drug Application, or IND with respect to LTX-03, to the FDA in the first quarter of 2018, which became effective in April 2018. In February 2021, we submitted to the FDA an update to the LTX-03 IND with our proposed clinical protocols for further development of LTX-03. The submitted clinical protocols included:</w:t>
      </w:r>
    </w:p>
    <w:p>
      <w:pPr>
        <w:spacing w:after="0" w:line="162" w:lineRule="exact"/>
        <w:rPr>
          <w:sz w:val="20"/>
          <w:szCs w:val="20"/>
          <w:color w:val="auto"/>
        </w:rPr>
      </w:pPr>
    </w:p>
    <w:p>
      <w:pPr>
        <w:ind w:left="600" w:hanging="28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one tablet, single dose pharmacokinetic study in fasted, healthy adult subjects;</w:t>
      </w:r>
    </w:p>
    <w:p>
      <w:pPr>
        <w:spacing w:after="0" w:line="22" w:lineRule="exact"/>
        <w:rPr>
          <w:rFonts w:ascii="Arial" w:cs="Arial" w:eastAsia="Arial" w:hAnsi="Arial"/>
          <w:sz w:val="16"/>
          <w:szCs w:val="16"/>
          <w:color w:val="auto"/>
        </w:rPr>
      </w:pPr>
    </w:p>
    <w:p>
      <w:pPr>
        <w:ind w:left="600" w:hanging="28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2, 5 and 9 tablet single dose pharmacokinetic study in fasted, healthy adult subjects; and</w:t>
      </w:r>
    </w:p>
    <w:p>
      <w:pPr>
        <w:spacing w:after="0" w:line="10" w:lineRule="exact"/>
        <w:rPr>
          <w:rFonts w:ascii="Arial" w:cs="Arial" w:eastAsia="Arial" w:hAnsi="Arial"/>
          <w:sz w:val="16"/>
          <w:szCs w:val="16"/>
          <w:color w:val="auto"/>
        </w:rPr>
      </w:pPr>
    </w:p>
    <w:p>
      <w:pPr>
        <w:ind w:left="600" w:hanging="28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one tablet, single dose pharmacokinetic study in fed, healthy adult subjects.</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These studies also contains design components to evaluate certain pharmacologic data with respect to, among other things, acidic beverages and drug interactions. On October 11, 2021 we received an Advice Letter from the FDA regarding our proposed clinical protocols. FDA’s suggested changes to our protocols included, but were not limited to, (a) elements to improve patient safety during opioid administration, (b) more stringent subject inclusions/exclusion criteria to minimize physiologic interaction with LTX-03 and (c) provided we plan to use FDA’s prior findings of safety and efficacy of hydrocodone bitartrate and acetaminophen, include study arms that will scientifically bridge LTX-03 blood exposures to the same active ingredients previously approved pursuant to an FDA New Drug Application (NDA). Our review of FDA data sources indicates that the combination product of hydrocodone bitartrate and acetaminophen has never had an FDA approved NDA and this scientific bridge would require us to evaluate LTX-03 against NDA approved products containing the active ingredients individually or in combination with different ingredients, which will likely require us to execute a fourth clinical study. We and AD Pharma are evaluating the FDA Advice Letter. Although the design of these studies is based on Advice Letters received from the FDA, no guarantees can be made that these studies, even if successful, will be sufficient to warrant FDA approval.</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Non-clinical Study APT-RDR-300</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90%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Non-clinical Study APT-RDR-301</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Study APT-RDR-301 was a non-clinical study of respiratory depression in which five groups of 10 Sprague-Dawley rats were orally administered doses of hydrocodone ranging from 100mg of drug per kg of body weight (mg/kg) up to 300 mg/kg and one group receiving placebo. Subjects in each group were measured for OIRD assessing peripheral oxygen saturation (SpO2) of the blood at 30-miniutes post-dose. After the 30-minute SpO2 reading, a blood sample was taken from each subject.</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Study APT-RDR-301 all drug doses demonstrated with statistical significance (p&lt;.05) SpO2 measured OIRD at 30-minutes post-dosing. The mortality rate was correlated with higher doses with a lethal dose in 50% of the animals (LD50) consistent with study APT-RDR-300. A regression analysis of individual subjects demonstrated a statistically significant association between Cmax and SpO2 at the 30-minute timepoint.</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Since our non-clinical studies are to characterize the pharmacology of our tablet formulation and not the toxicologic safety of the active ingredients, these studies were not run in compliance with FDA’s current good laboratory practices.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 Pharma Agreement covering LTX-03</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On June 28, 2019 we announced a License, Development and Commercialization Agreement, as amended in October 2020 and July 2021 (the "AD Pharma Amended Agreement"), with Abuse Deterrent Pharma, LLC (“AD Pharma”), a special purpose company representing a consortium of investors.</w:t>
      </w:r>
    </w:p>
    <w:p>
      <w:pPr>
        <w:jc w:val="both"/>
        <w:ind w:firstLine="95"/>
        <w:spacing w:after="0" w:line="273" w:lineRule="auto"/>
        <w:rPr>
          <w:sz w:val="20"/>
          <w:szCs w:val="20"/>
          <w:color w:val="auto"/>
        </w:rPr>
      </w:pPr>
      <w:r>
        <w:rPr>
          <w:rFonts w:ascii="Arial" w:cs="Arial" w:eastAsia="Arial" w:hAnsi="Arial"/>
          <w:sz w:val="15"/>
          <w:szCs w:val="15"/>
          <w:color w:val="auto"/>
        </w:rPr>
        <w:t>Under the terms of this Agreement, the Company is responsible for completing the development of LTX-03 (hydrocodone bitartrate with acetaminophen) immediate-release tablets utilizing Acura’s patented LIMITx™ technology and grants AD Pharma exclusive commercialization rights in the United States to LTX-03. Financial arrangements include monthly license payments by AD Pharma of $350 thousand up to April 2020 and $200 thousand thereafter until July 31, 2021, and reimbursement of all our outside development costs for LTX-03. Upon commercialization of LTX-03, Acura receives stepped royalties on sales and is eligible for certain sales related milestones. 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 AD Pharma also has licensed commercialization rights to LTX-02 (oxycodone/acetaminophen) and LTX-09 (alprazolam).</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 Pharma may terminate the AD Pharma Amended Agreement at any time. Additionally, if the NDA for LTX-03 is not accepted by the FDA by February 28, 2022, AD Pharma has the option to terminate the AD Pharma Amended Agreement and take ownership of the LIMITx intellectual property. Should AD Pharma choose not to exercise this option to terminate and the NDA for LTX-03 is subsequently accepted by the FDA, such option expires.</w:t>
      </w:r>
    </w:p>
    <w:p>
      <w:pPr>
        <w:spacing w:after="0" w:line="167"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however effective with the October 2020 amendment,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which was rescinded by AD Pharma in October 2020.</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Schutte directly owns approximately 14% of our common stock as of September 30, 2021. Mr. Schutte also controls MainPointe and is an investor in AD Pharma. AD Pharma directly owns approximately 66% of our common stock as of September 30, 2021.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Aversion Technology</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Aversion Technology incorporates gelling ingredients and irritants into tablets to discourage abuse by snorting and provide barriers to abuse by injection. Our Aversion Technology and related opioid products, like Oxaydo, are covered by claims in nine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Oxaydo Tablets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70" w:lineRule="exact"/>
        <w:rPr>
          <w:sz w:val="20"/>
          <w:szCs w:val="20"/>
          <w:color w:val="auto"/>
        </w:rPr>
      </w:pPr>
    </w:p>
    <w:p>
      <w:pPr>
        <w:ind w:left="900" w:hanging="295"/>
        <w:spacing w:after="0" w:line="26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6"/>
          <w:szCs w:val="16"/>
          <w:color w:val="auto"/>
        </w:rPr>
      </w:pPr>
    </w:p>
    <w:p>
      <w:pPr>
        <w:ind w:left="900" w:hanging="295"/>
        <w:spacing w:after="0" w:line="25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ind w:left="900" w:hanging="295"/>
        <w:spacing w:after="0" w:line="25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decreased ability to completely insufflate two crushed Oxaydo Tablets within a fixed time period (21 of 40 subjects), while all subjects were able to completely insufflate the entire dose of immediate-release oxycodone; and</w:t>
      </w:r>
    </w:p>
    <w:p>
      <w:pPr>
        <w:ind w:left="900" w:hanging="295"/>
        <w:spacing w:after="0" w:line="26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Oxaydo than immediate-release oxycodone.</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Assertio Agreement Covering Oxaydo</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On January 7, 2015, we and Egalet US, Inc. and Egalet Ltd., each a subsidiary of Egalet Corporation, (now known as Assertio Holdings Inc.),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Assertio paid us an upfront payment of $5.0 million upon signing of the Assertio Agreement and a $2.5 million milestone in October 2015 in connection with the launch of Oxaydo. In addition, we are entitled to receive from Assertio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Assertio to acquire intellectual property rights to commercialize Oxaydo, with an aggregate minimum floor.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Assertio Agreement expires upon the expiration of Assertio’s royalty payment obligations in all countries.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part of a 2020 restructuring by Assertio, it is our understanding that they have decided to reduce selling efforts pertaining to Oxaydo and as such, we expect royalties to decline over the remainder of the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KemPharm Agreement Covering Opioid Prodrugs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December 31, 2020 we are unaware of KemPharm’s use of our Aversion technology under the KemPharm Agreement.</w:t>
      </w:r>
    </w:p>
    <w:p>
      <w:pPr>
        <w:spacing w:after="0" w:line="159"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Aversion Technology Development Opioid Products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Abuse of Pseudoephedrine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2019 CDC Drug Surveillance Report reported two million Americans aged 12 or older having used methamphetamine in the past year. From 2015-2018, an estimated 1.6 million U.S. adults aged ≥18 years, on average, reported past-year methamphetamine use. A 2018 study by researchers at Washington University in St. Louis found that methamphetamine use has increased significantly among people with an existing opioid use disorder (OUD). People with OUD in their study reported substituting methamphetamine for opioids when the latter are hard to obtain or are perceived as unsafe, or that they sought a synergistic high by combining them. People who purposefully combine heroin and cocaine or methamphetamine report that the stimulant helps to balance out the sedative effect of opioids, enabling them to function “normally.” However, the combination can enhance the drugs’ toxicity and lethality, by exacerbating their individual cardiovascular and respiratory effects.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Impede Technology Products</w:t>
      </w:r>
    </w:p>
    <w:p>
      <w:pPr>
        <w:spacing w:after="0" w:line="208"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Product/Formulation</w:t>
            </w:r>
          </w:p>
        </w:tc>
        <w:tc>
          <w:tcPr>
            <w:tcW w:w="2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Meth Resistant</w:t>
            </w:r>
          </w:p>
        </w:tc>
        <w:tc>
          <w:tcPr>
            <w:tcW w:w="1320" w:type="dxa"/>
            <w:vAlign w:val="bottom"/>
            <w:gridSpan w:val="2"/>
            <w:vMerge w:val="restart"/>
          </w:tcPr>
          <w:p>
            <w:pPr>
              <w:jc w:val="right"/>
              <w:ind w:right="244"/>
              <w:spacing w:after="0"/>
              <w:rPr>
                <w:sz w:val="20"/>
                <w:szCs w:val="20"/>
                <w:color w:val="auto"/>
              </w:rPr>
            </w:pPr>
            <w:r>
              <w:rPr>
                <w:rFonts w:ascii="Arial" w:cs="Arial" w:eastAsia="Arial" w:hAnsi="Arial"/>
                <w:sz w:val="13"/>
                <w:szCs w:val="13"/>
                <w:b w:val="1"/>
                <w:bCs w:val="1"/>
                <w:color w:val="auto"/>
                <w:w w:val="98"/>
              </w:rPr>
              <w:t>Meth Recovery</w:t>
            </w:r>
            <w:r>
              <w:rPr>
                <w:rFonts w:ascii="Arial" w:cs="Arial" w:eastAsia="Arial" w:hAnsi="Arial"/>
                <w:sz w:val="19"/>
                <w:szCs w:val="19"/>
                <w:b w:val="1"/>
                <w:bCs w:val="1"/>
                <w:color w:val="auto"/>
                <w:w w:val="98"/>
                <w:vertAlign w:val="superscript"/>
              </w:rPr>
              <w:t>1</w:t>
            </w:r>
          </w:p>
        </w:tc>
        <w:tc>
          <w:tcPr>
            <w:tcW w:w="1280" w:type="dxa"/>
            <w:vAlign w:val="bottom"/>
            <w:gridSpan w:val="2"/>
            <w:vMerge w:val="restart"/>
          </w:tcPr>
          <w:p>
            <w:pPr>
              <w:jc w:val="right"/>
              <w:ind w:right="459"/>
              <w:spacing w:after="0"/>
              <w:rPr>
                <w:sz w:val="20"/>
                <w:szCs w:val="20"/>
                <w:color w:val="auto"/>
              </w:rPr>
            </w:pPr>
            <w:r>
              <w:rPr>
                <w:rFonts w:ascii="Arial" w:cs="Arial" w:eastAsia="Arial" w:hAnsi="Arial"/>
                <w:sz w:val="13"/>
                <w:szCs w:val="13"/>
                <w:b w:val="1"/>
                <w:bCs w:val="1"/>
                <w:color w:val="auto"/>
              </w:rPr>
              <w:t>Purity</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53"/>
        </w:trPr>
        <w:tc>
          <w:tcPr>
            <w:tcW w:w="3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Technology</w:t>
            </w:r>
          </w:p>
        </w:tc>
        <w:tc>
          <w:tcPr>
            <w:tcW w:w="132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Sudafed® 30mg Tablets</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None</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top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4"/>
        </w:trPr>
        <w:tc>
          <w:tcPr>
            <w:tcW w:w="3860" w:type="dxa"/>
            <w:vAlign w:val="bottom"/>
          </w:tcPr>
          <w:p>
            <w:pPr>
              <w:spacing w:after="0"/>
              <w:rPr>
                <w:sz w:val="20"/>
                <w:szCs w:val="20"/>
                <w:color w:val="auto"/>
              </w:rPr>
            </w:pPr>
            <w:r>
              <w:rPr>
                <w:rFonts w:ascii="Arial" w:cs="Arial" w:eastAsia="Arial" w:hAnsi="Arial"/>
                <w:sz w:val="16"/>
                <w:szCs w:val="16"/>
                <w:color w:val="auto"/>
              </w:rPr>
              <w:t>Nexafed 30mg Technology</w:t>
            </w:r>
          </w:p>
        </w:tc>
        <w:tc>
          <w:tcPr>
            <w:tcW w:w="1480" w:type="dxa"/>
            <w:vAlign w:val="bottom"/>
            <w:gridSpan w:val="3"/>
          </w:tcPr>
          <w:p>
            <w:pPr>
              <w:ind w:left="200"/>
              <w:spacing w:after="0"/>
              <w:rPr>
                <w:sz w:val="20"/>
                <w:szCs w:val="20"/>
                <w:color w:val="auto"/>
              </w:rPr>
            </w:pPr>
            <w:r>
              <w:rPr>
                <w:rFonts w:ascii="Arial" w:cs="Arial" w:eastAsia="Arial" w:hAnsi="Arial"/>
                <w:sz w:val="16"/>
                <w:szCs w:val="16"/>
                <w:color w:val="auto"/>
              </w:rPr>
              <w:t>Impede® 1.0</w:t>
            </w:r>
          </w:p>
        </w:tc>
        <w:tc>
          <w:tcPr>
            <w:tcW w:w="1320" w:type="dxa"/>
            <w:vAlign w:val="bottom"/>
            <w:gridSpan w:val="2"/>
          </w:tcPr>
          <w:p>
            <w:pPr>
              <w:jc w:val="right"/>
              <w:ind w:right="44"/>
              <w:spacing w:after="0"/>
              <w:rPr>
                <w:sz w:val="20"/>
                <w:szCs w:val="20"/>
                <w:color w:val="auto"/>
              </w:rPr>
            </w:pPr>
            <w:r>
              <w:rPr>
                <w:rFonts w:ascii="Arial" w:cs="Arial" w:eastAsia="Arial" w:hAnsi="Arial"/>
                <w:sz w:val="16"/>
                <w:szCs w:val="16"/>
                <w:color w:val="auto"/>
              </w:rPr>
              <w:t>38 %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94"/>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Zephrex-D® 30mg Pills</w:t>
            </w:r>
          </w:p>
        </w:tc>
        <w:tc>
          <w:tcPr>
            <w:tcW w:w="14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Tarex®</w:t>
            </w:r>
          </w:p>
        </w:tc>
        <w:tc>
          <w:tcPr>
            <w:tcW w:w="1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28 %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Nexafed 120mg Extended-release tablets</w:t>
            </w:r>
          </w:p>
        </w:tc>
        <w:tc>
          <w:tcPr>
            <w:tcW w:w="1480" w:type="dxa"/>
            <w:vAlign w:val="bottom"/>
            <w:gridSpan w:val="3"/>
          </w:tcPr>
          <w:p>
            <w:pPr>
              <w:ind w:left="200"/>
              <w:spacing w:after="0"/>
              <w:rPr>
                <w:sz w:val="20"/>
                <w:szCs w:val="20"/>
                <w:color w:val="auto"/>
              </w:rPr>
            </w:pPr>
            <w:r>
              <w:rPr>
                <w:rFonts w:ascii="Arial" w:cs="Arial" w:eastAsia="Arial" w:hAnsi="Arial"/>
                <w:sz w:val="16"/>
                <w:szCs w:val="16"/>
                <w:color w:val="auto"/>
              </w:rPr>
              <w:t>Impede® 2.0</w:t>
            </w:r>
          </w:p>
        </w:tc>
        <w:tc>
          <w:tcPr>
            <w:tcW w:w="1320" w:type="dxa"/>
            <w:vAlign w:val="bottom"/>
            <w:gridSpan w:val="2"/>
          </w:tcPr>
          <w:p>
            <w:pPr>
              <w:jc w:val="right"/>
              <w:ind w:right="44"/>
              <w:spacing w:after="0"/>
              <w:rPr>
                <w:sz w:val="20"/>
                <w:szCs w:val="20"/>
                <w:color w:val="auto"/>
              </w:rPr>
            </w:pPr>
            <w:r>
              <w:rPr>
                <w:rFonts w:ascii="Arial" w:cs="Arial" w:eastAsia="Arial" w:hAnsi="Arial"/>
                <w:sz w:val="16"/>
                <w:szCs w:val="16"/>
                <w:color w:val="auto"/>
              </w:rPr>
              <w:t>17 %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69215</wp:posOffset>
            </wp:positionV>
            <wp:extent cx="15709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0990" cy="7620"/>
                    </a:xfrm>
                    <a:prstGeom prst="rect">
                      <a:avLst/>
                    </a:prstGeom>
                    <a:noFill/>
                  </pic:spPr>
                </pic:pic>
              </a:graphicData>
            </a:graphic>
          </wp:anchor>
        </w:drawing>
      </w:r>
    </w:p>
    <w:p>
      <w:pPr>
        <w:spacing w:after="0" w:line="150" w:lineRule="exact"/>
        <w:rPr>
          <w:sz w:val="20"/>
          <w:szCs w:val="20"/>
          <w:color w:val="auto"/>
        </w:rPr>
      </w:pPr>
    </w:p>
    <w:p>
      <w:pPr>
        <w:ind w:left="700" w:hanging="119"/>
        <w:spacing w:after="0"/>
        <w:tabs>
          <w:tab w:leader="none" w:pos="70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Total methamphetamine HCl recovered from the equivalent of 100 PSE 30mg tablets divided by the maximum theoretical yield of 2.7 grams.</w:t>
      </w:r>
    </w:p>
    <w:p>
      <w:pPr>
        <w:spacing w:after="0" w:line="1" w:lineRule="exact"/>
        <w:rPr>
          <w:rFonts w:ascii="Arial" w:cs="Arial" w:eastAsia="Arial" w:hAnsi="Arial"/>
          <w:sz w:val="21"/>
          <w:szCs w:val="21"/>
          <w:color w:val="auto"/>
          <w:vertAlign w:val="superscript"/>
        </w:rPr>
      </w:pPr>
    </w:p>
    <w:p>
      <w:pPr>
        <w:ind w:left="580"/>
        <w:spacing w:after="0"/>
        <w:rPr>
          <w:rFonts w:ascii="Arial" w:cs="Arial" w:eastAsia="Arial" w:hAnsi="Arial"/>
          <w:sz w:val="21"/>
          <w:szCs w:val="21"/>
          <w:color w:val="auto"/>
          <w:vertAlign w:val="superscript"/>
        </w:rPr>
      </w:pPr>
      <w:r>
        <w:rPr>
          <w:rFonts w:ascii="Arial" w:cs="Arial" w:eastAsia="Arial" w:hAnsi="Arial"/>
          <w:sz w:val="22"/>
          <w:szCs w:val="22"/>
          <w:color w:val="auto"/>
          <w:vertAlign w:val="superscript"/>
        </w:rPr>
        <w:t>2</w:t>
      </w:r>
      <w:r>
        <w:rPr>
          <w:rFonts w:ascii="Arial" w:cs="Arial" w:eastAsia="Arial" w:hAnsi="Arial"/>
          <w:sz w:val="15"/>
          <w:szCs w:val="15"/>
          <w:color w:val="auto"/>
        </w:rPr>
        <w:t xml:space="preserve"> Total methamphetamine HCl recovered from the equivalent of 100 PSE 30mg tablets divided by the total weight of powder recovered.</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have previously demonstrated in a pilot clinical study the bioequivalence of a formulation of our Nexafed extended release tablets utilizing our Impede 2.0 Technology to Sudafed® 12-hour Tablets.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Nexafed Products and the MainPointe Agreement</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72"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MainPointe Agreement and controls the marketing and sale of our Nexafed products.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MainPointe Agreement in such country.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 however effective with the October 2020 amendment, this option and right was rescinded.</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January 1, 2020, MainPointe assigned to AD Pharma, with Acura’s consent, all of its right, title and interest in the MainPointe; which was rescinded y AD Pharma in October 2020.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Impede Technology Products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Given the fragmented nature of the PSE market with products containing multiple active ingredients, we have developed additional products for our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Nexafed franchise:</w:t>
      </w:r>
    </w:p>
    <w:p>
      <w:pPr>
        <w:spacing w:after="0" w:line="197" w:lineRule="exact"/>
        <w:rPr>
          <w:sz w:val="20"/>
          <w:szCs w:val="20"/>
          <w:color w:val="auto"/>
        </w:rPr>
      </w:pPr>
    </w:p>
    <w:tbl>
      <w:tblPr>
        <w:tblLayout w:type="fixed"/>
        <w:tblInd w:w="1010" w:type="dxa"/>
        <w:tblCellMar>
          <w:top w:w="0" w:type="dxa"/>
          <w:left w:w="0" w:type="dxa"/>
          <w:bottom w:w="0" w:type="dxa"/>
          <w:right w:w="0" w:type="dxa"/>
        </w:tblCellMar>
      </w:tblPr>
      <w:tr>
        <w:trPr>
          <w:trHeight w:val="146"/>
        </w:trPr>
        <w:tc>
          <w:tcPr>
            <w:tcW w:w="4060" w:type="dxa"/>
            <w:vAlign w:val="bottom"/>
            <w:tcBorders>
              <w:top w:val="single" w:sz="8" w:color="auto"/>
              <w:left w:val="single" w:sz="8" w:color="auto"/>
              <w:bottom w:val="single" w:sz="8" w:color="auto"/>
              <w:right w:val="single" w:sz="8" w:color="auto"/>
            </w:tcBorders>
          </w:tcPr>
          <w:p>
            <w:pPr>
              <w:ind w:left="1140"/>
              <w:spacing w:after="0" w:line="146" w:lineRule="exact"/>
              <w:rPr>
                <w:sz w:val="20"/>
                <w:szCs w:val="20"/>
                <w:color w:val="auto"/>
              </w:rPr>
            </w:pPr>
            <w:r>
              <w:rPr>
                <w:rFonts w:ascii="Arial" w:cs="Arial" w:eastAsia="Arial" w:hAnsi="Arial"/>
                <w:sz w:val="13"/>
                <w:szCs w:val="13"/>
                <w:b w:val="1"/>
                <w:bCs w:val="1"/>
                <w:color w:val="auto"/>
              </w:rPr>
              <w:t>Impede Technology Products</w:t>
            </w:r>
          </w:p>
        </w:tc>
        <w:tc>
          <w:tcPr>
            <w:tcW w:w="3900" w:type="dxa"/>
            <w:vAlign w:val="bottom"/>
            <w:tcBorders>
              <w:top w:val="single" w:sz="8" w:color="auto"/>
              <w:bottom w:val="single" w:sz="8" w:color="auto"/>
              <w:right w:val="single" w:sz="8" w:color="auto"/>
            </w:tcBorders>
          </w:tcPr>
          <w:p>
            <w:pPr>
              <w:ind w:left="1740"/>
              <w:spacing w:after="0" w:line="146" w:lineRule="exact"/>
              <w:rPr>
                <w:sz w:val="20"/>
                <w:szCs w:val="20"/>
                <w:color w:val="auto"/>
              </w:rPr>
            </w:pPr>
            <w:r>
              <w:rPr>
                <w:rFonts w:ascii="Arial" w:cs="Arial" w:eastAsia="Arial" w:hAnsi="Arial"/>
                <w:sz w:val="13"/>
                <w:szCs w:val="13"/>
                <w:b w:val="1"/>
                <w:bCs w:val="1"/>
                <w:color w:val="auto"/>
              </w:rPr>
              <w:t>Status</w:t>
            </w:r>
          </w:p>
        </w:tc>
      </w:tr>
      <w:tr>
        <w:trPr>
          <w:trHeight w:val="174"/>
        </w:trPr>
        <w:tc>
          <w:tcPr>
            <w:tcW w:w="406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Extended-release formulation utilizing Impede 2.0</w:t>
            </w:r>
          </w:p>
        </w:tc>
        <w:tc>
          <w:tcPr>
            <w:tcW w:w="3900" w:type="dxa"/>
            <w:vAlign w:val="bottom"/>
            <w:tcBorders>
              <w:right w:val="single" w:sz="8" w:color="auto"/>
            </w:tcBorders>
            <w:shd w:val="clear" w:color="auto" w:fill="CCEEFF"/>
          </w:tcPr>
          <w:p>
            <w:pPr>
              <w:ind w:left="80"/>
              <w:spacing w:after="0" w:line="174" w:lineRule="exact"/>
              <w:rPr>
                <w:sz w:val="20"/>
                <w:szCs w:val="20"/>
                <w:color w:val="auto"/>
              </w:rPr>
            </w:pPr>
            <w:r>
              <w:rPr>
                <w:rFonts w:ascii="Arial" w:cs="Arial" w:eastAsia="Arial" w:hAnsi="Arial"/>
                <w:sz w:val="16"/>
                <w:szCs w:val="16"/>
                <w:color w:val="auto"/>
              </w:rPr>
              <w:t>Pilot pharmacokinetic testing demonstrated</w:t>
            </w:r>
          </w:p>
        </w:tc>
      </w:tr>
      <w:tr>
        <w:trPr>
          <w:trHeight w:val="194"/>
        </w:trPr>
        <w:tc>
          <w:tcPr>
            <w:tcW w:w="40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Technology</w:t>
            </w:r>
          </w:p>
        </w:tc>
        <w:tc>
          <w:tcPr>
            <w:tcW w:w="39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8"/>
              </w:rPr>
              <w:t>bioequivalence to Sudafed® 12-hour Tablets. Pre-IND</w:t>
            </w:r>
          </w:p>
        </w:tc>
      </w:tr>
      <w:tr>
        <w:trPr>
          <w:trHeight w:val="194"/>
        </w:trPr>
        <w:tc>
          <w:tcPr>
            <w:tcW w:w="4060" w:type="dxa"/>
            <w:vAlign w:val="bottom"/>
            <w:tcBorders>
              <w:left w:val="single" w:sz="8" w:color="auto"/>
              <w:right w:val="single" w:sz="8" w:color="auto"/>
            </w:tcBorders>
            <w:shd w:val="clear" w:color="auto" w:fill="CCEEFF"/>
          </w:tcPr>
          <w:p>
            <w:pPr>
              <w:spacing w:after="0"/>
              <w:rPr>
                <w:sz w:val="16"/>
                <w:szCs w:val="16"/>
                <w:color w:val="auto"/>
              </w:rPr>
            </w:pPr>
          </w:p>
        </w:tc>
        <w:tc>
          <w:tcPr>
            <w:tcW w:w="390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meeting held with the FDA</w:t>
            </w:r>
          </w:p>
        </w:tc>
      </w:tr>
      <w:tr>
        <w:trPr>
          <w:trHeight w:val="206"/>
        </w:trPr>
        <w:tc>
          <w:tcPr>
            <w:tcW w:w="40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 imminent development planned</w:t>
            </w:r>
          </w:p>
        </w:tc>
      </w:tr>
      <w:tr>
        <w:trPr>
          <w:trHeight w:val="186"/>
        </w:trPr>
        <w:tc>
          <w:tcPr>
            <w:tcW w:w="40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Extended-release combination products</w:t>
            </w:r>
          </w:p>
        </w:tc>
        <w:tc>
          <w:tcPr>
            <w:tcW w:w="3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No imminent development planned</w:t>
            </w:r>
          </w:p>
        </w:tc>
      </w:tr>
      <w:tr>
        <w:trPr>
          <w:trHeight w:val="186"/>
        </w:trPr>
        <w:tc>
          <w:tcPr>
            <w:tcW w:w="40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Loratadine with pseudoephedrine</w:t>
            </w:r>
          </w:p>
        </w:tc>
        <w:tc>
          <w:tcPr>
            <w:tcW w:w="3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 imminent development planned</w:t>
            </w:r>
          </w:p>
        </w:tc>
      </w:tr>
    </w:tbl>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Market Opportunity for Impede PSE Products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The top retail selling PSE OTC cold/allergy products are: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22"/>
        </w:trPr>
        <w:tc>
          <w:tcPr>
            <w:tcW w:w="440" w:type="dxa"/>
            <w:vAlign w:val="bottom"/>
            <w:tcBorders>
              <w:right w:val="single" w:sz="8" w:color="auto"/>
            </w:tcBorders>
          </w:tcPr>
          <w:p>
            <w:pPr>
              <w:spacing w:after="0"/>
              <w:rPr>
                <w:sz w:val="10"/>
                <w:szCs w:val="10"/>
                <w:color w:val="auto"/>
              </w:rPr>
            </w:pPr>
          </w:p>
        </w:tc>
        <w:tc>
          <w:tcPr>
            <w:tcW w:w="2740" w:type="dxa"/>
            <w:vAlign w:val="bottom"/>
            <w:tcBorders>
              <w:top w:val="single" w:sz="8" w:color="auto"/>
              <w:right w:val="single" w:sz="8" w:color="auto"/>
            </w:tcBorders>
            <w:gridSpan w:val="2"/>
          </w:tcPr>
          <w:p>
            <w:pPr>
              <w:ind w:left="920"/>
              <w:spacing w:after="0" w:line="122" w:lineRule="exact"/>
              <w:rPr>
                <w:sz w:val="20"/>
                <w:szCs w:val="20"/>
                <w:color w:val="auto"/>
              </w:rPr>
            </w:pPr>
            <w:r>
              <w:rPr>
                <w:rFonts w:ascii="Arial" w:cs="Arial" w:eastAsia="Arial" w:hAnsi="Arial"/>
                <w:sz w:val="13"/>
                <w:szCs w:val="13"/>
                <w:b w:val="1"/>
                <w:bCs w:val="1"/>
                <w:color w:val="auto"/>
              </w:rPr>
              <w:t>Reference</w:t>
            </w:r>
          </w:p>
        </w:tc>
        <w:tc>
          <w:tcPr>
            <w:tcW w:w="680" w:type="dxa"/>
            <w:vAlign w:val="bottom"/>
            <w:tcBorders>
              <w:top w:val="single" w:sz="8" w:color="auto"/>
            </w:tcBorders>
          </w:tcPr>
          <w:p>
            <w:pPr>
              <w:spacing w:after="0"/>
              <w:rPr>
                <w:sz w:val="10"/>
                <w:szCs w:val="10"/>
                <w:color w:val="auto"/>
              </w:rPr>
            </w:pPr>
          </w:p>
        </w:tc>
        <w:tc>
          <w:tcPr>
            <w:tcW w:w="20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Brand Company</w:t>
            </w:r>
          </w:p>
        </w:tc>
        <w:tc>
          <w:tcPr>
            <w:tcW w:w="2440" w:type="dxa"/>
            <w:vAlign w:val="bottom"/>
            <w:tcBorders>
              <w:top w:val="single" w:sz="8" w:color="auto"/>
              <w:right w:val="single" w:sz="8" w:color="auto"/>
            </w:tcBorders>
          </w:tcPr>
          <w:p>
            <w:pPr>
              <w:ind w:left="1020"/>
              <w:spacing w:after="0" w:line="122" w:lineRule="exact"/>
              <w:rPr>
                <w:sz w:val="20"/>
                <w:szCs w:val="20"/>
                <w:color w:val="auto"/>
              </w:rPr>
            </w:pPr>
            <w:r>
              <w:rPr>
                <w:rFonts w:ascii="Arial" w:cs="Arial" w:eastAsia="Arial" w:hAnsi="Arial"/>
                <w:sz w:val="13"/>
                <w:szCs w:val="13"/>
                <w:b w:val="1"/>
                <w:bCs w:val="1"/>
                <w:color w:val="auto"/>
              </w:rPr>
              <w:t>Active</w:t>
            </w:r>
          </w:p>
        </w:tc>
        <w:tc>
          <w:tcPr>
            <w:tcW w:w="0" w:type="dxa"/>
            <w:vAlign w:val="bottom"/>
          </w:tcPr>
          <w:p>
            <w:pPr>
              <w:spacing w:after="0"/>
              <w:rPr>
                <w:sz w:val="1"/>
                <w:szCs w:val="1"/>
                <w:color w:val="auto"/>
              </w:rPr>
            </w:pPr>
          </w:p>
        </w:tc>
      </w:tr>
      <w:tr>
        <w:trPr>
          <w:trHeight w:val="157"/>
        </w:trPr>
        <w:tc>
          <w:tcPr>
            <w:tcW w:w="440" w:type="dxa"/>
            <w:vAlign w:val="bottom"/>
            <w:tcBorders>
              <w:right w:val="single" w:sz="8" w:color="auto"/>
            </w:tcBorders>
          </w:tcPr>
          <w:p>
            <w:pPr>
              <w:spacing w:after="0"/>
              <w:rPr>
                <w:sz w:val="13"/>
                <w:szCs w:val="13"/>
                <w:color w:val="auto"/>
              </w:rPr>
            </w:pPr>
          </w:p>
        </w:tc>
        <w:tc>
          <w:tcPr>
            <w:tcW w:w="2740" w:type="dxa"/>
            <w:vAlign w:val="bottom"/>
            <w:tcBorders>
              <w:bottom w:val="single" w:sz="8" w:color="auto"/>
              <w:right w:val="single" w:sz="8" w:color="auto"/>
            </w:tcBorders>
            <w:gridSpan w:val="2"/>
          </w:tcPr>
          <w:p>
            <w:pPr>
              <w:ind w:left="1000"/>
              <w:spacing w:after="0" w:line="157" w:lineRule="exact"/>
              <w:rPr>
                <w:sz w:val="20"/>
                <w:szCs w:val="20"/>
                <w:color w:val="auto"/>
              </w:rPr>
            </w:pPr>
            <w:r>
              <w:rPr>
                <w:rFonts w:ascii="Arial" w:cs="Arial" w:eastAsia="Arial" w:hAnsi="Arial"/>
                <w:sz w:val="12"/>
                <w:szCs w:val="12"/>
                <w:b w:val="1"/>
                <w:bCs w:val="1"/>
                <w:color w:val="auto"/>
              </w:rPr>
              <w:t>Brand</w:t>
            </w:r>
            <w:r>
              <w:rPr>
                <w:rFonts w:ascii="Arial" w:cs="Arial" w:eastAsia="Arial" w:hAnsi="Arial"/>
                <w:sz w:val="18"/>
                <w:szCs w:val="18"/>
                <w:b w:val="1"/>
                <w:bCs w:val="1"/>
                <w:color w:val="auto"/>
                <w:vertAlign w:val="superscript"/>
              </w:rPr>
              <w:t>1</w:t>
            </w:r>
          </w:p>
        </w:tc>
        <w:tc>
          <w:tcPr>
            <w:tcW w:w="68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vMerge w:val="continue"/>
          </w:tcPr>
          <w:p>
            <w:pPr>
              <w:spacing w:after="0"/>
              <w:rPr>
                <w:sz w:val="13"/>
                <w:szCs w:val="13"/>
                <w:color w:val="auto"/>
              </w:rPr>
            </w:pPr>
          </w:p>
        </w:tc>
        <w:tc>
          <w:tcPr>
            <w:tcW w:w="24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3"/>
                <w:szCs w:val="13"/>
                <w:b w:val="1"/>
                <w:bCs w:val="1"/>
                <w:color w:val="auto"/>
              </w:rPr>
              <w:t>Ingredient(s)</w:t>
            </w:r>
          </w:p>
        </w:tc>
        <w:tc>
          <w:tcPr>
            <w:tcW w:w="0" w:type="dxa"/>
            <w:vAlign w:val="bottom"/>
          </w:tcPr>
          <w:p>
            <w:pPr>
              <w:spacing w:after="0"/>
              <w:rPr>
                <w:sz w:val="1"/>
                <w:szCs w:val="1"/>
                <w:color w:val="auto"/>
              </w:rPr>
            </w:pPr>
          </w:p>
        </w:tc>
      </w:tr>
      <w:tr>
        <w:trPr>
          <w:trHeight w:val="186"/>
        </w:trPr>
        <w:tc>
          <w:tcPr>
            <w:tcW w:w="44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Claritin-D</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Bayer</w:t>
            </w:r>
          </w:p>
        </w:tc>
        <w:tc>
          <w:tcPr>
            <w:tcW w:w="2080" w:type="dxa"/>
            <w:vAlign w:val="bottom"/>
            <w:tcBorders>
              <w:bottom w:val="single" w:sz="8" w:color="auto"/>
              <w:right w:val="single" w:sz="8" w:color="auto"/>
            </w:tcBorders>
            <w:shd w:val="clear" w:color="auto" w:fill="CCEEFF"/>
          </w:tcPr>
          <w:p>
            <w:pPr>
              <w:spacing w:after="0"/>
              <w:rPr>
                <w:sz w:val="16"/>
                <w:szCs w:val="16"/>
                <w:color w:val="auto"/>
              </w:rPr>
            </w:pPr>
          </w:p>
        </w:tc>
        <w:tc>
          <w:tcPr>
            <w:tcW w:w="2440" w:type="dxa"/>
            <w:vAlign w:val="bottom"/>
            <w:tcBorders>
              <w:bottom w:val="single" w:sz="8" w:color="auto"/>
              <w:right w:val="single" w:sz="8" w:color="auto"/>
            </w:tcBorders>
            <w:shd w:val="clear" w:color="auto" w:fill="CCEEFF"/>
          </w:tcPr>
          <w:p>
            <w:pPr>
              <w:ind w:left="80"/>
              <w:spacing w:after="0" w:line="187" w:lineRule="exact"/>
              <w:rPr>
                <w:sz w:val="20"/>
                <w:szCs w:val="20"/>
                <w:color w:val="auto"/>
              </w:rPr>
            </w:pPr>
            <w:r>
              <w:rPr>
                <w:rFonts w:ascii="Arial" w:cs="Arial" w:eastAsia="Arial" w:hAnsi="Arial"/>
                <w:sz w:val="14"/>
                <w:szCs w:val="14"/>
                <w:color w:val="auto"/>
              </w:rPr>
              <w:t>PSE &amp; Loraditine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44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Allegra-D</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5"/>
              </w:rPr>
              <w:t>Chattem</w:t>
            </w:r>
          </w:p>
        </w:tc>
        <w:tc>
          <w:tcPr>
            <w:tcW w:w="2080" w:type="dxa"/>
            <w:vAlign w:val="bottom"/>
            <w:tcBorders>
              <w:bottom w:val="single" w:sz="8" w:color="auto"/>
              <w:right w:val="single" w:sz="8" w:color="auto"/>
            </w:tcBorders>
          </w:tcPr>
          <w:p>
            <w:pPr>
              <w:spacing w:after="0"/>
              <w:rPr>
                <w:sz w:val="16"/>
                <w:szCs w:val="16"/>
                <w:color w:val="auto"/>
              </w:rPr>
            </w:pPr>
          </w:p>
        </w:tc>
        <w:tc>
          <w:tcPr>
            <w:tcW w:w="2440" w:type="dxa"/>
            <w:vAlign w:val="bottom"/>
            <w:tcBorders>
              <w:bottom w:val="single" w:sz="8" w:color="auto"/>
              <w:right w:val="single" w:sz="8" w:color="auto"/>
            </w:tcBorders>
          </w:tcPr>
          <w:p>
            <w:pPr>
              <w:ind w:left="80"/>
              <w:spacing w:after="0" w:line="187" w:lineRule="exact"/>
              <w:rPr>
                <w:sz w:val="20"/>
                <w:szCs w:val="20"/>
                <w:color w:val="auto"/>
              </w:rPr>
            </w:pPr>
            <w:r>
              <w:rPr>
                <w:rFonts w:ascii="Arial" w:cs="Arial" w:eastAsia="Arial" w:hAnsi="Arial"/>
                <w:sz w:val="16"/>
                <w:szCs w:val="16"/>
                <w:color w:val="auto"/>
              </w:rPr>
              <w:t>PSE &amp; Fexofenadine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44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Zyrtec-D</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Pfizer</w:t>
            </w:r>
          </w:p>
        </w:tc>
        <w:tc>
          <w:tcPr>
            <w:tcW w:w="2080" w:type="dxa"/>
            <w:vAlign w:val="bottom"/>
            <w:tcBorders>
              <w:bottom w:val="single" w:sz="8" w:color="auto"/>
              <w:right w:val="single" w:sz="8" w:color="auto"/>
            </w:tcBorders>
            <w:shd w:val="clear" w:color="auto" w:fill="CCEEFF"/>
          </w:tcPr>
          <w:p>
            <w:pPr>
              <w:spacing w:after="0"/>
              <w:rPr>
                <w:sz w:val="16"/>
                <w:szCs w:val="16"/>
                <w:color w:val="auto"/>
              </w:rPr>
            </w:pPr>
          </w:p>
        </w:tc>
        <w:tc>
          <w:tcPr>
            <w:tcW w:w="2440" w:type="dxa"/>
            <w:vAlign w:val="bottom"/>
            <w:tcBorders>
              <w:bottom w:val="single" w:sz="8" w:color="auto"/>
              <w:right w:val="single" w:sz="8" w:color="auto"/>
            </w:tcBorders>
            <w:shd w:val="clear" w:color="auto" w:fill="CCEEFF"/>
          </w:tcPr>
          <w:p>
            <w:pPr>
              <w:ind w:left="80"/>
              <w:spacing w:after="0" w:line="187" w:lineRule="exact"/>
              <w:rPr>
                <w:sz w:val="20"/>
                <w:szCs w:val="20"/>
                <w:color w:val="auto"/>
              </w:rPr>
            </w:pPr>
            <w:r>
              <w:rPr>
                <w:rFonts w:ascii="Arial" w:cs="Arial" w:eastAsia="Arial" w:hAnsi="Arial"/>
                <w:sz w:val="14"/>
                <w:szCs w:val="14"/>
                <w:color w:val="auto"/>
              </w:rPr>
              <w:t>PSE &amp; Ceterizine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44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Advil Sinus</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Pfizer</w:t>
            </w:r>
          </w:p>
        </w:tc>
        <w:tc>
          <w:tcPr>
            <w:tcW w:w="2080" w:type="dxa"/>
            <w:vAlign w:val="bottom"/>
            <w:tcBorders>
              <w:bottom w:val="single" w:sz="8" w:color="auto"/>
              <w:right w:val="single" w:sz="8" w:color="auto"/>
            </w:tcBorders>
          </w:tcPr>
          <w:p>
            <w:pPr>
              <w:spacing w:after="0"/>
              <w:rPr>
                <w:sz w:val="16"/>
                <w:szCs w:val="16"/>
                <w:color w:val="auto"/>
              </w:rPr>
            </w:pPr>
          </w:p>
        </w:tc>
        <w:tc>
          <w:tcPr>
            <w:tcW w:w="2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PSE &amp; Ibuprofen</w:t>
            </w:r>
          </w:p>
        </w:tc>
        <w:tc>
          <w:tcPr>
            <w:tcW w:w="0" w:type="dxa"/>
            <w:vAlign w:val="bottom"/>
          </w:tcPr>
          <w:p>
            <w:pPr>
              <w:spacing w:after="0"/>
              <w:rPr>
                <w:sz w:val="1"/>
                <w:szCs w:val="1"/>
                <w:color w:val="auto"/>
              </w:rPr>
            </w:pPr>
          </w:p>
        </w:tc>
      </w:tr>
      <w:tr>
        <w:trPr>
          <w:trHeight w:val="186"/>
        </w:trPr>
        <w:tc>
          <w:tcPr>
            <w:tcW w:w="44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Sudafed 12 Hour</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J&amp;J</w:t>
            </w:r>
          </w:p>
        </w:tc>
        <w:tc>
          <w:tcPr>
            <w:tcW w:w="2080" w:type="dxa"/>
            <w:vAlign w:val="bottom"/>
            <w:tcBorders>
              <w:bottom w:val="single" w:sz="8" w:color="auto"/>
              <w:right w:val="single" w:sz="8" w:color="auto"/>
            </w:tcBorders>
            <w:shd w:val="clear" w:color="auto" w:fill="CCEEFF"/>
          </w:tcPr>
          <w:p>
            <w:pPr>
              <w:spacing w:after="0"/>
              <w:rPr>
                <w:sz w:val="16"/>
                <w:szCs w:val="16"/>
                <w:color w:val="auto"/>
              </w:rPr>
            </w:pPr>
          </w:p>
        </w:tc>
        <w:tc>
          <w:tcPr>
            <w:tcW w:w="2440" w:type="dxa"/>
            <w:vAlign w:val="bottom"/>
            <w:tcBorders>
              <w:bottom w:val="single" w:sz="8" w:color="auto"/>
              <w:right w:val="single" w:sz="8" w:color="auto"/>
            </w:tcBorders>
            <w:shd w:val="clear" w:color="auto" w:fill="CCEEFF"/>
          </w:tcPr>
          <w:p>
            <w:pPr>
              <w:ind w:left="80"/>
              <w:spacing w:after="0" w:line="187" w:lineRule="exact"/>
              <w:rPr>
                <w:sz w:val="20"/>
                <w:szCs w:val="20"/>
                <w:color w:val="auto"/>
              </w:rPr>
            </w:pPr>
            <w:r>
              <w:rPr>
                <w:rFonts w:ascii="Arial" w:cs="Arial" w:eastAsia="Arial" w:hAnsi="Arial"/>
                <w:sz w:val="14"/>
                <w:szCs w:val="14"/>
                <w:color w:val="auto"/>
              </w:rPr>
              <w:t>PSE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44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Sudafed 30mg</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J&amp;J</w:t>
            </w:r>
          </w:p>
        </w:tc>
        <w:tc>
          <w:tcPr>
            <w:tcW w:w="2080" w:type="dxa"/>
            <w:vAlign w:val="bottom"/>
            <w:tcBorders>
              <w:bottom w:val="single" w:sz="8" w:color="auto"/>
              <w:right w:val="single" w:sz="8" w:color="auto"/>
            </w:tcBorders>
          </w:tcPr>
          <w:p>
            <w:pPr>
              <w:spacing w:after="0"/>
              <w:rPr>
                <w:sz w:val="16"/>
                <w:szCs w:val="16"/>
                <w:color w:val="auto"/>
              </w:rPr>
            </w:pPr>
          </w:p>
        </w:tc>
        <w:tc>
          <w:tcPr>
            <w:tcW w:w="2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PSE</w:t>
            </w:r>
          </w:p>
        </w:tc>
        <w:tc>
          <w:tcPr>
            <w:tcW w:w="0" w:type="dxa"/>
            <w:vAlign w:val="bottom"/>
          </w:tcPr>
          <w:p>
            <w:pPr>
              <w:spacing w:after="0"/>
              <w:rPr>
                <w:sz w:val="1"/>
                <w:szCs w:val="1"/>
                <w:color w:val="auto"/>
              </w:rPr>
            </w:pPr>
          </w:p>
        </w:tc>
      </w:tr>
      <w:tr>
        <w:trPr>
          <w:trHeight w:val="113"/>
        </w:trPr>
        <w:tc>
          <w:tcPr>
            <w:tcW w:w="4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700" w:hanging="119"/>
        <w:spacing w:after="0"/>
        <w:tabs>
          <w:tab w:leader="none" w:pos="70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Branded product only. Does not include store brand sales.</w:t>
      </w:r>
    </w:p>
    <w:p>
      <w:pPr>
        <w:spacing w:after="0" w:line="1" w:lineRule="exact"/>
        <w:rPr>
          <w:rFonts w:ascii="Arial" w:cs="Arial" w:eastAsia="Arial" w:hAnsi="Arial"/>
          <w:sz w:val="24"/>
          <w:szCs w:val="24"/>
          <w:color w:val="auto"/>
          <w:vertAlign w:val="superscript"/>
        </w:rPr>
      </w:pPr>
    </w:p>
    <w:p>
      <w:pPr>
        <w:ind w:left="58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6"/>
          <w:szCs w:val="16"/>
          <w:color w:val="auto"/>
        </w:rPr>
        <w:t xml:space="preserve"> Extended release PSE formulations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Labeling for Impede Technology Products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Market Opportunity for Opioid Analgesic Products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According to the Centers for Drug Control’s 2019 Drug Surveillance Report, opioid analgesics are one of the largest prescription drug markets in the United States with 153 million prescriptions dispensed in 2019 comprised of approximately 139 million and 14 million, immediate and extended release prescriptions, respectively. Further, it is estimated in 2018 that nationally, approximately 49.5 million people, across all age groups, received at least one opioid prescription. CDC data for 2016 identified hydrocodone and oxycodone as the most widely prescribed opioids with 6.2 billion hydrocodone pills/tablets and 5 billion oxycodone pills/tablets distributed in the US.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expect our LIMITx Technology and Aversion opioid products, to compete primarily in the IR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Labeling for Products Using Our Technologies</w:t>
      </w:r>
    </w:p>
    <w:p>
      <w:pPr>
        <w:spacing w:after="0" w:line="208" w:lineRule="exact"/>
        <w:rPr>
          <w:sz w:val="20"/>
          <w:szCs w:val="20"/>
          <w:color w:val="auto"/>
        </w:rPr>
      </w:pPr>
    </w:p>
    <w:p>
      <w:pPr>
        <w:jc w:val="both"/>
        <w:ind w:right="760"/>
        <w:spacing w:after="0" w:line="277" w:lineRule="auto"/>
        <w:rPr>
          <w:sz w:val="20"/>
          <w:szCs w:val="20"/>
          <w:color w:val="auto"/>
        </w:rPr>
      </w:pPr>
      <w:r>
        <w:rPr>
          <w:rFonts w:ascii="Arial" w:cs="Arial" w:eastAsia="Arial" w:hAnsi="Arial"/>
          <w:sz w:val="15"/>
          <w:szCs w:val="15"/>
          <w:color w:val="auto"/>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159" w:lineRule="exact"/>
        <w:rPr>
          <w:sz w:val="20"/>
          <w:szCs w:val="20"/>
          <w:color w:val="auto"/>
        </w:rPr>
      </w:pPr>
    </w:p>
    <w:p>
      <w:pPr>
        <w:jc w:val="both"/>
        <w:ind w:right="760"/>
        <w:spacing w:after="0" w:line="267"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Patent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issued patents covering, among other things, our LIMITx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600" w:type="dxa"/>
            <w:vAlign w:val="bottom"/>
            <w:tcBorders>
              <w:top w:val="single" w:sz="8" w:color="auto"/>
              <w:left w:val="single" w:sz="8" w:color="auto"/>
              <w:right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Patent No.</w:t>
            </w:r>
          </w:p>
        </w:tc>
        <w:tc>
          <w:tcPr>
            <w:tcW w:w="7600" w:type="dxa"/>
            <w:vAlign w:val="bottom"/>
            <w:tcBorders>
              <w:top w:val="single" w:sz="8" w:color="auto"/>
              <w:right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r>
        <w:trPr>
          <w:trHeight w:val="210"/>
        </w:trPr>
        <w:tc>
          <w:tcPr>
            <w:tcW w:w="160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(Jurisdiction)</w:t>
            </w:r>
          </w:p>
        </w:tc>
        <w:tc>
          <w:tcPr>
            <w:tcW w:w="7600" w:type="dxa"/>
            <w:vAlign w:val="bottom"/>
            <w:tcBorders>
              <w:bottom w:val="single" w:sz="8" w:color="auto"/>
              <w:right w:val="single" w:sz="8" w:color="auto"/>
            </w:tcBorders>
          </w:tcPr>
          <w:p>
            <w:pPr>
              <w:ind w:left="3180"/>
              <w:spacing w:after="0"/>
              <w:rPr>
                <w:sz w:val="20"/>
                <w:szCs w:val="20"/>
                <w:color w:val="auto"/>
              </w:rPr>
            </w:pPr>
            <w:r>
              <w:rPr>
                <w:rFonts w:ascii="Arial" w:cs="Arial" w:eastAsia="Arial" w:hAnsi="Arial"/>
                <w:sz w:val="16"/>
                <w:szCs w:val="16"/>
                <w:b w:val="1"/>
                <w:bCs w:val="1"/>
                <w:color w:val="auto"/>
              </w:rPr>
              <w:t>Subject matter</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Issued</w:t>
            </w:r>
          </w:p>
        </w:tc>
        <w:tc>
          <w:tcPr>
            <w:tcW w:w="1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86"/>
              </w:rPr>
              <w:t>Expires</w:t>
            </w:r>
          </w:p>
        </w:tc>
      </w:tr>
      <w:tr>
        <w:trPr>
          <w:trHeight w:val="18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2"/>
              </w:rPr>
              <w:t>9,101,636</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Aug. 2015</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92"/>
              </w:rPr>
              <w:t>9,320,796</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Apr. 2016</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2"/>
              </w:rPr>
              <w:t>9,662,393</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May 2017</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10,441,657 (US)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Sept. 2019</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10,688,184 (US)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Jun. 2020</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11,083,794 (US)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products wherein the release of active ingredient is retarded when overdosed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Aug. 2021</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2,892,908(CAN)</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Apr. 2016</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92"/>
              </w:rPr>
              <w:t>5,922,851</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Apr. 2016</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74"/>
        </w:trPr>
        <w:tc>
          <w:tcPr>
            <w:tcW w:w="1600" w:type="dxa"/>
            <w:vAlign w:val="bottom"/>
            <w:tcBorders>
              <w:left w:val="single" w:sz="8" w:color="auto"/>
              <w:right w:val="single" w:sz="8" w:color="auto"/>
            </w:tcBorders>
            <w:gridSpan w:val="2"/>
            <w:shd w:val="clear" w:color="auto" w:fill="CCEEFF"/>
          </w:tcPr>
          <w:p>
            <w:pPr>
              <w:ind w:left="100"/>
              <w:spacing w:after="0" w:line="174" w:lineRule="exact"/>
              <w:rPr>
                <w:sz w:val="20"/>
                <w:szCs w:val="20"/>
                <w:color w:val="auto"/>
              </w:rPr>
            </w:pPr>
            <w:r>
              <w:rPr>
                <w:rFonts w:ascii="Arial" w:cs="Arial" w:eastAsia="Arial" w:hAnsi="Arial"/>
                <w:sz w:val="16"/>
                <w:szCs w:val="16"/>
                <w:color w:val="auto"/>
              </w:rPr>
              <w:t>ZL201380062421.0</w:t>
            </w:r>
          </w:p>
        </w:tc>
        <w:tc>
          <w:tcPr>
            <w:tcW w:w="760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(CHN)</w:t>
            </w: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Jul. 2018</w:t>
            </w:r>
          </w:p>
        </w:tc>
        <w:tc>
          <w:tcPr>
            <w:tcW w:w="160" w:type="dxa"/>
            <w:vAlign w:val="bottom"/>
            <w:tcBorders>
              <w:bottom w:val="single" w:sz="8" w:color="auto"/>
              <w:right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74"/>
        </w:trPr>
        <w:tc>
          <w:tcPr>
            <w:tcW w:w="1600" w:type="dxa"/>
            <w:vAlign w:val="bottom"/>
            <w:tcBorders>
              <w:left w:val="single" w:sz="8" w:color="auto"/>
              <w:right w:val="single" w:sz="8" w:color="auto"/>
            </w:tcBorders>
            <w:gridSpan w:val="2"/>
          </w:tcPr>
          <w:p>
            <w:pPr>
              <w:ind w:left="100"/>
              <w:spacing w:after="0" w:line="174" w:lineRule="exact"/>
              <w:rPr>
                <w:sz w:val="20"/>
                <w:szCs w:val="20"/>
                <w:color w:val="auto"/>
              </w:rPr>
            </w:pPr>
            <w:r>
              <w:rPr>
                <w:rFonts w:ascii="Arial" w:cs="Arial" w:eastAsia="Arial" w:hAnsi="Arial"/>
                <w:sz w:val="16"/>
                <w:szCs w:val="16"/>
                <w:color w:val="auto"/>
              </w:rPr>
              <w:t>201711090908.6</w:t>
            </w:r>
          </w:p>
        </w:tc>
        <w:tc>
          <w:tcPr>
            <w:tcW w:w="760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r>
      <w:tr>
        <w:trPr>
          <w:trHeight w:val="206"/>
        </w:trPr>
        <w:tc>
          <w:tcPr>
            <w:tcW w:w="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(CHN)</w:t>
            </w:r>
          </w:p>
        </w:tc>
        <w:tc>
          <w:tcPr>
            <w:tcW w:w="820" w:type="dxa"/>
            <w:vAlign w:val="bottom"/>
            <w:tcBorders>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Oct.2020</w:t>
            </w:r>
          </w:p>
        </w:tc>
        <w:tc>
          <w:tcPr>
            <w:tcW w:w="1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2"/>
              </w:rPr>
              <w:t>2,925,304</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(EUR)</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Sept. 2018</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2015124694 (RUS)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Nov. 2018</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shd w:val="clear" w:color="auto" w:fill="CCEEFF"/>
              </w:rPr>
              <w:t>2013352162 (AUS)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shd w:val="clear" w:color="auto" w:fill="CCEEFF"/>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Dec. 2018</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366159 (MEX)</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Jul. 2019</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238713 (ISR)</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Jul. 2019</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768"/>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ind w:left="3220"/>
              <w:spacing w:after="0"/>
              <w:rPr>
                <w:sz w:val="20"/>
                <w:szCs w:val="20"/>
                <w:color w:val="auto"/>
              </w:rPr>
            </w:pPr>
            <w:r>
              <w:rPr>
                <w:rFonts w:ascii="Arial" w:cs="Arial" w:eastAsia="Arial" w:hAnsi="Arial"/>
                <w:sz w:val="16"/>
                <w:szCs w:val="16"/>
                <w:color w:val="auto"/>
              </w:rPr>
              <w:t>F-34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2"/>
        </w:trPr>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680"/>
          </w:cols>
          <w:pgMar w:left="980" w:top="479"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issued patents covering, among other things, Oxaydo and our Aversion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920" w:type="dxa"/>
            <w:vAlign w:val="bottom"/>
            <w:tcBorders>
              <w:top w:val="single" w:sz="8" w:color="auto"/>
              <w:left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b w:val="1"/>
                <w:bCs w:val="1"/>
                <w:color w:val="auto"/>
              </w:rPr>
              <w:t>Patent No.</w:t>
            </w:r>
          </w:p>
        </w:tc>
        <w:tc>
          <w:tcPr>
            <w:tcW w:w="7600" w:type="dxa"/>
            <w:vAlign w:val="bottom"/>
            <w:tcBorders>
              <w:top w:val="single" w:sz="8" w:color="auto"/>
              <w:right w:val="single" w:sz="8" w:color="auto"/>
            </w:tcBorders>
          </w:tcPr>
          <w:p>
            <w:pPr>
              <w:ind w:left="3300"/>
              <w:spacing w:after="0" w:line="126" w:lineRule="exact"/>
              <w:rPr>
                <w:sz w:val="20"/>
                <w:szCs w:val="20"/>
                <w:color w:val="auto"/>
              </w:rPr>
            </w:pPr>
            <w:r>
              <w:rPr>
                <w:rFonts w:ascii="Arial" w:cs="Arial" w:eastAsia="Arial" w:hAnsi="Arial"/>
                <w:sz w:val="13"/>
                <w:szCs w:val="13"/>
                <w:b w:val="1"/>
                <w:bCs w:val="1"/>
                <w:color w:val="auto"/>
              </w:rPr>
              <w:t>Subject Matter</w:t>
            </w:r>
          </w:p>
        </w:tc>
        <w:tc>
          <w:tcPr>
            <w:tcW w:w="820" w:type="dxa"/>
            <w:vAlign w:val="bottom"/>
            <w:tcBorders>
              <w:top w:val="single" w:sz="8" w:color="auto"/>
              <w:right w:val="single" w:sz="8" w:color="auto"/>
            </w:tcBorders>
          </w:tcPr>
          <w:p>
            <w:pPr>
              <w:jc w:val="center"/>
              <w:ind w:right="81"/>
              <w:spacing w:after="0" w:line="126" w:lineRule="exact"/>
              <w:rPr>
                <w:sz w:val="20"/>
                <w:szCs w:val="20"/>
                <w:color w:val="auto"/>
              </w:rPr>
            </w:pPr>
            <w:r>
              <w:rPr>
                <w:rFonts w:ascii="Arial" w:cs="Arial" w:eastAsia="Arial" w:hAnsi="Arial"/>
                <w:sz w:val="13"/>
                <w:szCs w:val="13"/>
                <w:b w:val="1"/>
                <w:bCs w:val="1"/>
                <w:color w:val="auto"/>
                <w:w w:val="82"/>
              </w:rPr>
              <w:t>Issued</w:t>
            </w:r>
          </w:p>
        </w:tc>
        <w:tc>
          <w:tcPr>
            <w:tcW w:w="72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Expires</w:t>
            </w:r>
          </w:p>
        </w:tc>
      </w:tr>
      <w:tr>
        <w:trPr>
          <w:trHeight w:val="153"/>
        </w:trPr>
        <w:tc>
          <w:tcPr>
            <w:tcW w:w="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c>
          <w:tcPr>
            <w:tcW w:w="76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174"/>
        </w:trPr>
        <w:tc>
          <w:tcPr>
            <w:tcW w:w="9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7,201,920</w:t>
            </w:r>
          </w:p>
        </w:tc>
        <w:tc>
          <w:tcPr>
            <w:tcW w:w="76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4"/>
              </w:rPr>
              <w:t>Pharmaceutical compositions including a mixture of functional inactive ingredients and specific opioid analgesics</w:t>
            </w:r>
          </w:p>
        </w:tc>
        <w:tc>
          <w:tcPr>
            <w:tcW w:w="82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5"/>
              </w:rPr>
              <w:t>Apr. 2007</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Mar. 2025</w:t>
            </w:r>
          </w:p>
        </w:tc>
      </w:tr>
      <w:tr>
        <w:trPr>
          <w:trHeight w:val="174"/>
        </w:trPr>
        <w:tc>
          <w:tcPr>
            <w:tcW w:w="92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7,510,726</w:t>
            </w:r>
          </w:p>
        </w:tc>
        <w:tc>
          <w:tcPr>
            <w:tcW w:w="76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 wider range of compositions than those described in the 7,201,920 Patent</w:t>
            </w:r>
          </w:p>
        </w:tc>
        <w:tc>
          <w:tcPr>
            <w:tcW w:w="8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1"/>
              </w:rPr>
              <w:t>Mar. 2009</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Nov. 2023</w:t>
            </w:r>
          </w:p>
        </w:tc>
      </w:tr>
      <w:tr>
        <w:trPr>
          <w:trHeight w:val="174"/>
        </w:trPr>
        <w:tc>
          <w:tcPr>
            <w:tcW w:w="9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7,981,439</w:t>
            </w:r>
          </w:p>
        </w:tc>
        <w:tc>
          <w:tcPr>
            <w:tcW w:w="76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including any water soluble drug susceptible to abuse</w:t>
            </w:r>
          </w:p>
        </w:tc>
        <w:tc>
          <w:tcPr>
            <w:tcW w:w="82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Jul. 2011</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Aug. 2024</w:t>
            </w:r>
          </w:p>
        </w:tc>
      </w:tr>
      <w:tr>
        <w:trPr>
          <w:trHeight w:val="174"/>
        </w:trPr>
        <w:tc>
          <w:tcPr>
            <w:tcW w:w="92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8,409,616</w:t>
            </w:r>
          </w:p>
        </w:tc>
        <w:tc>
          <w:tcPr>
            <w:tcW w:w="76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of immediate-release abuse deterrent dosage forms</w:t>
            </w:r>
          </w:p>
        </w:tc>
        <w:tc>
          <w:tcPr>
            <w:tcW w:w="8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5"/>
              </w:rPr>
              <w:t>Apr. 2013</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Nov. 2023</w:t>
            </w:r>
          </w:p>
        </w:tc>
      </w:tr>
      <w:tr>
        <w:trPr>
          <w:trHeight w:val="174"/>
        </w:trPr>
        <w:tc>
          <w:tcPr>
            <w:tcW w:w="9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8,637,540</w:t>
            </w:r>
          </w:p>
        </w:tc>
        <w:tc>
          <w:tcPr>
            <w:tcW w:w="76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of immediate-release abuse deterrent opioid products</w:t>
            </w:r>
          </w:p>
        </w:tc>
        <w:tc>
          <w:tcPr>
            <w:tcW w:w="82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8"/>
              </w:rPr>
              <w:t>Jan. 2014</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Nov. 2023</w:t>
            </w:r>
          </w:p>
        </w:tc>
      </w:tr>
      <w:tr>
        <w:trPr>
          <w:trHeight w:val="174"/>
        </w:trPr>
        <w:tc>
          <w:tcPr>
            <w:tcW w:w="92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9,492,443</w:t>
            </w:r>
          </w:p>
        </w:tc>
        <w:tc>
          <w:tcPr>
            <w:tcW w:w="76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of immediate-release abuse deterrent opioid products</w:t>
            </w:r>
          </w:p>
        </w:tc>
        <w:tc>
          <w:tcPr>
            <w:tcW w:w="8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0"/>
              </w:rPr>
              <w:t>Nov. 2016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Nov. 2023</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additional issued patents relating to our Aversion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200" w:type="dxa"/>
            <w:vAlign w:val="bottom"/>
            <w:tcBorders>
              <w:top w:val="single" w:sz="8" w:color="auto"/>
              <w:left w:val="single" w:sz="8" w:color="auto"/>
              <w:right w:val="single" w:sz="8" w:color="auto"/>
            </w:tcBorders>
          </w:tcPr>
          <w:p>
            <w:pPr>
              <w:ind w:left="240"/>
              <w:spacing w:after="0" w:line="126" w:lineRule="exact"/>
              <w:rPr>
                <w:sz w:val="20"/>
                <w:szCs w:val="20"/>
                <w:color w:val="auto"/>
              </w:rPr>
            </w:pPr>
            <w:r>
              <w:rPr>
                <w:rFonts w:ascii="Arial" w:cs="Arial" w:eastAsia="Arial" w:hAnsi="Arial"/>
                <w:sz w:val="13"/>
                <w:szCs w:val="13"/>
                <w:b w:val="1"/>
                <w:bCs w:val="1"/>
                <w:color w:val="auto"/>
              </w:rPr>
              <w:t>Patent No.</w:t>
            </w:r>
          </w:p>
        </w:tc>
        <w:tc>
          <w:tcPr>
            <w:tcW w:w="7660" w:type="dxa"/>
            <w:vAlign w:val="bottom"/>
            <w:tcBorders>
              <w:top w:val="single" w:sz="8" w:color="auto"/>
              <w:right w:val="single" w:sz="8" w:color="auto"/>
            </w:tcBorders>
          </w:tcPr>
          <w:p>
            <w:pPr>
              <w:ind w:left="3320"/>
              <w:spacing w:after="0" w:line="126" w:lineRule="exact"/>
              <w:rPr>
                <w:sz w:val="20"/>
                <w:szCs w:val="20"/>
                <w:color w:val="auto"/>
              </w:rPr>
            </w:pPr>
            <w:r>
              <w:rPr>
                <w:rFonts w:ascii="Arial" w:cs="Arial" w:eastAsia="Arial" w:hAnsi="Arial"/>
                <w:sz w:val="13"/>
                <w:szCs w:val="13"/>
                <w:b w:val="1"/>
                <w:bCs w:val="1"/>
                <w:color w:val="auto"/>
              </w:rPr>
              <w:t>Subject Matter</w:t>
            </w:r>
          </w:p>
        </w:tc>
        <w:tc>
          <w:tcPr>
            <w:tcW w:w="840" w:type="dxa"/>
            <w:vAlign w:val="bottom"/>
            <w:tcBorders>
              <w:top w:val="single" w:sz="8" w:color="auto"/>
              <w:right w:val="single" w:sz="8" w:color="auto"/>
            </w:tcBorders>
          </w:tcPr>
          <w:p>
            <w:pPr>
              <w:jc w:val="center"/>
              <w:ind w:right="81"/>
              <w:spacing w:after="0" w:line="126" w:lineRule="exact"/>
              <w:rPr>
                <w:sz w:val="20"/>
                <w:szCs w:val="20"/>
                <w:color w:val="auto"/>
              </w:rPr>
            </w:pPr>
            <w:r>
              <w:rPr>
                <w:rFonts w:ascii="Arial" w:cs="Arial" w:eastAsia="Arial" w:hAnsi="Arial"/>
                <w:sz w:val="13"/>
                <w:szCs w:val="13"/>
                <w:b w:val="1"/>
                <w:bCs w:val="1"/>
                <w:color w:val="auto"/>
                <w:w w:val="87"/>
              </w:rPr>
              <w:t>Issued</w:t>
            </w:r>
          </w:p>
        </w:tc>
        <w:tc>
          <w:tcPr>
            <w:tcW w:w="700" w:type="dxa"/>
            <w:vAlign w:val="bottom"/>
            <w:tcBorders>
              <w:top w:val="single" w:sz="8" w:color="auto"/>
              <w:right w:val="single" w:sz="8" w:color="auto"/>
            </w:tcBorders>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89"/>
              </w:rPr>
              <w:t>Expires</w:t>
            </w:r>
          </w:p>
        </w:tc>
      </w:tr>
      <w:tr>
        <w:trPr>
          <w:trHeight w:val="153"/>
        </w:trPr>
        <w:tc>
          <w:tcPr>
            <w:tcW w:w="12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(Jurisdiction)</w:t>
            </w:r>
          </w:p>
        </w:tc>
        <w:tc>
          <w:tcPr>
            <w:tcW w:w="76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r>
      <w:tr>
        <w:trPr>
          <w:trHeight w:val="174"/>
        </w:trPr>
        <w:tc>
          <w:tcPr>
            <w:tcW w:w="120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8,822,489</w:t>
            </w:r>
          </w:p>
        </w:tc>
        <w:tc>
          <w:tcPr>
            <w:tcW w:w="766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Pharmaceutical compositions of certain abuse deterrent products that contain polymers, surfactant and polysorb 80</w:t>
            </w:r>
          </w:p>
        </w:tc>
        <w:tc>
          <w:tcPr>
            <w:tcW w:w="84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Jul. 2014</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Nov. 2023</w:t>
            </w:r>
          </w:p>
        </w:tc>
      </w:tr>
      <w:tr>
        <w:trPr>
          <w:trHeight w:val="174"/>
        </w:trPr>
        <w:tc>
          <w:tcPr>
            <w:tcW w:w="120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2,004,294,953</w:t>
            </w:r>
          </w:p>
        </w:tc>
        <w:tc>
          <w:tcPr>
            <w:tcW w:w="7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(AUS)</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2"/>
              </w:rPr>
              <w:t>Apr. 2010</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2,010,200,979</w:t>
            </w:r>
          </w:p>
        </w:tc>
        <w:tc>
          <w:tcPr>
            <w:tcW w:w="766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(AUS)</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3"/>
              </w:rPr>
              <w:t>Aug. 2010</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2,547,334</w:t>
            </w:r>
          </w:p>
        </w:tc>
        <w:tc>
          <w:tcPr>
            <w:tcW w:w="7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(CAN)</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3"/>
              </w:rPr>
              <w:t>Aug. 2010</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2,647,360</w:t>
            </w:r>
          </w:p>
        </w:tc>
        <w:tc>
          <w:tcPr>
            <w:tcW w:w="766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(CAN)</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3"/>
              </w:rPr>
              <w:t>May 2012</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5"/>
              </w:rPr>
              <w:t>Apr. 2027</w:t>
            </w:r>
          </w:p>
        </w:tc>
      </w:tr>
      <w:tr>
        <w:trPr>
          <w:trHeight w:val="18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175,863 (ISR)</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3"/>
              </w:rPr>
              <w:t>Nov. 2004</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8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221,018 (ISR)</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3"/>
              </w:rPr>
              <w:t>Nov. 2004</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1694260</w:t>
            </w:r>
          </w:p>
        </w:tc>
        <w:tc>
          <w:tcPr>
            <w:tcW w:w="7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(EUR)</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3"/>
              </w:rPr>
              <w:t>Nov. 2004</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768"/>
        </w:trPr>
        <w:tc>
          <w:tcPr>
            <w:tcW w:w="1200" w:type="dxa"/>
            <w:vAlign w:val="bottom"/>
          </w:tcPr>
          <w:p>
            <w:pPr>
              <w:spacing w:after="0"/>
              <w:rPr>
                <w:sz w:val="24"/>
                <w:szCs w:val="24"/>
                <w:color w:val="auto"/>
              </w:rPr>
            </w:pPr>
          </w:p>
        </w:tc>
        <w:tc>
          <w:tcPr>
            <w:tcW w:w="7660" w:type="dxa"/>
            <w:vAlign w:val="bottom"/>
          </w:tcPr>
          <w:p>
            <w:pPr>
              <w:ind w:left="3620"/>
              <w:spacing w:after="0"/>
              <w:rPr>
                <w:sz w:val="20"/>
                <w:szCs w:val="20"/>
                <w:color w:val="auto"/>
              </w:rPr>
            </w:pPr>
            <w:r>
              <w:rPr>
                <w:rFonts w:ascii="Arial" w:cs="Arial" w:eastAsia="Arial" w:hAnsi="Arial"/>
                <w:sz w:val="16"/>
                <w:szCs w:val="16"/>
                <w:color w:val="auto"/>
              </w:rPr>
              <w:t>F-35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02"/>
        </w:trPr>
        <w:tc>
          <w:tcPr>
            <w:tcW w:w="12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380"/>
          </w:cols>
          <w:pgMar w:left="980" w:top="479" w:right="5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issued patents covering, among other things, our Nexafed product line and Impede 1.0 and 2.0 technologies: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120" w:type="dxa"/>
            <w:vAlign w:val="bottom"/>
            <w:tcBorders>
              <w:top w:val="single" w:sz="8" w:color="auto"/>
              <w:left w:val="single" w:sz="8" w:color="auto"/>
              <w:right w:val="single" w:sz="8" w:color="auto"/>
            </w:tcBorders>
          </w:tcPr>
          <w:p>
            <w:pPr>
              <w:ind w:left="200"/>
              <w:spacing w:after="0" w:line="126" w:lineRule="exact"/>
              <w:rPr>
                <w:sz w:val="20"/>
                <w:szCs w:val="20"/>
                <w:color w:val="auto"/>
              </w:rPr>
            </w:pPr>
            <w:r>
              <w:rPr>
                <w:rFonts w:ascii="Arial" w:cs="Arial" w:eastAsia="Arial" w:hAnsi="Arial"/>
                <w:sz w:val="13"/>
                <w:szCs w:val="13"/>
                <w:b w:val="1"/>
                <w:bCs w:val="1"/>
                <w:color w:val="auto"/>
              </w:rPr>
              <w:t>Patent No.</w:t>
            </w:r>
          </w:p>
        </w:tc>
        <w:tc>
          <w:tcPr>
            <w:tcW w:w="7240" w:type="dxa"/>
            <w:vAlign w:val="bottom"/>
            <w:tcBorders>
              <w:top w:val="single" w:sz="8" w:color="auto"/>
              <w:right w:val="single" w:sz="8" w:color="auto"/>
            </w:tcBorders>
            <w:vMerge w:val="restart"/>
          </w:tcPr>
          <w:p>
            <w:pPr>
              <w:ind w:left="3120"/>
              <w:spacing w:after="0"/>
              <w:rPr>
                <w:sz w:val="20"/>
                <w:szCs w:val="20"/>
                <w:color w:val="auto"/>
              </w:rPr>
            </w:pPr>
            <w:r>
              <w:rPr>
                <w:rFonts w:ascii="Arial" w:cs="Arial" w:eastAsia="Arial" w:hAnsi="Arial"/>
                <w:sz w:val="13"/>
                <w:szCs w:val="13"/>
                <w:b w:val="1"/>
                <w:bCs w:val="1"/>
                <w:color w:val="auto"/>
              </w:rPr>
              <w:t>Subject Matter</w:t>
            </w:r>
          </w:p>
        </w:tc>
        <w:tc>
          <w:tcPr>
            <w:tcW w:w="860" w:type="dxa"/>
            <w:vAlign w:val="bottom"/>
            <w:tcBorders>
              <w:top w:val="single" w:sz="8" w:color="auto"/>
              <w:right w:val="single" w:sz="8" w:color="auto"/>
            </w:tcBorders>
            <w:vMerge w:val="restart"/>
          </w:tcPr>
          <w:p>
            <w:pPr>
              <w:jc w:val="center"/>
              <w:ind w:right="101"/>
              <w:spacing w:after="0"/>
              <w:rPr>
                <w:sz w:val="20"/>
                <w:szCs w:val="20"/>
                <w:color w:val="auto"/>
              </w:rPr>
            </w:pPr>
            <w:r>
              <w:rPr>
                <w:rFonts w:ascii="Arial" w:cs="Arial" w:eastAsia="Arial" w:hAnsi="Arial"/>
                <w:sz w:val="13"/>
                <w:szCs w:val="13"/>
                <w:b w:val="1"/>
                <w:bCs w:val="1"/>
                <w:color w:val="auto"/>
                <w:w w:val="87"/>
              </w:rPr>
              <w:t>Issued</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Expires</w:t>
            </w:r>
          </w:p>
        </w:tc>
        <w:tc>
          <w:tcPr>
            <w:tcW w:w="0" w:type="dxa"/>
            <w:vAlign w:val="bottom"/>
          </w:tcPr>
          <w:p>
            <w:pPr>
              <w:spacing w:after="0"/>
              <w:rPr>
                <w:sz w:val="1"/>
                <w:szCs w:val="1"/>
                <w:color w:val="auto"/>
              </w:rPr>
            </w:pPr>
          </w:p>
        </w:tc>
      </w:tr>
      <w:tr>
        <w:trPr>
          <w:trHeight w:val="153"/>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(Jurisdiction)</w:t>
            </w:r>
          </w:p>
        </w:tc>
        <w:tc>
          <w:tcPr>
            <w:tcW w:w="7240" w:type="dxa"/>
            <w:vAlign w:val="bottom"/>
            <w:tcBorders>
              <w:bottom w:val="single" w:sz="8" w:color="auto"/>
              <w:right w:val="single" w:sz="8" w:color="auto"/>
            </w:tcBorders>
            <w:vMerge w:val="continue"/>
          </w:tcPr>
          <w:p>
            <w:pPr>
              <w:spacing w:after="0"/>
              <w:rPr>
                <w:sz w:val="13"/>
                <w:szCs w:val="13"/>
                <w:color w:val="auto"/>
              </w:rPr>
            </w:pPr>
          </w:p>
        </w:tc>
        <w:tc>
          <w:tcPr>
            <w:tcW w:w="860" w:type="dxa"/>
            <w:vAlign w:val="bottom"/>
            <w:tcBorders>
              <w:bottom w:val="single" w:sz="8" w:color="auto"/>
              <w:right w:val="single" w:sz="8" w:color="auto"/>
            </w:tcBorders>
            <w:vMerge w:val="continue"/>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8,901,113</w:t>
            </w:r>
          </w:p>
        </w:tc>
        <w:tc>
          <w:tcPr>
            <w:tcW w:w="724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(US)</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0"/>
              </w:rPr>
              <w:t>Dec. 2014</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Feb. 2032</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9,757,466</w:t>
            </w:r>
          </w:p>
        </w:tc>
        <w:tc>
          <w:tcPr>
            <w:tcW w:w="7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0"/>
              </w:rPr>
              <w:t>Sept. 2017</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Sep.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10,004,699</w:t>
            </w:r>
          </w:p>
        </w:tc>
        <w:tc>
          <w:tcPr>
            <w:tcW w:w="724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(US)</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9"/>
              </w:rPr>
              <w:t>Methods and compositions for interfering with extraction or conversion of a drug susceptible to abuse</w:t>
            </w:r>
          </w:p>
        </w:tc>
        <w:tc>
          <w:tcPr>
            <w:tcW w:w="8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8"/>
              </w:rPr>
              <w:t>Jun. 2018</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Dec. 2035</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10,155,044</w:t>
            </w:r>
          </w:p>
        </w:tc>
        <w:tc>
          <w:tcPr>
            <w:tcW w:w="7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0"/>
              </w:rPr>
              <w:t>Dec. 2018</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Sep.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2010300641</w:t>
            </w:r>
          </w:p>
        </w:tc>
        <w:tc>
          <w:tcPr>
            <w:tcW w:w="724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(AUS)</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8"/>
              </w:rPr>
              <w:t>Jun. 2016</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2,775,890</w:t>
            </w:r>
          </w:p>
        </w:tc>
        <w:tc>
          <w:tcPr>
            <w:tcW w:w="7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(CAN)</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88"/>
              </w:rPr>
              <w:t>Jun. 2016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2,488,029</w:t>
            </w:r>
          </w:p>
        </w:tc>
        <w:tc>
          <w:tcPr>
            <w:tcW w:w="724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(EUR)</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1"/>
              </w:rPr>
              <w:t>Mar. 2016</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218533</w:t>
            </w:r>
          </w:p>
        </w:tc>
        <w:tc>
          <w:tcPr>
            <w:tcW w:w="7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(ISR)</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88"/>
              </w:rPr>
              <w:t>Jan. 2016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2015274936</w:t>
            </w:r>
          </w:p>
        </w:tc>
        <w:tc>
          <w:tcPr>
            <w:tcW w:w="724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(AUS)</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9"/>
              </w:rPr>
              <w:t>Methods and compositions for interfering with extraction or conversion of a drug susceptible to abuse</w:t>
            </w:r>
          </w:p>
        </w:tc>
        <w:tc>
          <w:tcPr>
            <w:tcW w:w="8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0"/>
              </w:rPr>
              <w:t>Sept. 2018</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Jun. 2035</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13102020.5</w:t>
            </w:r>
          </w:p>
        </w:tc>
        <w:tc>
          <w:tcPr>
            <w:tcW w:w="7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(HK)</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2"/>
              </w:rPr>
              <w:t>Oct. 2016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Amended Agreement and in the patent infringement settlement agreements described below, we have retained all intellectual property rights to our Aversion Technology, Impede Technology, LIMITx Technology and related product candidates.</w:t>
      </w:r>
    </w:p>
    <w:p>
      <w:pPr>
        <w:spacing w:after="0" w:line="17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spacing w:after="0" w:line="168"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On May 20, 2016, we, Purdue Pharma L.P. and Assertio settled patent infringement actions initiated by Purdue against Oxaydo and an Inter Partes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spacing w:after="0" w:line="155" w:lineRule="exact"/>
        <w:rPr>
          <w:sz w:val="20"/>
          <w:szCs w:val="20"/>
          <w:color w:val="auto"/>
        </w:rPr>
      </w:pPr>
    </w:p>
    <w:p>
      <w:pPr>
        <w:jc w:val="both"/>
        <w:ind w:right="20"/>
        <w:spacing w:after="0" w:line="322" w:lineRule="auto"/>
        <w:rPr>
          <w:sz w:val="20"/>
          <w:szCs w:val="20"/>
          <w:color w:val="auto"/>
        </w:rPr>
      </w:pPr>
      <w:r>
        <w:rPr>
          <w:rFonts w:ascii="Arial" w:cs="Arial" w:eastAsia="Arial" w:hAnsi="Arial"/>
          <w:sz w:val="14"/>
          <w:szCs w:val="14"/>
          <w:color w:val="auto"/>
        </w:rPr>
        <w:t>Reference is made to the Risk Factors contained in this Report and on Form 10-K for the year ended December 31, 2020 for a discussion of, among other things,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40"/>
          </w:cols>
          <w:pgMar w:left="980" w:top="479" w:right="9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Company’s Present Financial Condition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2021, we had cash of $89 thousand, working capital deficit of $135 thousand and an accumulated deficit of $390 million. We had a loss from operations of $977 thousand and a net loss of $908 thousand for the nine months ended September 30,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 As of November 12, 2021 our cash balance was approximately $130 thousand.</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Currently, the License, Development and Commercialization Agreement dated June 28, 2019 as amended (“AD Pharma Amended Agreement”), requires AD Pharma to pay us a monthly license payment of $350 thousand for a period from inception up to April 2020 at which time the payment became $200 thousand per month and ended on July 31, 2021, and to reimburse us all our outside development costs for LTX-03.</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At September 30, 2021, AD Pharma was delinquent in remitting the monthly license payments to us for June, 2021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AD Pharma Amended Agreement, requires that the NDA for LTX-03 be accepted by the FDA February 28, 2022 or AD Pharma has the option to terminate the AD Pharma Amended Agreement and take ownership of the LIMITx intellectual property. The AD Pharma Amended Agreement allows AD Pharma to terminate the AD Pharma Amended Agreement “for convenience”.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Three months Ended September 30, 2021 Compared to Three months Ended September 30, 2020</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3"/>
                <w:szCs w:val="13"/>
                <w:color w:val="auto"/>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vMerge w:val="restart"/>
          </w:tcPr>
          <w:p>
            <w:pPr>
              <w:jc w:val="right"/>
              <w:ind w:right="324"/>
              <w:spacing w:after="0"/>
              <w:rPr>
                <w:sz w:val="20"/>
                <w:szCs w:val="20"/>
                <w:color w:val="auto"/>
              </w:rPr>
            </w:pPr>
            <w:r>
              <w:rPr>
                <w:rFonts w:ascii="Arial" w:cs="Arial" w:eastAsia="Arial" w:hAnsi="Arial"/>
                <w:sz w:val="13"/>
                <w:szCs w:val="13"/>
                <w:color w:val="auto"/>
                <w:w w:val="89"/>
              </w:rPr>
              <w:t>Increase (decrease)</w:t>
            </w:r>
          </w:p>
        </w:tc>
        <w:tc>
          <w:tcPr>
            <w:tcW w:w="0" w:type="dxa"/>
            <w:vAlign w:val="bottom"/>
          </w:tcPr>
          <w:p>
            <w:pPr>
              <w:spacing w:after="0"/>
              <w:rPr>
                <w:sz w:val="1"/>
                <w:szCs w:val="1"/>
                <w:color w:val="auto"/>
              </w:rPr>
            </w:pPr>
          </w:p>
        </w:tc>
      </w:tr>
      <w:tr>
        <w:trPr>
          <w:trHeight w:val="126"/>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Revenues: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21"/>
              <w:spacing w:after="0" w:line="126" w:lineRule="exact"/>
              <w:rPr>
                <w:sz w:val="20"/>
                <w:szCs w:val="20"/>
                <w:color w:val="auto"/>
              </w:rPr>
            </w:pPr>
            <w:r>
              <w:rPr>
                <w:rFonts w:ascii="Arial" w:cs="Arial" w:eastAsia="Arial" w:hAnsi="Arial"/>
                <w:sz w:val="13"/>
                <w:szCs w:val="13"/>
                <w:color w:val="auto"/>
              </w:rPr>
              <w:t>2021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60"/>
              <w:spacing w:after="0" w:line="126" w:lineRule="exact"/>
              <w:rPr>
                <w:sz w:val="20"/>
                <w:szCs w:val="20"/>
                <w:color w:val="auto"/>
              </w:rPr>
            </w:pPr>
            <w:r>
              <w:rPr>
                <w:rFonts w:ascii="Arial" w:cs="Arial" w:eastAsia="Arial" w:hAnsi="Arial"/>
                <w:sz w:val="13"/>
                <w:szCs w:val="13"/>
                <w:color w:val="auto"/>
              </w:rPr>
              <w:t>2020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rPr>
              <w:t>$000’s</w:t>
            </w: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40"/>
              <w:spacing w:after="0" w:line="114" w:lineRule="exact"/>
              <w:rPr>
                <w:sz w:val="20"/>
                <w:szCs w:val="20"/>
                <w:color w:val="auto"/>
              </w:rPr>
            </w:pPr>
            <w:r>
              <w:rPr>
                <w:rFonts w:ascii="Arial" w:cs="Arial" w:eastAsia="Arial" w:hAnsi="Arial"/>
                <w:sz w:val="13"/>
                <w:szCs w:val="13"/>
                <w:color w:val="auto"/>
              </w:rPr>
              <w:t>Percent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Royalties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Collaboration from related party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ind w:left="60"/>
              <w:spacing w:after="0"/>
              <w:rPr>
                <w:sz w:val="20"/>
                <w:szCs w:val="20"/>
                <w:color w:val="auto"/>
              </w:rPr>
            </w:pPr>
            <w:r>
              <w:rPr>
                <w:rFonts w:ascii="Arial" w:cs="Arial" w:eastAsia="Arial" w:hAnsi="Arial"/>
                <w:sz w:val="16"/>
                <w:szCs w:val="16"/>
                <w:color w:val="auto"/>
              </w:rPr>
              <w:t>License fees from related party</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Gain on debt forgiveness under CARES Act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16"/>
                <w:szCs w:val="16"/>
                <w:color w:val="auto"/>
              </w:rPr>
            </w:pPr>
          </w:p>
        </w:tc>
        <w:tc>
          <w:tcPr>
            <w:tcW w:w="7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 related party</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Arial" w:cs="Arial" w:eastAsia="Arial" w:hAnsi="Arial"/>
                <w:sz w:val="16"/>
                <w:szCs w:val="16"/>
                <w:color w:val="auto"/>
              </w:rPr>
              <w:t>Loss before income taxes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(678)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(416)</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Fees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recognize license fees under the license and development agreement with AD Pharma for LTX-03 dated June 2019 and as amended in October 2020 and July 2021. We recognized $0.2 million and $0.3 million of license fees revenue during the three months ended September 30, 2021 and 2020,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Collaboration revenue is derived from research and development services we perform under the license and development agreement with AD Pharma for LTX-03. We recognized $3 thousand and $96 thousand of collaboration revenue during the three months ended September 30, 2021 and 2020,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Revenue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our license agreement with Assertio for Oxaydo Tablets, we earn a royalty based on product net sales. We recognized $67 thousand and $11 thousand of royalty revenue for Oxaydo during the three months ended September 30, 2021 and September 30, 2020, respectively. We believe that Assertio has shifted focus to marketing other products in their portfolio and deemphasized the marketing of Oxaydo and therefore we expect future lower royalties from lower product net sales of Oxaydo Tablets.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connection with our license agreement with MainPointe for our Nexafed product line, we earn a royalty based on product net sales. We recognized $3 thousand of royalty revenue on Nexafed during the three months ended September 30, 2020. We did not earn a royalty during the three months ended September 30, 2021.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Research and development expenses (“R&amp;D”) primarily consisted of our activities with respect to our LIMITx Technology development under license with AD Pharma and can include, among other items, costs of preclinical and non-clinical internal and external activities, clinical study trials, clinical supplies and its related formulation and design costs, salaries and other personnel related expenses of our employees, consultants and our facility costs. Our R&amp;D expenses decreased by $134 thousand between reporting periods, all expenses relate to the LTX-03 development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Excluding the stock-based compensation expense of $21 thousand and $9 thousand included in the three months ended September 30, 2021 and 2020, respectively, our general and administrative expenses decreased by $52 thousand between reporting periods.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Expense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on such note. The principal and interest were converted into 42,984,375 shares of the Company’s common stock. Effective with this conversion, this promissory note was retired.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results for the three month period ended September 30, 2021 and 2020 include no federal or state income tax benefit provisions due to 100% allowances placed against our deferred tax assets for the uncertainty of their future utilization.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Nine months Ended September 30, 2021 Compared to Nine months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color w:val="auto"/>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ind w:left="40"/>
              <w:spacing w:after="0"/>
              <w:rPr>
                <w:sz w:val="20"/>
                <w:szCs w:val="20"/>
                <w:color w:val="auto"/>
              </w:rPr>
            </w:pPr>
            <w:r>
              <w:rPr>
                <w:rFonts w:ascii="Arial" w:cs="Arial" w:eastAsia="Arial" w:hAnsi="Arial"/>
                <w:sz w:val="13"/>
                <w:szCs w:val="13"/>
                <w:color w:val="auto"/>
              </w:rPr>
              <w:t>Increase (decrease)</w:t>
            </w:r>
          </w:p>
        </w:tc>
        <w:tc>
          <w:tcPr>
            <w:tcW w:w="0" w:type="dxa"/>
            <w:vAlign w:val="bottom"/>
          </w:tcPr>
          <w:p>
            <w:pPr>
              <w:spacing w:after="0"/>
              <w:rPr>
                <w:sz w:val="1"/>
                <w:szCs w:val="1"/>
                <w:color w:val="auto"/>
              </w:rPr>
            </w:pPr>
          </w:p>
        </w:tc>
      </w:tr>
      <w:tr>
        <w:trPr>
          <w:trHeight w:val="126"/>
        </w:trPr>
        <w:tc>
          <w:tcPr>
            <w:tcW w:w="4380" w:type="dxa"/>
            <w:vAlign w:val="bottom"/>
            <w:gridSpan w:val="2"/>
            <w:vMerge w:val="restart"/>
          </w:tcPr>
          <w:p>
            <w:pPr>
              <w:ind w:left="1000"/>
              <w:spacing w:after="0"/>
              <w:rPr>
                <w:sz w:val="20"/>
                <w:szCs w:val="20"/>
                <w:color w:val="auto"/>
              </w:rPr>
            </w:pPr>
            <w:r>
              <w:rPr>
                <w:rFonts w:ascii="Arial" w:cs="Arial" w:eastAsia="Arial" w:hAnsi="Arial"/>
                <w:sz w:val="16"/>
                <w:szCs w:val="16"/>
                <w:color w:val="auto"/>
              </w:rPr>
              <w:t>Revenues:</w:t>
            </w: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81"/>
              <w:spacing w:after="0" w:line="126" w:lineRule="exact"/>
              <w:rPr>
                <w:sz w:val="20"/>
                <w:szCs w:val="20"/>
                <w:color w:val="auto"/>
              </w:rPr>
            </w:pPr>
            <w:r>
              <w:rPr>
                <w:rFonts w:ascii="Arial" w:cs="Arial" w:eastAsia="Arial" w:hAnsi="Arial"/>
                <w:sz w:val="13"/>
                <w:szCs w:val="13"/>
                <w:color w:val="auto"/>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80"/>
              <w:spacing w:after="0" w:line="126" w:lineRule="exact"/>
              <w:rPr>
                <w:sz w:val="20"/>
                <w:szCs w:val="20"/>
                <w:color w:val="auto"/>
              </w:rPr>
            </w:pPr>
            <w:r>
              <w:rPr>
                <w:rFonts w:ascii="Arial" w:cs="Arial" w:eastAsia="Arial" w:hAnsi="Arial"/>
                <w:sz w:val="13"/>
                <w:szCs w:val="13"/>
                <w:color w:val="auto"/>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38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3"/>
              </w:rPr>
              <w:t>$000’s</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0"/>
              </w:rPr>
              <w:t>Percent</w:t>
            </w: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3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Royalties</w:t>
            </w: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ind w:left="80"/>
              <w:spacing w:after="0"/>
              <w:rPr>
                <w:sz w:val="20"/>
                <w:szCs w:val="20"/>
                <w:color w:val="auto"/>
              </w:rPr>
            </w:pPr>
            <w:r>
              <w:rPr>
                <w:rFonts w:ascii="Arial" w:cs="Arial" w:eastAsia="Arial" w:hAnsi="Arial"/>
                <w:sz w:val="16"/>
                <w:szCs w:val="16"/>
                <w:color w:val="auto"/>
              </w:rPr>
              <w:t>Collaboration from related party</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License fees from related party</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ind w:left="80"/>
              <w:spacing w:after="0"/>
              <w:rPr>
                <w:sz w:val="20"/>
                <w:szCs w:val="20"/>
                <w:color w:val="auto"/>
              </w:rPr>
            </w:pPr>
            <w:r>
              <w:rPr>
                <w:rFonts w:ascii="Arial" w:cs="Arial" w:eastAsia="Arial" w:hAnsi="Arial"/>
                <w:sz w:val="16"/>
                <w:szCs w:val="16"/>
                <w:color w:val="auto"/>
              </w:rPr>
              <w:t>Product sales, net of allowances</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(223)</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vMerge w:val="restart"/>
          </w:tcPr>
          <w:p>
            <w:pPr>
              <w:spacing w:after="0"/>
              <w:rPr>
                <w:sz w:val="16"/>
                <w:szCs w:val="16"/>
                <w:color w:val="auto"/>
              </w:rPr>
            </w:pPr>
          </w:p>
        </w:tc>
        <w:tc>
          <w:tcPr>
            <w:tcW w:w="3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vMerge w:val="continue"/>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2,504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(975)</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loss</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Gain on debt forgiveness under CARES Act</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ind w:left="80"/>
              <w:spacing w:after="0"/>
              <w:rPr>
                <w:sz w:val="20"/>
                <w:szCs w:val="20"/>
                <w:color w:val="auto"/>
              </w:rPr>
            </w:pPr>
            <w:r>
              <w:rPr>
                <w:rFonts w:ascii="Arial" w:cs="Arial" w:eastAsia="Arial" w:hAnsi="Arial"/>
                <w:sz w:val="16"/>
                <w:szCs w:val="16"/>
                <w:color w:val="auto"/>
              </w:rPr>
              <w:t>Interest expense – related party</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before income taxes</w:t>
            </w: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tcPr>
          <w:p>
            <w:pPr>
              <w:ind w:left="80"/>
              <w:spacing w:after="0"/>
              <w:rPr>
                <w:sz w:val="20"/>
                <w:szCs w:val="20"/>
                <w:color w:val="auto"/>
              </w:rPr>
            </w:pPr>
            <w:r>
              <w:rPr>
                <w:rFonts w:ascii="Arial" w:cs="Arial" w:eastAsia="Arial" w:hAnsi="Arial"/>
                <w:sz w:val="16"/>
                <w:szCs w:val="16"/>
                <w:color w:val="auto"/>
              </w:rPr>
              <w:t>Provision for income taxes</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1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60" w:type="dxa"/>
            <w:vAlign w:val="bottom"/>
            <w:gridSpan w:val="3"/>
          </w:tcPr>
          <w:p>
            <w:pPr>
              <w:jc w:val="right"/>
              <w:ind w:right="969"/>
              <w:spacing w:after="0"/>
              <w:rPr>
                <w:sz w:val="20"/>
                <w:szCs w:val="20"/>
                <w:color w:val="auto"/>
              </w:rPr>
            </w:pPr>
            <w:r>
              <w:rPr>
                <w:rFonts w:ascii="Arial" w:cs="Arial" w:eastAsia="Arial" w:hAnsi="Arial"/>
                <w:sz w:val="16"/>
                <w:szCs w:val="16"/>
                <w:color w:val="auto"/>
              </w:rPr>
              <w:t>F-39</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9" w:right="99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Fees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recognize license fees under the license and development agreement with AD Pharma for LTX-03 dated June 2019 and as amended in October 2020 and July 2021. We recognized $1.4 million and $2.4 million of license fees revenue during the nine months ended September 30, 2021 and 2020,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Collaboration revenue is derived from research and development services we perform under the license and development agreement with AD Pharma for LTX-03. We recognized $25 thousand and $148 thousand of collaboration revenue during the nine months ended September 30, 2021 and 2020,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Revenue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our license agreement with Assertio for Oxaydo Tablets, we earn a royalty based on product net sales. We recognized $100 thousand and $72 thousand of royalty revenue for Oxaydo during each of the nine months ended September 30, 2021 and 2020, respectively. We believe that Assertio has shifted focus to marketing other products in their portfolio and deemphasized the marketing of Oxaydo and therefore we expect future lower royalties from lower product net sales of Oxaydo Tablets.</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In connection with our license agreement with MainPointe for our Nexafed product line, we earn a royalty based on product net sales. We recognized $2 thousand and $9 thousand of royalty revenue on Nexafed during the nine months ended September 30,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Research and development expenses (“R&amp;D”) primarily consisted of our activities with respect to our LIMITx Technology development under license with AD Pharma and can include, among other items, costs of preclinical and non-clinical internal and external activities, clinical study trials, clinical supplies and its related formulation and design costs, salaries and other personnel related expenses of our employees, consultants and our facility costs. Our R&amp;D expenses decreased by $171 thousand between reporting periods, all expenses relate to the LTX-03 development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Excluding the stock-based compensation expense of $84 thousand and $42 thousand included in the nine months ended September 30, 2021 and 2020, respectively, our general and administrative expenses decreased by $846 thousand between reporting periods. The decrease is primarily due from a nonrecurring impairment charge taken in 2020 of $668 thousand on an intangible asset as well as a reduction in its associated amortization expense of $46 thousand and reductions in legal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Expense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on such note. The principal and interest were converted into 42,984,375 shares of the Company’s common stock. Effective with this conversion, this promissory note was retired. For the nine month period ending September 30, 2021 and 2020, we incurred interest expense of $200 thousand and $225 thousand, respectively, on such promissory note.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results for the nine month period ended September 30, 2021 and 2020 include no federal or state income tax benefit provisions due to 100% allowances placed against our deferred tax assets for the uncertainty of their future utilization.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September 30, 2021 we had cash of $89 thousand and working capital deficit of $135 thousand. At December 31, 2020 we had cash of $413 thousand. We had a loss from operations of $977 thousand and a net loss of $908 thousand for the nine months ended September 30,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 As of November 12, 2021 our cash balance was approximately $130 thousand.</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License, Development and Commercialization Agreement with AD Pharma dated June 28, 2019, as amended in October 2020 and July 2021, required AD Pharma to pay to us for a period from inception up to April 2020 at which time the payment became $200 thousand per month and ended on July 31, 2021, and to reimburse us all our outside development costs for LTX-03.</w:t>
      </w:r>
    </w:p>
    <w:p>
      <w:pPr>
        <w:spacing w:after="0" w:line="162"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At September 30, 2021, AD Pharma was delinquent in remitting the monthly license payments to us for June and July, 2021 which aggregates to $400 thousand, and approximately $72 thousand of reimbursable LTX-03 development expenses. Failure to make these payments is an event of default under the AD Pharma Amended Agreement. In October and November 2021, AD Pharma remitted to us $350 thousand of the $400 thousand license fees.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AD Pharma Amended Agreement, requires the NDA for LTX-03 be accepted by the FDA by February 28, 2022 or AD Pharma has the option to terminate the AD Pharma Agreement and take ownership of the LIMITx intellectual property. The Agreement allows AD Pharma to terminate the Agreement “for convenience”.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2020 financial statements a “going concern” explanatory paragraph as to substantial doubt of our ability to continue as a going concern.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2" w:name="page43"/>
    <w:bookmarkEnd w:id="42"/>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Critical Accounting Policies</w:t>
      </w:r>
    </w:p>
    <w:p>
      <w:pPr>
        <w:spacing w:after="0" w:line="204"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Note 1 of the Notes to Consolidated Financial Statements, in the Company’s 2020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2020 Annual Report are also applicable to 2021.</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Item 4. Controls and Procedures</w:t>
      </w:r>
    </w:p>
    <w:p>
      <w:pPr>
        <w:spacing w:after="0" w:line="204" w:lineRule="exact"/>
        <w:rPr>
          <w:sz w:val="20"/>
          <w:szCs w:val="20"/>
          <w:color w:val="auto"/>
        </w:rPr>
      </w:pPr>
    </w:p>
    <w:p>
      <w:pPr>
        <w:jc w:val="both"/>
        <w:ind w:left="1" w:hanging="1"/>
        <w:spacing w:after="0" w:line="298" w:lineRule="auto"/>
        <w:tabs>
          <w:tab w:leader="none" w:pos="443" w:val="left"/>
        </w:tabs>
        <w:numPr>
          <w:ilvl w:val="0"/>
          <w:numId w:val="14"/>
        </w:numPr>
        <w:rPr>
          <w:rFonts w:ascii="Arial" w:cs="Arial" w:eastAsia="Arial" w:hAnsi="Arial"/>
          <w:sz w:val="14"/>
          <w:szCs w:val="14"/>
          <w:color w:val="auto"/>
        </w:rPr>
      </w:pPr>
      <w:r>
        <w:rPr>
          <w:rFonts w:ascii="Arial" w:cs="Arial" w:eastAsia="Arial" w:hAnsi="Arial"/>
          <w:sz w:val="14"/>
          <w:szCs w:val="14"/>
          <w:i w:val="1"/>
          <w:iCs w:val="1"/>
          <w:u w:val="single" w:color="auto"/>
          <w:color w:val="auto"/>
        </w:rPr>
        <w:t>Disclosure Controls and Procedures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management, with the participation of the Company’s Chief Executive Officer and Chief</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47" w:lineRule="exact"/>
        <w:rPr>
          <w:rFonts w:ascii="Arial" w:cs="Arial" w:eastAsia="Arial" w:hAnsi="Arial"/>
          <w:sz w:val="14"/>
          <w:szCs w:val="14"/>
          <w:color w:val="auto"/>
        </w:rPr>
      </w:pPr>
    </w:p>
    <w:p>
      <w:pPr>
        <w:ind w:left="1" w:hanging="1"/>
        <w:spacing w:after="0" w:line="316"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i w:val="1"/>
          <w:iCs w:val="1"/>
          <w:u w:val="single" w:color="auto"/>
          <w:color w:val="auto"/>
        </w:rPr>
        <w:t>Changes in Internal Controls over Financial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There were no changes in our internal controls over financial reporting during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fiscal quarter of 2021 that have materially affected, or are reasonably likely to materially affect, our internal controls over financial reporting.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629920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1"/>
          </w:cols>
          <w:pgMar w:left="979" w:top="479" w:right="99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 II.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 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6. Exhibits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by this Item are listed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31.1</w:t>
            </w:r>
          </w:p>
        </w:tc>
        <w:tc>
          <w:tcPr>
            <w:tcW w:w="8840" w:type="dxa"/>
            <w:vAlign w:val="bottom"/>
            <w:tcBorders>
              <w:bottom w:val="single" w:sz="8" w:color="0000EE"/>
            </w:tcBorders>
            <w:gridSpan w:val="3"/>
          </w:tcPr>
          <w:p>
            <w:pPr>
              <w:spacing w:after="0"/>
              <w:rPr>
                <w:rFonts w:ascii="Arial" w:cs="Arial" w:eastAsia="Arial" w:hAnsi="Arial"/>
                <w:sz w:val="16"/>
                <w:szCs w:val="16"/>
                <w:color w:val="0000EE"/>
                <w:w w:val="92"/>
              </w:rPr>
            </w:pPr>
            <w:hyperlink w:anchor="page46">
              <w:r>
                <w:rPr>
                  <w:rFonts w:ascii="Arial" w:cs="Arial" w:eastAsia="Arial" w:hAnsi="Arial"/>
                  <w:sz w:val="16"/>
                  <w:szCs w:val="16"/>
                  <w:color w:val="0000EE"/>
                  <w:w w:val="92"/>
                </w:rPr>
                <w:t>Certification of Periodic Report by Chief Executive Officer pursuant to Rule 13a-14 and 15d-14 of the Securities Exchange Act of 1934.</w:t>
              </w:r>
            </w:hyperlink>
          </w:p>
        </w:tc>
        <w:tc>
          <w:tcPr>
            <w:tcW w:w="80" w:type="dxa"/>
            <w:vAlign w:val="bottom"/>
          </w:tcPr>
          <w:p>
            <w:pPr>
              <w:spacing w:after="0"/>
              <w:rPr>
                <w:sz w:val="16"/>
                <w:szCs w:val="16"/>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8920" w:type="dxa"/>
            <w:vAlign w:val="bottom"/>
            <w:gridSpan w:val="4"/>
          </w:tcPr>
          <w:p>
            <w:pPr>
              <w:spacing w:after="0"/>
              <w:rPr>
                <w:rFonts w:ascii="Arial" w:cs="Arial" w:eastAsia="Arial" w:hAnsi="Arial"/>
                <w:sz w:val="16"/>
                <w:szCs w:val="16"/>
                <w:color w:val="0000EE"/>
                <w:w w:val="94"/>
              </w:rPr>
            </w:pPr>
            <w:hyperlink w:anchor="page47">
              <w:r>
                <w:rPr>
                  <w:rFonts w:ascii="Arial" w:cs="Arial" w:eastAsia="Arial" w:hAnsi="Arial"/>
                  <w:sz w:val="16"/>
                  <w:szCs w:val="16"/>
                  <w:color w:val="0000EE"/>
                  <w:w w:val="94"/>
                </w:rPr>
                <w:t>Certification of Periodic Report by Chief Financial Officer pursuant to Rule 13a-14 and 15d-14 of the Securities Exchange Act of 1934.</w:t>
              </w:r>
            </w:hyperlink>
          </w:p>
        </w:tc>
      </w:tr>
      <w:tr>
        <w:trPr>
          <w:trHeight w:val="20"/>
        </w:trPr>
        <w:tc>
          <w:tcPr>
            <w:tcW w:w="100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32.1</w:t>
            </w:r>
          </w:p>
        </w:tc>
        <w:tc>
          <w:tcPr>
            <w:tcW w:w="892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Certification of Periodic Report by the Chief Executive Officer and Chief Financial Officer pursuant to 18 U.S.C. Section 1350, as</w:t>
              </w:r>
            </w:hyperlink>
          </w:p>
        </w:tc>
      </w:tr>
      <w:tr>
        <w:trPr>
          <w:trHeight w:val="174"/>
        </w:trPr>
        <w:tc>
          <w:tcPr>
            <w:tcW w:w="1000" w:type="dxa"/>
            <w:vAlign w:val="bottom"/>
          </w:tcPr>
          <w:p>
            <w:pPr>
              <w:spacing w:after="0"/>
              <w:rPr>
                <w:sz w:val="15"/>
                <w:szCs w:val="15"/>
                <w:color w:val="auto"/>
              </w:rPr>
            </w:pPr>
          </w:p>
        </w:tc>
        <w:tc>
          <w:tcPr>
            <w:tcW w:w="4420" w:type="dxa"/>
            <w:vAlign w:val="bottom"/>
            <w:tcBorders>
              <w:bottom w:val="single" w:sz="8" w:color="0000EE"/>
            </w:tcBorders>
          </w:tcPr>
          <w:p>
            <w:pPr>
              <w:spacing w:after="0" w:line="175" w:lineRule="exact"/>
              <w:rPr>
                <w:rFonts w:ascii="Arial" w:cs="Arial" w:eastAsia="Arial" w:hAnsi="Arial"/>
                <w:sz w:val="16"/>
                <w:szCs w:val="16"/>
                <w:color w:val="0000EE"/>
                <w:w w:val="90"/>
              </w:rPr>
            </w:pPr>
            <w:hyperlink w:anchor="page48">
              <w:r>
                <w:rPr>
                  <w:rFonts w:ascii="Arial" w:cs="Arial" w:eastAsia="Arial" w:hAnsi="Arial"/>
                  <w:sz w:val="16"/>
                  <w:szCs w:val="16"/>
                  <w:color w:val="0000EE"/>
                  <w:w w:val="90"/>
                </w:rPr>
                <w:t>adopted pursuant to Section 906 of the Sarbanes-Oxley Act of 2002.</w:t>
              </w:r>
            </w:hyperlink>
          </w:p>
        </w:tc>
        <w:tc>
          <w:tcPr>
            <w:tcW w:w="4500" w:type="dxa"/>
            <w:vAlign w:val="bottom"/>
            <w:gridSpan w:val="3"/>
          </w:tcPr>
          <w:p>
            <w:pPr>
              <w:spacing w:after="0"/>
              <w:rPr>
                <w:sz w:val="15"/>
                <w:szCs w:val="15"/>
                <w:color w:val="auto"/>
              </w:rPr>
            </w:pPr>
          </w:p>
        </w:tc>
      </w:tr>
      <w:tr>
        <w:trPr>
          <w:trHeight w:val="404"/>
        </w:trPr>
        <w:tc>
          <w:tcPr>
            <w:tcW w:w="1000" w:type="dxa"/>
            <w:vAlign w:val="bottom"/>
          </w:tcPr>
          <w:p>
            <w:pPr>
              <w:spacing w:after="0"/>
              <w:rPr>
                <w:sz w:val="20"/>
                <w:szCs w:val="20"/>
                <w:color w:val="auto"/>
              </w:rPr>
            </w:pPr>
            <w:r>
              <w:rPr>
                <w:rFonts w:ascii="Arial" w:cs="Arial" w:eastAsia="Arial" w:hAnsi="Arial"/>
                <w:sz w:val="16"/>
                <w:szCs w:val="16"/>
                <w:color w:val="auto"/>
              </w:rPr>
              <w:t>101.INS</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Instance Document</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101.SCH</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101.CAL</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101.LAB</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101.PRE</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101.DEF</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r>
    </w:tbl>
    <w:p>
      <w:pPr>
        <w:spacing w:after="0" w:line="182" w:lineRule="exact"/>
        <w:rPr>
          <w:sz w:val="20"/>
          <w:szCs w:val="20"/>
          <w:color w:val="auto"/>
        </w:rPr>
      </w:pPr>
    </w:p>
    <w:p>
      <w:pPr>
        <w:ind w:left="1000" w:hanging="996"/>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included in Exhibit)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6" w:lineRule="exact"/>
        <w:rPr>
          <w:rFonts w:ascii="Arial" w:cs="Arial" w:eastAsia="Arial" w:hAnsi="Arial"/>
          <w:sz w:val="16"/>
          <w:szCs w:val="16"/>
          <w:color w:val="auto"/>
        </w:rPr>
      </w:pPr>
    </w:p>
    <w:p>
      <w:pPr>
        <w:ind w:left="4820"/>
        <w:spacing w:after="0"/>
        <w:rPr>
          <w:rFonts w:ascii="Arial" w:cs="Arial" w:eastAsia="Arial" w:hAnsi="Arial"/>
          <w:sz w:val="16"/>
          <w:szCs w:val="16"/>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0"/>
        <w:spacing w:after="0"/>
        <w:tabs>
          <w:tab w:leader="none" w:pos="4960" w:val="left"/>
        </w:tabs>
        <w:rPr>
          <w:sz w:val="20"/>
          <w:szCs w:val="20"/>
          <w:color w:val="auto"/>
        </w:rPr>
      </w:pPr>
      <w:r>
        <w:rPr>
          <w:rFonts w:ascii="Arial" w:cs="Arial" w:eastAsia="Arial" w:hAnsi="Arial"/>
          <w:sz w:val="16"/>
          <w:szCs w:val="16"/>
          <w:color w:val="auto"/>
        </w:rPr>
        <w:t>November 15, 2021</w:t>
      </w:r>
      <w:r>
        <w:rPr>
          <w:sz w:val="20"/>
          <w:szCs w:val="20"/>
          <w:color w:val="auto"/>
        </w:rPr>
        <w:tab/>
      </w:r>
      <w:r>
        <w:rPr>
          <w:rFonts w:ascii="Arial" w:cs="Arial" w:eastAsia="Arial" w:hAnsi="Arial"/>
          <w:sz w:val="15"/>
          <w:szCs w:val="15"/>
          <w:color w:val="auto"/>
        </w:rPr>
        <w:t>ACURA PHARMACEUTICALS, INC.</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 Robert B. Jones</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-116205</wp:posOffset>
            </wp:positionV>
            <wp:extent cx="31419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1980" cy="7620"/>
                    </a:xfrm>
                    <a:prstGeom prst="rect">
                      <a:avLst/>
                    </a:prstGeom>
                    <a:noFill/>
                  </pic:spPr>
                </pic:pic>
              </a:graphicData>
            </a:graphic>
          </wp:anchor>
        </w:drawing>
      </w:r>
    </w:p>
    <w:p>
      <w:pPr>
        <w:spacing w:after="0" w:line="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Chief Executive Officer</w:t>
      </w:r>
    </w:p>
    <w:p>
      <w:pPr>
        <w:spacing w:after="0" w:line="19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 Peter A. Clemens</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-116205</wp:posOffset>
            </wp:positionV>
            <wp:extent cx="31419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1980" cy="7620"/>
                    </a:xfrm>
                    <a:prstGeom prst="rect">
                      <a:avLst/>
                    </a:prstGeom>
                    <a:noFill/>
                  </pic:spPr>
                </pic:pic>
              </a:graphicData>
            </a:graphic>
          </wp:anchor>
        </w:drawing>
      </w:r>
    </w:p>
    <w:p>
      <w:pPr>
        <w:spacing w:after="0" w:line="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Senior VP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PERIODIC REPORT PURSUANT TO RULES 13a-14 AND 15d-14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THE SECURITIES EXCHANGE ACT OF 1934</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Robert B. Jones, the President &amp; Chief Executive Officer of Acura Pharmaceuticals, Inc., certify that:</w:t>
      </w:r>
    </w:p>
    <w:p>
      <w:pPr>
        <w:spacing w:after="0" w:line="168" w:lineRule="exact"/>
        <w:rPr>
          <w:sz w:val="20"/>
          <w:szCs w:val="20"/>
          <w:color w:val="auto"/>
        </w:rPr>
      </w:pPr>
    </w:p>
    <w:p>
      <w:pPr>
        <w:ind w:left="580" w:hanging="290"/>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Acura Pharmaceuticals, Inc.;</w:t>
      </w:r>
    </w:p>
    <w:p>
      <w:pPr>
        <w:spacing w:after="0" w:line="167"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5"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5" w:lineRule="exact"/>
        <w:rPr>
          <w:rFonts w:ascii="Arial" w:cs="Arial" w:eastAsia="Arial" w:hAnsi="Arial"/>
          <w:sz w:val="16"/>
          <w:szCs w:val="16"/>
          <w:color w:val="auto"/>
        </w:rPr>
      </w:pPr>
    </w:p>
    <w:p>
      <w:pPr>
        <w:jc w:val="both"/>
        <w:ind w:left="580" w:hanging="290"/>
        <w:spacing w:after="0" w:line="298" w:lineRule="auto"/>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4"/>
          <w:szCs w:val="14"/>
          <w:color w:val="auto"/>
        </w:rPr>
      </w:pPr>
      <w:r>
        <w:rPr>
          <w:rFonts w:ascii="Arial" w:cs="Arial" w:eastAsia="Arial" w:hAnsi="Arial"/>
          <w:sz w:val="16"/>
          <w:szCs w:val="16"/>
          <w:color w:val="auto"/>
        </w:rPr>
        <w:t>15d – 15(f)) for the registrant and have:</w:t>
      </w:r>
    </w:p>
    <w:p>
      <w:pPr>
        <w:spacing w:after="0" w:line="155" w:lineRule="exact"/>
        <w:rPr>
          <w:rFonts w:ascii="Arial" w:cs="Arial" w:eastAsia="Arial" w:hAnsi="Arial"/>
          <w:sz w:val="14"/>
          <w:szCs w:val="14"/>
          <w:color w:val="auto"/>
        </w:rPr>
      </w:pPr>
    </w:p>
    <w:p>
      <w:pPr>
        <w:jc w:val="both"/>
        <w:ind w:left="600" w:hanging="19"/>
        <w:spacing w:after="0" w:line="267" w:lineRule="auto"/>
        <w:tabs>
          <w:tab w:leader="none" w:pos="8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25" w:lineRule="exact"/>
        <w:rPr>
          <w:rFonts w:ascii="Arial" w:cs="Arial" w:eastAsia="Arial" w:hAnsi="Arial"/>
          <w:sz w:val="16"/>
          <w:szCs w:val="16"/>
          <w:color w:val="auto"/>
        </w:rPr>
      </w:pPr>
    </w:p>
    <w:p>
      <w:pPr>
        <w:jc w:val="both"/>
        <w:ind w:left="600" w:hanging="19"/>
        <w:spacing w:after="0" w:line="267" w:lineRule="auto"/>
        <w:tabs>
          <w:tab w:leader="none" w:pos="8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37" w:lineRule="exact"/>
        <w:rPr>
          <w:rFonts w:ascii="Arial" w:cs="Arial" w:eastAsia="Arial" w:hAnsi="Arial"/>
          <w:sz w:val="16"/>
          <w:szCs w:val="16"/>
          <w:color w:val="auto"/>
        </w:rPr>
      </w:pPr>
    </w:p>
    <w:p>
      <w:pPr>
        <w:ind w:left="600" w:hanging="19"/>
        <w:spacing w:after="0" w:line="316" w:lineRule="auto"/>
        <w:tabs>
          <w:tab w:leader="none" w:pos="884"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5"/>
          <w:szCs w:val="15"/>
          <w:color w:val="auto"/>
        </w:rPr>
      </w:pPr>
    </w:p>
    <w:p>
      <w:pPr>
        <w:jc w:val="both"/>
        <w:ind w:left="600" w:hanging="19"/>
        <w:spacing w:after="0" w:line="267" w:lineRule="auto"/>
        <w:tabs>
          <w:tab w:leader="none" w:pos="8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5" w:lineRule="exact"/>
        <w:rPr>
          <w:rFonts w:ascii="Arial" w:cs="Arial" w:eastAsia="Arial" w:hAnsi="Arial"/>
          <w:sz w:val="16"/>
          <w:szCs w:val="16"/>
          <w:color w:val="auto"/>
        </w:rPr>
      </w:pPr>
    </w:p>
    <w:p>
      <w:pPr>
        <w:ind w:left="580" w:hanging="290"/>
        <w:spacing w:after="0" w:line="281"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4" w:lineRule="exact"/>
        <w:rPr>
          <w:rFonts w:ascii="Arial" w:cs="Arial" w:eastAsia="Arial" w:hAnsi="Arial"/>
          <w:sz w:val="16"/>
          <w:szCs w:val="16"/>
          <w:color w:val="auto"/>
        </w:rPr>
      </w:pPr>
    </w:p>
    <w:p>
      <w:pPr>
        <w:jc w:val="both"/>
        <w:ind w:left="880" w:hanging="299"/>
        <w:spacing w:after="0" w:line="267" w:lineRule="auto"/>
        <w:tabs>
          <w:tab w:leader="none" w:pos="8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5" w:lineRule="exact"/>
        <w:rPr>
          <w:rFonts w:ascii="Arial" w:cs="Arial" w:eastAsia="Arial" w:hAnsi="Arial"/>
          <w:sz w:val="16"/>
          <w:szCs w:val="16"/>
          <w:color w:val="auto"/>
        </w:rPr>
      </w:pPr>
    </w:p>
    <w:p>
      <w:pPr>
        <w:ind w:left="880" w:hanging="299"/>
        <w:spacing w:after="0" w:line="281" w:lineRule="auto"/>
        <w:tabs>
          <w:tab w:leader="none" w:pos="8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ind w:left="660"/>
              <w:spacing w:after="0"/>
              <w:rPr>
                <w:sz w:val="20"/>
                <w:szCs w:val="20"/>
                <w:color w:val="auto"/>
              </w:rPr>
            </w:pPr>
            <w:r>
              <w:rPr>
                <w:rFonts w:ascii="Arial" w:cs="Arial" w:eastAsia="Arial" w:hAnsi="Arial"/>
                <w:sz w:val="16"/>
                <w:szCs w:val="16"/>
                <w:color w:val="auto"/>
              </w:rPr>
              <w:t>November 15, 2021</w:t>
            </w: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B. Jones</w:t>
            </w:r>
          </w:p>
        </w:tc>
      </w:tr>
      <w:tr>
        <w:trPr>
          <w:trHeight w:val="174"/>
        </w:trPr>
        <w:tc>
          <w:tcPr>
            <w:tcW w:w="7300" w:type="dxa"/>
            <w:vAlign w:val="bottom"/>
          </w:tcPr>
          <w:p>
            <w:pPr>
              <w:spacing w:after="0"/>
              <w:rPr>
                <w:sz w:val="15"/>
                <w:szCs w:val="15"/>
                <w:color w:val="auto"/>
              </w:rPr>
            </w:pPr>
          </w:p>
        </w:tc>
        <w:tc>
          <w:tcPr>
            <w:tcW w:w="2620" w:type="dxa"/>
            <w:vAlign w:val="bottom"/>
          </w:tcPr>
          <w:p>
            <w:pPr>
              <w:ind w:left="20"/>
              <w:spacing w:after="0" w:line="174" w:lineRule="exact"/>
              <w:rPr>
                <w:sz w:val="20"/>
                <w:szCs w:val="20"/>
                <w:color w:val="auto"/>
              </w:rPr>
            </w:pPr>
            <w:r>
              <w:rPr>
                <w:rFonts w:ascii="Arial" w:cs="Arial" w:eastAsia="Arial" w:hAnsi="Arial"/>
                <w:sz w:val="16"/>
                <w:szCs w:val="16"/>
                <w:color w:val="auto"/>
              </w:rPr>
              <w:t>Robert B. Jones</w:t>
            </w:r>
          </w:p>
        </w:tc>
      </w:tr>
      <w:tr>
        <w:trPr>
          <w:trHeight w:val="206"/>
        </w:trPr>
        <w:tc>
          <w:tcPr>
            <w:tcW w:w="730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President &amp; Chief Executive Officer</w:t>
            </w:r>
          </w:p>
        </w:tc>
      </w:tr>
      <w:tr>
        <w:trPr>
          <w:trHeight w:val="696"/>
        </w:trPr>
        <w:tc>
          <w:tcPr>
            <w:tcW w:w="7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PERIODIC REPORT PURSUANT TO RULES 13a-14 AND 15d-14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THE SECURITIES EXCHANGE ACT OF 1934</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 Peter A. Clemens, the Chief Financial Officer of Acura Pharmaceuticals, Inc., certify that:</w:t>
      </w:r>
    </w:p>
    <w:p>
      <w:pPr>
        <w:spacing w:after="0" w:line="168" w:lineRule="exact"/>
        <w:rPr>
          <w:sz w:val="20"/>
          <w:szCs w:val="20"/>
          <w:color w:val="auto"/>
        </w:rPr>
      </w:pPr>
    </w:p>
    <w:p>
      <w:pPr>
        <w:ind w:left="580" w:hanging="29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Acura Pharmaceuticals, Inc.;</w:t>
      </w:r>
    </w:p>
    <w:p>
      <w:pPr>
        <w:spacing w:after="0" w:line="167"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5"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5" w:lineRule="exact"/>
        <w:rPr>
          <w:rFonts w:ascii="Arial" w:cs="Arial" w:eastAsia="Arial" w:hAnsi="Arial"/>
          <w:sz w:val="16"/>
          <w:szCs w:val="16"/>
          <w:color w:val="auto"/>
        </w:rPr>
      </w:pPr>
    </w:p>
    <w:p>
      <w:pPr>
        <w:jc w:val="both"/>
        <w:ind w:left="580" w:hanging="290"/>
        <w:spacing w:after="0" w:line="298"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4"/>
          <w:szCs w:val="14"/>
          <w:color w:val="auto"/>
        </w:rPr>
      </w:pPr>
      <w:r>
        <w:rPr>
          <w:rFonts w:ascii="Arial" w:cs="Arial" w:eastAsia="Arial" w:hAnsi="Arial"/>
          <w:sz w:val="16"/>
          <w:szCs w:val="16"/>
          <w:color w:val="auto"/>
        </w:rPr>
        <w:t>15d-(f)) for the registrant and have:</w:t>
      </w:r>
    </w:p>
    <w:p>
      <w:pPr>
        <w:spacing w:after="0" w:line="155" w:lineRule="exact"/>
        <w:rPr>
          <w:rFonts w:ascii="Arial" w:cs="Arial" w:eastAsia="Arial" w:hAnsi="Arial"/>
          <w:sz w:val="14"/>
          <w:szCs w:val="14"/>
          <w:color w:val="auto"/>
        </w:rPr>
      </w:pPr>
    </w:p>
    <w:p>
      <w:pPr>
        <w:jc w:val="both"/>
        <w:ind w:left="580" w:firstLine="1"/>
        <w:spacing w:after="0" w:line="267"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25" w:lineRule="exact"/>
        <w:rPr>
          <w:rFonts w:ascii="Arial" w:cs="Arial" w:eastAsia="Arial" w:hAnsi="Arial"/>
          <w:sz w:val="16"/>
          <w:szCs w:val="16"/>
          <w:color w:val="auto"/>
        </w:rPr>
      </w:pPr>
    </w:p>
    <w:p>
      <w:pPr>
        <w:jc w:val="both"/>
        <w:ind w:left="580" w:firstLine="1"/>
        <w:spacing w:after="0" w:line="267"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580" w:firstLine="1"/>
        <w:spacing w:after="0" w:line="316" w:lineRule="auto"/>
        <w:tabs>
          <w:tab w:leader="none" w:pos="878"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5"/>
          <w:szCs w:val="15"/>
          <w:color w:val="auto"/>
        </w:rPr>
      </w:pPr>
    </w:p>
    <w:p>
      <w:pPr>
        <w:jc w:val="both"/>
        <w:ind w:left="580" w:firstLine="1"/>
        <w:spacing w:after="0" w:line="267"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5" w:lineRule="exact"/>
        <w:rPr>
          <w:rFonts w:ascii="Arial" w:cs="Arial" w:eastAsia="Arial" w:hAnsi="Arial"/>
          <w:sz w:val="16"/>
          <w:szCs w:val="16"/>
          <w:color w:val="auto"/>
        </w:rPr>
      </w:pPr>
    </w:p>
    <w:p>
      <w:pPr>
        <w:ind w:left="580" w:hanging="290"/>
        <w:spacing w:after="0" w:line="281"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4" w:lineRule="exact"/>
        <w:rPr>
          <w:rFonts w:ascii="Arial" w:cs="Arial" w:eastAsia="Arial" w:hAnsi="Arial"/>
          <w:sz w:val="16"/>
          <w:szCs w:val="16"/>
          <w:color w:val="auto"/>
        </w:rPr>
      </w:pPr>
    </w:p>
    <w:p>
      <w:pPr>
        <w:jc w:val="both"/>
        <w:ind w:left="880" w:hanging="299"/>
        <w:spacing w:after="0" w:line="267" w:lineRule="auto"/>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5" w:lineRule="exact"/>
        <w:rPr>
          <w:rFonts w:ascii="Arial" w:cs="Arial" w:eastAsia="Arial" w:hAnsi="Arial"/>
          <w:sz w:val="16"/>
          <w:szCs w:val="16"/>
          <w:color w:val="auto"/>
        </w:rPr>
      </w:pPr>
    </w:p>
    <w:p>
      <w:pPr>
        <w:ind w:left="880" w:hanging="299"/>
        <w:spacing w:after="0" w:line="281" w:lineRule="auto"/>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tcPr>
          <w:p>
            <w:pPr>
              <w:ind w:left="680"/>
              <w:spacing w:after="0"/>
              <w:rPr>
                <w:sz w:val="20"/>
                <w:szCs w:val="20"/>
                <w:color w:val="auto"/>
              </w:rPr>
            </w:pPr>
            <w:r>
              <w:rPr>
                <w:rFonts w:ascii="Arial" w:cs="Arial" w:eastAsia="Arial" w:hAnsi="Arial"/>
                <w:sz w:val="16"/>
                <w:szCs w:val="16"/>
                <w:color w:val="auto"/>
              </w:rPr>
              <w:t>November 15, 2021</w:t>
            </w:r>
          </w:p>
        </w:tc>
        <w:tc>
          <w:tcPr>
            <w:tcW w:w="3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A. Clemens</w:t>
            </w:r>
          </w:p>
        </w:tc>
      </w:tr>
      <w:tr>
        <w:trPr>
          <w:trHeight w:val="174"/>
        </w:trPr>
        <w:tc>
          <w:tcPr>
            <w:tcW w:w="6220" w:type="dxa"/>
            <w:vAlign w:val="bottom"/>
          </w:tcPr>
          <w:p>
            <w:pPr>
              <w:spacing w:after="0"/>
              <w:rPr>
                <w:sz w:val="15"/>
                <w:szCs w:val="15"/>
                <w:color w:val="auto"/>
              </w:rPr>
            </w:pPr>
          </w:p>
        </w:tc>
        <w:tc>
          <w:tcPr>
            <w:tcW w:w="3700" w:type="dxa"/>
            <w:vAlign w:val="bottom"/>
          </w:tcPr>
          <w:p>
            <w:pPr>
              <w:spacing w:after="0" w:line="174" w:lineRule="exact"/>
              <w:rPr>
                <w:sz w:val="20"/>
                <w:szCs w:val="20"/>
                <w:color w:val="auto"/>
              </w:rPr>
            </w:pPr>
            <w:r>
              <w:rPr>
                <w:rFonts w:ascii="Arial" w:cs="Arial" w:eastAsia="Arial" w:hAnsi="Arial"/>
                <w:sz w:val="16"/>
                <w:szCs w:val="16"/>
                <w:color w:val="auto"/>
              </w:rPr>
              <w:t>Peter A. Clemens</w:t>
            </w:r>
          </w:p>
        </w:tc>
      </w:tr>
      <w:tr>
        <w:trPr>
          <w:trHeight w:val="206"/>
        </w:trPr>
        <w:tc>
          <w:tcPr>
            <w:tcW w:w="62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890"/>
        </w:trPr>
        <w:tc>
          <w:tcPr>
            <w:tcW w:w="6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172" w:lineRule="exact"/>
        <w:rPr>
          <w:sz w:val="20"/>
          <w:szCs w:val="20"/>
          <w:color w:val="auto"/>
        </w:rPr>
      </w:pPr>
    </w:p>
    <w:p>
      <w:pPr>
        <w:jc w:val="center"/>
        <w:ind w:right="220"/>
        <w:spacing w:after="0" w:line="267" w:lineRule="auto"/>
        <w:rPr>
          <w:sz w:val="20"/>
          <w:szCs w:val="20"/>
          <w:color w:val="auto"/>
        </w:rPr>
      </w:pPr>
      <w:r>
        <w:rPr>
          <w:rFonts w:ascii="Arial" w:cs="Arial" w:eastAsia="Arial" w:hAnsi="Arial"/>
          <w:sz w:val="16"/>
          <w:szCs w:val="16"/>
          <w:color w:val="auto"/>
        </w:rPr>
        <w:t>CERTIFICATIONS OF THE CHIEF EXEUTIVE OFFICER AND THE CHIEF FINANCIAL OFFICER PURSUANT TO 18 U.S.C. SECTION 1350, AS ADOPTED PURSUANT TO SECTION 906 OF THE SARBANES-OXLEY ACT OF 2002</w:t>
      </w:r>
    </w:p>
    <w:p>
      <w:pPr>
        <w:spacing w:after="0" w:line="162" w:lineRule="exact"/>
        <w:rPr>
          <w:sz w:val="20"/>
          <w:szCs w:val="20"/>
          <w:color w:val="auto"/>
        </w:rPr>
      </w:pPr>
    </w:p>
    <w:p>
      <w:pPr>
        <w:jc w:val="both"/>
        <w:ind w:left="20"/>
        <w:spacing w:after="0" w:line="26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September 30, 2021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3" w:lineRule="exact"/>
        <w:rPr>
          <w:sz w:val="20"/>
          <w:szCs w:val="20"/>
          <w:color w:val="auto"/>
        </w:rPr>
      </w:pPr>
    </w:p>
    <w:p>
      <w:pPr>
        <w:ind w:left="260" w:hanging="251"/>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60" w:hanging="251"/>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November 15, 2021</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 Robert B. Jones</w:t>
      </w:r>
    </w:p>
    <w:p>
      <w:pPr>
        <w:spacing w:after="0" w:line="10"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-116205</wp:posOffset>
            </wp:positionV>
            <wp:extent cx="23641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4105" cy="7620"/>
                    </a:xfrm>
                    <a:prstGeom prst="rect">
                      <a:avLst/>
                    </a:prstGeom>
                    <a:noFill/>
                  </pic:spPr>
                </pic:pic>
              </a:graphicData>
            </a:graphic>
          </wp:anchor>
        </w:drawing>
      </w:r>
    </w:p>
    <w:p>
      <w:pPr>
        <w:spacing w:after="0" w:line="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Chief Executive Officer</w:t>
      </w:r>
    </w:p>
    <w:p>
      <w:pPr>
        <w:spacing w:after="0" w:line="19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 Peter A. Clemens</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-116205</wp:posOffset>
            </wp:positionV>
            <wp:extent cx="23641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4105" cy="7620"/>
                    </a:xfrm>
                    <a:prstGeom prst="rect">
                      <a:avLst/>
                    </a:prstGeom>
                    <a:noFill/>
                  </pic:spPr>
                </pic:pic>
              </a:graphicData>
            </a:graphic>
          </wp:anchor>
        </w:drawing>
      </w:r>
    </w:p>
    <w:p>
      <w:pPr>
        <w:spacing w:after="0" w:line="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438150</wp:posOffset>
            </wp:positionV>
            <wp:extent cx="629920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9200" cy="15240"/>
                    </a:xfrm>
                    <a:prstGeom prst="rect">
                      <a:avLst/>
                    </a:prstGeom>
                    <a:noFill/>
                  </pic:spPr>
                </pic:pic>
              </a:graphicData>
            </a:graphic>
          </wp:anchor>
        </w:drawing>
      </w:r>
    </w:p>
    <w:sectPr>
      <w:pgSz w:w="11900" w:h="16838" w:orient="portrait"/>
      <w:cols w:equalWidth="0" w:num="1">
        <w:col w:w="9700"/>
      </w:cols>
      <w:pgMar w:left="120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bullet"/>
      <w:start w:val="1"/>
    </w:lvl>
  </w:abstractNum>
  <w:abstractNum w:abstractNumId="12">
    <w:nsid w:val="41A7C4C9"/>
    <w:multiLevelType w:val="hybridMultilevel"/>
    <w:lvl w:ilvl="0">
      <w:lvlJc w:val="left"/>
      <w:lvlText w:val="1"/>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2021-11-15T16:09:33Z</dcterms:created>
  <dcterms:modified xsi:type="dcterms:W3CDTF">2021-11-15T16:09:33Z</dcterms:modified>
</cp:coreProperties>
</file>