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ACURA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1-10113</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11-0853640</w:t>
      </w:r>
    </w:p>
    <w:p>
      <w:pPr>
        <w:spacing w:after="0" w:line="3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3920" w:space="720"/>
            <w:col w:w="3200" w:space="720"/>
            <w:col w:w="2680"/>
          </w:cols>
          <w:pgMar w:left="320" w:top="718"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Palatine, Illinois 60067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705-7709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ACUR</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OTC Market – OTC Expert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(17CFR240.14d-2(b))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each of July 3, 2025 and July 18, 2025, we received loans of $100,000 from Abuse Deterrent Pharma, LLC (“AD Pharma”). These loans combined with previous loans made to the Company and combined with the $2,319,279 under the November 10, 2022 Amended Consolidated and Restated Secured Promissory Note, now has a principal balance of $8,394,279 with accrued interest of approximately $740,000 as of July 21 2025,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funding provided by AD Pharma will be used to meet day-to-day operation activity. There can be no assurance we will be successful in receiving additional financing. In the absence of the receipt of additional financing by early-August 2025, we will be required to scale back our operations, including the furlough and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Note under Item 1.01 of this Current Report on Form 8-K shall not be deemed an acknowledgement that the Note is a material agreement not made, or deemed not to be made, in the ordinary course of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AD Pharma directly owns approximately 65% of the outstanding common stock of the Company. The ownership percentage of the Company held by AD Pharma does not include their warrant to purchase 10.0 million shares of common stock of the Company. AD Pharma is an entity controlled by Mr. Schutte, of which Mr. Schutte is the managing partner and investor. At June 30, 2025, Mr. Schutte directly owns approximately 13% of the outstanding common stock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include, but are not limited to:</w:t>
      </w:r>
    </w:p>
    <w:p>
      <w:pPr>
        <w:spacing w:after="0" w:line="233" w:lineRule="exact"/>
        <w:rPr>
          <w:sz w:val="20"/>
          <w:szCs w:val="20"/>
          <w:color w:val="auto"/>
        </w:rPr>
      </w:pPr>
    </w:p>
    <w:p>
      <w:pPr>
        <w:ind w:left="660" w:hanging="204"/>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the FDA will agree with or accept the results of our studies for our product candidates;</w:t>
      </w:r>
    </w:p>
    <w:p>
      <w:pPr>
        <w:spacing w:after="0" w:line="1" w:lineRule="exact"/>
        <w:rPr>
          <w:rFonts w:ascii="Times New Roman" w:cs="Times New Roman" w:eastAsia="Times New Roman" w:hAnsi="Times New Roman"/>
          <w:sz w:val="22"/>
          <w:szCs w:val="22"/>
          <w:color w:val="auto"/>
        </w:rPr>
      </w:pPr>
    </w:p>
    <w:p>
      <w:pPr>
        <w:jc w:val="both"/>
        <w:ind w:left="660" w:hanging="204"/>
        <w:spacing w:after="0" w:line="236"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2" w:lineRule="exact"/>
        <w:rPr>
          <w:rFonts w:ascii="Times New Roman" w:cs="Times New Roman" w:eastAsia="Times New Roman" w:hAnsi="Times New Roman"/>
          <w:sz w:val="22"/>
          <w:szCs w:val="22"/>
          <w:color w:val="auto"/>
        </w:rPr>
      </w:pPr>
    </w:p>
    <w:p>
      <w:pPr>
        <w:ind w:left="660" w:hanging="204"/>
        <w:spacing w:after="0" w:line="225"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we can successfully submit a New Drug Application for LTX-03, request a priority review and whether such filings and requests will be accepted by the FDA;</w:t>
      </w:r>
    </w:p>
    <w:p>
      <w:pPr>
        <w:ind w:left="660" w:hanging="204"/>
        <w:spacing w:after="0" w:line="225"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obtain funding from Abuse Deterrent Pharma, LLC or other parties for our continuing operations, including the development of our products utilizing our LIMITx™ and Impede® technologies;</w:t>
      </w:r>
    </w:p>
    <w:p>
      <w:pPr>
        <w:ind w:left="660" w:hanging="204"/>
        <w:spacing w:after="0" w:line="225"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we can renegotiate the date by which we are required to obtain FDA acceptance, currently December 31, 2025, for an NDA for LTX-03 by our agreement with Abuse Deterrent Pharma, LLC on which we depend to finance operations;</w:t>
      </w:r>
    </w:p>
    <w:p>
      <w:pPr>
        <w:ind w:left="660" w:hanging="204"/>
        <w:spacing w:after="0" w:line="225"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we can renegotiate the date by which we are required to pay off the secured promissory note and accrued interest to Abuse Deterrent Pharma, LLC, currently December 31, 2025;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660" w:hanging="204"/>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our licensing partners will develop any additional products and utilize Acura for such development;</w:t>
      </w:r>
    </w:p>
    <w:p>
      <w:pPr>
        <w:spacing w:after="0" w:line="1" w:lineRule="exact"/>
        <w:rPr>
          <w:rFonts w:ascii="Times New Roman" w:cs="Times New Roman" w:eastAsia="Times New Roman" w:hAnsi="Times New Roman"/>
          <w:sz w:val="22"/>
          <w:szCs w:val="22"/>
          <w:color w:val="auto"/>
        </w:rPr>
      </w:pPr>
    </w:p>
    <w:p>
      <w:pPr>
        <w:jc w:val="both"/>
        <w:ind w:left="660" w:hanging="204"/>
        <w:spacing w:after="0" w:line="232"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Times New Roman" w:cs="Times New Roman" w:eastAsia="Times New Roman" w:hAnsi="Times New Roman"/>
          <w:sz w:val="22"/>
          <w:szCs w:val="22"/>
          <w:color w:val="auto"/>
        </w:rPr>
      </w:pPr>
    </w:p>
    <w:p>
      <w:pPr>
        <w:jc w:val="both"/>
        <w:ind w:left="660" w:hanging="204"/>
        <w:spacing w:after="0" w:line="233"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ind w:left="660" w:hanging="204"/>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LIMITx will retard the release of opioid active ingredients as dose levels increase;</w:t>
      </w:r>
    </w:p>
    <w:p>
      <w:pPr>
        <w:spacing w:after="0" w:line="2" w:lineRule="exact"/>
        <w:rPr>
          <w:rFonts w:ascii="Times New Roman" w:cs="Times New Roman" w:eastAsia="Times New Roman" w:hAnsi="Times New Roman"/>
          <w:sz w:val="22"/>
          <w:szCs w:val="22"/>
          <w:color w:val="auto"/>
        </w:rPr>
      </w:pPr>
    </w:p>
    <w:p>
      <w:pPr>
        <w:ind w:left="660" w:hanging="204"/>
        <w:spacing w:after="0" w:line="224"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the extent to which products formulated with the LIMITx Technology reduce respiratory depression will be determined sufficient by the FDA to support approval or labelling describing safety features;</w:t>
      </w:r>
    </w:p>
    <w:p>
      <w:pPr>
        <w:spacing w:after="0" w:line="1" w:lineRule="exact"/>
        <w:rPr>
          <w:rFonts w:ascii="Times New Roman" w:cs="Times New Roman" w:eastAsia="Times New Roman" w:hAnsi="Times New Roman"/>
          <w:sz w:val="22"/>
          <w:szCs w:val="22"/>
          <w:color w:val="auto"/>
        </w:rPr>
      </w:pPr>
    </w:p>
    <w:p>
      <w:pPr>
        <w:ind w:left="660" w:hanging="204"/>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and our licensee’s ability to successfully launch and commercialize our products and technologies;</w:t>
      </w:r>
    </w:p>
    <w:p>
      <w:pPr>
        <w:spacing w:after="0" w:line="2" w:lineRule="exact"/>
        <w:rPr>
          <w:rFonts w:ascii="Times New Roman" w:cs="Times New Roman" w:eastAsia="Times New Roman" w:hAnsi="Times New Roman"/>
          <w:sz w:val="22"/>
          <w:szCs w:val="22"/>
          <w:color w:val="auto"/>
        </w:rPr>
      </w:pPr>
    </w:p>
    <w:p>
      <w:pPr>
        <w:ind w:left="660" w:right="20" w:hanging="204"/>
        <w:spacing w:after="0" w:line="224"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results and timing of our development of our LIMITx Technology, including, but not limited to, the submission of a NDA and/or FDA filing acceptance;</w:t>
      </w:r>
    </w:p>
    <w:p>
      <w:pPr>
        <w:spacing w:after="0" w:line="1" w:lineRule="exact"/>
        <w:rPr>
          <w:rFonts w:ascii="Times New Roman" w:cs="Times New Roman" w:eastAsia="Times New Roman" w:hAnsi="Times New Roman"/>
          <w:sz w:val="22"/>
          <w:szCs w:val="22"/>
          <w:color w:val="auto"/>
        </w:rPr>
      </w:pPr>
    </w:p>
    <w:p>
      <w:pPr>
        <w:ind w:left="660" w:hanging="204"/>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or our licensees’ ability to obtain necessary regulatory approvals and commercialize products utilizing our technologies;</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market acceptance of, timing of commercial launch and competitive environment for any of our products;</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expectations regarding potential market share for our products;</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exposure to product liability and other lawsuits in connection with the commercialization of our products;</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increasing cost of insurance and the availability of product liability insurance coverage;</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1" w:lineRule="exact"/>
        <w:rPr>
          <w:rFonts w:ascii="Times New Roman" w:cs="Times New Roman" w:eastAsia="Times New Roman" w:hAnsi="Times New Roman"/>
          <w:sz w:val="22"/>
          <w:szCs w:val="22"/>
          <w:color w:val="auto"/>
        </w:rPr>
      </w:pPr>
    </w:p>
    <w:p>
      <w:pPr>
        <w:ind w:left="660" w:hanging="204"/>
        <w:spacing w:after="0" w:line="224"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spacing w:after="0" w:line="1" w:lineRule="exact"/>
        <w:rPr>
          <w:rFonts w:ascii="Times New Roman" w:cs="Times New Roman" w:eastAsia="Times New Roman" w:hAnsi="Times New Roman"/>
          <w:sz w:val="22"/>
          <w:szCs w:val="22"/>
          <w:color w:val="auto"/>
        </w:rPr>
      </w:pPr>
    </w:p>
    <w:p>
      <w:pPr>
        <w:ind w:left="660" w:hanging="204"/>
        <w:spacing w:after="0" w:line="225"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FDA approval of our product candidates;</w:t>
      </w:r>
    </w:p>
    <w:p>
      <w:pPr>
        <w:ind w:left="660" w:hanging="204"/>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regulatory requirements;</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the FDA will agree with our analysis of our clinical and laboratory studies;</w:t>
      </w:r>
    </w:p>
    <w:p>
      <w:pPr>
        <w:spacing w:after="0" w:line="1" w:lineRule="exact"/>
        <w:rPr>
          <w:rFonts w:ascii="Times New Roman" w:cs="Times New Roman" w:eastAsia="Times New Roman" w:hAnsi="Times New Roman"/>
          <w:sz w:val="22"/>
          <w:szCs w:val="22"/>
          <w:color w:val="auto"/>
        </w:rPr>
      </w:pPr>
    </w:p>
    <w:p>
      <w:pPr>
        <w:ind w:left="660" w:hanging="204"/>
        <w:spacing w:after="0" w:line="224"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whether we will be able to promote the features of our technologies; and</w:t>
      </w:r>
    </w:p>
    <w:p>
      <w:pPr>
        <w:spacing w:after="0" w:line="1" w:lineRule="exact"/>
        <w:rPr>
          <w:rFonts w:ascii="Times New Roman" w:cs="Times New Roman" w:eastAsia="Times New Roman" w:hAnsi="Times New Roman"/>
          <w:sz w:val="22"/>
          <w:szCs w:val="22"/>
          <w:color w:val="auto"/>
        </w:rPr>
      </w:pPr>
    </w:p>
    <w:p>
      <w:pPr>
        <w:ind w:left="660" w:hanging="204"/>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our product candidates will ultimately perform as intended in commercial settings.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“aim”, "anticipate", "believe", "could", "design", "estimate", "expect", "forecast", "goal", "guidance", "imply", “indicate”, "intend", "may", "objective", "opportunity", "outlook", "plan", "position", "potential", "predict", "project", "prospective", "pursue", "seek", "should", "strategy", "target", "would", "will", and other words of similar meaning, expressions, derivations of such words and the use of future dates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60" w:type="dxa"/>
            <w:vAlign w:val="bottom"/>
          </w:tcPr>
          <w:p>
            <w:pPr>
              <w:spacing w:after="0"/>
              <w:rPr>
                <w:sz w:val="17"/>
                <w:szCs w:val="17"/>
                <w:color w:val="auto"/>
              </w:rPr>
            </w:pPr>
          </w:p>
        </w:tc>
        <w:tc>
          <w:tcPr>
            <w:tcW w:w="9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Amended Loan Schedule dated June 20, 2025 to the November 10, 2022 Amended, Consolidated and Restated Secured</w:t>
            </w:r>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Promissory Note with Abuse Deterrent Pharma, LLC</w:t>
            </w:r>
          </w:p>
        </w:tc>
        <w:tc>
          <w:tcPr>
            <w:tcW w:w="5480" w:type="dxa"/>
            <w:vAlign w:val="bottom"/>
            <w:tcBorders>
              <w:top w:val="single" w:sz="8" w:color="0000EE"/>
            </w:tcBorders>
          </w:tcPr>
          <w:p>
            <w:pPr>
              <w:spacing w:after="0"/>
              <w:rPr>
                <w:sz w:val="17"/>
                <w:szCs w:val="17"/>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ind w:left="3640"/>
              <w:spacing w:after="0"/>
              <w:rPr>
                <w:sz w:val="20"/>
                <w:szCs w:val="20"/>
                <w:color w:val="auto"/>
              </w:rPr>
            </w:pPr>
            <w:r>
              <w:rPr>
                <w:rFonts w:ascii="Times New Roman" w:cs="Times New Roman" w:eastAsia="Times New Roman" w:hAnsi="Times New Roman"/>
                <w:sz w:val="18"/>
                <w:szCs w:val="18"/>
                <w:color w:val="auto"/>
              </w:rPr>
              <w:t>3</w:t>
            </w: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A. Seiser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21, 2025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Loan Schedule to Secured Promissory Note dated November 10,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Acura Pharmaceuticals, Inc. and Abuse Deterrent Pharma, LLC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Aggregated</w:t>
            </w:r>
          </w:p>
        </w:tc>
      </w:tr>
      <w:tr>
        <w:trPr>
          <w:trHeight w:val="234"/>
        </w:trPr>
        <w:tc>
          <w:tcPr>
            <w:tcW w:w="698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Principal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 Secured Promissory Note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11/10/2022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Loans to be included:</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Loans #1 dated 12/22/2022 through Loan #26 dated 12/12/2024</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#27</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7,069,279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#28</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7,169,279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#29</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#30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#31</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#32</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#33</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#34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#35</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#36</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#37</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#38</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#39</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#40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8,394,279</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tc>
        <w:tc>
          <w:tcPr>
            <w:tcW w:w="5620" w:type="dxa"/>
            <w:vAlign w:val="bottom"/>
          </w:tcPr>
          <w:p>
            <w:pPr>
              <w:spacing w:after="0"/>
              <w:rPr>
                <w:sz w:val="20"/>
                <w:szCs w:val="20"/>
                <w:color w:val="auto"/>
              </w:rPr>
            </w:pPr>
          </w:p>
        </w:tc>
      </w:tr>
      <w:tr>
        <w:trPr>
          <w:trHeight w:val="45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Robert A. Seiser</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34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178"/>
        </w:trPr>
        <w:tc>
          <w:tcPr>
            <w:tcW w:w="56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Robert A. Seiser</w:t>
            </w:r>
          </w:p>
        </w:tc>
        <w:tc>
          <w:tcPr>
            <w:tcW w:w="5620" w:type="dxa"/>
            <w:vAlign w:val="bottom"/>
          </w:tcPr>
          <w:p>
            <w:pPr>
              <w:spacing w:after="0"/>
              <w:rPr>
                <w:sz w:val="15"/>
                <w:szCs w:val="15"/>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&amp; CFO</w:t>
            </w:r>
          </w:p>
        </w:tc>
        <w:tc>
          <w:tcPr>
            <w:tcW w:w="562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July 21, 2025</w:t>
            </w:r>
          </w:p>
        </w:tc>
        <w:tc>
          <w:tcPr>
            <w:tcW w:w="5620" w:type="dxa"/>
            <w:vAlign w:val="bottom"/>
          </w:tcPr>
          <w:p>
            <w:pPr>
              <w:spacing w:after="0"/>
              <w:rPr>
                <w:sz w:val="20"/>
                <w:szCs w:val="20"/>
                <w:color w:val="auto"/>
              </w:rPr>
            </w:pPr>
          </w:p>
        </w:tc>
      </w:tr>
      <w:tr>
        <w:trPr>
          <w:trHeight w:val="675"/>
        </w:trPr>
        <w:tc>
          <w:tcPr>
            <w:tcW w:w="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2025-07-21T12:26:47Z</dcterms:created>
  <dcterms:modified xsi:type="dcterms:W3CDTF">2025-07-21T12:26:47Z</dcterms:modified>
</cp:coreProperties>
</file>