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 w:lineRule="exact"/>
        <w:rPr>
          <w:sz w:val="24"/>
          <w:szCs w:val="24"/>
          <w:color w:val="auto"/>
        </w:rPr>
      </w:pPr>
    </w:p>
    <w:p>
      <w:pPr>
        <w:ind w:left="660" w:right="1560" w:hanging="652"/>
        <w:spacing w:after="0" w:line="48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TRANSACTION REPORT PURSUANT TO SECTION 13 OR 15(D) OF THE SECURITIES EXCHANGE ACT OF 1934</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______________________ to_______________________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43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40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11-0853640</w:t>
            </w:r>
          </w:p>
        </w:tc>
      </w:tr>
      <w:tr>
        <w:trPr>
          <w:trHeight w:val="216"/>
        </w:trPr>
        <w:tc>
          <w:tcPr>
            <w:tcW w:w="4380" w:type="dxa"/>
            <w:vAlign w:val="bottom"/>
          </w:tcPr>
          <w:p>
            <w:pPr>
              <w:jc w:val="center"/>
              <w:ind w:right="139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4060" w:type="dxa"/>
            <w:vAlign w:val="bottom"/>
          </w:tcPr>
          <w:p>
            <w:pPr>
              <w:jc w:val="center"/>
              <w:ind w:left="139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4380" w:type="dxa"/>
            <w:vAlign w:val="bottom"/>
          </w:tcPr>
          <w:p>
            <w:pPr>
              <w:jc w:val="center"/>
              <w:ind w:right="139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060" w:type="dxa"/>
            <w:vAlign w:val="bottom"/>
          </w:tcPr>
          <w:p>
            <w:pPr>
              <w:spacing w:after="0"/>
              <w:rPr>
                <w:sz w:val="20"/>
                <w:szCs w:val="20"/>
                <w:color w:val="auto"/>
              </w:rPr>
            </w:pPr>
          </w:p>
        </w:tc>
      </w:tr>
      <w:tr>
        <w:trPr>
          <w:trHeight w:val="410"/>
        </w:trPr>
        <w:tc>
          <w:tcPr>
            <w:tcW w:w="438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tc>
        <w:tc>
          <w:tcPr>
            <w:tcW w:w="4060" w:type="dxa"/>
            <w:vAlign w:val="bottom"/>
          </w:tcPr>
          <w:p>
            <w:pPr>
              <w:spacing w:after="0"/>
              <w:rPr>
                <w:sz w:val="24"/>
                <w:szCs w:val="24"/>
                <w:color w:val="auto"/>
              </w:rPr>
            </w:pPr>
          </w:p>
        </w:tc>
      </w:tr>
      <w:tr>
        <w:trPr>
          <w:trHeight w:val="218"/>
        </w:trPr>
        <w:tc>
          <w:tcPr>
            <w:tcW w:w="43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Palatine, Illinois</w:t>
            </w:r>
          </w:p>
        </w:tc>
        <w:tc>
          <w:tcPr>
            <w:tcW w:w="40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60067</w:t>
            </w:r>
          </w:p>
        </w:tc>
      </w:tr>
      <w:tr>
        <w:trPr>
          <w:trHeight w:val="236"/>
        </w:trPr>
        <w:tc>
          <w:tcPr>
            <w:tcW w:w="4380" w:type="dxa"/>
            <w:vAlign w:val="bottom"/>
          </w:tcPr>
          <w:p>
            <w:pPr>
              <w:jc w:val="center"/>
              <w:ind w:right="13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060" w:type="dxa"/>
            <w:vAlign w:val="bottom"/>
          </w:tcPr>
          <w:p>
            <w:pPr>
              <w:jc w:val="center"/>
              <w:ind w:left="139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847 705 7709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27" w:lineRule="exact"/>
        <w:rPr>
          <w:sz w:val="24"/>
          <w:szCs w:val="24"/>
          <w:color w:val="auto"/>
        </w:rPr>
      </w:pPr>
    </w:p>
    <w:p>
      <w:pPr>
        <w:jc w:val="both"/>
        <w:ind w:firstLine="13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spacing w:after="0" w:line="2"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Yes þ No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468" w:right="239" w:bottom="1440" w:gutter="0" w:footer="0" w:header="0"/>
        </w:sectPr>
      </w:pPr>
    </w:p>
    <w:p>
      <w:pPr>
        <w:spacing w:after="0" w:line="133"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þ</w:t>
      </w:r>
    </w:p>
    <w:p>
      <w:pPr>
        <w:spacing w:after="0" w:line="188" w:lineRule="exact"/>
        <w:rPr>
          <w:sz w:val="24"/>
          <w:szCs w:val="24"/>
          <w:color w:val="auto"/>
        </w:rPr>
      </w:pPr>
    </w:p>
    <w:p>
      <w:pPr>
        <w:sectPr>
          <w:pgSz w:w="11900" w:h="16838" w:orient="portrait"/>
          <w:cols w:equalWidth="0" w:num="2">
            <w:col w:w="5000" w:space="720"/>
            <w:col w:w="5700"/>
          </w:cols>
          <w:pgMar w:left="240" w:top="468" w:right="239" w:bottom="1440" w:gutter="0" w:footer="0" w:header="0"/>
          <w:type w:val="continuous"/>
        </w:sectPr>
      </w:pPr>
    </w:p>
    <w:p>
      <w:pPr>
        <w:ind w:left="1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þ</w:t>
      </w:r>
    </w:p>
    <w:p>
      <w:pPr>
        <w:spacing w:after="0" w:line="26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July 30, 2015 the registrant had 59,006,817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JUNE 30,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Financial Statements:</w:t>
              </w:r>
            </w:hyperlink>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June 30, 2015 and December 31, 2014 (unaudited)</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and Comprehensive Income (Loss) for the Three and Six months Ended June 30,</w:t>
              </w:r>
            </w:hyperlink>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2015 and June 30, 2014 (unaudited)</w:t>
              </w:r>
            </w:hyperlink>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 of Stockholders’ Equity for the Six months Ended June 30, 2015 (unaudited)</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Six months Ended June 30, 2015 and June 30, 2014 (unaudited)</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Consolidated Financial Statements (unaudited)</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Controls and Procedures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40" w:type="dxa"/>
            <w:vAlign w:val="bottom"/>
            <w:gridSpan w:val="17"/>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Part II. OTHER INFORMATION</w:t>
              </w:r>
            </w:hyperlink>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Legal Proceedings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Risk Factors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320" w:type="dxa"/>
            <w:vAlign w:val="bottom"/>
            <w:shd w:val="clear" w:color="auto" w:fill="CCEEFF"/>
          </w:tcPr>
          <w:p>
            <w:pPr>
              <w:spacing w:after="0"/>
              <w:rPr>
                <w:sz w:val="17"/>
                <w:szCs w:val="17"/>
                <w:color w:val="auto"/>
              </w:rPr>
            </w:pPr>
          </w:p>
        </w:tc>
        <w:tc>
          <w:tcPr>
            <w:tcW w:w="8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Exhibits</w:t>
              </w:r>
            </w:hyperlink>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Signatures</w:t>
              </w:r>
            </w:hyperlink>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540" w:type="dxa"/>
            <w:vAlign w:val="bottom"/>
            <w:tcBorders>
              <w:top w:val="single" w:sz="8" w:color="CCEEFF"/>
              <w:bottom w:val="single" w:sz="8" w:color="auto"/>
            </w:tcBorders>
            <w:gridSpan w:val="10"/>
          </w:tcPr>
          <w:p>
            <w:pPr>
              <w:jc w:val="right"/>
              <w:ind w:right="2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ACURA PHARMACEUTICALS, INC.</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8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rPr>
              <w:t>(Unaudited; in thousands except par value)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 (Note 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allowances of $7 and $5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 (Note 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deferred assets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11,924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net of accumulated amortization of $258 and $155 (Note 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14,962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(Note 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returns liability</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 (Note 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discount of $251 and $281, and debt issuance costs of $128 and $162 (Note 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accrued interest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$.01 par value per share; 100,000 shares authorized, 49,217 and 48,848 shares issued and</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at 2015 and 2014, respectively</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367,456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(363,745)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14,962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80" w:type="dxa"/>
            <w:vAlign w:val="bottom"/>
            <w:tcBorders>
              <w:bottom w:val="single" w:sz="8" w:color="auto"/>
            </w:tcBorders>
          </w:tcPr>
          <w:p>
            <w:pPr>
              <w:jc w:val="center"/>
              <w:ind w:left="301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Six months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Ended June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fee revenue</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 (excluding inventory write-down)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write-down (Note 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(Note 9)</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(losses) gains on securities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49,101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49,233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49,101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Six months Ended June 30, 2015</w:t>
            </w:r>
          </w:p>
        </w:tc>
        <w:tc>
          <w:tcPr>
            <w:tcW w:w="60" w:type="dxa"/>
            <w:vAlign w:val="bottom"/>
          </w:tcPr>
          <w:p>
            <w:pPr>
              <w:spacing w:after="0"/>
              <w:rPr>
                <w:sz w:val="20"/>
                <w:szCs w:val="20"/>
                <w:color w:val="auto"/>
              </w:rPr>
            </w:pPr>
          </w:p>
        </w:tc>
        <w:tc>
          <w:tcPr>
            <w:tcW w:w="12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3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Paid-in</w:t>
            </w:r>
          </w:p>
        </w:tc>
        <w:tc>
          <w:tcPr>
            <w:tcW w:w="1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Accumulated</w:t>
            </w: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 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20"/>
                <w:szCs w:val="20"/>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(362,321</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distribution of common stock pursuant to</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 award plan</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Modification to warrants issued with promissory</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“at the market”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offerings, net of offering costs of $8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(363,745)</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Provision to reduce inventory to net realizable value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sales returns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debt discount and debt issue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bond premium in marketable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sales of marketable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deferred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interest – current and long term</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 and maturities of marketable securities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 of product rights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distribution of restricted stock units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6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Statutory minimum withholding taxes paid on the distribution of common stock pursuant to restricted stock unit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 and exercise of stock options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“at-the-market” offering</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Offering transaction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 (amounts presented are rounded to the nearest thousand expect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2015</w:t>
      </w:r>
    </w:p>
    <w:p>
      <w:pPr>
        <w:spacing w:after="0" w:line="225"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298 thousand common stock purchase warrants held by the lender of our debt was changed from $1.595 to $0.504 per share. The change in fair value of $33 was recorded as additional debt discount and will be amortized as interest expense over the remaining term of this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Six months Ended June 30, 2014</w:t>
      </w:r>
    </w:p>
    <w:p>
      <w:pPr>
        <w:spacing w:after="0" w:line="225" w:lineRule="exact"/>
        <w:rPr>
          <w:sz w:val="20"/>
          <w:szCs w:val="20"/>
          <w:color w:val="auto"/>
        </w:rPr>
      </w:pPr>
    </w:p>
    <w:p>
      <w:pPr>
        <w:jc w:val="both"/>
        <w:ind w:left="34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829 thousand shares of common stock were eligible for distribution pursuant to our 2005 RSU Plan utilizing various cashless exercise features of the plan. After withholding 4 thousand shares for $7 in exercise costs and withholding 315 thousand shares for $525 in statutory minimum payroll taxes, we issued 510 thousand shares of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24 thousand shares of common stock were exercised utilizing various cashless exercise features of the stock option plan. After withholding 16 thousand shares for $32 in exercise costs and withholding 2 thousand shares for $4 in statutory minimum payroll taxes, we issued 6 thousand shares of common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2015 AND JUNE 30, 2014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 (oxycodone HCl, CII), is the first approved product utilizing Aversion® in the United States.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We are advised that Egalet plans to launch Oxaydo in the United States in the third quarter of 2015.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our Nexafed Sinus Pressure + Pain product in the United States in February 2015. We have multiple pseudoephedrine products in development utilizing our Impede Technology. On June 15, 2015, we and Bayer Healthcare LLC (“Bayer”) entered into a License and Development Agreement to provide Bayer with an exclusive worldwide license to our Impede Technology for an undisclosed methamphetamine resistant pseudoephedrine – containing product, and providing for our joint development of such product utilizing our Impede™ Technology for the U.S. market. Our third technology, Limitx, is designed to retard the release of active drug ingredients when an excess number of tablets are accidently or purposefully ingested. In August 2014, we were awarded a grant from the National Institute on Drug Abuse to advance early stage development of our Limitx technology.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is effective for annual periods beginning after December 15, 2017, and interim periods therein, using either of the following transition methods:</w:t>
      </w:r>
    </w:p>
    <w:p>
      <w:pPr>
        <w:spacing w:after="0" w:line="27"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 retrospective approach reflecting the application of the standard in each prior reporting period with the option to elect certain practical expedients,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have not yet determined the method by which we will adopt the standard in 2018.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Uncertainties about an Entity’s Ability to Continue as a Going Concern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2014, the FASB issued Accounting Standards Update No. 2014-15, “</w:t>
      </w:r>
      <w:r>
        <w:rPr>
          <w:rFonts w:ascii="Times New Roman" w:cs="Times New Roman" w:eastAsia="Times New Roman" w:hAnsi="Times New Roman"/>
          <w:sz w:val="18"/>
          <w:szCs w:val="18"/>
          <w:i w:val="1"/>
          <w:iCs w:val="1"/>
          <w:color w:val="auto"/>
        </w:rPr>
        <w:t>Disclosure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which will explicitly require management to assess an entity’s ability to continue as a going concern and to provide related footnote disclosures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Currently, there is no guidance in GAAP about management’s responsibility to evaluate whether there is substantial doubt about an entity’s ability to continue as a going concern or to provide related footnote disclosures. The amendments in this Update provide that guidance. In doing so, the amendments should reduce diversity in the timing and content of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The amendments in this update are effective for the first annual period ending after December 15, 2016, and for annual periods and interim periods thereafter. Early application is permitted. The Company is currently evaluating the impact of adopting this update on its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Debt Issue Costs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Imputation of Interest (Subtopic 835-30): Simplifying the Presentation of Debt Issuance Costs."</w:t>
      </w:r>
      <w:r>
        <w:rPr>
          <w:rFonts w:ascii="Times New Roman" w:cs="Times New Roman" w:eastAsia="Times New Roman" w:hAnsi="Times New Roman"/>
          <w:sz w:val="18"/>
          <w:szCs w:val="18"/>
          <w:color w:val="auto"/>
        </w:rPr>
        <w:t xml:space="preserve"> The amendments in this ASU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The amendments are effective for financial statements issued for fiscal years beginning after December 15, 2015. Early adoption of the amendments is permitted and the Company elected to adopt this guidance effective April 1, 2015. The Company adopted the guidance to implement the simplified presentation prescribed as the purpose of the amendment. The new guidance has been applied on a retrospective basis, wherein the consolidated balance sheets of December 31, 2014 have been retrospectively adjusted to reflect the effects of applying the new guidance. As a result of the change to the December 31, 2014 consolidated balance sheet, deferred debt issuance costs and long-term debt decreased and increased, respectively, by $162. After the retrospective application to December 31, 2014, subsequent amortization of the deferred debt issuance costs results in an increase to long-term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LICENSE, DEVELOPMENT, AND COMMERCIALIZATION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2007, we entered into a License, Development and Commercialization Agreement, or the Pfizer Agreement, with King Pharmaceuticals Research and Development, Inc., now a subsidiary of Pfizer, to develop and commercialize in the United States, Canada and Mexico certain opioid analgesic products utilizing our Aversion Technology. Aversion Oxycodone was approved by the U.S. Food and Drug Administration, or FDA, on June 17, 2011 and sales of Aversion Oxycodone, under Pfizer’s brand name Oxecta, commenced in February 2012. For sales of Aversion Oxycodone occurring on and following February 2, 2013 (the one year anniversary of first commercial sale), Pfizer paid us a royalty of 5% of net sales of Aversion Oxycodone.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2012, we entered into a letter agreement with Pfizer which provided for the termination of Pfizer’s license to our Aversion Technology used in three development-stage products licensed to Pfizer and for the return of these products to us. On April 9, 2014, we entered into a second letter agreement with Pfizer providing for the termination of the Pfizer Agreement and the return of Aversion Oxycodone to us effective April 9, 2014 in exchange for a one-time termination payment of $2.0 million. Pfizer’s royalty payment obligations relating to Aversion Oxycodone ceased effective April 9, 2014 and all royalty payments due to us have been received. Our termination payment of $2.0 million has been recorded on our financial statements as an intangible asset and is being amortized over the remaining useful life of the patent for Aversion Oxycodone. The recorded value of the intangible asset will be periodically assessed for impairment. We also purchased from Pfizer selected raw and packaging material inventories for $260 thousand relating to the Aversion Oxycodone product. During the quarter ended March 31, 2015, we recorded a 100% reserve against these inventories which is reflected in operating expense.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Egalet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2015, we and Egalet entered into a Collaboration and License Agreement (the “Egalet Agreement”) to commercialize Aversion Oxycodone under the tradename Oxaydo. Oxaydo is approved by the FDA for marketing in the United States in 5 mg and 7.5 mg strengths. Under the terms of the Egalet Agreement, we are transferring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Egalet Agreement, we and Egalet have formed a joint steering committee to coordinate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Egalet paid us an upfront payment of $5 million upon signing of the Egalet Agreement and will pay us a $2.5 million milestone on the earlier to occur of (A) the launch of Oxaydo and (B) January 1, 2016. In addition, we will be entitled to a one-time $12.5 million milestone payment when worldwide Oxaydo net sales reach $150 million in a calendar year.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for payments required to be made by Egalet to acquire intellectual property rights to commercialize Oxaydo, with an aggregate minimum floor.</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Egalet also may terminate the Agreement prior to the launch of Oxaydo on 30 days prior written notice upon the occurrence of serious safety issues, regulatory restrictions and intellectual property issues, in each case involving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Paragraph IV ANDA Litigation and License Grants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or about September 17, 2012, the FDA began accepting ANDAs referencing Oxaydo. To date, we have received Paragraph IV Certification Notices under 21 U.S.C. 355(j) (a Paragraph IV Notice) from five separate generic sponsors of an ANDA for a generic drug listing Oxaydo as the reference listed drug. The Paragraph IV Notices state that each generic sponsor believes that our Aversion Technology patents listed in FDA’s Orange Book are invalid, unenforceable or not infringed. We initiated suit against each of Watson Laboratories, Inc. – Florida (Watson), Par Pharmaceutical, Inc., Impax Laboratories, Inc., Sandoz Inc., and Ranbaxy, Inc., each in the United States District Court for the District of Delaware alleging infringement of our U.S. Patent No. 7,510,726 listed in the FDA’s Orange Book.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We dismissed our suit against Watson on the grounds that Watson had amended its ANDA from a Paragraph IV Certification to a Paragraph Certification III, which indicated its intent not to market its generic Oxaydo product in advance of our patent expiry.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distinct Settlement Agreements with each of Par, Impax, Ranbaxy and Sandoz to settle our patent infringement actions. Par is the first filer of an ANDA for a generic Oxaydo product and is entitled to the 180-day first filer exclusivity under applicable law and FDA regulations. Par is entitled to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Impax and Sandoz, are entitled to launch their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and Sandoz would become effective prior to such time. In certain circumstances, Sandoz may be required to pay us a royalty on net profits of their generic Oxaydo product.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Settlement Agreement with Ranbaxy Inc. to settle our patent infringement action pending in the United States District Court for the District of Delaware. The Settlement Agreement with Ranbaxy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15, 2015, we and Bayer entered into a License and Development Agreement granting Bayer an exclusive worldwide license to our Impede Technology for use in an undisclosed methamphetamine resistant pseudoephedrine –containing product (the “Bayer Licensed Product”) and providing for the joint development of such product utilizing our Impede Technology for the U.S. market. The Agreement also grants Bayer first right to negotiate a license to the Impede technology for certain other products.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will form a joint development committee to coordinate development of the Bayer Licensed Product. We will be eligible to receive reimbursement of certain of our development costs, success-based development and regulatory milestones payments, and low mid-single digit royalties on net sales of the Bayer Licensed product in countries with patent coverage and a reduced royalty elsewhere.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of the Agreement with respect to each country expires when royalties are no longer payable with respect to such country. After expiration of the term Bayer retains a license to sell the Bayer Licensed Product on a royalty free basis. Either party may terminate the Agreement in its entirety if the other party materially breaches the Agreement, subject to an applicable cure period, or in the event the other party makes an assignment for the benefit of creditors, files a petition in bankruptcy or otherwise seeks relief under applicable bankruptcy laws. Bayer may terminate the Agreement immediately prior to completion of our development obligations or at any time upon six (6) months prior written notice thereafter. We may terminate the Agreement with respect to the U.S. if Bayer ceases or suspends development or commercialization of the Bayer Licensed Product for a certain period of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Purdue Pharma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generally realized or realizable and earned when there is persuasive evidence an arrangement exists, delivery has occurred or services rendered, the price is fixed and determinable, and collection is reasonably assured. We record revenue from our Nexafed product sales when the price is fixed and determinable at the date of sale, title and risk of ownership have been transferred to the customer, and returns can be reasonably estimated.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for a period of up to twelve months after the product expiration. The Nexafed products currently have a shelf life of twenty-four months from the date of manufacture. Given the limited sales history of our Nexafed products, we could not reliably estimate expected returns of the product at the time of shipment to certain customers and accordingly we had deferred revenue. During the first quarter ended March 31, 2015 we determined we had obtained sufficient sales returns history to reasonably estimate future returns. As a result of this change, we recorded a one-time adjustment in the first quarter ended March 31, 2015 to recognize revenue that had previously been deferred, resulting in additional net revenues of $314 thousand after recording an allowance for sales returns of $120 thousand, and cost of sales of $255 thousand. At June 30, 2015, we have a $195 thousand sales returns liability which will be reviewed against sales returns activity each quarter. Revenue is being recognized at the time the products are sold to a customer.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in February 2013, we began earning royalties based on net sales of Aversion Oxycodone by Pfizer. We earned royalties of approximately $4 thousand for the six months ended June 30, 2014. The Pfizer Agreement was terminated effective April 9, 2014 and Pfizer’s royalty payment obligations ceased as of such date. All royalties owed to us have been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 our shipping and handling costs in selling expenses. The amounts recorded to selling expenses from the shipments of Nexafed products during each of the six month periods ended June 30, 2015 and 2014 were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RESEARCH AND DEVELOPMENT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did not have any accrued CRO costs and clinical trial study expenses at either June 30, 2015 or December 31, 2014. We did not have any prepaid CRO costs and clinical trial study expenses at either June 30, 2015 or December 31, 2014.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6 - INVESTMENTS IN MARKETABLE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 (in millions):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7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 - maturing within 1 year</w:t>
            </w:r>
          </w:p>
        </w:tc>
        <w:tc>
          <w:tcPr>
            <w:tcW w:w="174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 - maturing after 1 year and through March 2017</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Exchange-traded funds</w:t>
            </w:r>
          </w:p>
        </w:tc>
        <w:tc>
          <w:tcPr>
            <w:tcW w:w="7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7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Sheets as they may be sold within one year </w:t>
      </w:r>
      <w:r>
        <w:rPr>
          <w:rFonts w:ascii="Times New Roman" w:cs="Times New Roman" w:eastAsia="Times New Roman" w:hAnsi="Times New Roman"/>
          <w:sz w:val="18"/>
          <w:szCs w:val="18"/>
          <w:color w:val="111111"/>
        </w:rPr>
        <w:t>in response to changes in market prices or interest rates, to realign our investment concentrations or to meet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working capital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summary of the fair value and unrealized gains (losses) related to the Company’s available-for-sale securities (in millions):</w:t>
      </w:r>
    </w:p>
    <w:p>
      <w:pPr>
        <w:sectPr>
          <w:pgSz w:w="11900" w:h="16838" w:orient="portrait"/>
          <w:cols w:equalWidth="0" w:num="1">
            <w:col w:w="11420"/>
          </w:cols>
          <w:pgMar w:left="240" w:top="8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Available-for-sale:</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Exchange-traded funds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Available-for-sale:</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Exchange-traded funds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 Current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June 30,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11"/>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Losses</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421"/>
        </w:trPr>
        <w:tc>
          <w:tcPr>
            <w:tcW w:w="70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20" w:type="dxa"/>
            <w:vAlign w:val="bottom"/>
          </w:tcPr>
          <w:p>
            <w:pPr>
              <w:spacing w:after="0"/>
              <w:rPr>
                <w:sz w:val="18"/>
                <w:szCs w:val="18"/>
                <w:color w:val="auto"/>
              </w:rPr>
            </w:pPr>
          </w:p>
        </w:tc>
        <w:tc>
          <w:tcPr>
            <w:tcW w:w="68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39"/>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color w:val="auto"/>
              </w:rPr>
              <w:t>December 31, 2014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left="11"/>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Losses</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421"/>
        </w:trPr>
        <w:tc>
          <w:tcPr>
            <w:tcW w:w="700" w:type="dxa"/>
            <w:vAlign w:val="bottom"/>
            <w:gridSpan w:val="2"/>
          </w:tcPr>
          <w:p>
            <w:pPr>
              <w:jc w:val="right"/>
              <w:ind w:right="547"/>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20" w:type="dxa"/>
            <w:vAlign w:val="bottom"/>
          </w:tcPr>
          <w:p>
            <w:pPr>
              <w:spacing w:after="0"/>
              <w:rPr>
                <w:sz w:val="18"/>
                <w:szCs w:val="18"/>
                <w:color w:val="auto"/>
              </w:rPr>
            </w:pPr>
          </w:p>
        </w:tc>
        <w:tc>
          <w:tcPr>
            <w:tcW w:w="68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11.3</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-1868805</wp:posOffset>
            </wp:positionV>
            <wp:extent cx="579755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-1585595</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-582295</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-299720</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4920" w:space="720"/>
            <w:col w:w="5780"/>
          </w:cols>
          <w:pgMar w:left="240" w:top="873" w:right="239" w:bottom="1440" w:gutter="0" w:footer="0" w:header="0"/>
          <w:type w:val="continuous"/>
        </w:sectPr>
      </w:pP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1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assets measured at fair value or disclosed at fair value on a recurring basis as at June 30, 2015 and December 31, 2014 consisted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8"/>
                <w:szCs w:val="18"/>
                <w:color w:val="auto"/>
              </w:rPr>
              <w:t>June 30, 2015</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Level 3</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10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Exchange-traded funds</w:t>
            </w:r>
          </w:p>
        </w:tc>
        <w:tc>
          <w:tcPr>
            <w:tcW w:w="13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8"/>
                <w:szCs w:val="18"/>
                <w:color w:val="auto"/>
              </w:rPr>
            </w:pPr>
          </w:p>
        </w:tc>
        <w:tc>
          <w:tcPr>
            <w:tcW w:w="7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type w:val="continuous"/>
        </w:sectPr>
      </w:pPr>
    </w:p>
    <w:bookmarkStart w:id="13" w:name="page14"/>
    <w:bookmarkEnd w:id="13"/>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2014</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Level 3</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04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Exchange-traded funds</w:t>
            </w:r>
          </w:p>
        </w:tc>
        <w:tc>
          <w:tcPr>
            <w:tcW w:w="13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8"/>
                <w:szCs w:val="18"/>
                <w:color w:val="auto"/>
              </w:rPr>
            </w:pPr>
          </w:p>
        </w:tc>
        <w:tc>
          <w:tcPr>
            <w:tcW w:w="7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11.3</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w:t>
            </w: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Unrealized gains or losses on marketable securities are recorded in accumulated other comprehensive income (loss). Accumulated other comprehensive income (loss) at June 30, 2015 and December 31, 2014 consisted of unrealized losses on securities of $13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INVENTORIES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consist of both raw and packaging materials on our Oxaydo product and finished goods held for distribution and sale on our Nexafed products. During 2014, we purchased raw and packaging material inventories for $260 thousand from Pfizer on the Oxaydo product we reacquired from them. Inventories are stated at the lower of cost (first-in, first-out method) or market (net realizable value). We write down inventories to net realizable value based on forecasted demand and market conditions, which may differ from actual results. During the quarter ended March 31, 2015, we recorded a $260 thousand reserve against the raw and packaging material inventory on our Oxaydo product as Egalet will secure its own material requirements. During the quarter ended June 30, 2015, we applied the reserve against our packaging material inventory and we recorded a $47 thousand reserve against finished good inventory. We recorded finished good inventory reserves of $133 thousand and $68 thousand during each of the first and second quarters of 2014, respectively.</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recorded Nexafed deferred revenue of $0.35 million at December 31, 2014. The related cost of sales of $0.22 million at December 31, 2014 is reported in our balance sheet in the other current deferred assets account and excluded from the reported year end inventories. We recognize both the revenue and cost of sales on these Nexafed shipments once the right of return no longer exists or adequate history and information becomes available to estimate sales returns. During the first quarter ended March 31, 2015, we determined we had obtained sufficient sales returns history to reasonably estimate future returns. As a result of this change, we recorded a one-time adjustment in the first quarter ended March 31, 2015 to recognize revenue that had previously been deferred, resulting in additional net revenue of $314 thousand and cost of sales of $255 thousand. Revenue is being recognized at the time the products are sold to a customer.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are summarized as follows (in thousands):</w:t>
            </w:r>
          </w:p>
        </w:tc>
        <w:tc>
          <w:tcPr>
            <w:tcW w:w="2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1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6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and packaging materials</w:t>
            </w:r>
          </w:p>
        </w:tc>
        <w:tc>
          <w:tcPr>
            <w:tcW w:w="27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reserve for raw materials</w:t>
            </w:r>
          </w:p>
        </w:tc>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reserve for finished goods</w:t>
            </w:r>
          </w:p>
        </w:tc>
        <w:tc>
          <w:tcPr>
            <w:tcW w:w="2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7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ACCRUED EXPENSES</w:t>
            </w:r>
          </w:p>
        </w:tc>
        <w:tc>
          <w:tcPr>
            <w:tcW w:w="1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are summarized as follows (in thousands):</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1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52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payroll taxes, and benefits</w:t>
            </w:r>
          </w:p>
        </w:tc>
        <w:tc>
          <w:tcPr>
            <w:tcW w:w="1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taxes</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Clinical, non-clinical and regulatory services</w:t>
            </w: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fees and services</w:t>
            </w:r>
          </w:p>
        </w:tc>
        <w:tc>
          <w:tcPr>
            <w:tcW w:w="15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8"/>
                <w:szCs w:val="18"/>
                <w:color w:val="auto"/>
              </w:rPr>
            </w:pPr>
          </w:p>
        </w:tc>
        <w:tc>
          <w:tcPr>
            <w:tcW w:w="9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was required to make monthly interest−only payments until the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of June 30, 2015 we have made $768 thousand in principal payments.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298 thousand shares of our common stock at an exercise price equal to $1.595 per share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2015, we and Oxford entered into an amendment to the Loan Agreement. Pursuant to the amendment, (i) the exercise price of the Warrants was lowered from $1.595 to $0.504 per share (the average closing price of our common stock on Nasdaq for the 10 trading days preceding the date of the amendment) and we recorded additional debt discount of $33 representing the fair value of the warrant modification, (ii) we agreed to maintain a $2.5 million cash reserve until such time as we have repaid $5.0 million in principal of the Term Loan, and (iii) the Lender consented to the terms of our Collaboration and License Agreement with Egalet relating to our Oxaydo product.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voluntarily prepay the Term Loan in full, but not in part, and any prepayment is subject to a prepayment premium equal to 2% of the principal prepaid, if prepaid prior to December 27, 2015, and 1% of the principal prepaid if prepaid after December 27, 2015. In addition, at the maturity, termination or upon voluntary or mandatory prepayment of the Term Loan the Company must pay the Lender an additional one-time interest payment of $795 thousand. We will incur and accrue additional monthly interest expense over the term of the loan for this additional one-time interest payment using the loan’s effective cash interest rate.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debt at June 30, 2015 is summarized below (in 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 31, 2014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Classification</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 30, 2015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72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Debt Discount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 31, 2014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Modification of warrants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expense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 30, 2015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39"/>
        </w:trPr>
        <w:tc>
          <w:tcPr>
            <w:tcW w:w="172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Debt Issuance Costs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 31, 2014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expense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 30, 2015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Debt at Jun 30, 2015</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6,629</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interest expense during the three and six months ended June 30, 2015 and 2014 consisted of the following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4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3"/>
          </w:tcPr>
          <w:p>
            <w:pPr>
              <w:jc w:val="right"/>
              <w:ind w:right="435"/>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218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920" w:type="dxa"/>
            <w:vAlign w:val="bottom"/>
            <w:gridSpan w:val="2"/>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discount</w:t>
            </w:r>
          </w:p>
        </w:tc>
        <w:tc>
          <w:tcPr>
            <w:tcW w:w="1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Debt issue costs</w:t>
            </w:r>
          </w:p>
        </w:tc>
        <w:tc>
          <w:tcPr>
            <w:tcW w:w="14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4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annual principal payments on the debt as of June 30, 2015 is as follows (in thousands):</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7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Principal Payments</w:t>
            </w: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2015</w:t>
            </w:r>
          </w:p>
        </w:tc>
        <w:tc>
          <w:tcPr>
            <w:tcW w:w="19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1,185</w:t>
            </w:r>
          </w:p>
        </w:tc>
      </w:tr>
      <w:tr>
        <w:trPr>
          <w:trHeight w:val="216"/>
        </w:trPr>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2016</w:t>
            </w: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7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2017</w:t>
            </w: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30"/>
        </w:trPr>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2018</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2,979</w:t>
            </w:r>
          </w:p>
        </w:tc>
      </w:tr>
      <w:tr>
        <w:trPr>
          <w:trHeight w:val="210"/>
        </w:trPr>
        <w:tc>
          <w:tcPr>
            <w:tcW w:w="76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10 – EQUITY FINANCING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universal shelf registration statement on Form S-3 was declared effective by the Securities and Exchange Commission (“SEC”) on March 15, 2013. On April 18, 2013, we filed a prospectus supplement with the SEC pursuant to which we may sell shares of our common stock from time to time in “at the market” offerings and certain other transactions, having sales proceeds of up to $13 million. We did not sell any shares of our common stock pursuant to our prospectus supplement during the year ended December 31, 2014. During the three and six months ended June 30, 2015, we sold approximately 270 thousand shares of our common stock for gross proceeds of approximately $0.23 million. Transaction costs were approximately $8 thousand. The net proceeds of approximately $0.22 million will be used for general corporate purposes, which may include working capital, capital expenditures, research, development and marketing expenditures, clinical trial expenditures, acquisitions of new technologies, and possible investments in or acquisitions of, complementary businesses or technologies. In order to allow for the sale of our shares of common stock under our shelf registration statement pursuant to the Placement Agency Agreement and Securities Purchase Agreement described below, on June 30, 2015, we and MLV &amp; Co., LLC, as sales agent, terminated the At Market Issuance Sales Agreement dated April 18, 2013, thereby terminating any further “at the market offerings” under our prospectus supplement filed with the SEC on April 18, 2013.</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2015, we entered into a Placement Agency Agreement (the “Placement Agency Agreement”) with Roth Capital Partners, LLC (“Roth”), pursuant to which we engaged Roth to act as sole placement agent in a registered direct offering (the “Offering”) of 9.79 million shares of our common stock, par value $.01. On June 30, 2015, we entered into a Securities Purchase Agreement (the “Purchase Agreement”) with certain institutional investors (the “Purchasers”), pursuant to which we agreed to sell 9.79 million shares of our common stock at a price of $0.78 per share to the Purchasers in the Offering, for gross proceeds to the Company of approximately $7.63 million, before expenses. The Offering was made pursuant to a prospectus supplement dated June 30, 2015 filed with the Securities and Exchange Commission in connection with a takedown from the Company’s shelf registration statement on Form S-3 (File No. 333-187075), which became effective on March 15, 2013, and the related base prospectus included in the Registration Statement, as supplemented by the prospectus supplement. The transactions contemplated by the Placement Agency Agreement and the Purchase Agreement closed on July 7, 2015.</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Placement Agency Agreement, we paid Roth a cash placement fee equal to 6.5% of the gross proceeds in the Offering and reimbursed Roth $35 thousand for its expenses. We estimate that net proceeds from the Offering, after these and other legal expenses, will be approximately $7.0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WARRANTS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outstanding common stock purchase warrants (“warrants”) exercisable for 298 thousand shares of our common stock having an exercise price of $0.504 per share with an expiration date in December 2020. See Note 9 for a discussion of the reduction of the exercise price of the warrants to $0.504 per share. These warrants contain a cashless exercise feature. Our common stock warrant activity during the six months ended June 30, 2015 and 2014 is shown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June 30,</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320" w:type="dxa"/>
            <w:vAlign w:val="bottom"/>
            <w:tcBorders>
              <w:bottom w:val="single" w:sz="8" w:color="auto"/>
            </w:tcBorders>
            <w:gridSpan w:val="3"/>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Average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Exercise</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Number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Price</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Expired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ending</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share-based compensation plans covering stock options and RSUs for our employees and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share-based compensation expense recognized in the Company’s results of operations comprised the following (in thousands):</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2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June 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options</w:t>
            </w:r>
          </w:p>
        </w:tc>
        <w:tc>
          <w:tcPr>
            <w:tcW w:w="19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options</w:t>
            </w:r>
          </w:p>
        </w:tc>
        <w:tc>
          <w:tcPr>
            <w:tcW w:w="19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jc w:val="center"/>
              <w:ind w:right="2310"/>
              <w:spacing w:after="0"/>
              <w:rPr>
                <w:sz w:val="20"/>
                <w:szCs w:val="20"/>
                <w:color w:val="auto"/>
              </w:rPr>
            </w:pPr>
            <w:r>
              <w:rPr>
                <w:rFonts w:ascii="Times New Roman" w:cs="Times New Roman" w:eastAsia="Times New Roman" w:hAnsi="Times New Roman"/>
                <w:sz w:val="18"/>
                <w:szCs w:val="18"/>
                <w:color w:val="auto"/>
                <w:w w:val="99"/>
              </w:rPr>
              <w:t>Subtotal</w:t>
            </w:r>
          </w:p>
        </w:tc>
        <w:tc>
          <w:tcPr>
            <w:tcW w:w="1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jc w:val="center"/>
              <w:ind w:right="227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8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one stock option plan in effect, and one stock option plan has expired by its terms, but pursuant to which stock options have been granted and remain outstanding. Our stock option award activity during the six months ended June 30, 2015 and 2014 is shown below:</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2960" w:type="dxa"/>
            <w:vAlign w:val="bottom"/>
          </w:tcPr>
          <w:p>
            <w:pPr>
              <w:spacing w:after="0"/>
              <w:rPr>
                <w:sz w:val="16"/>
                <w:szCs w:val="16"/>
                <w:color w:val="auto"/>
              </w:rPr>
            </w:pPr>
          </w:p>
        </w:tc>
        <w:tc>
          <w:tcPr>
            <w:tcW w:w="124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rPr>
              <w:t>Number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60" w:type="dxa"/>
            <w:vAlign w:val="bottom"/>
            <w:gridSpan w:val="2"/>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of</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29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Options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Exercise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18"/>
                <w:szCs w:val="18"/>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4"/>
        </w:trPr>
        <w:tc>
          <w:tcPr>
            <w:tcW w:w="296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Price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(000’s)</w:t>
            </w:r>
          </w:p>
        </w:tc>
        <w:tc>
          <w:tcPr>
            <w:tcW w:w="160" w:type="dxa"/>
            <w:vAlign w:val="bottom"/>
          </w:tcPr>
          <w:p>
            <w:pPr>
              <w:spacing w:after="0"/>
              <w:rPr>
                <w:sz w:val="20"/>
                <w:szCs w:val="20"/>
                <w:color w:val="auto"/>
              </w:rPr>
            </w:pP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Price</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shd w:val="clear" w:color="auto" w:fill="CCEEFF"/>
          </w:tcPr>
          <w:p>
            <w:pPr>
              <w:spacing w:after="0"/>
              <w:rPr>
                <w:sz w:val="18"/>
                <w:szCs w:val="18"/>
                <w:color w:val="auto"/>
              </w:rPr>
            </w:pPr>
          </w:p>
        </w:tc>
      </w:tr>
      <w:tr>
        <w:trPr>
          <w:trHeight w:val="230"/>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 or expired</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stock options were exercised during the six months ended June 30, 2015. During the six months ended June 30, 2014, a total of 31 thousand stock options were exercised by our employees. Of the total amount of these stock option exercises, 24 thousand of stock options were exercised under various cashless exercise features of the plan. Our employees elected to have 18 thousand shares withheld in satisfaction of $36 thousand for both the exercise costs and withholding tax obligations on those options, resulting in the net issuance of 13 thousand shares of common stock from all stock option exercises.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two Restricted Stock Unit Award Plans for our employees and non-employee directors, a 2005 Restricted Stock Unit Award Plan (the “2005 RSU Plan”) and a 2014 Restricted Stock Unit Award Plan (the “2014 RSU Plan”).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 summary of the grants under the RSU Plans consisted of the following (in thousands):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960" w:type="dxa"/>
            <w:vAlign w:val="bottom"/>
          </w:tcPr>
          <w:p>
            <w:pPr>
              <w:spacing w:after="0"/>
              <w:rPr>
                <w:sz w:val="21"/>
                <w:szCs w:val="21"/>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2014</w:t>
            </w:r>
          </w:p>
        </w:tc>
        <w:tc>
          <w:tcPr>
            <w:tcW w:w="10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1"/>
        </w:trPr>
        <w:tc>
          <w:tcPr>
            <w:tcW w:w="2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Number</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Vested</w:t>
            </w: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Number of</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Vested</w:t>
            </w:r>
          </w:p>
        </w:tc>
      </w:tr>
      <w:tr>
        <w:trPr>
          <w:trHeight w:val="234"/>
        </w:trPr>
        <w:tc>
          <w:tcPr>
            <w:tcW w:w="2960" w:type="dxa"/>
            <w:vAlign w:val="bottom"/>
          </w:tcPr>
          <w:p>
            <w:pPr>
              <w:spacing w:after="0"/>
              <w:rPr>
                <w:sz w:val="20"/>
                <w:szCs w:val="20"/>
                <w:color w:val="auto"/>
              </w:rPr>
            </w:pP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 RSUs</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RSUs</w:t>
            </w: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RSUs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RSUs</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Distributed</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8"/>
                <w:szCs w:val="18"/>
                <w:color w:val="auto"/>
              </w:rPr>
            </w:pPr>
          </w:p>
        </w:tc>
      </w:tr>
      <w:tr>
        <w:trPr>
          <w:trHeight w:val="230"/>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 or expired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ending</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8"/>
                <w:szCs w:val="18"/>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2005 Restricted Stock Unit Award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2005 RSU Plan, one-fourth of vested shares of common stock underlying RSU awards of 3.3 million shares will be distributed (after payment of exercise costs of $0.01 par value per share) on January 1 of each of years 2011 thru 2014. On January 1, 2014, 0.50 million shares were distributed to the holders while 0.33 million shares were withheld by the Company upon elections made to exchange RSUs in satisfaction of $0.5 million withholding tax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RSUs granted under the 2005 RSU Plan had been distributed effective January 1, 2014.</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2014 Restricted Stock Unit Award Plan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2014 RSU Plan was approved by shareholders on May 1, 2014 and permits the grant of up to 2.0 million shares of our common stock pursuant to awards under the 2014 RSU Plan. As of June 30, 2015, 1.65 million shares are available for award under the 2014 RSU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the awards under the 2014 RSU Plan is as follows:</w:t>
      </w:r>
    </w:p>
    <w:p>
      <w:pPr>
        <w:spacing w:after="0" w:line="27" w:lineRule="exact"/>
        <w:rPr>
          <w:sz w:val="20"/>
          <w:szCs w:val="20"/>
          <w:color w:val="auto"/>
        </w:rPr>
      </w:pPr>
    </w:p>
    <w:p>
      <w:pPr>
        <w:jc w:val="both"/>
        <w:ind w:left="500" w:hanging="168"/>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2014, we awarded approximately 37 thousand RSUs to each of our 4 non-employee directors. Such RSU awards vested 50% on June 30, 2014 and 25% on each of September 30 and December 31, 2014. Such non-employee director awards allow for non-employee directors to receive payment in cash, instead of stock, for up to 40% of each RSU award. The RSU awards subject to cash settlement are recorded as a liability in the Company’s balance sheet. The liability was $26 thousand at December 31, 2014. Accordingly the vested portion of the awards containing the cash settlement feature are being marked-to-market each reporting period until they are distributed. Marked-to-market accounting can create fluctuations in our compensation expense including the need to record additional expense. RSU awards are generally distributed on the first business day of the year after vesting, but such distribution can be deferred until a later date at the election of the non-employee director.</w:t>
      </w:r>
    </w:p>
    <w:p>
      <w:pPr>
        <w:spacing w:after="0" w:line="3" w:lineRule="exact"/>
        <w:rPr>
          <w:rFonts w:ascii="Times New Roman" w:cs="Times New Roman" w:eastAsia="Times New Roman" w:hAnsi="Times New Roman"/>
          <w:sz w:val="18"/>
          <w:szCs w:val="18"/>
          <w:color w:val="auto"/>
        </w:rPr>
      </w:pPr>
    </w:p>
    <w:p>
      <w:pPr>
        <w:jc w:val="both"/>
        <w:ind w:left="500" w:hanging="168"/>
        <w:spacing w:after="0" w:line="25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2015, we awarded approximately 51.5 thousand RSUs to each of our 4 non-employee directors which also allow for them to receive payment in cash, instead of stock, for up to 40% of each RSU award. Such awards vest 25% at the end of each calendar quarter in 2015. The RSU awards subject to cash settlement are subject to marked-to market accounting and the liability recorded in the Company’s balance sheet was $49 thousand at June 30, 2015. Distributions of stock under the January 2, 2015 award cannot be deferred until a later date and the stock under such awards will be distributed on January 4,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the distribution of shares under the 2014 RSU Plan is as follows:</w:t>
      </w:r>
    </w:p>
    <w:p>
      <w:pPr>
        <w:spacing w:after="0" w:line="27" w:lineRule="exact"/>
        <w:rPr>
          <w:sz w:val="20"/>
          <w:szCs w:val="20"/>
          <w:color w:val="auto"/>
        </w:rPr>
      </w:pPr>
    </w:p>
    <w:p>
      <w:pPr>
        <w:ind w:left="500" w:hanging="168"/>
        <w:spacing w:after="0" w:line="261"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2015, 129 thousand RSUs from the May 1, 2014 award were distributed and 18 thousand RSUs were deferred until a future distribution date. Of the 129 thousand RSUs distributed, 99 thousand RSUs were distributed in common stock and 30 thousand RSUs were settled in cash.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June 30, 2015 and December 31, 2014,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$51.5 million federal income tax benefits at December 31, 2014 derived from $151.4 million Federal NOLs at the U.S. statutory tax rate of 34% and $2.9 million state NOLs, available to offset future taxable income, some of which have limitations for use as prescribed under IRC Section 382. Our Federal and state NOLs will expire in varying amounts between 2016 and 2034 if not used, and those expirations will cause fluctuations in our valuation allowances. As of December 31, 2014 we had federal research and development tax credits of approximately $1.1 million, which expire in the years 2024 through 2034. We also had approximately $0.3 million of Indiana state research and development tax credits, which expire in the years 2015 through 2017.</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SHARE (“EPS”)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EPS is computed by dividing net income or loss by the weighted average common shares outstanding during a period, including shares weighted related to vested Restricted Stock Units (“RSUs”) (see Note 12).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2015 and 2014 as the Company reported a net loss for the three and six month periods, and including the effects of common stock equivalents in the diluted EPS calculation would have been antidilutive.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 and diluted</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Numerator: net loss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(2,663)</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Common shares</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49,055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Vested RSUs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EPS – basic and diluted</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securities: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shares issuable: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Nonvested RSUs</w:t>
            </w: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Common stock warrants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excluded common shares</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Purdue Pharma Complaint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8,389,007. The complaint seeks injunctive relief as well as awards of damages and attorneys’ fees. We deny the allegations in the complaint, believe they are without merit and are defending the action vigorously.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/Metoclopramide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Pennsylvania action, over 200 lawsuits have been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lawsuits filed to date, plaintiffs have not confirmed they ingested any of the generic metoclopramide manufactured by Acura. We discontinued manufacture and distribution of generic metoclopramide more than 18 years ago. In addition, we believe the June 23, 2011 decision by the U.S. Supreme Court in </w:t>
      </w:r>
      <w:r>
        <w:rPr>
          <w:rFonts w:ascii="Times New Roman" w:cs="Times New Roman" w:eastAsia="Times New Roman" w:hAnsi="Times New Roman"/>
          <w:sz w:val="18"/>
          <w:szCs w:val="18"/>
          <w:i w:val="1"/>
          <w:iCs w:val="1"/>
          <w:color w:val="auto"/>
        </w:rPr>
        <w:t>PLIVA v. Mensing (“Mensing</w:t>
      </w:r>
      <w:r>
        <w:rPr>
          <w:rFonts w:ascii="Times New Roman" w:cs="Times New Roman" w:eastAsia="Times New Roman" w:hAnsi="Times New Roman"/>
          <w:sz w:val="18"/>
          <w:szCs w:val="18"/>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New Jersey, Generic Defendants, including Acura, filed dispositive motions based on the </w:t>
      </w:r>
      <w:r>
        <w:rPr>
          <w:rFonts w:ascii="Times New Roman" w:cs="Times New Roman" w:eastAsia="Times New Roman" w:hAnsi="Times New Roman"/>
          <w:sz w:val="18"/>
          <w:szCs w:val="18"/>
          <w:i w:val="1"/>
          <w:iCs w:val="1"/>
          <w:color w:val="auto"/>
        </w:rPr>
        <w:t>Mensing</w:t>
      </w:r>
      <w:r>
        <w:rPr>
          <w:rFonts w:ascii="Times New Roman" w:cs="Times New Roman" w:eastAsia="Times New Roman" w:hAnsi="Times New Roman"/>
          <w:sz w:val="18"/>
          <w:szCs w:val="18"/>
          <w:color w:val="auto"/>
        </w:rPr>
        <w:t xml:space="preserve"> decision, which the Court granted with a limited exception. In June 2012, the New Jersey trial court dismissed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of the New Jersey cases pending against Acura with prejudice. It is possible that this ruling may eventually be appealed by plaintiffs at the conclusion of the litigation in the trial court.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Pennsylvania, and California, Generic Defendants, including Acura, also filed dispositive motions based on the </w:t>
      </w:r>
      <w:r>
        <w:rPr>
          <w:rFonts w:ascii="Times New Roman" w:cs="Times New Roman" w:eastAsia="Times New Roman" w:hAnsi="Times New Roman"/>
          <w:sz w:val="18"/>
          <w:szCs w:val="18"/>
          <w:i w:val="1"/>
          <w:iCs w:val="1"/>
          <w:color w:val="auto"/>
        </w:rPr>
        <w:t>Mensing</w:t>
      </w:r>
      <w:r>
        <w:rPr>
          <w:rFonts w:ascii="Times New Roman" w:cs="Times New Roman" w:eastAsia="Times New Roman" w:hAnsi="Times New Roman"/>
          <w:sz w:val="18"/>
          <w:szCs w:val="18"/>
          <w:color w:val="auto"/>
        </w:rPr>
        <w:t xml:space="preserve"> decision.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Times New Roman" w:cs="Times New Roman" w:eastAsia="Times New Roman" w:hAnsi="Times New Roman"/>
          <w:sz w:val="18"/>
          <w:szCs w:val="18"/>
          <w:i w:val="1"/>
          <w:iCs w:val="1"/>
          <w:color w:val="auto"/>
        </w:rPr>
        <w:t>Teva Pharmaceuticals USA, Inc. et al. v. Dorothy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Bentley, et al.</w:t>
      </w:r>
      <w:r>
        <w:rPr>
          <w:rFonts w:ascii="Times New Roman" w:cs="Times New Roman" w:eastAsia="Times New Roman" w:hAnsi="Times New Roman"/>
          <w:sz w:val="18"/>
          <w:szCs w:val="18"/>
          <w:color w:val="auto"/>
        </w:rPr>
        <w:t>, No. 14-711 (U.S.) seeking reversal of the Pennsylvania state court decision. On April 27, 2015, the U.S. Supreme Court denied this 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this matter has been returned to the trial court for further proceedings. Pending a further court order, these proceedings are stayed. On July 16, 2015, the court has scheduled a conference to address lifting the stay and to confirm procedures for further litigation. To the extent, however, that plaintiffs intend to pursue these claims, Acura nonetheless remains optimistic that most, if not all, of these Philadelphia cases will eventually be dismissed against it based upon the favorable aspects of the Superior Court’s narrow preemption ruling and lack of product identification, although there can be no assurance in this regard. Legal fees related to this matter are currently covered by Acura’s insurance carrier.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Times New Roman" w:cs="Times New Roman" w:eastAsia="Times New Roman" w:hAnsi="Times New Roman"/>
          <w:sz w:val="18"/>
          <w:szCs w:val="18"/>
          <w:i w:val="1"/>
          <w:iCs w:val="1"/>
          <w:color w:val="auto"/>
        </w:rPr>
        <w:t xml:space="preserve">Bartlett </w:t>
      </w:r>
      <w:r>
        <w:rPr>
          <w:rFonts w:ascii="Times New Roman" w:cs="Times New Roman" w:eastAsia="Times New Roman" w:hAnsi="Times New Roman"/>
          <w:sz w:val="18"/>
          <w:szCs w:val="18"/>
          <w:color w:val="auto"/>
        </w:rPr>
        <w:t>decision. Thus far, Acura and most Generic Defendants have not been required to file answers or other responsive pleadings in each individual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which they are named defendants. However, the individual cases against Acura have been stayed pending further action by the trial court. Subject to further developments, plaintiffs may be permitted to proceed with these lawsuits against Acura including state law claims based on (1) failing to communicate warnings to physicians through “Dear Doctor” letters; and (2) failure to update labeling to adopt brand labeling changes. The California trial court also has acknowledged the preemptive effect of </w:t>
      </w:r>
      <w:r>
        <w:rPr>
          <w:rFonts w:ascii="Times New Roman" w:cs="Times New Roman" w:eastAsia="Times New Roman" w:hAnsi="Times New Roman"/>
          <w:sz w:val="18"/>
          <w:szCs w:val="18"/>
          <w:i w:val="1"/>
          <w:iCs w:val="1"/>
          <w:color w:val="auto"/>
        </w:rPr>
        <w:t>Mensing</w:t>
      </w:r>
      <w:r>
        <w:rPr>
          <w:rFonts w:ascii="Times New Roman" w:cs="Times New Roman" w:eastAsia="Times New Roman" w:hAnsi="Times New Roman"/>
          <w:sz w:val="18"/>
          <w:szCs w:val="18"/>
          <w:color w:val="auto"/>
        </w:rPr>
        <w:t xml:space="preserve"> so that any claim “that would render the generic defendants in violation of federal law if they are found responsible under a state law cause of action, would not be permissible.” To date, however, none of these plaintiffs have confirmed they ingested any of the generic metoclopramide manufactured by Acura.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any potential loss is neither probable nor estimable, we have not accrued for any potential loss related to these matters as of June 30, 2015 and we are presently unable to determine if any potential loss would be covered by our insurance carrier.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administrative office space in Palatine, Illinois under a lease expiring March 31, 2016 for approximately $25 thousand annually.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0" w:lineRule="exact"/>
        <w:rPr>
          <w:sz w:val="20"/>
          <w:szCs w:val="20"/>
          <w:color w:val="auto"/>
        </w:rPr>
      </w:pPr>
    </w:p>
    <w:p>
      <w:pPr>
        <w:ind w:left="500" w:hanging="168"/>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or obtain funding for our continuing operations, including the development of our products utilizing our Aversion®, Impede® and Limitx™ technologies;</w:t>
      </w:r>
    </w:p>
    <w:p>
      <w:pPr>
        <w:spacing w:after="0" w:line="161" w:lineRule="exact"/>
        <w:rPr>
          <w:rFonts w:ascii="Times New Roman" w:cs="Times New Roman" w:eastAsia="Times New Roman" w:hAnsi="Times New Roman"/>
          <w:sz w:val="18"/>
          <w:szCs w:val="18"/>
          <w:color w:val="auto"/>
        </w:rPr>
      </w:pPr>
    </w:p>
    <w:p>
      <w:pPr>
        <w:ind w:left="500" w:right="20" w:hanging="168"/>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 including Oxaydo Tablets and our Nexafed products;</w:t>
      </w:r>
    </w:p>
    <w:p>
      <w:pPr>
        <w:spacing w:after="0" w:line="161"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price discounting that may be offered by Egalet for Oxaydo;</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develop a product under our agreement with Bayer;</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development of our Limitx™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obtain necessary regulatory approvals and commercialize products utilizing our technologies;</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and competitive environment for any of our products;</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pharmacies to stock our Nexafed products;</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 and the timing of first sales;</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225" w:lineRule="exact"/>
        <w:rPr>
          <w:rFonts w:ascii="Times New Roman" w:cs="Times New Roman" w:eastAsia="Times New Roman" w:hAnsi="Times New Roman"/>
          <w:sz w:val="18"/>
          <w:szCs w:val="18"/>
          <w:color w:val="auto"/>
        </w:rPr>
      </w:pPr>
    </w:p>
    <w:p>
      <w:pPr>
        <w:ind w:left="500" w:right="180" w:hanging="168"/>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spacing w:after="0" w:line="161" w:lineRule="exact"/>
        <w:rPr>
          <w:rFonts w:ascii="Times New Roman" w:cs="Times New Roman" w:eastAsia="Times New Roman" w:hAnsi="Times New Roman"/>
          <w:sz w:val="18"/>
          <w:szCs w:val="18"/>
          <w:color w:val="auto"/>
        </w:rPr>
      </w:pPr>
    </w:p>
    <w:p>
      <w:pPr>
        <w:ind w:left="500" w:hanging="168"/>
        <w:spacing w:after="0" w:line="261"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80" w:lineRule="exact"/>
        <w:rPr>
          <w:rFonts w:ascii="Times New Roman" w:cs="Times New Roman" w:eastAsia="Times New Roman" w:hAnsi="Times New Roman"/>
          <w:sz w:val="18"/>
          <w:szCs w:val="18"/>
          <w:color w:val="auto"/>
        </w:rPr>
      </w:pPr>
    </w:p>
    <w:p>
      <w:pPr>
        <w:ind w:left="500" w:right="320" w:hanging="168"/>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spacing w:after="0" w:line="161"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225"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further studies of our product candidates will be required to support FDA approval;</w:t>
      </w:r>
    </w:p>
    <w:p>
      <w:pPr>
        <w:spacing w:after="0" w:line="225" w:lineRule="exact"/>
        <w:rPr>
          <w:rFonts w:ascii="Times New Roman" w:cs="Times New Roman" w:eastAsia="Times New Roman" w:hAnsi="Times New Roman"/>
          <w:sz w:val="18"/>
          <w:szCs w:val="18"/>
          <w:color w:val="auto"/>
        </w:rPr>
      </w:pPr>
    </w:p>
    <w:p>
      <w:pPr>
        <w:ind w:left="500" w:right="260" w:hanging="168"/>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161" w:lineRule="exact"/>
        <w:rPr>
          <w:rFonts w:ascii="Times New Roman" w:cs="Times New Roman" w:eastAsia="Times New Roman" w:hAnsi="Times New Roman"/>
          <w:sz w:val="18"/>
          <w:szCs w:val="18"/>
          <w:color w:val="auto"/>
        </w:rPr>
      </w:pPr>
    </w:p>
    <w:p>
      <w:pPr>
        <w:ind w:left="500" w:hanging="168"/>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2014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Oxecta®)(oxycodone HCl, CII), is the first approved product utilizing Aversion in the United States.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We are advised that Egalet plans to launch Oxaydo in the United States in the third quarter of 2015.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launch our Nexafed Sinus Pressure + Pain product in the United States in February 2015. We have multiple pseudoephedrine products in development utilizing our Impede Technology. On June 15, 2015, we and Bayer Healthcare LLC (“Bayer”) entered into a License and Development Agreement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Our third abuse deterrent technology, Limitx, is designed to retard the release of active drug ingredients when too many tablets are accidently or purposefully ingested. We are conducting manufacturing scale-up and plan to conduct a pharmacokinetic study on a hydromorphone product formulation using our Limitx technology under a grant from the National Institute on Drug Abuse of the National Institutes of Health. On April 9, 2015, we announced initiation of development of an immediate release hydrocodone bitartrate with acetaminophen product utilizing our Limitx technology.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Opioid analgesics are one of the largest prescription drug markets in the United States with 250 million prescriptions dispensed in 2014.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65 tablets or capsules. According to IMS Health, in 2014, sales in the immediate-release opioid product segment were approximately 235 million prescriptions and $3.0 billion, of which approximately 98% was attributable to generic products. Immediate-release oxycodone tablets represent 14.8 million of these prescriptions or almost 1.6 billion tablets. The FDA approved label for our Oxaydo product describes the unique, and we believe promotable, abuse deterrent features of our product which we believe makes prescribing our product attractive to some healthcare providers.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2014, the United States retail market for over-the-counter market, or OTC, cold and allergy products containing the pseudoephedrine oral nasal decongestant was approximately $0.7 billion. In 2012, the DEA reported 11,210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20% of the estimated 65,000 U.S. pharmacies.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 The category for meth-resistant pseudoephedrine products has also been the focus of some, as yet unsuccessful, state legislation seeking to incentivize consumers and pharmacists to utilize these meth-resistant technologies.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2005, we announced preliminary top line results from our pilot clinical study demonstrating bioequivalence of our Nexafed extended release tablets to Johnson &amp; Johnson’s Sudafed® 12-hour Tablets. Nexafed extended release tablets utilize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2014 we announced that the FDA questioned whether the intranasal route is a relevant route of abuse for hydrocodone/acetaminophen products, which we were developing with our Aversion Technology. In October 2014, the FDA denied on procedural grounds our formal dispute resolution request appealing the position taken by the Division of Anesthesia, Analgesia and Addiction Products (“DAAAP”) that abuse by snorting hydrocodone with acetaminophen products lacks relevance. The FDA’s April 2015 Abuse-Deterrent Opioid Evaluation and Labeling Guidance (the “FDA’s April 2015 Guidance”) appears to take the same position by indicating that immediate-release opioid and acetaminophen products are predominantly abused using the oral route and products demonstrating a deterrent effect by the nasal route may not meaningfully reduce overall abuse of the product. In view of the regulatory history of Aversion Hydrocodone/APAP and the FDA’s April 2015 Guidance, we have indefinitely suspended further development of our Aversion Hydrocodone/APAP and reallocated resources to our Limitx hydromorphone and hydrocodone/APAP product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Aversion Technology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Aversion Technology is a unique composition of inactive pharmaceutical ingredients utilized with an opioid or other drug susceptible of abuse to provide abuse deterrent functionality. Oxaydo is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80" w:lineRule="exact"/>
        <w:rPr>
          <w:sz w:val="20"/>
          <w:szCs w:val="20"/>
          <w:color w:val="auto"/>
        </w:rPr>
      </w:pPr>
    </w:p>
    <w:p>
      <w:pPr>
        <w:jc w:val="both"/>
        <w:ind w:left="660" w:hanging="4"/>
        <w:spacing w:after="0" w:line="261" w:lineRule="auto"/>
        <w:tabs>
          <w:tab w:leader="none" w:pos="7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80"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7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extent and manner in which any of the features described above may be described in the FDA approved label for products that may be developed utilizing our Aversion or Limitx Technologies will be dependent on the results of and the acceptance by the FDA of our and our licensees’ studies for each product.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Oxaydo Tablets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We are advised that Egalet plans to launch Oxaydo in the United States in the third quarter of 2015.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2014 market for immediate-release oxycodone products was 14.8 million dispensed prescription or 1.6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 Because the target audience for promoting our opioid products is so large, we will seek marketing partners to best capitalize on our opioid opportunities.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89" w:lineRule="exact"/>
        <w:rPr>
          <w:sz w:val="20"/>
          <w:szCs w:val="20"/>
          <w:color w:val="auto"/>
        </w:rPr>
      </w:pPr>
    </w:p>
    <w:p>
      <w:pPr>
        <w:ind w:left="820" w:hanging="164"/>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subjects exposed to Oxaydo responded that they would not take the drug again compared to 5% of subjects exposed to immediate-release oxycodone;</w:t>
      </w:r>
    </w:p>
    <w:p>
      <w:pPr>
        <w:ind w:left="820" w:hanging="164"/>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taking Oxaydo reported a higher incidence of nasopharyngeal and facial adverse events compared to immediate-release oxycodone;</w:t>
      </w:r>
    </w:p>
    <w:p>
      <w:pPr>
        <w:spacing w:after="0" w:line="9" w:lineRule="exact"/>
        <w:rPr>
          <w:rFonts w:ascii="Times New Roman" w:cs="Times New Roman" w:eastAsia="Times New Roman" w:hAnsi="Times New Roman"/>
          <w:sz w:val="18"/>
          <w:szCs w:val="18"/>
          <w:color w:val="auto"/>
        </w:rPr>
      </w:pPr>
    </w:p>
    <w:p>
      <w:pPr>
        <w:ind w:left="820" w:right="20" w:hanging="164"/>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numeric differences in the median and mean drug liking scores, which were lower in response to Oxaydo than immediate-release oxycodone.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Egalet Agreement Covering Oxaydo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2015, we and Egalet US, Inc. and Egalet Ltd., each a subsidiary of Egalet Corporation, (collectively, “Egalet”) entered into a Collaboration and License Agreement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Egalet paid us an upfront payment of $5 million upon signing of the Egalet Agreement and will pay us a $2.5 million milestone on the earlier to occur of (A) the launch of Oxaydo or (B) January 1, 2016.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for payments required to be made by Egalet to acquire intellectual property rights to commercialize Oxaydo, with an aggregate minimum floor.</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Egalet also may terminate the Agreement prior to the launch of Oxaydo on 30 days prior written notice upon the occurrence of serious safety issues, regulatory restrictions and intellectual property issues, in each case involving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Impede 1.0 Technology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Impede 1.0 Technology, a proprietary mixture of inactive ingredients, prevents the extraction of pseudoephedrine, or PSE, from tablets using known extraction methods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Impede 2.0 Technology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developed several next generation, or Impede 2.0, prototypes of our Impede Technology to improve the meth-resistance of our technology. We have completed one-pot, direct conversion meth testing performed by our CRO with results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Meth Resistant</w:t>
            </w:r>
          </w:p>
        </w:tc>
        <w:tc>
          <w:tcPr>
            <w:tcW w:w="16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Meth Recovery</w:t>
            </w:r>
            <w:r>
              <w:rPr>
                <w:rFonts w:ascii="Times New Roman" w:cs="Times New Roman" w:eastAsia="Times New Roman" w:hAnsi="Times New Roman"/>
                <w:sz w:val="30"/>
                <w:szCs w:val="30"/>
                <w:color w:val="auto"/>
                <w:vertAlign w:val="superscript"/>
              </w:rPr>
              <w:t>1</w:t>
            </w:r>
          </w:p>
        </w:tc>
        <w:tc>
          <w:tcPr>
            <w:tcW w:w="158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Purity</w:t>
            </w:r>
            <w:r>
              <w:rPr>
                <w:rFonts w:ascii="Times New Roman" w:cs="Times New Roman" w:eastAsia="Times New Roman" w:hAnsi="Times New Roman"/>
                <w:sz w:val="30"/>
                <w:szCs w:val="30"/>
                <w:color w:val="auto"/>
                <w:vertAlign w:val="superscript"/>
              </w:rPr>
              <w:t>2</w:t>
            </w: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Product/Formulation</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Technology</w:t>
            </w:r>
          </w:p>
        </w:tc>
        <w:tc>
          <w:tcPr>
            <w:tcW w:w="168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Sudafed® 30mg Tablets</w:t>
            </w:r>
          </w:p>
        </w:tc>
        <w:tc>
          <w:tcPr>
            <w:tcW w:w="10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Nexafed 30mg Technology</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Impede® 1.0</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Zephrex-D® 30mg Pills</w:t>
            </w:r>
          </w:p>
        </w:tc>
        <w:tc>
          <w:tcPr>
            <w:tcW w:w="2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Tarex®</w:t>
            </w:r>
          </w:p>
        </w:tc>
        <w:tc>
          <w:tcPr>
            <w:tcW w:w="1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Nexafed 120mg Extended-release tablets</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Impede® 2.0</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hanging="104"/>
        <w:spacing w:after="0"/>
        <w:tabs>
          <w:tab w:leader="none" w:pos="7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methamphetamine HCl recovered from the equivalent of 100 PSE 30mg tablets divided by the maximum theoretical yield of 2.7 grams.</w:t>
      </w:r>
    </w:p>
    <w:p>
      <w:pPr>
        <w:spacing w:after="0" w:line="42" w:lineRule="exact"/>
        <w:rPr>
          <w:rFonts w:ascii="Times New Roman" w:cs="Times New Roman" w:eastAsia="Times New Roman" w:hAnsi="Times New Roman"/>
          <w:sz w:val="30"/>
          <w:szCs w:val="30"/>
          <w:color w:val="auto"/>
          <w:vertAlign w:val="superscript"/>
        </w:rPr>
      </w:pPr>
    </w:p>
    <w:p>
      <w:pPr>
        <w:ind w:left="660"/>
        <w:spacing w:after="0" w:line="23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Total methamphetamine HCl recovered from the equivalent of 100 PSE 30mg tablets divided by the total weight of powder recovered.</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demonstrated in a pilot clinical study the bioequivalence of a formulation of our Nexafed extended release tablets utilizing our Impede 2.0 technology to Sudafed® 12-hour Tablets. We also are assessing the one-pot results of immediate-release Impede 2.0 formulations, along with manufacturability and other pertinent information to determine our strategy for introducing Impede 2.0 into our Nexafed product 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Nexafed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Nexafed product line consists of immediate release tablets which utilize our patented Impede 1.0 Technology. Nexafed is a 30mg pseudoephedrine tablet and Nexafed Sinus Pressure + Pain is a 30/325 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demonstrated that our Nexafed 30mg tablets is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13,000 pharmacies or about 20%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that approximately 53% of Nexafed stocking pharmacies are repeat customers, excluding Rite Aid and Kroger which purchase directly from us and we therefore do not have individual store data.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2015, we began initial shipments of Nexafed Sinus Pressure + Pain. We are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marketing our Nexafed product and our Nexafed Sinus Pressure + Pain product under FDA’s regulations applicable to OTC Monograph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Nexafed and Nexafed Sinus Pressure + Pain tablets are offered in 24-count blister packaged cartons.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Impede Technology Products in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877" w:right="239" w:bottom="1440" w:gutter="0" w:footer="0" w:header="0"/>
        </w:sectPr>
      </w:pPr>
    </w:p>
    <w:p>
      <w:pPr>
        <w:spacing w:after="0" w:line="16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Impede Technology Product</w:t>
      </w:r>
    </w:p>
    <w:p>
      <w:pPr>
        <w:spacing w:after="0" w:line="36"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Immediate-release pseudoephedrine HCl in combination with other cold and allergy active ingredients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-305435</wp:posOffset>
            </wp:positionV>
            <wp:extent cx="3267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Extended-release formulation utilizing Impede 2.0 technology</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Extended – release combination products</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Methamphetamine resistant pseudoephedrine – containing product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Status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Nexafed Sinus Pressure + Pain launched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formulations being considered</w:t>
      </w:r>
    </w:p>
    <w:p>
      <w:pPr>
        <w:spacing w:after="0" w:line="207"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Pilot pharmacokinetic testing demonstrated bioequivalence to Sudafed® 12-hour Tablets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Formulations being considered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development pursuant to Bayer Agreement</w:t>
      </w:r>
    </w:p>
    <w:p>
      <w:pPr>
        <w:spacing w:after="0" w:line="308" w:lineRule="exact"/>
        <w:rPr>
          <w:sz w:val="20"/>
          <w:szCs w:val="20"/>
          <w:color w:val="auto"/>
        </w:rPr>
      </w:pPr>
    </w:p>
    <w:p>
      <w:pPr>
        <w:sectPr>
          <w:pgSz w:w="11900" w:h="16838" w:orient="portrait"/>
          <w:cols w:equalWidth="0" w:num="2">
            <w:col w:w="5320" w:space="500"/>
            <w:col w:w="5600"/>
          </w:cols>
          <w:pgMar w:left="240" w:top="877" w:right="239" w:bottom="1440" w:gutter="0" w:footer="0" w:header="0"/>
          <w:type w:val="continuous"/>
        </w:sectPr>
      </w:pP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expect to initiate a pre-IND meeting with the FDA to discuss the results from our pharmacokinetic and meth testing studies to determine the development path for our extended-release development product, which, we believe, will require and NDA or ANDA submission to the FDA.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Within the United States, we may consider additional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Bayer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15, 2015, we and Bayer entered into a License and Development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The Agreement also grants Bayer first right to negotiate a license to the Impede™ Technology for certain other products. We are eligible to receive reimbursement of certain our development expenses, success-based development and regulatory milestone payments, and low mid-single digit royalties on the net sales of the developed product in countries with patent coverage and a reduced royalty elsewhere.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U.S. Market Opportunity for Impede PSE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Reference Brand</w:t>
            </w:r>
            <w:r>
              <w:rPr>
                <w:rFonts w:ascii="Times New Roman" w:cs="Times New Roman" w:eastAsia="Times New Roman" w:hAnsi="Times New Roman"/>
                <w:sz w:val="30"/>
                <w:szCs w:val="30"/>
                <w:color w:val="auto"/>
                <w:vertAlign w:val="superscript"/>
              </w:rPr>
              <w:t>1</w:t>
            </w: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2014 Retail Sales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Brand Company</w:t>
            </w:r>
          </w:p>
        </w:tc>
        <w:tc>
          <w:tcPr>
            <w:tcW w:w="8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Ingredient(s)</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Millions)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Claritin-D</w:t>
            </w:r>
          </w:p>
        </w:tc>
        <w:tc>
          <w:tcPr>
            <w:tcW w:w="2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Bayer</w:t>
            </w:r>
          </w:p>
        </w:tc>
        <w:tc>
          <w:tcPr>
            <w:tcW w:w="8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PSE &amp; Loraditine</w:t>
            </w:r>
            <w:r>
              <w:rPr>
                <w:rFonts w:ascii="Times New Roman" w:cs="Times New Roman" w:eastAsia="Times New Roman" w:hAnsi="Times New Roman"/>
                <w:sz w:val="30"/>
                <w:szCs w:val="30"/>
                <w:color w:val="auto"/>
                <w:vertAlign w:val="superscript"/>
              </w:rPr>
              <w:t>2</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Allegra-D</w:t>
            </w:r>
          </w:p>
        </w:tc>
        <w:tc>
          <w:tcPr>
            <w:tcW w:w="2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Chattem</w:t>
            </w:r>
          </w:p>
        </w:tc>
        <w:tc>
          <w:tcPr>
            <w:tcW w:w="246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18"/>
                <w:szCs w:val="18"/>
                <w:color w:val="auto"/>
              </w:rPr>
              <w:t>PSE &amp; Fexofenadine</w:t>
            </w:r>
            <w:r>
              <w:rPr>
                <w:rFonts w:ascii="Times New Roman" w:cs="Times New Roman" w:eastAsia="Times New Roman" w:hAnsi="Times New Roman"/>
                <w:sz w:val="30"/>
                <w:szCs w:val="30"/>
                <w:color w:val="auto"/>
                <w:vertAlign w:val="superscript"/>
              </w:rPr>
              <w:t>2</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Zyrtec-D</w:t>
            </w:r>
          </w:p>
        </w:tc>
        <w:tc>
          <w:tcPr>
            <w:tcW w:w="2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Pfizer</w:t>
            </w:r>
          </w:p>
        </w:tc>
        <w:tc>
          <w:tcPr>
            <w:tcW w:w="246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8"/>
                <w:szCs w:val="18"/>
                <w:color w:val="auto"/>
              </w:rPr>
              <w:t>PSE &amp; Ceterizine</w:t>
            </w:r>
            <w:r>
              <w:rPr>
                <w:rFonts w:ascii="Times New Roman" w:cs="Times New Roman" w:eastAsia="Times New Roman" w:hAnsi="Times New Roman"/>
                <w:sz w:val="30"/>
                <w:szCs w:val="30"/>
                <w:color w:val="auto"/>
                <w:vertAlign w:val="superscript"/>
              </w:rPr>
              <w:t>2</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Advil Sinus</w:t>
            </w:r>
          </w:p>
        </w:tc>
        <w:tc>
          <w:tcPr>
            <w:tcW w:w="2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Pfizer</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PSE &amp; Ibuprofen</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Sudafed 12 Hour</w:t>
            </w:r>
          </w:p>
        </w:tc>
        <w:tc>
          <w:tcPr>
            <w:tcW w:w="2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J&amp;J</w:t>
            </w:r>
          </w:p>
        </w:tc>
        <w:tc>
          <w:tcPr>
            <w:tcW w:w="246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8"/>
                <w:szCs w:val="18"/>
                <w:color w:val="auto"/>
              </w:rPr>
              <w:t>PSE</w:t>
            </w:r>
            <w:r>
              <w:rPr>
                <w:rFonts w:ascii="Times New Roman" w:cs="Times New Roman" w:eastAsia="Times New Roman" w:hAnsi="Times New Roman"/>
                <w:sz w:val="30"/>
                <w:szCs w:val="30"/>
                <w:color w:val="auto"/>
                <w:vertAlign w:val="superscript"/>
              </w:rPr>
              <w:t>2</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Sudafed 30mg</w:t>
            </w:r>
          </w:p>
        </w:tc>
        <w:tc>
          <w:tcPr>
            <w:tcW w:w="2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J&amp;J</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PSE</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80" w:hanging="124"/>
        <w:spacing w:after="0"/>
        <w:tabs>
          <w:tab w:leader="none" w:pos="78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Branded product only. Does not include store brand sales.</w:t>
      </w:r>
    </w:p>
    <w:p>
      <w:pPr>
        <w:spacing w:after="0" w:line="42" w:lineRule="exact"/>
        <w:rPr>
          <w:rFonts w:ascii="Times New Roman" w:cs="Times New Roman" w:eastAsia="Times New Roman" w:hAnsi="Times New Roman"/>
          <w:sz w:val="30"/>
          <w:szCs w:val="30"/>
          <w:color w:val="auto"/>
          <w:vertAlign w:val="superscript"/>
        </w:rPr>
      </w:pPr>
    </w:p>
    <w:p>
      <w:pPr>
        <w:ind w:left="660"/>
        <w:spacing w:after="0" w:line="23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Extended release PSE formulations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2014 market for 30mg PSE tablets, including store brands was approximately 470 million tablets or 19 million boxes of 24 tablets. Nexafed is currently priced at $3.99 for a box of 24 tablets and Nexafed Sinus Pressure + Pain is currently priced at $7.50 for a box of 24 tablets.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 We believe Johnson and Johnson, after a several year hiatus, will be reintroducing Sudafed 30mg tablets, without any meth resistant technology, into the US market in July 2015 with a factory price consistent with Nexafed but with steep discounting to consumer in an effort to reestablish market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Labeling for Impede Technology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marketing our Nexafed and Nexafed Sinus Pressure + Pain products pursuant to the FDA’s OTC Monograph regulations, which require that our product have labeling as specified in the regulations. We are advertising the extraction characteristics and methamphetamine-resistant benefits of our Nexafed products which is supported by our published research studies.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Limitx™ Technology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Limitx™ technology is an early stage technology intended to address abuse by excess oral consumption of multiple tablets and provide a margin of safety during accidental over-ingestion of tablets. In proof of concept laboratory tests, Limitx™ tablets demonstrated the ability to limit the release of the active ingredient from tablets when multiple tablets are simultaneously introduced into simulated gastric fluid. Using ..055N HCl dissolution bath, a single Limitx tablet released most of its active ingredient within 15 minutes while eight Limitx tablets in the same bath released the equivalent of one tablet’s active ingredient in 15 minutes. Eight immediate-release tablets of a marketed product comparator released most of its active ingredient in 15 minutes compared with over 2 hours for the eight Limitx tablets.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The FDA’s 2015 Guidance singles out immediate-release combination products with acetaminophen as being predominately abused by the oral route and that reducing nasal snorting of these products may not be meaningful. The initial Limitx™ formulation utilizes hydromorphone as its sole active ingredient. We intend to initiate formulation development of a hydrocodone/APAP product candidate utilizing our Limitx technology upon the conclusion of formulation optimization for our Limitx hydromorphone product. We have been issued a Notice of Allowance by the USPTO for our patent application covering our Limitx™ technology.</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Development of our Limitx technology is being supported by a $300 thousand grant (the “Grant”) by the National Institute on Drug Abuse (“NIDA”) of the National Institutes of Health, of which we have received $214 thousand in July 2015. Phase I of development is to create an optimized formulation of our hydromorphone product candidate that can be commercially manufactured and is suitable for human testing. In Phase I, we will be developing a formulation and manufacturing process that mimics, at research scale batches, commercial manufacturing scale equipment and test and evaluate the tablets in our proof of concept dissolution apparatus. We have successfully manufactured small scale batches of the key micro-particle at our Culver facility but believe the manufacturing process used will not be scalable for commercial batches. We have completed the installation of new equipment for use in this process and run multiple test batches using different processing parameters. The initial test batches demonstrated that the micro-particles produced on the new equipment had slightly altered release characteristics than our early prototype formulations that we deemed unfavorable. We have begun experimenting with adding additional inactive ingredients into the micro-particle processing which has yielded some early promising results.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Phase II, we will perform human pharmacokinetic testing of our hydromorphone product candidate to characterize the release of drug in vivo. NIDA funding of Phase II development, for which an application has already been submitted, will be contingent upon (1) assessment by NIDA of the Phase I progress report and its determination that the Phase I milestones were achieved, (2) review and approval of other documents necessary for continuation, and</w:t>
      </w:r>
    </w:p>
    <w:p>
      <w:pPr>
        <w:spacing w:after="0" w:line="2" w:lineRule="exact"/>
        <w:rPr>
          <w:sz w:val="20"/>
          <w:szCs w:val="20"/>
          <w:color w:val="auto"/>
        </w:rPr>
      </w:pPr>
    </w:p>
    <w:p>
      <w:pPr>
        <w:jc w:val="both"/>
        <w:ind w:firstLine="8"/>
        <w:spacing w:after="0" w:line="255" w:lineRule="auto"/>
        <w:tabs>
          <w:tab w:leader="none" w:pos="2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funds. No assurance can be given that Phase II development funding will be provided by NIDA. We are assessing whether this initial pharmacokinetic study will require the filing of an Investigational New Drug application, or IND, with the FDA or if it can be executed under IND exemptions in the regulations.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Phase I research on the Company’s hydromorphone tablet utilizing Limitx™ technology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Aversion Technology Development Opioid Products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9, 2015, we announced the indefinite suspension of further development of our Aversion hydrocodone/APAP product candidate. We currently have 6 additional opioids at various stages of formulation development using the Aversion technology which are not being actively developed. We intended to focus our Aversion technology development efforts on the relaunch of Oxaydo and the development of potential line extension of Oxaydo at Egalet’s request.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development of some or all of our Aversion product candidates is re-commenced, each will require an abuse deterrent study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Aversion products to currently marketed products. Because our products use known active ingredients in approved dosage strengths, the safety and efficacy of the Aversion opioid will need to be established by a series of pharmacokinetic studies demonstrating: (a) bioequivalence to an approved reference drug, (b) food effect of our formulations, and (c) dose proportionality of our formulation.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development will likely also entail additional safety and/or efficacy assessment as may be identified by the FDA for each specific formulation during the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re-commence development of our Aversion candidates or if re-commenced, that we will receive FDA approval for any of such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Market Opportunity for Opioid Analgesic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250 million tablet and capsule prescriptions dispensed in 2014 of which approximately 235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2014, sales in the IR opioid product segment were approximately $3.0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2014 is provided below:</w:t>
      </w:r>
    </w:p>
    <w:p>
      <w:pPr>
        <w:spacing w:after="0" w:line="188" w:lineRule="exact"/>
        <w:rPr>
          <w:sz w:val="20"/>
          <w:szCs w:val="20"/>
          <w:color w:val="auto"/>
        </w:rPr>
      </w:pPr>
    </w:p>
    <w:tbl>
      <w:tblPr>
        <w:tblLayout w:type="fixed"/>
        <w:tblInd w:w="270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2014 US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IR Opioid Products</w:t>
            </w:r>
            <w:r>
              <w:rPr>
                <w:rFonts w:ascii="Times New Roman" w:cs="Times New Roman" w:eastAsia="Times New Roman" w:hAnsi="Times New Roman"/>
                <w:sz w:val="30"/>
                <w:szCs w:val="30"/>
                <w:color w:val="auto"/>
                <w:vertAlign w:val="superscript"/>
              </w:rPr>
              <w:t>(1)</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Prescriptions</w:t>
            </w: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2"/>
          </w:tcPr>
          <w:p>
            <w:pPr>
              <w:jc w:val="center"/>
              <w:ind w:right="100"/>
              <w:spacing w:after="0" w:line="269" w:lineRule="exact"/>
              <w:rPr>
                <w:sz w:val="20"/>
                <w:szCs w:val="20"/>
                <w:color w:val="auto"/>
              </w:rPr>
            </w:pPr>
            <w:r>
              <w:rPr>
                <w:rFonts w:ascii="Times New Roman" w:cs="Times New Roman" w:eastAsia="Times New Roman" w:hAnsi="Times New Roman"/>
                <w:sz w:val="18"/>
                <w:szCs w:val="18"/>
                <w:color w:val="auto"/>
                <w:w w:val="93"/>
              </w:rPr>
              <w:t>(Millions)</w:t>
            </w:r>
            <w:r>
              <w:rPr>
                <w:rFonts w:ascii="Times New Roman" w:cs="Times New Roman" w:eastAsia="Times New Roman" w:hAnsi="Times New Roman"/>
                <w:sz w:val="30"/>
                <w:szCs w:val="30"/>
                <w:color w:val="auto"/>
                <w:w w:val="93"/>
                <w:vertAlign w:val="superscript"/>
              </w:rPr>
              <w:t>(2)</w:t>
            </w: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of 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Hydrocodone</w:t>
            </w:r>
          </w:p>
        </w:tc>
        <w:tc>
          <w:tcPr>
            <w:tcW w:w="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Oxycodone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Tramadol</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Codeine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Others</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hanging="105"/>
        <w:spacing w:after="0"/>
        <w:tabs>
          <w:tab w:leader="none" w:pos="22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all salts and esters of the opioid and opioids in combination with other active ingredients such as acetaminophen.</w:t>
      </w:r>
    </w:p>
    <w:p>
      <w:pPr>
        <w:spacing w:after="0" w:line="42" w:lineRule="exact"/>
        <w:rPr>
          <w:rFonts w:ascii="Times New Roman" w:cs="Times New Roman" w:eastAsia="Times New Roman" w:hAnsi="Times New Roman"/>
          <w:sz w:val="30"/>
          <w:szCs w:val="30"/>
          <w:color w:val="auto"/>
          <w:vertAlign w:val="superscript"/>
        </w:rPr>
      </w:pPr>
    </w:p>
    <w:p>
      <w:pPr>
        <w:ind w:left="2120"/>
        <w:spacing w:after="0" w:line="23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IMS Health, 2014</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 We estimate 60-95% of the 37 million lifetime U.S. opioid abusers have engaged in the non-medical use of the active ingredients in our IR opioid product candidates. As indicated in the following chart, the top five abused opioid products are available only as IR opioid products.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Product Labeling for Abuse-Deterrent Opioid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We have committed to the FDA to undertake epidemiological studies to assess the actual consequences of abuse of Oxaydo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issued patents covering, among other things, Oxaydo and our Aversion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No. (Jurisdiction)</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Matter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Expires</w:t>
            </w:r>
          </w:p>
        </w:tc>
      </w:tr>
      <w:tr>
        <w:trPr>
          <w:trHeight w:val="191"/>
        </w:trPr>
        <w:tc>
          <w:tcPr>
            <w:tcW w:w="17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7,201,902 (US)</w:t>
            </w:r>
          </w:p>
        </w:tc>
        <w:tc>
          <w:tcPr>
            <w:tcW w:w="10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Pharmaceutical compositions including a mixture of functional inactive ingredients</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Apr. 2007</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Mar. 2025</w:t>
            </w:r>
          </w:p>
        </w:tc>
      </w:tr>
      <w:tr>
        <w:trPr>
          <w:trHeight w:val="234"/>
        </w:trPr>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specific opioid analgesics</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7,510,726 (US)</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wider range of compositions than those described in the 7,201,920 Patent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 2009</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r>
        <w:trPr>
          <w:trHeight w:val="216"/>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7,981,439 (US)</w:t>
            </w: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Pharmaceutical compositions including any water soluble drug susceptible to abuse</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Jul. 2011</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 2024</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8,409,616 (US)</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Pharmaceutical compositions of immediate-release abuse deterrent dosage forms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Apr. 2013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r>
        <w:trPr>
          <w:trHeight w:val="216"/>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8,637,540 (US)</w:t>
            </w: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Pharmaceutical compositions of immediate-release abuse deterrent opioid products</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Jan. 2014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977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issued patents related to our Aversion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Patent No. (Jurisdiction)</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Matter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Expires</w:t>
            </w:r>
          </w:p>
        </w:tc>
      </w:tr>
      <w:tr>
        <w:trPr>
          <w:trHeight w:val="191"/>
        </w:trPr>
        <w:tc>
          <w:tcPr>
            <w:tcW w:w="7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7,476,402</w:t>
            </w:r>
          </w:p>
        </w:tc>
        <w:tc>
          <w:tcPr>
            <w:tcW w:w="10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Pharmaceutical compositions of certain combinations of kappa and mu opioid</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Jan. 2009</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Nov. 2023</w:t>
            </w:r>
          </w:p>
        </w:tc>
      </w:tr>
      <w:tr>
        <w:trPr>
          <w:trHeight w:val="216"/>
        </w:trPr>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receptor agonists and other ingredients intended to deter opioid analgesic product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4"/>
        </w:trPr>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misuse and abuse</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198"/>
        </w:trPr>
        <w:tc>
          <w:tcPr>
            <w:tcW w:w="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8,822,489</w:t>
            </w:r>
          </w:p>
        </w:tc>
        <w:tc>
          <w:tcPr>
            <w:tcW w:w="11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Pharmaceutical  compositions  of  certain  abuse  deterrent  products  that  contain</w:t>
            </w:r>
          </w:p>
        </w:tc>
        <w:tc>
          <w:tcPr>
            <w:tcW w:w="16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Jul. 2014</w:t>
            </w: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Nov. 2023</w:t>
            </w:r>
          </w:p>
        </w:tc>
      </w:tr>
      <w:tr>
        <w:trPr>
          <w:trHeight w:val="234"/>
        </w:trPr>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polymers, surfactant and polysorb 80</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2004294953 (AUS)</w:t>
            </w: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Abuse deterrent pharmaceuticals</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Apr. 2010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2010200979 (AUS)</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Abuse deterrent pharmaceuticals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 2010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2,547,334</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w:t>
            </w: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Abuse deterrent pharmaceuticals</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 2010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2,647,360</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Abuse deterrent pharmaceuticals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May 2012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 2027</w:t>
            </w:r>
          </w:p>
        </w:tc>
      </w:tr>
      <w:tr>
        <w:trPr>
          <w:trHeight w:val="216"/>
        </w:trPr>
        <w:tc>
          <w:tcPr>
            <w:tcW w:w="1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175863 (ISR)</w:t>
            </w: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Abuse deterrent pharmaceuticals</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 2004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221018 (ISR)</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Abuse deterrent pharmaceuticals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 2004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630"/>
        </w:trPr>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-2083435</wp:posOffset>
            </wp:positionV>
            <wp:extent cx="7246620" cy="1663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6370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We have the following issued patent covering, among other things, our Nexafed product line and Impede 1.0 and 2.0 technologies: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No. (Jurisdiction)</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Matter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Expires</w:t>
            </w:r>
          </w:p>
        </w:tc>
      </w:tr>
      <w:tr>
        <w:trPr>
          <w:trHeight w:val="191"/>
        </w:trPr>
        <w:tc>
          <w:tcPr>
            <w:tcW w:w="17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8,901,113 (US)</w:t>
            </w:r>
          </w:p>
        </w:tc>
        <w:tc>
          <w:tcPr>
            <w:tcW w:w="100" w:type="dxa"/>
            <w:vAlign w:val="bottom"/>
            <w:tcBorders>
              <w:top w:val="single" w:sz="8" w:color="CCEEFF"/>
            </w:tcBorders>
            <w:shd w:val="clear" w:color="auto" w:fill="CCEEFF"/>
          </w:tcPr>
          <w:p>
            <w:pPr>
              <w:spacing w:after="0"/>
              <w:rPr>
                <w:sz w:val="16"/>
                <w:szCs w:val="16"/>
                <w:color w:val="auto"/>
              </w:rPr>
            </w:pPr>
          </w:p>
        </w:tc>
        <w:tc>
          <w:tcPr>
            <w:tcW w:w="6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Pharmaceutical compositions suitable for reducing the chemical conversion of</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Dec. 2014</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 2032</w:t>
            </w:r>
          </w:p>
        </w:tc>
      </w:tr>
      <w:tr>
        <w:trPr>
          <w:trHeight w:val="234"/>
        </w:trPr>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precursor compounds</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July 2014, we ceded priority of the ‘630 patent to a patent application filed by Purdue Pharma and expect this patent to be rescinded.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2015, we received a Notice of Allowance for the USPTO for our patent application covering our Limitx Technology.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issued U.S.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we have retained all intellectual property rights to our Aversion Technology, Impede Technology, Limitx Technology and related product candidates.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2012 and 2013, we received Paragraph IV Certification Notices from five generic sponsors of an ANDA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“Note 3 – License, Development and Commercialization Agreements - Paragraph IV ANDA Litigation and License Grants” for a discussion of the settlements and license grants relating to such patent litigation.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complaint seeks injunctive relief as well as awards of damages and attorneys’ fees. We deny the allegations in the complaint, believe they are without merit and are defending the action vigorously.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the Risk Factors contained in our Annual Report on Form 10-K for the year ended December 31, 2014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 Present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2015, we had cash, cash equivalents and marketable securities of $10.9 million compared to $12.1 million of cash, cash equivalents and marketable securities at December 31, 2014. We have a $2.5 million compensating balance requirement as a debt provision at June 30, 2015. Excluding the compensating balance requirement, the Company had unrestricted working capital of $5.6 million at June 30, 2015 compared to working capital of $10.2 million at December 31, 2014. We had an accumulated deficit of approximately $364 million and $362 million at June 30, 2015 and December 31, 2014, respectively. We had loss from operations of $0.9 million and net loss of $1.4 million for the six months ended June 30, 2015, compared to a loss from operation of $7.1 million and a net loss of $7.6 million for the six months ended June 30, 2014. As of July 30, 2015, our unrestricted cash, cash equivalents and marketable securities, less our compensating balance requirement of $2.5 million, was $14.9 million.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fund our continued operations, we expect to rely on our current cash resources, milestone and royalty payments, if any, that may be made under the Egalet Agreement, development reimbursement payments, milestones and royalty payments that may be made under the Bayer Agreement, milestones and royalty payments that may be made under future license agreements with other pharmaceutical company partners, of which there can be no assurance of obtaining, and revenues from our commercialization of our Nexafed products.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products, or invest in other areas.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the non-cash stock-based compensation associated with stock options and restricted stock units granted to employees and non-employee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2015 Compared to Three months Ended June 30, 2014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74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Increase (decrease)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$000’s</w:t>
            </w: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$000’s</w:t>
            </w: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Percent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sales, net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fee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 net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write-down</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2,739</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(3,521)</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1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of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for a period of up to twelve months after the product expiration. Both products currently have a shelf life of twenty-four months from the date of manufacture.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is being recognized at the time the product is sold to a customer.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License, Development, and Commercialization Agreement dated October 30, 2007 with King Pharmaceuticals Research and Development, Inc., now a subsidiary of Pfizer Inc., (which agreement has since been terminated effective April 2014) we began to earn royalties on Oxecta net sales starting in February 2013. We recorded royalties of approximately $1 thousand for the three months ended June 30, 2014 on Pfizer’s net sales of Oxecta of approximately $20 thousand. The Pfizer Agreement was terminated effective April 9, 2014 and Pfizer’s royalty payment obligations ceased as of such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Fees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7, 2015, we and Egalet US, Inc. and Egalet Ltd., each a subsidiary of Egalet Corporation, (collectively, “Egalet”) entered into a Collaboration and License Agreement (the “Egalet Agreement”) to commercialize Oxaydo™ tablets containing our Aversion® Technology. Egalet paid us an upfront payment of $5.0 million upon signing of the Egalet Agreement.</w:t>
      </w:r>
    </w:p>
    <w:p>
      <w:pPr>
        <w:spacing w:after="0" w:line="17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includes third-party acquisition costs, third-party warehousing and product distribution charges and inventory reserve charges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three months ended June 30, 2015 and 2014, cost of sales was $98 thousand and $42 thousand, respectively.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2015 and 2014, we recorded $47 thousand and $68 thousand inventory reserve expense against finished goods,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(R&amp;D) during the three months ended June 30, 2015 and 2014 was primarily for our Aversion or our Impede Technologies development including costs of preclinical and non-clinical, clinical trials, clinical supplies and related formulation and design costs, salaries and other personnel related expenses, and facility costs. Included in each of the three month 2015 and 2014 results are non-cash share-based compensation expenses of $39 thousand and $56 thousand million, respectively. Excluding the share-based compensation expense, our R&amp;D expenses decreased approximately $0.8 million between reporting periods primarily from a reduction in development expenses on product candidates.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during the three months ended June 30, 2015 and 2014 was primarily of advertising and marketing activities on the Nexafed product line. Our Nexafed advertising and marketing activities will continue in 2015. Our general and administrative expenses primarily consisted of legal, audit and other professional services, corporate insurance, and payroll. Included in each of the three month 2015 and 2014 results are non-cash share-based compensation expenses of $0.1 million and $0.2 million, respectively. Excluding the share-based compensation expense our selling, marketing, general and administrative expenses increased by $0.3 million between reporting periods, resulting primarily from an increase in advertising and marketing activities and our legal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2015 and 2014, non-operating expense consisted principally of interest expense on the $10.0 million promissory note we entered into on December 27, 2013 less investment income derived from our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2015 includes no federal or state income tax expense as we have no assurance of realizing operating income for the annual period of 2015. Our results for 2014 included no federal or state income tax benefit provisions due to uncertainty of their future utilization.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2015 Compared to Six months Ended June 30, 2014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Six Months Ended June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Increase (decrease)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$000’s</w:t>
            </w: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$000’s</w:t>
            </w:r>
          </w:p>
        </w:tc>
        <w:tc>
          <w:tcPr>
            <w:tcW w:w="10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Percent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sales,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fee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write-down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loss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(6,212)</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36</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of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for a period of up to twelve months after the product expiration. Both products currently have a shelf life of twenty-four months from the date of manufacture.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is being recognized at the time the product is sold to a customer.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License, Development, and Commercialization Agreement dated October 30, 2007 with King Pharmaceuticals Research and Development, Inc., now a subsidiary of Pfizer Inc., (which agreement has since been terminated effective April 2014) we began to earn royalties on Oxecta net sales starting in February 2013. We recorded royalties of approximately $4 thousand for the six months ended June 30, 2014 on Pfizer’s net sales of Oxecta of approximately $80 thousand. The Pfizer Agreement was terminated effective April 9, 2014 and Pfizer’s royalty payment obligations ceased as of such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Fees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7, 2015, we and Egalet US, Inc. and Egalet Ltd., each a subsidiary of Egalet Corporation, (collectively, “Egalet”) entered into a Collaboration and License Agreement (the “Egalet Agreement”) to commercialize Oxaydo™ tablets containing our Aversion® Technology. Egalet paid us an upfront payment of $5.0 million upon signing of the Egalet Agreement.</w:t>
      </w:r>
    </w:p>
    <w:p>
      <w:pPr>
        <w:spacing w:after="0" w:line="17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includes third-party acquisition costs, third-party warehousing and product distribution charges and inventory reserve charges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six months ended June 30, 2015 and 2014, cost of sales was $422 thousand and $80 thousand, respectively.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2015 and 2014, we recorded $47 thousand and $201 thousand inventory reserve expense against finished goods, respectively. During the six months ended June 30, 2015, we recorded a $260 thousand reserve against raw and packaging material inventories we purchased from Pfizer for the Oxaydo product we reacquired from them.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(R&amp;D) during the six months ended June 30, 2015 and 2014 was primarily for our Aversion or our Impede Technologies development including costs of preclinical and non-clinical, clinical trials, clinical supplies and related formulation and design costs, salaries and other personnel related expenses, and facility costs. Included in each of the six month 2015 and 2014 results are non-cash share-based compensation expenses of $0.1 million. Excluding the share-based compensation expense, our R&amp;D expenses decreased approximately $1.2 million between reporting periods primarily from a reduction in development expenses on product candidates.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during the six months ended June 30, 2015 and 2014 was primarily of advertising and marketing activities on the Nexafed product line. Our Nexafed advertising and marketing activities will continue in 2015. Our general and administrative expenses primarily consisted of legal, audit and other professional services, corporate insurance, and payroll. Included in each of the six month 2015 and 2014 results are non-cash share-based compensation expenses of $0.2 million and $0.3 million, respectively. Excluding the share-based compensation expense our selling, marketing, general and administrative expenses increased by $0.3 million between reporting periods, resulting primarily from increases in advertising and marketing activities and our legal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2015 and 2014, non-operating expense consisted principally of interest expense on the $10.0 million promissory note we entered into on December 27, 2013 less investment income derived from our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2015 includes no federal or state income tax expense as we have no assurance of realizing operating income for the annual period of 2015. Our results for 2014 included no federal or state income tax benefit provisions due to uncertainty of their future utilization.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2015, we had cash, cash equivalents and marketable securities $10.9 million compared to $12.1 million at December 31, 2014. We have a $2.5 million compensating balance requirement under our Oxford term loan. Excluding the compensating balance requirement, we had unrestricted working capital of $5.6 million at June 30, 2015 compared to $10.2 million at December 31, 2014.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Pending the receipt of further milestones and royalty payments under the Egalet Agreement, development reimbursement payments, milestones and royalty payments that may be made under the Bayer Agreement, milestones and royalty payments that may be made under similar agreements for our products in development anticipated to be negotiated and executed with other pharmaceutical company partners, of which no assurance can be given, we must rely on revenues from our Nexafed products sales and our cash and marketable securities to fund the development of our Impede Technology, Limitx Technology and Aversion Technology and related administrative and operating expenses. Our future sources of revenue, if any, will be derived from milestone payments and royalties under the Egalet Agreement, the Bayer Agreement and similar agreements for our products in development with other pharmaceutical company partners, for which there can be no assurance, and from the commercialization of our Nexafed products and other Impede Technology products that we expect to develop.</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30, 2015, our unrestricted cash, cash equivalents and marketable securities, less our compensating balance requirement of $2.5 million, was approximately $14.9 million. We estimate that such unrestricted cash reserves and marketable securities will be sufficient to fund the development of Impede Technology, Limitx Technology and Aversion Technology product candidates, and related operating expenses at least through the next 12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NASDAQ Notification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18, 2014 the Company received a written notification from NASDAQ notifying the Company that it had failed to comply with the $1.00 minimum bid price requirement in NASDAQ Listing Rule 5550(a)(2)(the “Rule”) because the bid price for the Company’s common stock over a period of 30 consecutive business days prior to such date had closed below the minimum $1.00 per share requirement for continued listing. In accordance with NASDAQ’s Listing Rule 5810(c)(3)(A), the Company had a period of 180 calendar days, or until March 17, 2015, to regain compliance with the Rule. After determining that it would not be in compliance with the Rule by March 17, 2015, the Company notified NASDAQ and applied for an extension of the cure period, as permitted under the original notification.</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NASDAQ Listing Rule 5810(c)(3)(A), NASDAQ granted a second grace period of 180 calendar days, or until September 14, 2015, to regain compliance with the minimum closing bid price requirement for continued listing. In order to regain compliance, the minimum closing bid price per share of the Company’s common stock must be at least $1.00 for a minimum of ten consecutive business days. If the Company fails to regain compliance by September 14, 2015, the Company’s stock will be subject to delisting by NASDAQ.</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Company’s bid price does not rise of its own accord, the Company intends to effect a reverse stock split at some point during the NASDAQ’s second grace period expiring September 14, 2015 in order to comply with the minimum bid requirement.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regain compliance with the minimum bid price requirement or maintain compliance with other listing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A of the Notes to Consolidated Financial Statements, in the Company’s 2014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2014 Annual Report are also applicable to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227" w:lineRule="exact"/>
        <w:rPr>
          <w:sz w:val="20"/>
          <w:szCs w:val="20"/>
          <w:color w:val="auto"/>
        </w:rPr>
      </w:pPr>
    </w:p>
    <w:p>
      <w:pPr>
        <w:jc w:val="both"/>
        <w:ind w:firstLine="8"/>
        <w:spacing w:after="0" w:line="255"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Disclosure Controls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management, with the participation of the Company’s Chief Executive Officer and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85" w:lineRule="exact"/>
        <w:rPr>
          <w:rFonts w:ascii="Times New Roman" w:cs="Times New Roman" w:eastAsia="Times New Roman" w:hAnsi="Times New Roman"/>
          <w:sz w:val="18"/>
          <w:szCs w:val="18"/>
          <w:color w:val="auto"/>
        </w:rPr>
      </w:pPr>
    </w:p>
    <w:p>
      <w:pPr>
        <w:ind w:right="20" w:firstLine="8"/>
        <w:spacing w:after="0" w:line="284" w:lineRule="auto"/>
        <w:tabs>
          <w:tab w:leader="none" w:pos="4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Changes in Internal Controls over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were no changes in our internal controls over financial reporting during the second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2015 that have materially affected, or are reasonably likely to materially affect, our internal controls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Note 3, “License, Development, and Commercialization Agreement – Paragraph IV ANDA Litigation and License Grants”, and Note 15, “Commitments and Contingencies,” in Part I, Item 1,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our common stock should consider the following risk factor, in addition to those risk factors set forth in our 2014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Additional Funding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anticipate that we will require additional financing or entry into license or collaborative agreements with third parties providing for net proceeds to the Company. No assurance can be given that the Company will be successful in obtaining any such financing or in securing license or collaborative agreement with third parties on acceptable terms, if at all, or if secured, that such financing or license or collaborative agreements will provide for payments to the Company sufficient to continue to fund operations. Although the Company believes it has cash and marketable securities sufficient to fund operations through at least the next 12 months, in the absence of such financing or third-party license or collaborative agreements, the Company may be required to scale back or terminate operations and/or seek protection under applicable bankruptcy laws. Even assuming the Company is successful in securing additional sources of financing to fund continued operations, there can be no assurance that the proceeds of such financing will be sufficient to fund operations until such time, if at all, that the Company generates sufficient revenue from our products and product candidates to sustain and grow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License and Development Agreement dated as of June 5, 2015 between the Registrant and Bayer HealthCare LLC (certain</w:t>
            </w:r>
          </w:p>
        </w:tc>
      </w:tr>
      <w:tr>
        <w:trPr>
          <w:trHeight w:val="216"/>
        </w:trPr>
        <w:tc>
          <w:tcPr>
            <w:tcW w:w="1200" w:type="dxa"/>
            <w:vAlign w:val="bottom"/>
          </w:tcPr>
          <w:p>
            <w:pPr>
              <w:spacing w:after="0"/>
              <w:rPr>
                <w:sz w:val="18"/>
                <w:szCs w:val="18"/>
                <w:color w:val="auto"/>
              </w:rPr>
            </w:pP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information has been omitted and filed separately with the Securities and Exchange Commission and confidential treatment has been</w:t>
            </w:r>
          </w:p>
        </w:tc>
      </w:tr>
      <w:tr>
        <w:trPr>
          <w:trHeight w:val="234"/>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requested with respect to the omitted portion).</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pursuant to Rule 13a-14 and 15d-14 of the Securities Exchange Act of</w:t>
            </w:r>
          </w:p>
        </w:tc>
      </w:tr>
      <w:tr>
        <w:trPr>
          <w:trHeight w:val="234"/>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1934.</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pursuant to Rule 13a-14 and 15d-14 of the Securities Exchange Act of</w:t>
            </w:r>
          </w:p>
        </w:tc>
      </w:tr>
      <w:tr>
        <w:trPr>
          <w:trHeight w:val="234"/>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1934.</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Periodic Report by the Chief Executive Officer and Chief Financial Officer pursuant to 18 U.S.C. Section 1350, as</w:t>
            </w:r>
          </w:p>
        </w:tc>
      </w:tr>
      <w:tr>
        <w:trPr>
          <w:trHeight w:val="234"/>
        </w:trPr>
        <w:tc>
          <w:tcPr>
            <w:tcW w:w="1200" w:type="dxa"/>
            <w:vAlign w:val="bottom"/>
          </w:tcPr>
          <w:p>
            <w:pPr>
              <w:spacing w:after="0"/>
              <w:rPr>
                <w:sz w:val="20"/>
                <w:szCs w:val="20"/>
                <w:color w:val="auto"/>
              </w:rPr>
            </w:pP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864"/>
        </w:trPr>
        <w:tc>
          <w:tcPr>
            <w:tcW w:w="120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420"/>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420"/>
          </w:cols>
          <w:pgMar w:left="240" w:top="874"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July 30, 2015</w:t>
      </w:r>
      <w:r>
        <w:rPr>
          <w:sz w:val="20"/>
          <w:szCs w:val="20"/>
          <w:color w:val="auto"/>
        </w:rPr>
        <w:tab/>
      </w:r>
      <w:r>
        <w:rPr>
          <w:rFonts w:ascii="Times New Roman" w:cs="Times New Roman" w:eastAsia="Times New Roman" w:hAnsi="Times New Roman"/>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Robert B. Jones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Peter A. Clemens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VP &amp;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AND DEVELOPMENT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License and Development Agreement (“Agreement”) is made and entered into as of this June 5, 2015 (the “Effective Date”) by and between Bayer HealthCare LLC, with offices at 100 Bayer Blvd., Whippany, NJ 07981 (“Bayer”), and Acura Pharmaceuticals, Inc., with offices at 616 N. North Court, Palatine IL 60067 (“Acura”). Bayer and Acura each are referred to herein as a “Party” and collectively as the “Parties.”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jc w:val="both"/>
        <w:ind w:left="66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Acura has developed Impede® Technology designed to prevent extraction of pseudoephedrine from tablets and to disrupt the direct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pseudoephedrine from tablets into methamphetamine;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Bayer and its Affiliates have substantial expertise in the distribution, sales and marketing of healthcare products worldwide;</w:t>
      </w:r>
    </w:p>
    <w:p>
      <w:pPr>
        <w:spacing w:after="0" w:line="225" w:lineRule="exact"/>
        <w:rPr>
          <w:sz w:val="20"/>
          <w:szCs w:val="20"/>
          <w:color w:val="auto"/>
        </w:rPr>
      </w:pPr>
    </w:p>
    <w:p>
      <w:pPr>
        <w:jc w:val="both"/>
        <w:ind w:left="660" w:hanging="647"/>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Acura wishes to grant to Bayer, and Bayer wishes to obtain, the rights to (i) make, have made, distribute, have distributed, sell, have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have marketed, commercialize, and have commercialized the Developed Product(s) utilizing the Impede® Technology in the Field in the Territory, on the terms and conditions set forth herein (as each such term in defined herein);</w:t>
      </w:r>
    </w:p>
    <w:p>
      <w:pPr>
        <w:spacing w:after="0" w:line="171" w:lineRule="exact"/>
        <w:rPr>
          <w:sz w:val="20"/>
          <w:szCs w:val="20"/>
          <w:color w:val="auto"/>
        </w:rPr>
      </w:pPr>
    </w:p>
    <w:p>
      <w:pPr>
        <w:jc w:val="both"/>
        <w:ind w:left="66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the mutual promises, covenants and conditions contained in this Agreement,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 – DEFINITIONS</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corporation or other entity, which directly or indirectly controls, is controlled by or is under common control with a Party. A corporation or other entity shall be regarded as in control of another corporation or entity if it owns or directly or indirectly controls more than Fifty Percent (50%) of the voting stock or other ownership interest of the other corporation or entity, or if it possesses, directly or indirectly, the power to direct or cause the direction of the management and policies of the corporation or other entity or the power to elect or appoint more than Fifty Percent (50%) of the members of the governing body of the corporation or other entity. Notwithstanding the foregoing, a private equity or venture capital firm with an ownership interest in an entity shall not be an Affiliate by reason of such ownership and portfolio companies of a private equity firm or a venture capital firm shall not be Affiliates or a Party by virtue of the private equity firm or venture capital firm being Affiliates of a Party.</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3" w:name="page44"/>
    <w:bookmarkEnd w:id="4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Allergy Product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domestic or foreign, federal, state or local statute, treaty, law, ordinance, rule, regulation, administrative interpretation, order, writ, injunction, judicial decision, decree or other requirement of any governmental authority, including any rules, regulations or other requirements of the Regulatory Authorities in the Territory, applicable to such Person or any of such Person’s respective properties, assets, officers, directors, employees, consultants or agents.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Budget</w:t>
      </w:r>
      <w:r>
        <w:rPr>
          <w:rFonts w:ascii="Times New Roman" w:cs="Times New Roman" w:eastAsia="Times New Roman" w:hAnsi="Times New Roman"/>
          <w:sz w:val="17"/>
          <w:szCs w:val="17"/>
          <w:color w:val="auto"/>
        </w:rPr>
        <w:t xml:space="preserve">” is the budget for the proposed development of the Developed Product as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and as amended in writing by the DC.</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Commercialization Condition</w:t>
      </w:r>
      <w:r>
        <w:rPr>
          <w:rFonts w:ascii="Times New Roman" w:cs="Times New Roman" w:eastAsia="Times New Roman" w:hAnsi="Times New Roman"/>
          <w:sz w:val="17"/>
          <w:szCs w:val="17"/>
          <w:color w:val="auto"/>
        </w:rPr>
        <w:t>” [*****].</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a Party, the efforts and resources which would be used (including the promptness in which such efforts and resources would be applied) by that Party consistent with its normal business practices and in compliance with Applicable Law and the exercise of prudent scientific and business judgment, which in no event shall be less than the level of efforts and resources standard in the pharmaceutical industry for a company similar in size and scope to such Party, with respect to a product or potential product at a similar stage in its development and with similar market potential or product life cycle taking into account efficacy, safety, commercial value, the competitiveness of alternative products of Third Parties that are in the marketplace, and the Patent Rights and other proprietary position of such product.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is defined in Section 7.1 herein below.</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Competing Product</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Intellectual Property Rights, ownership or the possession of the ability by license or otherwise to assign or grant a license or sublicense to or disclose such Intellectual Property Rights without violating the terms of any agreement or other arrangement, express or implied, with any Third Party.</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w:t>
      </w:r>
      <w:r>
        <w:rPr>
          <w:rFonts w:ascii="Times New Roman" w:cs="Times New Roman" w:eastAsia="Times New Roman" w:hAnsi="Times New Roman"/>
          <w:sz w:val="18"/>
          <w:szCs w:val="18"/>
          <w:color w:val="auto"/>
        </w:rPr>
        <w:t>” means a Development Committee.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Delivery</w:t>
      </w:r>
      <w:r>
        <w:rPr>
          <w:rFonts w:ascii="Times New Roman" w:cs="Times New Roman" w:eastAsia="Times New Roman" w:hAnsi="Times New Roman"/>
          <w:sz w:val="17"/>
          <w:szCs w:val="17"/>
          <w:color w:val="auto"/>
        </w:rPr>
        <w:t>” has the meaning set forth in Section 5.2.</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4" w:name="page45"/>
    <w:bookmarkEnd w:id="44"/>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xml:space="preserve">” means the plan for the development of the Developed Product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the same may be amended by the Parties in writing.</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Developed Product(s)</w:t>
      </w:r>
      <w:r>
        <w:rPr>
          <w:rFonts w:ascii="Times New Roman" w:cs="Times New Roman" w:eastAsia="Times New Roman" w:hAnsi="Times New Roman"/>
          <w:sz w:val="17"/>
          <w:szCs w:val="17"/>
          <w:color w:val="auto"/>
        </w:rPr>
        <w:t>” means a [*****] product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United States Food and Drug Administration, or any successor thereto.</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Field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means</w:t>
      </w:r>
      <w:r>
        <w:rPr>
          <w:rFonts w:ascii="Times New Roman" w:cs="Times New Roman" w:eastAsia="Times New Roman" w:hAnsi="Times New Roman"/>
          <w:sz w:val="17"/>
          <w:szCs w:val="17"/>
          <w:color w:val="auto"/>
        </w:rPr>
        <w:t xml:space="preserve"> over-the-counter (non-prescription) (“OTC”) and prescription (“Rx”) products.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FTE Expense</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generally accepted accounting principles in effect in the United States from time to time applied on a consistent basis.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Gross Sales</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Impede® Patent Rights</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Impede® Technology</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any development data, results, records, reports, and technical information and information of any type whatsoever, in any tangible or intangible form, including, without limitation, technical, reports, specifications, test data (including pharmacological, biological, chemical, biochemical, toxicological, preclinical and clinical test data), analytical and quality control data, stability data, other study data and procedures.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“Infringing Competing Product</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Know-How, registered trademarks, trademark applications, unregistered trademarks, trade dress, copyrights, and Patent Rights.</w:t>
      </w:r>
    </w:p>
    <w:p>
      <w:pPr>
        <w:spacing w:after="0" w:line="15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all Information that is Controlled by a Party, including but not limited to ideas, concepts, discoveries, inventions, developments, and improvements.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b w:val="1"/>
          <w:bCs w:val="1"/>
          <w:color w:val="auto"/>
        </w:rPr>
        <w:t xml:space="preserve">“Know-How Royalty Payment” </w:t>
      </w:r>
      <w:r>
        <w:rPr>
          <w:rFonts w:ascii="Times New Roman" w:cs="Times New Roman" w:eastAsia="Times New Roman" w:hAnsi="Times New Roman"/>
          <w:sz w:val="18"/>
          <w:szCs w:val="18"/>
          <w:color w:val="auto"/>
        </w:rPr>
        <w:t>is defined in Section 4.2.1</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5" w:name="page46"/>
    <w:bookmarkEnd w:id="45"/>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w:t>
      </w:r>
      <w:r>
        <w:rPr>
          <w:rFonts w:ascii="Times New Roman" w:cs="Times New Roman" w:eastAsia="Times New Roman" w:hAnsi="Times New Roman"/>
          <w:sz w:val="17"/>
          <w:szCs w:val="17"/>
          <w:color w:val="auto"/>
        </w:rPr>
        <w:t>” has the meaning set forth in Section 3.1.</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Major Foreign Markets</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Milestone Payments</w:t>
      </w:r>
      <w:r>
        <w:rPr>
          <w:rFonts w:ascii="Times New Roman" w:cs="Times New Roman" w:eastAsia="Times New Roman" w:hAnsi="Times New Roman"/>
          <w:sz w:val="17"/>
          <w:szCs w:val="17"/>
          <w:color w:val="auto"/>
        </w:rPr>
        <w:t>” is defined in Section 4.1.</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Sales</w:t>
      </w:r>
      <w:r>
        <w:rPr>
          <w:rFonts w:ascii="Times New Roman" w:cs="Times New Roman" w:eastAsia="Times New Roman" w:hAnsi="Times New Roman"/>
          <w:sz w:val="17"/>
          <w:szCs w:val="17"/>
          <w:color w:val="auto"/>
        </w:rPr>
        <w:t>” means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Non-Delivery Notice</w:t>
      </w:r>
      <w:r>
        <w:rPr>
          <w:rFonts w:ascii="Times New Roman" w:cs="Times New Roman" w:eastAsia="Times New Roman" w:hAnsi="Times New Roman"/>
          <w:sz w:val="18"/>
          <w:szCs w:val="18"/>
          <w:color w:val="auto"/>
        </w:rPr>
        <w:t>” is defined in Section 5.2.</w:t>
      </w:r>
    </w:p>
    <w:p>
      <w:pPr>
        <w:spacing w:after="0" w:line="225"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patents and patent applications, and all divisionals, continuations, continuations in part, reissues, extensions, supplementary protection certificates and foreign counterparts thereof.</w:t>
      </w:r>
    </w:p>
    <w:p>
      <w:pPr>
        <w:spacing w:after="0" w:line="15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general partnership, a limited partnership, a limited liability company, a limited liability partnership, an association, a trust or any other entity or organization.</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Pilot BE Study</w:t>
      </w:r>
      <w:r>
        <w:rPr>
          <w:rFonts w:ascii="Times New Roman" w:cs="Times New Roman" w:eastAsia="Times New Roman" w:hAnsi="Times New Roman"/>
          <w:sz w:val="18"/>
          <w:szCs w:val="18"/>
          <w:color w:val="auto"/>
        </w:rPr>
        <w:t xml:space="preserve">” means in vivo pharmacokinetic studies designed to test bioequivalence on [*****] meeting the criteria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PSE</w:t>
      </w:r>
      <w:r>
        <w:rPr>
          <w:rFonts w:ascii="Times New Roman" w:cs="Times New Roman" w:eastAsia="Times New Roman" w:hAnsi="Times New Roman"/>
          <w:sz w:val="17"/>
          <w:szCs w:val="17"/>
          <w:color w:val="auto"/>
        </w:rPr>
        <w:t>” means pseudoephedrine or a pharmaceutically acceptable salt thereof.</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the license or final FDA, or equivalent foreign governmental authority, marketing approval necessary as a prerequisite for marketing the Developed Product in a country in the Territory.</w:t>
      </w:r>
    </w:p>
    <w:p>
      <w:pPr>
        <w:spacing w:after="0" w:line="155"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 Application</w:t>
      </w:r>
      <w:r>
        <w:rPr>
          <w:rFonts w:ascii="Times New Roman" w:cs="Times New Roman" w:eastAsia="Times New Roman" w:hAnsi="Times New Roman"/>
          <w:sz w:val="18"/>
          <w:szCs w:val="18"/>
          <w:color w:val="auto"/>
        </w:rPr>
        <w:t>” means shall mean any filing(s) made with the Regulatory Authority in any country in the Territory for Regulatory Approval of the marketing, manufacture and sale (and pricing when applicable) of the Developed Product in such country.</w:t>
      </w:r>
    </w:p>
    <w:p>
      <w:pPr>
        <w:spacing w:after="0" w:line="15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the FDA in the U.S., and any health regulatory authority(ies) in any other country in the Territory that is a counterpart to the FDA and has responsibility for granting regulatory approval for the marketing, manufacture, and sale of the Developed Product in such country, including, but not limited to, pricing and reimbursement approvals, and any successor(s) thereto, as well as any state or local health regulatory authorities having jurisdiction over any activities contemplated by the Parties.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 of First Negotiation Product</w:t>
      </w:r>
      <w:r>
        <w:rPr>
          <w:rFonts w:ascii="Times New Roman" w:cs="Times New Roman" w:eastAsia="Times New Roman" w:hAnsi="Times New Roman"/>
          <w:sz w:val="17"/>
          <w:szCs w:val="17"/>
          <w:color w:val="auto"/>
        </w:rPr>
        <w:t>” is defined in Section 3.7.</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means the Standard Royalty Payments and the Know-how Royalty Payments.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Report</w:t>
      </w:r>
      <w:r>
        <w:rPr>
          <w:rFonts w:ascii="Times New Roman" w:cs="Times New Roman" w:eastAsia="Times New Roman" w:hAnsi="Times New Roman"/>
          <w:sz w:val="17"/>
          <w:szCs w:val="17"/>
          <w:color w:val="auto"/>
        </w:rPr>
        <w:t>” is defined in Section 4.3.</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b w:val="1"/>
          <w:bCs w:val="1"/>
          <w:color w:val="auto"/>
        </w:rPr>
        <w:t xml:space="preserve">“Standard Royalty Payment” </w:t>
      </w:r>
      <w:r>
        <w:rPr>
          <w:rFonts w:ascii="Times New Roman" w:cs="Times New Roman" w:eastAsia="Times New Roman" w:hAnsi="Times New Roman"/>
          <w:sz w:val="18"/>
          <w:szCs w:val="18"/>
          <w:color w:val="auto"/>
        </w:rPr>
        <w:t>is defined in Section 4.2.1</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Target Product Profile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has the meaning set forth in Section 2.1.</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the world.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any entity other than Acura and its Affiliates and Bayer and its Affiliates.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Valid</w:t>
      </w:r>
      <w:r>
        <w:rPr>
          <w:rFonts w:ascii="Times New Roman" w:cs="Times New Roman" w:eastAsia="Times New Roman" w:hAnsi="Times New Roman"/>
          <w:sz w:val="17"/>
          <w:szCs w:val="17"/>
          <w:color w:val="auto"/>
        </w:rPr>
        <w:t>” means, with respect to a Impede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Patent Rights in a particular country, such Impede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Patent Rights have not (A) expired or been cancelled,</w:t>
      </w:r>
    </w:p>
    <w:p>
      <w:pPr>
        <w:spacing w:after="0" w:line="31" w:lineRule="exact"/>
        <w:rPr>
          <w:sz w:val="20"/>
          <w:szCs w:val="20"/>
          <w:color w:val="auto"/>
        </w:rPr>
      </w:pPr>
    </w:p>
    <w:p>
      <w:pPr>
        <w:jc w:val="both"/>
        <w:ind w:left="660" w:hanging="4"/>
        <w:spacing w:after="0" w:line="255" w:lineRule="auto"/>
        <w:tabs>
          <w:tab w:leader="none" w:pos="9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declared invalid or unenforceable by a decision of a court or other appropriate body of competent jurisdiction, from which no appeal is or can be taken, (C) been admitted to be invalid or unenforceable through reissue, disclaimer or otherwise, or (D) been abandoned or disclaimed either affirmatively or by operation of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II-TERM AND TERMINATION</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Term and Expiration</w:t>
      </w:r>
      <w:r>
        <w:rPr>
          <w:rFonts w:ascii="Times New Roman" w:cs="Times New Roman" w:eastAsia="Times New Roman" w:hAnsi="Times New Roman"/>
          <w:sz w:val="18"/>
          <w:szCs w:val="18"/>
          <w:color w:val="auto"/>
        </w:rPr>
        <w:t>. The Term of this Agreement shall be on a country-by-country basis and, with respect to each country, will begin on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Effective Date and will expire on the later of the date that (i) the Impede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Patent Rights in such country are not Valid or do not claim the Developed Product; or (ii) is [*****] post launch of the Developed Product in such country in which there are not any Impede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Patent Rights that are both Valid and claim the Developed Product. The Agreement shall expire in its entirety when the Term has expired for all countries.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Termination</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Before Delivery, Bayer may terminate this Agreement in its entirety immediately upon written notice to Acura. After Delivery, Bayer may terminate this Agreement at will upon [*****] notice to Acura.</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Acura may terminate this Agreement at any time upon sixty (60) days’ written notice to Bayer if Bayer does not launch the Developed Product in the United States [*****] Nothing in this Section 2.2.2 shall relieve Bayer of its obligations to use Commercially Reasonable Efforts to commercialize the Developed Product.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7" w:name="page48"/>
    <w:bookmarkEnd w:id="47"/>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Acura may terminate this Agreement at any time [*****] if Bayer suspends commercialization of the Developed Product in the United States for more than [*****]. Nothing in this Section 2.2.3 shall relieve Bayer of its obligations to use Commercially Reasonable Efforts to commercialize the Developed Product.</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Acura may terminate this Agreement at any time upon sixty (60) days’ written notice to Bayer if Bayer for an aggregate period greater than [*****] has not conducted any development of the Developed Product for the United States prior to Regulatory Approval for the United States, [*****].</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With respect to each Major Foreign Market, if Bayer does not (i) initiate development of the Developed Product for such Major Foreign Market within [*****].</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If Bayer or an Affiliate of Bayer files or has a Regulatory Approval Application pending or seeks Regulatory Approval of, or holds, directly or indirectly, including by way of a license, a Regulatory Approval for, or launches or assist a Third Party in the launch of an Infringing Competing Product or Competing Product in a country in the Territory, Acura may elect to terminate this Agreement with respect to such country only. Bayer shall provide written notice to Acura within [*****] days after (i) it or an Affiliate files or has pending a Regulatory Approval application for a Competing Product or an Infringing Competing Product or (ii) after receipt by it or an Affiliate of Bayer of receipt, or holding of a Regulatory Approval for the Developed Product.</w:t>
      </w:r>
    </w:p>
    <w:p>
      <w:pPr>
        <w:spacing w:after="0" w:line="188"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Either Party may terminate the Agreement in its entirety by giving written notice of termination at any time, if the other Party fails to fulfill or breaches any material term or condition of this Agreement, and does not remedy the failure or breach within [*****] of receipt of written notice specifying such failure or breach given by the other Party; or if the other Party becomes insolvent, makes an assignment for the benefit of its creditors, is subject to proceedings in voluntary or involuntary bankruptcy instituted on behalf of or against such Party, goes into liquidation or has a receiver or trustee appointed for all or substantially all of its property.</w:t>
      </w:r>
    </w:p>
    <w:p>
      <w:pPr>
        <w:spacing w:after="0" w:line="184"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Consequences of Expiration</w:t>
      </w:r>
      <w:r>
        <w:rPr>
          <w:rFonts w:ascii="Times New Roman" w:cs="Times New Roman" w:eastAsia="Times New Roman" w:hAnsi="Times New Roman"/>
          <w:sz w:val="18"/>
          <w:szCs w:val="18"/>
          <w:color w:val="auto"/>
        </w:rPr>
        <w:t>. Upon expiration of this Agreement with respect to a country, Bayer shall retain a non-exclusive, perpetual, irrevocable,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fully paid-up and royalty-free license to, have made, sell, promote, or otherwise exploit the Developed Product in such country.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Consequences of Termination</w:t>
      </w:r>
      <w:r>
        <w:rPr>
          <w:rFonts w:ascii="Times New Roman" w:cs="Times New Roman" w:eastAsia="Times New Roman" w:hAnsi="Times New Roman"/>
          <w:sz w:val="18"/>
          <w:szCs w:val="18"/>
          <w:color w:val="auto"/>
        </w:rPr>
        <w:t>. Upon termination of this Agreement with respect to one or more countries: (i) all of Bayer’s licenses with respect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Acura’s trademarks and the Impede® Technology with respect to the terminated countries shall terminate; (ii) Bayer shall retain its Regulatory Approvals with respect to the Developed Product for the terminated countries; (iii) if the termination is by [*****], Acura’s non-compete contained in [*****]; (vi) if the termination of this Agreement is for all countries (e.g., in its entirety), Bayer shall pay [*****]; and (v) Bayer’s right of reference [*****].</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Accrued Rights; Surviving Obligations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Termination, relinquishment or expiration of this Agreement for any reason shall be without prejudice to any rights that shall have accrued to the benefit of either Party prior to such termination, relinquishment or expiration. Such termination, relinquishment or expiration shall not relieve either Party from obligations that are expressly indicated to survive termination or expiration of this Agreement.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All of the Parties’ rights and obligations under [*****], shall survive termination, relinquishment or expiration of this Agreement, and all other provisions reasonable construed to survive shall also survive termination or expiration. Where a provision specifies a survival period, such provision shall survive only during such survival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III-LICENSE AND COMMERCIALIZATION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Acura hereby grants Bayer an exclusive (even as to Acura), sub-licensable (subject to Section 3.8), royalty-bearing right and license under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Impede® Patent Rights to develop, manufacture, have manufactured, distribute, have distributed, sell, have sold, market, have marketed, commercialize and have commercialized the Developed Product(s) in the Field in the Territory.</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No Other Rights and Retained Rights</w:t>
      </w:r>
      <w:r>
        <w:rPr>
          <w:rFonts w:ascii="Times New Roman" w:cs="Times New Roman" w:eastAsia="Times New Roman" w:hAnsi="Times New Roman"/>
          <w:sz w:val="18"/>
          <w:szCs w:val="18"/>
          <w:color w:val="auto"/>
        </w:rPr>
        <w:t>. This Agreement confers no right, license or interest by implication, estoppel, or otherwise under any Patent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Rights, Confidential Information, Know-How or other Intellectual Property (including but not limited to trade secrets, formulations, manufacturing processes, data) that was owned by a Party prior to signing the Agreement except as expressly set forth in this </w:t>
      </w:r>
      <w:r>
        <w:rPr>
          <w:rFonts w:ascii="Times New Roman" w:cs="Times New Roman" w:eastAsia="Times New Roman" w:hAnsi="Times New Roman"/>
          <w:sz w:val="18"/>
          <w:szCs w:val="18"/>
          <w:b w:val="1"/>
          <w:bCs w:val="1"/>
          <w:color w:val="auto"/>
        </w:rPr>
        <w:t>Article III</w:t>
      </w:r>
      <w:r>
        <w:rPr>
          <w:rFonts w:ascii="Times New Roman" w:cs="Times New Roman" w:eastAsia="Times New Roman" w:hAnsi="Times New Roman"/>
          <w:sz w:val="18"/>
          <w:szCs w:val="18"/>
          <w:color w:val="auto"/>
        </w:rPr>
        <w:t>. Each Party hereby expressly retains and reserves all rights and interests with respect to patents, Confidential Information, technology or other intellectual property rights not expressly granted to the other Party hereunder.</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both"/>
        <w:ind w:left="660" w:hanging="647"/>
        <w:spacing w:after="0" w:line="270"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Bayer to use CRE</w:t>
      </w:r>
      <w:r>
        <w:rPr>
          <w:rFonts w:ascii="Times New Roman" w:cs="Times New Roman" w:eastAsia="Times New Roman" w:hAnsi="Times New Roman"/>
          <w:sz w:val="17"/>
          <w:szCs w:val="17"/>
          <w:color w:val="auto"/>
        </w:rPr>
        <w:t>. Bayer shall use Commercially Reasonable Efforts to market and sell Developed Product in the United States and Major Foreign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Markets, after obtaining Regulatory Approval for the Developed Product in such country; provided, however, that (i) Bayer shall have sole discretion and control as to the manner and extent of such commercialization of such Developed Product and (ii) subject to Section 2.2 and 4.5.1, Bayer shall have the right to postpone or delay the commercial launch of such Developed Product or discontinue, interrupt or cease the marketing and sale of such Developed Product in Territory if the commercialization of Developed Product is reasonably determined by Bayer to be economically unviable or in the event litigation is pending or threatened with respect to such Developed Product. During the Term, Bayer shall have the sole obligation and responsibility, and at its sole cost and expense, for all aspects of manufacturing, including without limitation, testing packaging and labelling the Developed Product, and any costs associated with storage, release and Third Party logistics. As part of such responsibilities, Bayer shall have the sole responsibility to obtain or to coordinate with and provide to its contract manufacturer such information and materials as shall be reasonably necessary to obtain sufficient quota for active pharmaceutical ingredients from the Drug Enforcement Administration, and similar foreign agencies. Bayer shall be solely responsible at its cost and expense for any recalls or withdrawals of Developed Product.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Right of Reference</w:t>
      </w:r>
      <w:r>
        <w:rPr>
          <w:rFonts w:ascii="Times New Roman" w:cs="Times New Roman" w:eastAsia="Times New Roman" w:hAnsi="Times New Roman"/>
          <w:sz w:val="17"/>
          <w:szCs w:val="17"/>
          <w:color w:val="auto"/>
        </w:rPr>
        <w:t>. Acura grants Bayer a right of reference to [*****].</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Acura will not file a Regulatory Approval Application or seek Regulatory Approval of or launch or assist a Third Party in the launch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an Infringing Competing Product or a Competing Product in a country in the Territory [*****].</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Allergy Product Development</w:t>
      </w:r>
      <w:r>
        <w:rPr>
          <w:rFonts w:ascii="Times New Roman" w:cs="Times New Roman" w:eastAsia="Times New Roman" w:hAnsi="Times New Roman"/>
          <w:sz w:val="18"/>
          <w:szCs w:val="18"/>
          <w:color w:val="auto"/>
        </w:rPr>
        <w:t>. Acura will not file a Regulatory Approval Application or seek Regulatory Approval of or launch or assist a Third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Party in the launch of an Allergy Product containing Acura’s Impede® Technology [*****].</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Right of First Negotiation Product</w:t>
      </w:r>
      <w:r>
        <w:rPr>
          <w:rFonts w:ascii="Times New Roman" w:cs="Times New Roman" w:eastAsia="Times New Roman" w:hAnsi="Times New Roman"/>
          <w:sz w:val="18"/>
          <w:szCs w:val="18"/>
          <w:color w:val="auto"/>
        </w:rPr>
        <w:t>. As used in this Agreement, “Right of First Negotiation Product” means a product containing the following as 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only active pharmaceutical ingredients: [*****]. If Acura [*****] and in each case Acura determines to license, develop, collaborate with respect to or sell such Right of First Negotiation Product, then it will send Bayer written notice of same, before offering such Right of First Negotiation Product to any Third Party. [*****]. This Section 3.7 shall not survive termination or expiration of this Agreement.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u w:val="single" w:color="auto"/>
          <w:color w:val="auto"/>
        </w:rPr>
        <w:t>Sublicenses</w:t>
      </w:r>
      <w:r>
        <w:rPr>
          <w:rFonts w:ascii="Times New Roman" w:cs="Times New Roman" w:eastAsia="Times New Roman" w:hAnsi="Times New Roman"/>
          <w:sz w:val="18"/>
          <w:szCs w:val="18"/>
          <w:color w:val="auto"/>
        </w:rPr>
        <w:t>. Bayer shall not grant a sublicense in the United States of the licenses granted to it under Section 3.1, to a Third Party to market or sell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Developed Product without the consent of Acura, such consent not be unreasonably withheld. Bayer may grant sublicenses outside of the United States of the licenses granted to Bayer under Section 3.1, to a Third Party to market or sell the Developed Product (other than sublicenses granted to Third Parties acting as distributors or wholesalers or to Third Parties providing products or non-marketing/selling services to or on behalf of Bayer or its Affiliates), provided, however,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IV-MILESTONES AND ROYALTIES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Milestone Payments. Bayer shall make the following non-refundable, non-creditable milestone payments (“Milestone Payments”), and provide the</w:t>
            </w:r>
          </w:p>
        </w:tc>
      </w:tr>
      <w:tr>
        <w:trPr>
          <w:trHeight w:val="20"/>
        </w:trPr>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following notices, to Acura:</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24"/>
                <w:szCs w:val="24"/>
                <w:color w:val="auto"/>
              </w:rPr>
            </w:pPr>
          </w:p>
        </w:tc>
        <w:tc>
          <w:tcPr>
            <w:tcW w:w="106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Within [*****], Bayer shall pay Acura [*****].</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4"/>
                <w:szCs w:val="24"/>
                <w:color w:val="auto"/>
              </w:rPr>
            </w:pPr>
          </w:p>
        </w:tc>
        <w:tc>
          <w:tcPr>
            <w:tcW w:w="106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Within [*****] Bayer shall pay Acura [*****].</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4"/>
                <w:szCs w:val="24"/>
                <w:color w:val="auto"/>
              </w:rPr>
            </w:pPr>
          </w:p>
        </w:tc>
        <w:tc>
          <w:tcPr>
            <w:tcW w:w="106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Within [*****] Bayer shall pay Acura [*****].</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4"/>
                <w:szCs w:val="24"/>
                <w:color w:val="auto"/>
              </w:rPr>
            </w:pPr>
          </w:p>
        </w:tc>
        <w:tc>
          <w:tcPr>
            <w:tcW w:w="106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Within [*****] Bayer shall pay Acura [*****].</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24"/>
                <w:szCs w:val="24"/>
                <w:color w:val="auto"/>
              </w:rPr>
            </w:pPr>
          </w:p>
        </w:tc>
        <w:tc>
          <w:tcPr>
            <w:tcW w:w="106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The Milestone Payments provided in each of Sections 4.1.2, 4.1.3 and 4.1.4 shall be reduced by [*****] if [*****].</w:t>
            </w:r>
          </w:p>
        </w:tc>
      </w:tr>
      <w:tr>
        <w:trPr>
          <w:trHeight w:val="392"/>
        </w:trPr>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10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Royalties and Other Payments. The following payments shall be payable by Bayer to Acura for sales made during each calendar quarter and</w:t>
            </w: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payment will be remitted within [*****] after the end of the quarter to which it relates.</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Standard Royalty Payment. For each country in the Territory during any period of the Term in which (a) a claim under any Impede® Patent Right is</w:t>
            </w:r>
          </w:p>
        </w:tc>
      </w:tr>
      <w:tr>
        <w:trPr>
          <w:trHeight w:val="20"/>
        </w:trPr>
        <w:tc>
          <w:tcPr>
            <w:tcW w:w="660" w:type="dxa"/>
            <w:vAlign w:val="bottom"/>
          </w:tcPr>
          <w:p>
            <w:pPr>
              <w:spacing w:after="0" w:line="20" w:lineRule="exact"/>
              <w:rPr>
                <w:sz w:val="1"/>
                <w:szCs w:val="1"/>
                <w:color w:val="auto"/>
              </w:rPr>
            </w:pPr>
          </w:p>
        </w:tc>
        <w:tc>
          <w:tcPr>
            <w:tcW w:w="19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20" w:type="dxa"/>
            <w:vAlign w:val="bottom"/>
            <w:gridSpan w:val="2"/>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Valid in a country and (b) a Third Party does not sell a Competing Product in such country, Bayer shall pay to Acura a royalty of [*****]. Such</w:t>
            </w:r>
          </w:p>
        </w:tc>
      </w:tr>
      <w:tr>
        <w:trPr>
          <w:trHeight w:val="216"/>
        </w:trPr>
        <w:tc>
          <w:tcPr>
            <w:tcW w:w="660" w:type="dxa"/>
            <w:vAlign w:val="bottom"/>
          </w:tcPr>
          <w:p>
            <w:pPr>
              <w:spacing w:after="0"/>
              <w:rPr>
                <w:sz w:val="18"/>
                <w:szCs w:val="18"/>
                <w:color w:val="auto"/>
              </w:rPr>
            </w:pP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royalty shall be payable for sales made during each calendar quarter and payment will be remitted [*****]. The royalty payment under this section</w:t>
            </w:r>
          </w:p>
        </w:tc>
      </w:tr>
      <w:tr>
        <w:trPr>
          <w:trHeight w:val="234"/>
        </w:trPr>
        <w:tc>
          <w:tcPr>
            <w:tcW w:w="660" w:type="dxa"/>
            <w:vAlign w:val="bottom"/>
          </w:tcPr>
          <w:p>
            <w:pPr>
              <w:spacing w:after="0"/>
              <w:rPr>
                <w:sz w:val="20"/>
                <w:szCs w:val="20"/>
                <w:color w:val="auto"/>
              </w:rPr>
            </w:pP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4.2.1 is referred to as the “Standard Royalty Payment.”</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Know-How Royalty Payment. For each country during any period of the Term in which (a) Impede® Patent Rights do not exist or are not Valid in a</w:t>
            </w:r>
          </w:p>
        </w:tc>
      </w:tr>
      <w:tr>
        <w:trPr>
          <w:trHeight w:val="20"/>
        </w:trPr>
        <w:tc>
          <w:tcPr>
            <w:tcW w:w="660" w:type="dxa"/>
            <w:vAlign w:val="bottom"/>
          </w:tcPr>
          <w:p>
            <w:pPr>
              <w:spacing w:after="0" w:line="20" w:lineRule="exact"/>
              <w:rPr>
                <w:sz w:val="1"/>
                <w:szCs w:val="1"/>
                <w:color w:val="auto"/>
              </w:rPr>
            </w:pPr>
          </w:p>
        </w:tc>
        <w:tc>
          <w:tcPr>
            <w:tcW w:w="2140" w:type="dxa"/>
            <w:vAlign w:val="bottom"/>
            <w:gridSpan w:val="4"/>
            <w:shd w:val="clear" w:color="auto" w:fill="000000"/>
          </w:tcPr>
          <w:p>
            <w:pPr>
              <w:spacing w:after="0" w:line="20" w:lineRule="exact"/>
              <w:rPr>
                <w:sz w:val="1"/>
                <w:szCs w:val="1"/>
                <w:color w:val="auto"/>
              </w:rPr>
            </w:pPr>
          </w:p>
        </w:tc>
        <w:tc>
          <w:tcPr>
            <w:tcW w:w="8620" w:type="dxa"/>
            <w:vAlign w:val="bottom"/>
            <w:gridSpan w:val="2"/>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country or (b) a Third Party sells a Competing Product in such country, Bayer shall pay Acura a quarterly royalty payment of [*****]. Bayer shall</w:t>
            </w:r>
          </w:p>
        </w:tc>
      </w:tr>
      <w:tr>
        <w:trPr>
          <w:trHeight w:val="234"/>
        </w:trPr>
        <w:tc>
          <w:tcPr>
            <w:tcW w:w="660" w:type="dxa"/>
            <w:vAlign w:val="bottom"/>
          </w:tcPr>
          <w:p>
            <w:pPr>
              <w:spacing w:after="0"/>
              <w:rPr>
                <w:sz w:val="20"/>
                <w:szCs w:val="20"/>
                <w:color w:val="auto"/>
              </w:rPr>
            </w:pPr>
          </w:p>
        </w:tc>
        <w:tc>
          <w:tcPr>
            <w:tcW w:w="10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only be required to make payments under this Section 4.2.2 with respect to a country (determined on a country-by-country basis) until [*****].</w:t>
            </w:r>
          </w:p>
        </w:tc>
      </w:tr>
    </w:tbl>
    <w:p>
      <w:pPr>
        <w:ind w:left="660"/>
        <w:spacing w:after="0" w:line="261" w:lineRule="auto"/>
        <w:rPr>
          <w:sz w:val="20"/>
          <w:szCs w:val="20"/>
          <w:color w:val="auto"/>
        </w:rPr>
      </w:pPr>
      <w:r>
        <w:rPr>
          <w:rFonts w:ascii="Times New Roman" w:cs="Times New Roman" w:eastAsia="Times New Roman" w:hAnsi="Times New Roman"/>
          <w:sz w:val="18"/>
          <w:szCs w:val="18"/>
          <w:color w:val="auto"/>
        </w:rPr>
        <w:t>Bayer shall provide Acura a detailed written explanation if it makes any Know-How Payments due to a Competing Product within [*****] of reaching such determination. The royalty payment under this Section 4.2.2 is referred to as the “Know-How Royalty Payment.”</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Royalty Reports</w:t>
      </w:r>
      <w:r>
        <w:rPr>
          <w:rFonts w:ascii="Times New Roman" w:cs="Times New Roman" w:eastAsia="Times New Roman" w:hAnsi="Times New Roman"/>
          <w:sz w:val="18"/>
          <w:szCs w:val="18"/>
          <w:color w:val="auto"/>
        </w:rPr>
        <w:t>. Bayer shall prepare in respect of each calendar quarter a report (“Royalty Report”) that shows for that calendar quarter the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Royalty Report shall be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Royalty Stacking</w:t>
      </w:r>
      <w:r>
        <w:rPr>
          <w:rFonts w:ascii="Times New Roman" w:cs="Times New Roman" w:eastAsia="Times New Roman" w:hAnsi="Times New Roman"/>
          <w:sz w:val="18"/>
          <w:szCs w:val="18"/>
          <w:color w:val="auto"/>
        </w:rPr>
        <w:t>. The Royalty Payments with respect to a country will be reduced by [*****], but for any calendar quarter shall not reduce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Royalty Payments payable to Acura with respect to such country to less than [*****].</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Minimum Annual Royalty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Notwithstanding the calculation of the Royalty Payments under Section 4.2, commencing [*****], the aggregate Royalty Payments in the Territory payable by Bayer to Acura in any calendar year during the Term of this Agreement shall not be less than [*****] (the “Annual Minimum Royalty Amount”). In the first year in which the minimum Royalty Payments are payable, the minimum royalty shall be pro-rated by dividing (A) the number of days during such calendar year in which such minimum royalty obligations exist by (B) 365 and multiplying the result by the Annual Minimum Royalty Amount. Similarly in the calendar year of expiration, the minimum royalty shall equal (A) the number of days in such calendar year prior to expiration divided by (B) 365 and multiplying the result by the Annual Minimum Royalty Amount. In addition, if a Commercialization Condition exists and Bayer is not commercializing the Developed Product then for such calendar year the minimum royalty shall be reduced (not below zero) by [*****].</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Within [*****], Bayer shall pay Acura any difference between Annual Minimum Royalty Amount (as the same may be prorated pursuant to section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4.5.1) and the royalties actually paid during the preceding calendar year, if applicable.</w:t>
      </w:r>
    </w:p>
    <w:p>
      <w:pPr>
        <w:spacing w:after="0" w:line="20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 xml:space="preserve">Pricing. </w:t>
      </w:r>
      <w:r>
        <w:rPr>
          <w:rFonts w:ascii="Times New Roman" w:cs="Times New Roman" w:eastAsia="Times New Roman" w:hAnsi="Times New Roman"/>
          <w:sz w:val="18"/>
          <w:szCs w:val="18"/>
          <w:color w:val="auto"/>
        </w:rPr>
        <w:t>Bayer shall have sole discretion to determine the price, terms and conditions of sales of Developed Product(s) to Bayer’s customers. Bayer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price the Developed Product in any country for any transaction [*****].</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 xml:space="preserve">Currency. </w:t>
      </w:r>
      <w:r>
        <w:rPr>
          <w:rFonts w:ascii="Times New Roman" w:cs="Times New Roman" w:eastAsia="Times New Roman" w:hAnsi="Times New Roman"/>
          <w:sz w:val="18"/>
          <w:szCs w:val="18"/>
          <w:color w:val="auto"/>
        </w:rPr>
        <w:t>All payments required under this Agreement shall be made in U.S. dollars, regardless of the country(ies) in which sales are made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expenses are incurred, via wire transfer of immediately available funds to an account designated in writing by Acura. Whenever, for the purpose of calculating any sums due under this Agreement, conversion from any foreign currency shall be required, such conversion shall be made as follows: the amounts shall be converted into United States dollars using the average rate of exchange for such currencies for the relevant period, such exchange rate shall be the exchange rate taken from The Wall Street Journal as published on the last day of the relevant period for which payments are due, or such other publication as may be agreed between the Parties from time to time.</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 xml:space="preserve">Taxes. </w:t>
      </w:r>
      <w:r>
        <w:rPr>
          <w:rFonts w:ascii="Times New Roman" w:cs="Times New Roman" w:eastAsia="Times New Roman" w:hAnsi="Times New Roman"/>
          <w:sz w:val="18"/>
          <w:szCs w:val="18"/>
          <w:color w:val="auto"/>
        </w:rPr>
        <w:t>In the event that a Party is mandated under the laws of a country to withhold any tax to the tax or revenue authorities in such country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connection with any payment to the other Party, such amount shall be deducted from the payment to be made by such withholding Party, provided, however, that the withholding Party shall take reasonable and lawful actions, at the other Party’s sole cost, to avoid and minimize such withholding and promptly notify the other Party so that the other Party may take lawful actions to avoid and minimize such withholding. The withholding Party shall promptly furnish the other Party with copies of any tax certificate or other documentation evidencing such withholding as necessary to satisfy the requirements of the United States Internal Revenue Service related to any application by such other Party for foreign tax credit for such payment. Each Party agrees to cooperate with the other Party in claiming exemptions from such deductions or withholdings under any agreement or treaty from time to time in effect. All amounts payable under this Agreement and not paid within [*****] of when due in accordance with the provisions hereof shall bear interest from the due date until paid at the rate equal to [*****]. Unless otherwise stated all dollar amounts in this Agreement are in United States dollars.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V-DEVELOPMENT/REGULATORY</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Bayer and Acura shall jointly develop the Developed Product pursuant to the Development Plan attached hereto as</w:t>
      </w:r>
      <w:r>
        <w:rPr>
          <w:rFonts w:ascii="Times New Roman" w:cs="Times New Roman" w:eastAsia="Times New Roman" w:hAnsi="Times New Roman"/>
          <w:sz w:val="18"/>
          <w:szCs w:val="18"/>
          <w:u w:val="single" w:color="auto"/>
          <w:color w:val="auto"/>
        </w:rPr>
        <w:t xml:space="preserve"> Exhibit A</w:t>
      </w:r>
      <w:r>
        <w:rPr>
          <w:rFonts w:ascii="Times New Roman" w:cs="Times New Roman" w:eastAsia="Times New Roman" w:hAnsi="Times New Roman"/>
          <w:sz w:val="18"/>
          <w:szCs w:val="18"/>
          <w:color w:val="auto"/>
        </w:rPr>
        <w:t>. Acura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will use Commercially Reasonable Efforts to [*****]. Any activity not specifically assigned to Acura shall be the responsibility of Bayer. Under no circumstances will Acura be responsible for [*****]. Bayer shall be responsible for all costs and expenses (including Acura’s FTE Expense), for performing all Developed Product development activities, whether performed by Acura or Bayer. Acura agrees to use Commercially Reasonable Efforts to utilize the Impede® Technology to obtain a formulation meeting the Target Product Profile provided there can be no assurance and Acura makes no representation that the Impede® Technology is sufficient to obtain a formulation meeting the Target Product Profile or that Acura will succeed in the development and Delivery of the Developed Product. Bayer will use Commercially Reasonable Efforts to finalize development and gain Regulatory Approval in the U.S. within [*****].</w:t>
      </w:r>
    </w:p>
    <w:p>
      <w:pPr>
        <w:spacing w:after="0" w:line="18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 xml:space="preserve">Delivery. </w:t>
      </w:r>
      <w:r>
        <w:rPr>
          <w:rFonts w:ascii="Times New Roman" w:cs="Times New Roman" w:eastAsia="Times New Roman" w:hAnsi="Times New Roman"/>
          <w:sz w:val="18"/>
          <w:szCs w:val="18"/>
          <w:color w:val="auto"/>
        </w:rPr>
        <w:t>Acura shall use commercial reasonable efforts to Deliver a formulation and development scale quantities of a prototype of the Developed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Product meeting the Target Product Profile. “Delivery” will occur [*****].</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Major Foreign Markets</w:t>
      </w:r>
      <w:r>
        <w:rPr>
          <w:rFonts w:ascii="Times New Roman" w:cs="Times New Roman" w:eastAsia="Times New Roman" w:hAnsi="Times New Roman"/>
          <w:sz w:val="18"/>
          <w:szCs w:val="18"/>
          <w:color w:val="auto"/>
        </w:rPr>
        <w:t>. Bayer shall use Commercially Reasonable Efforts to develop product formulation(s), similar to the Developed Product, for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use in the Major Foreign Markets.</w:t>
      </w:r>
    </w:p>
    <w:p>
      <w:pPr>
        <w:spacing w:after="0" w:line="16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Joint Development Committee</w:t>
      </w:r>
      <w:r>
        <w:rPr>
          <w:rFonts w:ascii="Times New Roman" w:cs="Times New Roman" w:eastAsia="Times New Roman" w:hAnsi="Times New Roman"/>
          <w:sz w:val="18"/>
          <w:szCs w:val="18"/>
          <w:color w:val="auto"/>
        </w:rPr>
        <w:t>. The Parties shall coordinate all development activities under a joint development committee (“DC”) which will meet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discuss progress on the Development Plan, Budget and Target Product Profile. The parties shall establish the DC within thirty (30) days after the Effective Date. The DC will consist of equal number of designees from each Party and meet at least quarterly in person or by teleconference during the Term. Either Party may also call a special meeting of the DC (by videoconference or teleconference) by at least seven (7) day’s prior written notice to the other Party, unless the other Party otherwise agrees to shorter notice, in the event such Party reasonably believes that a significant matter must be addressed prior to the next scheduled meeting. The DC may change its size from time to time by mutual consent of its designees, provided that the DC shall at all times consist of an equal number of designees. Each party may replace its designees at any time upon written notice to the other Party. The DC may invite non-designees to participate in the discussions and meetings of the DC, provided that such participants shall be approved by the other Party and have no voting authority at the DC. A designee may designate a substitute designee if he or she cannot attend a meeting for purpose of that meeting. At each meeting a Secretary will be appointed who shall keep minutes of the meetings, which shall be voted upon at the next meeting. One designee of each Party shall constitute a quorum for the meetings. The DC shall act by unanimous consent, but in no event may it amend any provisions of this Agreement. In the event of a disagreement between the Acura designees and the Bayer designees relating to a matter within the jurisdiction of the DC, either Party may refer the matter to one designated executive of each Party, other than a Chief Executive, for resolution (a “Senior Executive”). If such Senior Executives cannot resolve the matter within ten (10) Business Days, then Bayer shall have final decision making authority for all DC matters other than disputes relating to: (i) any right or obligation under this Agreement, or (ii) amendment of the Budget or the Target Product Profile or the Development Plan that would require Acura to undertake activities not provided in the Development Plan or incur internal or external costs not fully set forth in the Budget (regardless of whether such amounts are funded in whole or in part by Bayer). Any dispute described in clauses (i) through (ii) above that is not resolved by Senior Executives under this Section shall be submitted for resolution by Chief Executives and, if necessary, to binding arbitration pursuant to Section 12.1. This Section is intended to address only disputes that arise within the specifically delineated jurisdiction of the DC and shall not affect the rights of either Party with respect to matters outside the jurisdiction of the DC. The DC shall:</w:t>
      </w:r>
    </w:p>
    <w:p>
      <w:pPr>
        <w:spacing w:after="0" w:line="1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all material Developed Product development, manufacturing and regulatory activities, milestones (including expected launch dates) and accomplishments on a calendar quarter basis;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upon mutual agreement, approve changes to the Development Plan, Target Product Profile and the Budget;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progress of development of the Developed Product inside and outside the United States and the timing of launch in the United States and such other countries following receipt of Regulatory Approval in the United States and such other countries; and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responsibilities as may be agreed upon by the Parties in writing from time to time such as a joint development of a Right of First Negotiation Product.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Budget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All expenses of the Parties (including Acura’s approved out-of-pocket expenses) with respect to the DC shall be borne by Bayer. The Budget for the development of the Developed Product (exclusive of milestones to Acura) is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Bayer shall be responsible for [*****] of any and all costs including without limitation the actual development and regulatory costs associated with the Developed Product. [*****]. Notwithstanding the foregoing, nothing in this Agreement shall obligate Acura to continue development of the Developed Product if Acura will expend more than [*****] without the express written consent of Acura [*****].</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Schedule of Payment.</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5.6.1</w:t>
      </w:r>
      <w:r>
        <w:rPr>
          <w:sz w:val="20"/>
          <w:szCs w:val="20"/>
          <w:color w:val="auto"/>
        </w:rPr>
        <w:tab/>
      </w:r>
      <w:r>
        <w:rPr>
          <w:rFonts w:ascii="Times New Roman" w:cs="Times New Roman" w:eastAsia="Times New Roman" w:hAnsi="Times New Roman"/>
          <w:sz w:val="18"/>
          <w:szCs w:val="18"/>
          <w:color w:val="auto"/>
        </w:rPr>
        <w:t xml:space="preserve">Within sixty (60) days of the Effective Date, Bayer shall pay Acura for all FTE Expenses and approved out-of-pocket expenses listed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incurred before the Effective Date.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5.6.2</w:t>
      </w:r>
      <w:r>
        <w:rPr>
          <w:sz w:val="20"/>
          <w:szCs w:val="20"/>
          <w:color w:val="auto"/>
        </w:rPr>
        <w:tab/>
      </w:r>
      <w:r>
        <w:rPr>
          <w:rFonts w:ascii="Times New Roman" w:cs="Times New Roman" w:eastAsia="Times New Roman" w:hAnsi="Times New Roman"/>
          <w:sz w:val="18"/>
          <w:szCs w:val="18"/>
          <w:color w:val="auto"/>
        </w:rPr>
        <w:t>Bayer shall reimburse Acura for approved out-of-pocket expenses incurred under the Development Plan within sixty (60) days of receipt of invoice for same.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5.6.3</w:t>
      </w:r>
      <w:r>
        <w:rPr>
          <w:sz w:val="20"/>
          <w:szCs w:val="20"/>
          <w:color w:val="auto"/>
        </w:rPr>
        <w:tab/>
      </w:r>
      <w:r>
        <w:rPr>
          <w:rFonts w:ascii="Times New Roman" w:cs="Times New Roman" w:eastAsia="Times New Roman" w:hAnsi="Times New Roman"/>
          <w:sz w:val="18"/>
          <w:szCs w:val="18"/>
          <w:color w:val="auto"/>
        </w:rPr>
        <w:t>Any FTE Expense or reimbursement for an expense or payment associated with a “Development Event” item set forth below or incurred prior to the date set forth opposite such Development Event item shall be paid within [*****] of Bayer’s receipt of such invoice. The Parties acknowledge that payments due relating to a Development Event may exceed the budgeted amounts for same, as contained in the Budget or as previously approved by the DC.</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ind w:left="2300"/>
        <w:spacing w:after="0"/>
        <w:rPr>
          <w:sz w:val="20"/>
          <w:szCs w:val="20"/>
          <w:color w:val="auto"/>
        </w:rPr>
      </w:pPr>
      <w:r>
        <w:rPr>
          <w:rFonts w:ascii="Times New Roman" w:cs="Times New Roman" w:eastAsia="Times New Roman" w:hAnsi="Times New Roman"/>
          <w:sz w:val="18"/>
          <w:szCs w:val="18"/>
          <w:b w:val="1"/>
          <w:bCs w:val="1"/>
          <w:color w:val="auto"/>
        </w:rPr>
        <w:t>Development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-125095</wp:posOffset>
            </wp:positionV>
            <wp:extent cx="4347845" cy="591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7845" cy="591820"/>
                    </a:xfrm>
                    <a:prstGeom prst="rect">
                      <a:avLst/>
                    </a:prstGeom>
                    <a:noFill/>
                  </pic:spPr>
                </pic:pic>
              </a:graphicData>
            </a:graphic>
          </wp:anchor>
        </w:drawing>
      </w:r>
    </w:p>
    <w:p>
      <w:pPr>
        <w:spacing w:after="0" w:line="1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5.6.4</w:t>
      </w:r>
      <w:r>
        <w:rPr>
          <w:sz w:val="20"/>
          <w:szCs w:val="20"/>
          <w:color w:val="auto"/>
        </w:rPr>
        <w:tab/>
      </w:r>
      <w:r>
        <w:rPr>
          <w:rFonts w:ascii="Times New Roman" w:cs="Times New Roman" w:eastAsia="Times New Roman" w:hAnsi="Times New Roman"/>
          <w:sz w:val="18"/>
          <w:szCs w:val="18"/>
          <w:color w:val="auto"/>
        </w:rPr>
        <w:t>Any FTE Expense for a service/event not described above or contained in the Budget or previously approved in the budget by the DC may be invoiced by Acura after incurrence of the FTE Expense and such invoice shall be paid by Bayer within [*****] of Bayer’s receipt of such invoice.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5.6.5</w:t>
      </w:r>
      <w:r>
        <w:rPr>
          <w:sz w:val="20"/>
          <w:szCs w:val="20"/>
          <w:color w:val="auto"/>
        </w:rPr>
        <w:tab/>
      </w:r>
      <w:r>
        <w:rPr>
          <w:rFonts w:ascii="Times New Roman" w:cs="Times New Roman" w:eastAsia="Times New Roman" w:hAnsi="Times New Roman"/>
          <w:sz w:val="18"/>
          <w:szCs w:val="18"/>
          <w:color w:val="auto"/>
        </w:rPr>
        <w:t>Notwithstanding the foregoing, on expiration or termination of the Agreement, in each case in its entirety, Bayer shall pay all outstanding invoices from Acura within [*****] of Bayer’s receipt of such invoices and Acura shall invoice Bayer for all unpaid FTE Expenses, unreimbursed expenses and for services performed under the Development Plan but not paid and incurred to date and Bayer shall make payment within [*****] of Bayer’s receipt of such invoice.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Cooperation for Regulatory Filings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5.7.1</w:t>
      </w:r>
      <w:r>
        <w:rPr>
          <w:sz w:val="20"/>
          <w:szCs w:val="20"/>
          <w:color w:val="auto"/>
        </w:rPr>
        <w:tab/>
      </w:r>
      <w:r>
        <w:rPr>
          <w:rFonts w:ascii="Times New Roman" w:cs="Times New Roman" w:eastAsia="Times New Roman" w:hAnsi="Times New Roman"/>
          <w:sz w:val="18"/>
          <w:szCs w:val="18"/>
          <w:color w:val="auto"/>
        </w:rPr>
        <w:t>Acura shall make available to Bayer all relevant Impede® Technology, Information and other documentation relating to the Developed Products Controlled by it, including but not limited to Developed Product design history profile, device master records, existing tool and fixture designs, component specifications and test procedures, component supplier information, and any other data necessary or useful to support the regulatory filings to be submitted by Bayer for the Developed Products in the Territory. From time to time during the Term, at the reasonable request of Bayer, Acura shall provide, [*****].</w:t>
      </w:r>
    </w:p>
    <w:p>
      <w:pPr>
        <w:spacing w:after="0" w:line="184"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5.7.2</w:t>
      </w:r>
      <w:r>
        <w:rPr>
          <w:sz w:val="20"/>
          <w:szCs w:val="20"/>
          <w:color w:val="auto"/>
        </w:rPr>
        <w:tab/>
      </w:r>
      <w:r>
        <w:rPr>
          <w:rFonts w:ascii="Times New Roman" w:cs="Times New Roman" w:eastAsia="Times New Roman" w:hAnsi="Times New Roman"/>
          <w:sz w:val="18"/>
          <w:szCs w:val="18"/>
          <w:color w:val="auto"/>
        </w:rPr>
        <w:t>Bayer shall be responsible for all required regulatory activities in the Territory. All costs related to the regulatory activities shall be the responsibility of Bayer, except that Acura shall reasonably cooperate with Bayer to accomplish such regulatory tasks, for which [*****].</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Regulatory Approvals and Fees</w:t>
      </w:r>
      <w:r>
        <w:rPr>
          <w:rFonts w:ascii="Times New Roman" w:cs="Times New Roman" w:eastAsia="Times New Roman" w:hAnsi="Times New Roman"/>
          <w:sz w:val="18"/>
          <w:szCs w:val="18"/>
          <w:color w:val="auto"/>
        </w:rPr>
        <w:t>. Bayer shall be the sole owner of the Developed Product Regulatory Approvals, registration materials, clinical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documentation, and any and all country specific dossiers for [*****]. Bayer shall be responsible for maintaining the Developed Product Regulatory Approvals and pay any and all fees and expenses in connection therewith including, without limitation, any filing fees, establishment fees, annual product fees, active pharmaceutical supplier fees, and any fees associated with the amendment of a Regulatory Approval, any costs and expenses associated with regulatory changes requested by a Regulatory Authority relating to the Developed Product, or the Developed Product Regulatory Approvals.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ARTICLE VI–RECORDS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During the Term and for [*****] thereafter, each Party shall keep all usual and proper records and books of account and all usual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proper entries relating to the Developed Product. Bayer shall maintain (electronically or otherwise) such records and books of account containing all necessary data for the calculation of Royalty Payments and Milestone Payments due under this Agreement.</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Audits</w:t>
      </w:r>
      <w:r>
        <w:rPr>
          <w:rFonts w:ascii="Times New Roman" w:cs="Times New Roman" w:eastAsia="Times New Roman" w:hAnsi="Times New Roman"/>
          <w:sz w:val="18"/>
          <w:szCs w:val="18"/>
          <w:color w:val="auto"/>
        </w:rPr>
        <w:t>. At the request and expense of either Party (“Auditing Party”), the other Party (“Audited Party”) shall permit an independent, certified public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accountant reasonably acceptable to the Audited Party, upon giving of reasonable prior written notice of no less than [*****] and not more than once per calendar year, to examine such records during normal working hours, as may be necessary for the sole purpose of verifying the calculation and reporting of Net Sales, reimbursements and the accuracy of any Royalty Payment or other payment or reimbursement made under this Agreement for any period within the preceding [*****]. All results of any such examination shall be made available to the Audited Party. In the event that any audit reveals an under-payment in the amount of any payment obligation that should have been paid by the Audited Party to the other, then the underpayment amount shall be paid within [*****] after the Audited Party’s receipt of Auditing Party’s written demand therefore, plus interest thereon if such amount is in excess of [*****] unless such underpayment is disputed by Bayer. Bayer shall have [*****] to dispute in writing such underpayment determination and if Bayer disputes such underpayment determination, an independent, mutually agreed upon arbiter shall be selected by the Parties to resolve the dispute within [*****] of notice of Bayer’s dispute. The cost of such arbiter shall be borne by the Party whose position is overruled by such arbiter. Such interest shall be calculated from the date such amount was due until the date such amount is actually paid, at the rate of [*****]. In addition, if the underpayment is in excess of [*****], then the Audited Party shall reimburse the Auditing Party for the reasonable cost of such audit.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ARTICLE VII– CONFIDENTIALITY AND LIMITATIONS ON USE</w:t>
      </w:r>
    </w:p>
    <w:p>
      <w:pPr>
        <w:spacing w:after="0" w:line="229"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During the term of this Agreement and for a period of five (5) years thereafter, Bayer and Acura shall keep, and each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cause its respective Affiliates, officers, directors, employees and agents to keep, confidential all Confidential Information. The receiving Party will not disclose the Confidential Information to any third party. The receiving Party will hold the Confidential Information secret and in confidence, and take such steps as it normally takes to protect its own confidential and proprietary information, but in any event no less than reasonable steps, to preserve the confidentiality of the Confidential Information. The receiving Party will use the Confidential Information solely for the Purpose of this Agreement. The receiving Party will not use the Confidential Information for its own benefit or for the benefit of any third party. “Confidential Information” means information that the disclosing Party considers confidential and discloses to the receiving Party for the purpose of this Agreement. Confidential Information must be marked or otherwise identified as confidential or proprietary or, under the circumstances surrounding the disclosure, ought in good faith to be treated as confidential or proprietary. Confidential Information may be conveyed in written, graphical, physical or oral form. Confidential Information may include, without limitation, information concerning the study, discovery, design, research, development, manufacture, formulation, extraction, compounding, mixing, processing, testing, control, preservation, storage, finishing, packing, packaging, use, administration, distribution, sale, reimbursement and/or marketing of pharmaceutical products or compounds and potential products or compounds, data from and methodology of pre-clinical and clinical studies, the contents of any submissions to the U.S. Food and Drug Administration (together with any successor agency), marketing plans or computer hardware and software systems and designs and plans for same. Confidential Information may include confidential or proprietary information of a third party that is in the possession of a disclosing Party. Confidential Information does not include information that: (a) is or hereafter becomes generally available to the public other than by reason of any default with respect to confidentiality under this Agreement, (b) is hereafter disclosed to such Party by a Third Party rightfully in possession of the Confidential Information and without restriction as to confidentiality or use (and such disclosure can be properly demonstrated by the receiving Party), (c) was previously or is hereafter developed by or on behalf of such Party, without reliance on confidential information acquired prior to the date hereof (and such can be properly demonstrated by the receiving Party), (d) the receiving Party obtains from a third party, but only for such time that the receiving Party reasonably believes in good faith that such information was not obtained by said third party, directly or indirectly, from the Disclosing Party under an obligation of confidentiality; or (e) is developed by or for the receiving Party independently of the information provided by the Disclosing Party, as evidenced by the receiving Party’s corporate records. Confidential Information shall not be deemed to be in, or have come into, the public domain merely because any part of such Confidential Information is embodied in general disclosures or because individual features, components or combinations thereof are or become publicly known. Nothing in this Agreement shall prohibit a Party from disclosing Confidential Information under confidentiality provisions similar to those in this Agreement, to Third Parties for insurance, consulting, accounting, legal, lending and borrowing, acquisition, investment, divestment or sale and similar purposes, or to any permitted assignee of this Agreement, to the extent considered reasonably necessary to facilitate the assignment. Nothing in this Agreement shall prohibit either Party from disclosing Confidential Information complying with applicable legal or regulatory requirements or a validly issued subpoena, order of a court of competent jurisdiction or other request for information from a governmental agency, seeking disclosure of any Confidential Information, provided that such Party provides prompt notice thereof to the other Party (unless legally prohibited) so that such other Party may seek a protective order or other appropriate remedy. Such Party shall thereafter be entitled to comply with such legal or regulatory requirements, subpoena, court order or other request for information. The Confidential Information that is disclosed pursuant to the prior two sentences section shall remain Confidential Information for all other purposes of this Agreement. Each of Bayer and Acura recognizes that any violation of this confidentiality provision would cause the other irreparable harm and agrees that the other Party shall be entitled, in addition to any other right or remedy it may have, at law or in equity, to an injunction without the posting of any bond or other security, enjoining the disclosing Party, its Affiliates and their respective officers, directors, employees and agents from any violation or potential violation of this Section 7.1. The terms of this Section 7.1 shall survive any termination or expiration of this Agreement for five (5) years, except the obligations with respect to trade secrets shall survive indefinitely. Confidential Information disclosed by an Affiliate of a Party to the other Party shall be deemed to have been disclosed by the Party whose Affiliate disclosed such information.</w:t>
      </w:r>
    </w:p>
    <w:p>
      <w:pPr>
        <w:spacing w:after="0" w:line="19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8" w:name="page59"/>
    <w:bookmarkEnd w:id="58"/>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Limitations on Use</w:t>
      </w:r>
      <w:r>
        <w:rPr>
          <w:rFonts w:ascii="Times New Roman" w:cs="Times New Roman" w:eastAsia="Times New Roman" w:hAnsi="Times New Roman"/>
          <w:sz w:val="18"/>
          <w:szCs w:val="18"/>
          <w:color w:val="auto"/>
        </w:rPr>
        <w:t>. Bayer and Acura agree that they will not use the Confidential Information of the other Party for any purpose, other than as set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forth in this Agreement and carrying out their respective obligations set forth in this Agreement, including, without limitation, publication of any kind, without the prior written consent of such other Party.</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Prior Confidentiality Agreement</w:t>
      </w:r>
      <w:r>
        <w:rPr>
          <w:rFonts w:ascii="Times New Roman" w:cs="Times New Roman" w:eastAsia="Times New Roman" w:hAnsi="Times New Roman"/>
          <w:sz w:val="18"/>
          <w:szCs w:val="18"/>
          <w:color w:val="auto"/>
        </w:rPr>
        <w:t>. Nothing herein shall relieve any Party of any breach of that certain Confidentiality Agreement, dated as of January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21, 2014, by and between the Parties with respect to the information disclosed between the Parties prior to the date hereof, provided any information disclosed under such agreement shall also be deemed disclosed under this Agreement and such agreement shall not apply to any information disclosed after the date hereof, which disclosure shall be governed by this Agreement.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A Party may originate any publicity, news release and/or other public announcement, written or oral, relating to the existence or terms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this Agreement or referencing the other party’s name, trademarks, trade name or logos (a “Public Disclosure”) that is required by Applicable Law, stock exchange and/or regulatory authority (a “Required Public Disclosure”). In the event of any Required Public Disclosure, the disclosing party shall endeavor, on a reasonable basis under the circumstances, to provide a meaningful opportunity for the other party to review and comment upon such Required Public Disclosure before disclosure to the public and shall give reasonable consideration to all reasonable additions, deletions or changes suggested thereto including whether the disclosure is in fact a Required Disclosure. The review and/or comment by a Party on any Required Public Disclosure to be made by the other Party shall not constitute or be deemed confirmation by the reviewing Party of the accuracy of such disclosure, and the originating Party shall solely be responsible for its contents. Mutual consent of the Parties shall be discussed and obtained prior to a Party originating any Public Disclosure that is not a Required Public Disclosure. The contents of any Required Public Disclosure, or Public Disclosure mutually consented to by the Parties, previously released pursuant to this Section 7.4 can be subsequently verbally disclosed only by either Party without the other Party’s approval, provided that each Party shall keep the other Party reasonably informed about their plans for such verbal disclosure.</w:t>
      </w:r>
    </w:p>
    <w:p>
      <w:pPr>
        <w:spacing w:after="0" w:line="19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 xml:space="preserve">Contacts and Statements. </w:t>
      </w:r>
      <w:r>
        <w:rPr>
          <w:rFonts w:ascii="Times New Roman" w:cs="Times New Roman" w:eastAsia="Times New Roman" w:hAnsi="Times New Roman"/>
          <w:sz w:val="18"/>
          <w:szCs w:val="18"/>
          <w:color w:val="auto"/>
        </w:rPr>
        <w:t>Contacts with the applicable governmental agency with respect to this Agreement shall be coordinated between Acura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Bayer. The Parties shall mutually agree to the responsible Party for initiating such contact. All public statements regarding Bayer trademarks will be the responsibility solely of Bayer. Where practical, all such statements will be provided to Acura for content review prior to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XIII– LIABILITY AND INDEMNIFICATION</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Other than a Party’s indemnification obligations (except for [*****] or breach of the confidentiality provisions, each Party’s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maximum liability to the other Party for any claim arising from this Agreement for any reason whatsoever (excluding monetary consideration for this Agreement, such as such as Milestone Payments, Royalty Payments, reimbursements for FTE Expenses and out-of-pocket costs and expenses) will not exceed [*****]</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Except for breaches of the confidentiality provisions, under no circumstances whatsoever will either Party be liable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in contract, tort, negligence, breach of statutory duty, or otherwise for (i) any (direct or indirect) loss of profits, of production, of anticipated savings, of business, or goodwill or (ii) for any other liability, damage, costs, or expense of any kind incurred by the other Party of an indirect or consequential nature, regardless of any notice of the possibility of these damages.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Indemnification by Acura</w:t>
      </w:r>
      <w:r>
        <w:rPr>
          <w:rFonts w:ascii="Times New Roman" w:cs="Times New Roman" w:eastAsia="Times New Roman" w:hAnsi="Times New Roman"/>
          <w:sz w:val="18"/>
          <w:szCs w:val="18"/>
          <w:color w:val="auto"/>
        </w:rPr>
        <w:t>. Acura shall indemnify, defend and hold Bayer, its officers, employees and its Affiliates harmless from and against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liabilities, claims, demands, damages, costs, expenses or money judgments (including reasonable attorneys’ fees) incurred by or rendered against Bayer, its officers and employees or its Affiliates for personal injury, sickness, disease or death or other damages which arise out of (a) Acura’s development of the Developed Product pursuant to the Development Plan (limited to those subjects included in the clinical studies conducted by Acura); (b) Acura’s breach of any of its obligations under this Agreement; (c) the gross negligence or intentional misconduct of Acura; or (d) Acura’s breach of any representation or warranty made or given in this Agreement.</w:t>
      </w:r>
    </w:p>
    <w:p>
      <w:pPr>
        <w:spacing w:after="0" w:line="18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Indemnification by Bayer</w:t>
      </w:r>
      <w:r>
        <w:rPr>
          <w:rFonts w:ascii="Times New Roman" w:cs="Times New Roman" w:eastAsia="Times New Roman" w:hAnsi="Times New Roman"/>
          <w:sz w:val="18"/>
          <w:szCs w:val="18"/>
          <w:color w:val="auto"/>
        </w:rPr>
        <w:t>. Bayer shall indemnify, defend and hold Acura, its officers, employees and its Affiliates harmless from and against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liabilities, claims, demands, damages, costs, expenses or money judgments (including reasonable attorneys’ fees) incurred by or rendered against Acura, its officers and employees or its Affiliates for personal injury, sickness, disease or death or other damages which arise out of: (a) Bayer’s breach of any of its obligations under this Agreement; (b) any claims arising out of the development (exclusive of the claims described in Section 8.3(b) above), manufacturing, or commercialization of the Developed Product; (c) the gross negligence or intentional misconduct of Bayer; (d) Bayer’s breach of any representation or warranty made or given by Bayer in this Agreement; or (e) any actual or alleged infringement of any Third Party patent, copyright, trademark or trade dress rights arising from materials, labeling, marketing or advertising of the Developed Product.</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Procedure;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8.5.1</w:t>
      </w:r>
      <w:r>
        <w:rPr>
          <w:sz w:val="20"/>
          <w:szCs w:val="20"/>
          <w:color w:val="auto"/>
        </w:rPr>
        <w:tab/>
      </w:r>
      <w:r>
        <w:rPr>
          <w:rFonts w:ascii="Times New Roman" w:cs="Times New Roman" w:eastAsia="Times New Roman" w:hAnsi="Times New Roman"/>
          <w:sz w:val="18"/>
          <w:szCs w:val="18"/>
          <w:color w:val="auto"/>
        </w:rPr>
        <w:t>Each party claiming indemnification must promptly notify the other Party in writing, providing reasonable detail, of any claim upon receipt of notice thereof; provided, however, that failure to given such notice shall not affect the indemnification provided under this Agreement except to the extent the indemnifying Party shall have been actually prejudiced as a result of such failure.</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8.5.2</w:t>
      </w:r>
      <w:r>
        <w:rPr>
          <w:sz w:val="20"/>
          <w:szCs w:val="20"/>
          <w:color w:val="auto"/>
        </w:rPr>
        <w:tab/>
      </w:r>
      <w:r>
        <w:rPr>
          <w:rFonts w:ascii="Times New Roman" w:cs="Times New Roman" w:eastAsia="Times New Roman" w:hAnsi="Times New Roman"/>
          <w:sz w:val="18"/>
          <w:szCs w:val="18"/>
          <w:color w:val="auto"/>
        </w:rPr>
        <w:t>The following provisions shall apply to any Third Party claim for which a Party is entitled to indemnification from the other Party under this Article</w:t>
      </w:r>
    </w:p>
    <w:p>
      <w:pPr>
        <w:spacing w:after="0" w:line="27" w:lineRule="exact"/>
        <w:rPr>
          <w:sz w:val="20"/>
          <w:szCs w:val="20"/>
          <w:color w:val="auto"/>
        </w:rPr>
      </w:pPr>
    </w:p>
    <w:p>
      <w:pPr>
        <w:jc w:val="both"/>
        <w:ind w:left="660" w:hanging="4"/>
        <w:spacing w:after="0" w:line="251" w:lineRule="auto"/>
        <w:tabs>
          <w:tab w:leader="none" w:pos="8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elects to defend or, if local procedural rules or laws do not permit the same, elects to control the defense of a Third Party claim, it shall be entitled to do so provided it gives notice to the indemnified Party of its intention to do so within [*****] after the receipt of the written notice from the indemnified Party of the potentially indemnifiable Third Party Claim (the “Litigation Condition”). Subject to compliance with the Litigation Condition, the indemnifying Party shall retain counsel reasonably acceptable to the indemnified Party (such acceptance not to be unreasonably withheld or delayed) to represent the indemnified Party and shall pay the fees and expenses of such counsel related to such proceeding. In any such proceeding, the indemnified Party shall have the right to retain its own counsel, but the fees and expenses of such counsel shall be at the expense of the indemnified Party. The indemnified Party shall not settle any claim for which it is seeking indemnification without the prior consent of the indemnifying Party which consent shall not be unreasonably withheld, conditioned or delayed. The indemnified Party shall, if requested by the indemnifying Party, cooperate in all reasonable respects in the defense of such claim that is being managed and/or controlled by the indemnifying Party, at the indemnifying Party’s cost and expense. The indemnifying Party shall not, without the written consent of the indemnified Party (which consent shall not be unreasonably withheld, conditioned or delayed), effect any settlement of any pending or threatened proceeding in which the indemnified Party is, or based on the same set of facts could have been, a party and indemnity could have been sought hereunder by the indemnified Party, unless such settlement includes an unconditional release of the indemnified Party from all liability on claims that are the subject matter of such proceeding and will not result in the Indemnified Party’s becoming subject to injunctive or other relief or otherwise adversely affect the business of the indemnified Party in any manner. Notwithstanding the foregoing, a Party’s consent (which shall not be unreasonably withheld, delayed or conditioned) shall be required for any settlement that entails any license, covenant not to sue relating to, admission of invalidity or unenforceability or abandonment of any of its intellectual property. If the Litigation Condition is not met, then the indemnified Party shall have the right to control the defense of such Third Party Claim, for which the indemnifying Party shall pay the reasonable fees and costs incurred by the indemnified Party, and the Parties shall cooperate in and be consulted on the material aspects of such defense at the indemnifying Party’s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IX– NOTICES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request to be given or furnished under this Agreement by any Party to the other shall be in writing and shall be delivered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personally or registered or certified mail, postage prepaid, or by overnight delivery service to the following:</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TO ACURA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Acura Pharmaceuticals,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616 N. North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Palatine, IL 60067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Robert B.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w:t>
      </w:r>
    </w:p>
    <w:p>
      <w:pPr>
        <w:spacing w:after="0" w:line="200" w:lineRule="exact"/>
        <w:rPr>
          <w:sz w:val="20"/>
          <w:szCs w:val="20"/>
          <w:color w:val="auto"/>
        </w:rPr>
      </w:pPr>
    </w:p>
    <w:p>
      <w:pPr>
        <w:sectPr>
          <w:pgSz w:w="11900" w:h="16838" w:orient="portrait"/>
          <w:cols w:equalWidth="0" w:num="2">
            <w:col w:w="2720" w:space="720"/>
            <w:col w:w="7980"/>
          </w:cols>
          <w:pgMar w:left="240" w:top="873" w:right="239" w:bottom="1440" w:gutter="0" w:footer="0" w:header="0"/>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LeClairRyan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 Raymond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NJ 07102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John P. Reilly,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w:t>
      </w:r>
    </w:p>
    <w:p>
      <w:pPr>
        <w:spacing w:after="0" w:line="200" w:lineRule="exact"/>
        <w:rPr>
          <w:sz w:val="20"/>
          <w:szCs w:val="20"/>
          <w:color w:val="auto"/>
        </w:rPr>
      </w:pPr>
    </w:p>
    <w:p>
      <w:pPr>
        <w:sectPr>
          <w:pgSz w:w="11900" w:h="16838" w:orient="portrait"/>
          <w:cols w:equalWidth="0" w:num="2">
            <w:col w:w="2720" w:space="720"/>
            <w:col w:w="7980"/>
          </w:cols>
          <w:pgMar w:left="240" w:top="873"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 the Attention of the Legal Department at the same address.</w:t>
      </w:r>
    </w:p>
    <w:p>
      <w:pPr>
        <w:sectPr>
          <w:pgSz w:w="11900" w:h="16838" w:orient="portrait"/>
          <w:cols w:equalWidth="0" w:num="1">
            <w:col w:w="11420"/>
          </w:cols>
          <w:pgMar w:left="240" w:top="873" w:right="2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BAYER: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HealthCare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Bayer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Whippany, NJ 07981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Business Development Department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w:t>
      </w:r>
    </w:p>
    <w:p>
      <w:pPr>
        <w:spacing w:after="0" w:line="200" w:lineRule="exact"/>
        <w:rPr>
          <w:sz w:val="20"/>
          <w:szCs w:val="20"/>
          <w:color w:val="auto"/>
        </w:rPr>
      </w:pPr>
    </w:p>
    <w:p>
      <w:pPr>
        <w:sectPr>
          <w:pgSz w:w="11900" w:h="16838" w:orient="portrait"/>
          <w:cols w:equalWidth="0" w:num="2">
            <w:col w:w="2720" w:space="720"/>
            <w:col w:w="7980"/>
          </w:cols>
          <w:pgMar w:left="240" w:top="873"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the Attention of the Legal Department at the same address.</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Receipt of Notice</w:t>
      </w:r>
      <w:r>
        <w:rPr>
          <w:rFonts w:ascii="Times New Roman" w:cs="Times New Roman" w:eastAsia="Times New Roman" w:hAnsi="Times New Roman"/>
          <w:sz w:val="18"/>
          <w:szCs w:val="18"/>
          <w:color w:val="auto"/>
        </w:rPr>
        <w:t>. All notices and other communications given to any Party in accordance with the provisions of this Agreement shall be deemed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have been given on the date of receipt if delivered by hand or overnight courier services or sent by telecopy, or on the date five (5) business days after dispatch by certified or registered mail (postage prepaid) if mailed, in each case delivered, sent or mailed (properly addressed) to such Party as provided in this Article IX, or in accordance with the latest unrevoked direction from such Party given in accordance with this Article IX.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X- PATENT PROSECUTION, INFRINGEMENT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 xml:space="preserve">Ownership of Intellectual Property Rights. </w:t>
      </w:r>
      <w:r>
        <w:rPr>
          <w:rFonts w:ascii="Times New Roman" w:cs="Times New Roman" w:eastAsia="Times New Roman" w:hAnsi="Times New Roman"/>
          <w:sz w:val="18"/>
          <w:szCs w:val="18"/>
          <w:color w:val="auto"/>
        </w:rPr>
        <w:t>Except as otherwise provided in Section 5.8, Acura shall own [*****]. Bayer owns [*****]. Acura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hereby licenses to Bayer, on a non-exclusive basis, the use of the mark Impede® in the Field and Territory solely for the commercialization of the Developed Product during the Term.</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63" w:name="page64"/>
    <w:bookmarkEnd w:id="63"/>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 xml:space="preserve">Patent Prosecution and Maintenance. </w:t>
      </w:r>
      <w:r>
        <w:rPr>
          <w:rFonts w:ascii="Times New Roman" w:cs="Times New Roman" w:eastAsia="Times New Roman" w:hAnsi="Times New Roman"/>
          <w:sz w:val="18"/>
          <w:szCs w:val="18"/>
          <w:color w:val="auto"/>
        </w:rPr>
        <w:t>Acura is responsible for the prosecution and maintenance of the Impede® Patent Rights in its sole discretion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at its own cost and expense. Acura shall provide Bayer a reasonable opportunity to review and comment on such prosecution and maintenance efforts regarding Impede® Patent Rights in the Territory that may claim the Developed Product, or the making or the use thereof. Acura shall provide Bayer with a copy of material communications from any patent authority in the Territory regarding such Impede® Patent Rights within a reasonable time after receipt of such communications and shall provide drafts of any material filings or responses to be made to such patent authorities in a reasonable amount of time in advance of submitting such filings or responses for Bayer’s review and comment. Acura shall reasonably consider such comments by Bayer in connection with the prosecution and maintenance of the Impede® Patent Rights. If Acura decides to cease the prosecution or maintenance of any Impede® Patent Rights that claim the Developed Product, after it has commenced prosecution of such Impede Patent Rights in the Territory, Acura shall notify Bayer in writing at least sixty (60) days prior to any relevant deadline so that Bayer may, at its discretion, assume the responsibility for the prosecution or maintenance of such Impede® Patent Rights in the Territory. Bayer shall have forty</w:t>
      </w:r>
    </w:p>
    <w:p>
      <w:pPr>
        <w:spacing w:after="0" w:line="6" w:lineRule="exact"/>
        <w:rPr>
          <w:sz w:val="20"/>
          <w:szCs w:val="20"/>
          <w:color w:val="auto"/>
        </w:rPr>
      </w:pPr>
    </w:p>
    <w:p>
      <w:pPr>
        <w:jc w:val="both"/>
        <w:ind w:left="660" w:hanging="4"/>
        <w:spacing w:after="0" w:line="253" w:lineRule="auto"/>
        <w:tabs>
          <w:tab w:leader="none" w:pos="10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decide whether or not to assume these costs, during which time Acura shall make Commercially Reasonable Efforts to prepare, prosecute, and maintain any such Impede® Patent Rights. In the event Bayer chooses to maintain such preparation and prosecution or pay such maintenance fees (to the extent it is not already required to pay such fees), Acura agrees to cooperate with Bayer to execute all lawful papers and instruments reasonably necessary to transfer and assign such Impede® Patent Rights to Bayer, at Bayer’s sole expense, provided Bayer shall grant Acura an exclusive, perpetual, sub licensable, royalty free license to such Impede Patent Rights other than with respect to the Developed Product.</w:t>
      </w:r>
    </w:p>
    <w:p>
      <w:pPr>
        <w:spacing w:after="0" w:line="18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Infringement of Impede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Patent Rights. </w:t>
      </w:r>
      <w:r>
        <w:rPr>
          <w:rFonts w:ascii="Times New Roman" w:cs="Times New Roman" w:eastAsia="Times New Roman" w:hAnsi="Times New Roman"/>
          <w:sz w:val="18"/>
          <w:szCs w:val="18"/>
          <w:color w:val="auto"/>
        </w:rPr>
        <w:t>Each of Bayer and Acura will notify the other Party within [*****] upon learning of any possible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infringement by a Third Party of the Impede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Patent Rights, which infringement may reasonably be expected to affect the commercialization of the Developed Product. [*****][two pages redacted].</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Allegations of Infringement by Third Parties. [*****][one page redacted].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Settlement of Allegations of Infringement. [*****].</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ARTICLE XI-WARRANTIES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Mutual Representations, Warranties and Covenants</w:t>
      </w:r>
      <w:r>
        <w:rPr>
          <w:rFonts w:ascii="Times New Roman" w:cs="Times New Roman" w:eastAsia="Times New Roman" w:hAnsi="Times New Roman"/>
          <w:sz w:val="18"/>
          <w:szCs w:val="18"/>
          <w:color w:val="auto"/>
        </w:rPr>
        <w:t>. Each Party represents and warrants that (i) it has the full right, power and authority to enter into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this Agreement; (ii) that entering into and performing its obligations set forth in this Agreement does not conflict with any other agreement to which it is a party; and (iii) as at the Effective Date, there are no claims, judgments, litigations, suits, actions, disputes, arbitration, judicial or legal, administrative or other proceedings or governmental investigations pending or, to such Party’s knowledge, threatened against such Party or any of its Affiliates, and neither such Party nor its Affiliates is a party to any settlement agreement, which would be reasonably expected to materially affect or restrict the ability of such Party to consummate the transactions contemplated under this Agreement and to perform its obligations under this Agreement.</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Acura Representations, Warranties and Covenants</w:t>
      </w:r>
      <w:r>
        <w:rPr>
          <w:rFonts w:ascii="Times New Roman" w:cs="Times New Roman" w:eastAsia="Times New Roman" w:hAnsi="Times New Roman"/>
          <w:sz w:val="17"/>
          <w:szCs w:val="17"/>
          <w:color w:val="auto"/>
        </w:rPr>
        <w:t>. Acura represents and warrants that: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Bayer’s Representations Warranties and Covenants</w:t>
      </w:r>
      <w:r>
        <w:rPr>
          <w:rFonts w:ascii="Times New Roman" w:cs="Times New Roman" w:eastAsia="Times New Roman" w:hAnsi="Times New Roman"/>
          <w:sz w:val="17"/>
          <w:szCs w:val="17"/>
          <w:color w:val="auto"/>
        </w:rPr>
        <w:t>. Bayer represents, warrants and covenants that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XII– MISCELLANEOUS</w:t>
      </w:r>
    </w:p>
    <w:p>
      <w:pPr>
        <w:spacing w:after="0" w:line="22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Bayer and Acura agree to use good faith efforts to resolve any and all disputes arising out of or relating to this Agreement. If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after [*****], the Parties are unable to resolve the dispute, then the matter shall by fully and finally resolved by arbitration. A Party that desires to arbitrate a dispute shall serve a written notice upon another requesting arbitration of a dispute pursuant to this Section 12.1. Any such arbitration shall be submitted to final and binding arbitration under the then current commercial arbitration rules of the American Arbitration Association (the “AAA”) in accordance with this Section 12.1. The place of arbitration of any dispute shall be New York, New York. Such arbitration shall be conducted by one (1) arbitrator mutually agreed by the Parties but if such agreement cannot be reached within [*****] of the commencement of the arbitration, then an arbitrator appointed by the AAA. The arbitrator shall be a person with relevant experience in the pharmaceutical industry. The arbitration proceeding shall be held as soon as practicable but in any event within [*****] of appointment of the arbitrator. Any award rendered by the arbitrators shall be final and binding upon the Parties. Judgment upon any award rendered may be entered in any court having jurisdiction, or application may be made to such court for a judicial acceptance of the award and an order of enforcement, as the case may be. The arbitrator shall render a formal, binding, non-appealable resolution and award as expeditiously as possible, but not more than [*****] after the hearing. Each Party shall pay its own expenses of arbitration, and the expenses of the arbitrator shall be equally shared between the Parties unless the arbitrators assess as part of their award all or any part of the arbitration expenses of a Party (including reasonable attorneys’ fees) against the other Party. A Party may make application to the Arbitrator for the award and recovery of its fees and expenses (including reasonable attorneys’ fees). This Section 12.1, shall not prohibit a Party from seeking injunctive relief from a court of competent jurisdiction in the event of a breach or prospective breach of this Agreement by any other Party which would cause irreparable harm to the first Party.</w:t>
      </w:r>
    </w:p>
    <w:p>
      <w:pPr>
        <w:spacing w:after="0" w:line="1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65" w:name="page66"/>
    <w:bookmarkEnd w:id="6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 The failure of either Party to insist, in any one or more instances, upon the performance of any of the terms, covenants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conditions of this Agreement or to exercise any right hereunder, shall not be construed as a waiver or relinquishment of the future performance of any such term, covenant or conditions or the future exercise of such right, and the obligation of the other Party with respect to such future performance shall continue in full force and effect. No item or provision of this Agreement may be altered, amended or waived except by a writing signed by both Parties.</w:t>
      </w:r>
    </w:p>
    <w:p>
      <w:pPr>
        <w:spacing w:after="0" w:line="184"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u w:val="single" w:color="auto"/>
          <w:color w:val="auto"/>
        </w:rPr>
        <w:t>Assignment and Sub-License</w:t>
      </w:r>
      <w:r>
        <w:rPr>
          <w:rFonts w:ascii="Times New Roman" w:cs="Times New Roman" w:eastAsia="Times New Roman" w:hAnsi="Times New Roman"/>
          <w:sz w:val="18"/>
          <w:szCs w:val="18"/>
          <w:color w:val="auto"/>
        </w:rPr>
        <w:t>. Neither Party shall sub-license any of its rights or obligations under this Agreement, in whole or in part to any person,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firm, partnership, or other entity, except to an Affiliate, without the prior written consent of the other Party, which consent shall not be unreasonably withheld, delayed or conditioned. Notwithstanding the foregoing, a Party may assign this Agreement in connection with (i) the transfer of all or substantially all of its assets or its Impede Technology assets (by merger, sale of assets or otherwise) to the transferee thereof or (ii) the sale of its line of business to which this Agreement relates, provided however, that Acura will cause the acquirer to confirm with Bayer prior to closing such transaction that Bayer has such licenses to and a non-compete with respect to the Developed Product as are provided herein. Notwithstanding the foregoing, nothing shall prevent Bayer from offering to acquire the Developed Product intellectual property from Acura on terms negotiated between the parties.</w:t>
      </w:r>
    </w:p>
    <w:p>
      <w:pPr>
        <w:spacing w:after="0" w:line="18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u w:val="single" w:color="auto"/>
          <w:color w:val="auto"/>
        </w:rPr>
        <w:t>Other Terms and Conditions</w:t>
      </w:r>
      <w:r>
        <w:rPr>
          <w:rFonts w:ascii="Times New Roman" w:cs="Times New Roman" w:eastAsia="Times New Roman" w:hAnsi="Times New Roman"/>
          <w:sz w:val="18"/>
          <w:szCs w:val="18"/>
          <w:color w:val="auto"/>
        </w:rPr>
        <w:t>. Other terms and conditions not inconsistent with terms and conditions in this Agreement covering Developed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Product(s) to be supplied under this Agreement will be provided in purchase orders and releases issued by Bayer and in order acknowledgments and invoices issued by Acura. In the event of any conflict of terms in these documents, Bayer and Acura agree to negotiate in good faith to resolve such differences, unless such terms conflict with the terms of this Agreement, in which case the terms of this Agreement shall control.</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6" w:name="page67"/>
    <w:bookmarkEnd w:id="66"/>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u w:val="single" w:color="auto"/>
          <w:color w:val="auto"/>
        </w:rPr>
        <w:t>Covenant of Further Assurances</w:t>
      </w:r>
      <w:r>
        <w:rPr>
          <w:rFonts w:ascii="Times New Roman" w:cs="Times New Roman" w:eastAsia="Times New Roman" w:hAnsi="Times New Roman"/>
          <w:sz w:val="18"/>
          <w:szCs w:val="18"/>
          <w:color w:val="auto"/>
        </w:rPr>
        <w:t>. Bayer and Acura covenant and agree that subsequent to the execution and delivery of this Agreement and without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additional consideration, each of Bayer and Acura shall execute and deliver any further legal instruments and perform such acts which are or may become necessary to effectuate the purposes of this Agreement.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u w:val="single" w:color="auto"/>
          <w:color w:val="auto"/>
        </w:rPr>
        <w:t xml:space="preserve">Headings. </w:t>
      </w:r>
      <w:r>
        <w:rPr>
          <w:rFonts w:ascii="Times New Roman" w:cs="Times New Roman" w:eastAsia="Times New Roman" w:hAnsi="Times New Roman"/>
          <w:sz w:val="18"/>
          <w:szCs w:val="18"/>
          <w:color w:val="auto"/>
        </w:rPr>
        <w:t>The heading of the Articles and Sections used in this Agreement are included for convenience only and are not to be used in construing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interpreting this Agreement.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any competent governmental entity or any other applicable laws and regulations require otherwise, this Agreement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governed by and construed under the laws of the State of New Jersey as applied to agreements executed and performed solely in New Jersey, without regard to choice-of-law principles thereof.</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u w:val="single" w:color="auto"/>
          <w:color w:val="auto"/>
        </w:rPr>
        <w:t xml:space="preserve">Subcontracting. </w:t>
      </w:r>
      <w:r>
        <w:rPr>
          <w:rFonts w:ascii="Times New Roman" w:cs="Times New Roman" w:eastAsia="Times New Roman" w:hAnsi="Times New Roman"/>
          <w:sz w:val="18"/>
          <w:szCs w:val="18"/>
          <w:color w:val="auto"/>
        </w:rPr>
        <w:t>Acura shall not subcontract its obligations hereunder to subcontractors (other than Affiliates) without the prior written consent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Bayer, which shall not be unreasonably withheld, provided however that without such consent Acura may use third party contract research organizations and other service and material providers, as long as Acura actively oversees the project.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u w:val="single" w:color="auto"/>
          <w:color w:val="auto"/>
        </w:rPr>
        <w:t xml:space="preserve">Relationship. </w:t>
      </w:r>
      <w:r>
        <w:rPr>
          <w:rFonts w:ascii="Times New Roman" w:cs="Times New Roman" w:eastAsia="Times New Roman" w:hAnsi="Times New Roman"/>
          <w:sz w:val="18"/>
          <w:szCs w:val="18"/>
          <w:color w:val="auto"/>
        </w:rPr>
        <w:t>Acura is an independent contractor engaged by Bayer for the provision of the Developed Product(s). Nothing in this Agreement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constitute either Party as an employee, agent or general representative of the other, nor shall either Bayer or Acura have the right or authority to assume, create or incur any liability or any obligation of any kind, express or implied, against, or in the name of or on behalf of, the other.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8"/>
          <w:szCs w:val="18"/>
          <w:u w:val="single" w:color="auto"/>
          <w:color w:val="auto"/>
        </w:rPr>
        <w:t xml:space="preserve">Severability. </w:t>
      </w:r>
      <w:r>
        <w:rPr>
          <w:rFonts w:ascii="Times New Roman" w:cs="Times New Roman" w:eastAsia="Times New Roman" w:hAnsi="Times New Roman"/>
          <w:sz w:val="18"/>
          <w:szCs w:val="18"/>
          <w:color w:val="auto"/>
        </w:rPr>
        <w:t>The provisions of this Agreement shall be deemed separate. Accordingly, the invalidity or unenforceability of any particular provision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this Agreement shall not affect the other provisions, and this Agreement shall be construed in all respects as if such invalid or unenforceable provision were omitted, except in cases where such unenforceable provision is a basic prerequisite of any Party or both Parties to enter into this Agreement. The Parties shall in such an instance use their best efforts to replace the unenforceable provision(s) with valid, legal and enforceable provision(s) which, insofar as practical, implement the purposes of this Agreement.</w:t>
      </w:r>
    </w:p>
    <w:p>
      <w:pPr>
        <w:spacing w:after="0" w:line="18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Exhibits and Schedules attached hereto constitutes the entire Agreement between Bayer and Acura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respect to the subject matter addressed herein and this Agreement supersedes all prior understandings and agreements, whether oral or written, between the Bayer and Acura with respect thereto. Any amendment to any provisions set forth in the Agreement must be in writing, signed by both Bayer and Acura and specifically state that it is an amendment.</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8"/>
          <w:szCs w:val="18"/>
          <w:u w:val="single" w:color="auto"/>
          <w:color w:val="auto"/>
        </w:rPr>
        <w:t xml:space="preserve">Counterparts; Facsimile Signatures. </w:t>
      </w:r>
      <w:r>
        <w:rPr>
          <w:rFonts w:ascii="Times New Roman" w:cs="Times New Roman" w:eastAsia="Times New Roman" w:hAnsi="Times New Roman"/>
          <w:sz w:val="18"/>
          <w:szCs w:val="18"/>
          <w:color w:val="auto"/>
        </w:rPr>
        <w:t>This Agreement may be executed in multiple counterparts, each of which shall be deemed to be an original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equal force and effect, but all of which taken together shall constitute one and the same instrument. A facsimile, digital, PDF, e-mail or other electronic copy hereof shall suffice as an original Agreement.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8"/>
          <w:szCs w:val="18"/>
          <w:u w:val="single" w:color="auto"/>
          <w:color w:val="auto"/>
        </w:rPr>
        <w:t>Waiver of Rule of Construction</w:t>
      </w:r>
      <w:r>
        <w:rPr>
          <w:rFonts w:ascii="Times New Roman" w:cs="Times New Roman" w:eastAsia="Times New Roman" w:hAnsi="Times New Roman"/>
          <w:sz w:val="18"/>
          <w:szCs w:val="18"/>
          <w:color w:val="auto"/>
        </w:rPr>
        <w:t>. Each Party has had the opportunity to consult with counsel in connection with the review, drafting and negotiation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this Agreement. Accordingly, the rule of construction that any ambiguity in this Agreement shall be construed against the drafting Party shall not apply.</w:t>
      </w:r>
    </w:p>
    <w:p>
      <w:pPr>
        <w:spacing w:after="0" w:line="172" w:lineRule="exact"/>
        <w:rPr>
          <w:sz w:val="20"/>
          <w:szCs w:val="20"/>
          <w:color w:val="auto"/>
        </w:rPr>
      </w:pPr>
    </w:p>
    <w:p>
      <w:pPr>
        <w:jc w:val="both"/>
        <w:ind w:left="66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Bayer and Acura have caused this Agreement to be executed by their duly authorized officers as of the day and year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tc>
        <w:tc>
          <w:tcPr>
            <w:tcW w:w="59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BAYER HEALTHCARE LLC</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Robert B. Jones</w:t>
            </w: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 Mike DiBiasi</w:t>
            </w:r>
          </w:p>
        </w:tc>
      </w:tr>
      <w:tr>
        <w:trPr>
          <w:trHeight w:val="42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24"/>
                <w:szCs w:val="24"/>
                <w:color w:val="auto"/>
              </w:rPr>
            </w:pPr>
          </w:p>
        </w:tc>
        <w:tc>
          <w:tcPr>
            <w:tcW w:w="48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Robert B. Jones</w:t>
            </w: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Mike DiBiasi</w:t>
            </w:r>
          </w:p>
        </w:tc>
      </w:tr>
      <w:tr>
        <w:trPr>
          <w:trHeight w:val="42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&amp; CEO</w:t>
            </w: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V.P. Allergy</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15, 2015</w:t>
            </w:r>
          </w:p>
        </w:tc>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June 5, 2015</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Development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redacted]</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BAYER budget and timeline for Delivery of the Prototype [*****].</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70" w:name="page71"/>
    <w:bookmarkEnd w:id="70"/>
    <w:p>
      <w:pPr>
        <w:ind w:left="9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Budget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pages redacted]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Impede® Patent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ISSUED OR NOTICE OF ALLOWANCE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 pages redacted]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Target Product Profile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Including Success Criteria 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Pilot Bioequivalence Study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constitutes the Target Product Profile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Pilot Bioequivalence Study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Royalty Report</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ROYALTY REPORT</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Contract Year Ended ______________</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Quarter Reported 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Number: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 pages redacted]</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F</w:t>
            </w:r>
          </w:p>
        </w:tc>
        <w:tc>
          <w:tcPr>
            <w:tcW w:w="398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2080" w:type="dxa"/>
            <w:vAlign w:val="bottom"/>
          </w:tcPr>
          <w:p>
            <w:pPr>
              <w:spacing w:after="0"/>
              <w:rPr>
                <w:sz w:val="24"/>
                <w:szCs w:val="24"/>
                <w:color w:val="auto"/>
              </w:rPr>
            </w:pPr>
          </w:p>
        </w:tc>
        <w:tc>
          <w:tcPr>
            <w:tcW w:w="7980" w:type="dxa"/>
            <w:vAlign w:val="bottom"/>
            <w:gridSpan w:val="7"/>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Pre-Effective Date Amounts to be Reimbursed to Acura</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8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96"/>
              </w:rPr>
              <w:t>Item</w:t>
            </w:r>
          </w:p>
        </w:tc>
        <w:tc>
          <w:tcPr>
            <w:tcW w:w="150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Quantity</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2080" w:type="dxa"/>
            <w:vAlign w:val="bottom"/>
            <w:tcBorders>
              <w:top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98"/>
              </w:rPr>
              <w:t>[*****]</w:t>
            </w:r>
          </w:p>
        </w:tc>
        <w:tc>
          <w:tcPr>
            <w:tcW w:w="1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98"/>
              </w:rPr>
              <w:t>[*****]</w:t>
            </w:r>
          </w:p>
        </w:tc>
        <w:tc>
          <w:tcPr>
            <w:tcW w:w="798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8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CERTIFICATION OF PERIODIC REPORT PURSUANT TO RULES 13a-14 AND 15d-14</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Acura Pharmaceuticals, Inc.;</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7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7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76" w:lineRule="exact"/>
        <w:rPr>
          <w:rFonts w:ascii="Times New Roman" w:cs="Times New Roman" w:eastAsia="Times New Roman" w:hAnsi="Times New Roman"/>
          <w:sz w:val="18"/>
          <w:szCs w:val="18"/>
          <w:color w:val="auto"/>
        </w:rPr>
      </w:pPr>
    </w:p>
    <w:p>
      <w:pPr>
        <w:ind w:left="340" w:hanging="8"/>
        <w:spacing w:after="0" w:line="282" w:lineRule="auto"/>
        <w:tabs>
          <w:tab w:leader="none" w:pos="72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7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79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July 30, 2015</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Jones</w:t>
            </w:r>
          </w:p>
        </w:tc>
      </w:tr>
      <w:tr>
        <w:trPr>
          <w:trHeight w:val="191"/>
        </w:trPr>
        <w:tc>
          <w:tcPr>
            <w:tcW w:w="800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 Jones</w:t>
            </w:r>
          </w:p>
        </w:tc>
      </w:tr>
      <w:tr>
        <w:trPr>
          <w:trHeight w:val="234"/>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648"/>
        </w:trPr>
        <w:tc>
          <w:tcPr>
            <w:tcW w:w="80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CERTIFICATION OF PERIODIC REPORT PURSUANT TO RULES 13a-14 AND 15d-14</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Clemens, the Chief Financial Officer of Acura Pharmaceuticals, Inc.,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Acura Pharmaceuticals, Inc.;</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7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76"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7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hanging="8"/>
        <w:spacing w:after="0" w:line="282" w:lineRule="auto"/>
        <w:tabs>
          <w:tab w:leader="none" w:pos="72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7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62" w:lineRule="exact"/>
        <w:rPr>
          <w:sz w:val="20"/>
          <w:szCs w:val="20"/>
          <w:color w:val="auto"/>
        </w:rPr>
      </w:pPr>
    </w:p>
    <w:p>
      <w:pPr>
        <w:ind w:left="340" w:right="20" w:hanging="8"/>
        <w:spacing w:after="0" w:line="282" w:lineRule="auto"/>
        <w:tabs>
          <w:tab w:leader="none" w:pos="7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July 30, 2015</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Clemens</w:t>
            </w:r>
          </w:p>
        </w:tc>
      </w:tr>
      <w:tr>
        <w:trPr>
          <w:trHeight w:val="191"/>
        </w:trPr>
        <w:tc>
          <w:tcPr>
            <w:tcW w:w="800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A. Clemens</w:t>
            </w:r>
          </w:p>
        </w:tc>
      </w:tr>
      <w:tr>
        <w:trPr>
          <w:trHeight w:val="234"/>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80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CERTIFICATIONS OF THE CHIEF EXEUTIVE OFFICER AND THE CHIEF FINANCIAL OFFICER PURSUANT TO 18 U.S.C. SECTION 1350, AS ADOPTED PURSUANT TO SECTION 906 OF THE SARBANES-OXLEY ACT OF 2002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Acura Pharmaceuticals, Inc. (the "Company") on Form 10-Q for the period ending June 30, 2015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July 30, 2015</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Jones</w:t>
            </w:r>
          </w:p>
        </w:tc>
      </w:tr>
      <w:tr>
        <w:trPr>
          <w:trHeight w:val="191"/>
        </w:trPr>
        <w:tc>
          <w:tcPr>
            <w:tcW w:w="800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 Jones</w:t>
            </w:r>
          </w:p>
        </w:tc>
      </w:tr>
      <w:tr>
        <w:trPr>
          <w:trHeight w:val="234"/>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800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Clemens</w:t>
            </w:r>
          </w:p>
        </w:tc>
      </w:tr>
      <w:tr>
        <w:trPr>
          <w:trHeight w:val="191"/>
        </w:trPr>
        <w:tc>
          <w:tcPr>
            <w:tcW w:w="800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A. Clemens</w:t>
            </w:r>
          </w:p>
        </w:tc>
      </w:tr>
      <w:tr>
        <w:trPr>
          <w:trHeight w:val="234"/>
        </w:trPr>
        <w:tc>
          <w:tcPr>
            <w:tcW w:w="80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80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þ"/>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lowerRoman"/>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1)"/>
      <w:numFmt w:val="decimal"/>
      <w:start w:val="3"/>
    </w:lvl>
  </w:abstractNum>
  <w:abstractNum w:abstractNumId="14">
    <w:nsid w:val="257130A3"/>
    <w:multiLevelType w:val="hybridMultilevel"/>
    <w:lvl w:ilvl="0">
      <w:lvlJc w:val="left"/>
      <w:lvlText w:val="1"/>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upperLetter"/>
      <w:start w:val="2"/>
    </w:lvl>
  </w:abstractNum>
  <w:abstractNum w:abstractNumId="17">
    <w:nsid w:val="628C895D"/>
    <w:multiLevelType w:val="hybridMultilevel"/>
    <w:lvl w:ilvl="0">
      <w:lvlJc w:val="left"/>
      <w:lvlText w:val="%1."/>
      <w:numFmt w:val="upperLetter"/>
      <w:start w:val="1"/>
    </w:lvl>
  </w:abstractNum>
  <w:abstractNum w:abstractNumId="18">
    <w:nsid w:val="333AB105"/>
    <w:multiLevelType w:val="hybridMultilevel"/>
    <w:lvl w:ilvl="0">
      <w:lvlJc w:val="left"/>
      <w:lvlText w:val="%1."/>
      <w:numFmt w:val="decimal"/>
      <w:start w:val="8"/>
    </w:lvl>
  </w:abstractNum>
  <w:abstractNum w:abstractNumId="19">
    <w:nsid w:val="721DA317"/>
    <w:multiLevelType w:val="hybridMultilevel"/>
    <w:lvl w:ilvl="0">
      <w:lvlJc w:val="left"/>
      <w:lvlText w:val="(%1)"/>
      <w:numFmt w:val="decimal"/>
      <w:start w:val="40"/>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2019-12-29T15:53:49Z</dcterms:created>
  <dcterms:modified xsi:type="dcterms:W3CDTF">2019-12-29T15:53:49Z</dcterms:modified>
</cp:coreProperties>
</file>